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ind w:left="0"/>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122" w:right="0" w:firstLine="0"/>
        <w:jc w:val="center"/>
        <w:rPr>
          <w:b/>
          <w:sz w:val="30"/>
        </w:rPr>
      </w:pPr>
      <w:r>
        <w:rPr>
          <w:b/>
          <w:sz w:val="30"/>
        </w:rPr>
        <w:t>太平福禄康逸终身重大疾病保险条款</w:t>
      </w:r>
    </w:p>
    <w:p>
      <w:pPr>
        <w:pStyle w:val="BodyText"/>
        <w:ind w:left="0"/>
        <w:rPr>
          <w:b/>
          <w:sz w:val="30"/>
        </w:rPr>
      </w:pPr>
    </w:p>
    <w:p>
      <w:pPr>
        <w:pStyle w:val="BodyText"/>
        <w:spacing w:before="6"/>
        <w:ind w:left="0"/>
        <w:rPr>
          <w:b/>
          <w:sz w:val="44"/>
        </w:rPr>
      </w:pPr>
    </w:p>
    <w:p>
      <w:pPr>
        <w:spacing w:before="0"/>
        <w:ind w:left="3117" w:right="0" w:firstLine="0"/>
        <w:jc w:val="center"/>
        <w:rPr>
          <w:b/>
          <w:sz w:val="28"/>
        </w:rPr>
      </w:pPr>
      <w:r>
        <w:rPr/>
        <w:pict>
          <v:shapetype id="_x0000_t202" o:spt="202" coordsize="21600,21600" path="m,l,21600r21600,l21600,xe">
            <v:stroke joinstyle="miter"/>
            <v:path gradientshapeok="t" o:connecttype="rect"/>
          </v:shapetype>
          <v:shape style="position:absolute;margin-left:290.209991pt;margin-top:-111.343895pt;width:22.6pt;height:11.05pt;mso-position-horizontal-relative:page;mso-position-vertical-relative:paragraph;z-index:-68128" type="#_x0000_t202" filled="false" stroked="false">
            <v:textbox inset="0,0,0,0">
              <w:txbxContent>
                <w:p>
                  <w:pPr>
                    <w:spacing w:line="221" w:lineRule="exact" w:before="0"/>
                    <w:ind w:left="0" w:right="0" w:firstLine="0"/>
                    <w:jc w:val="left"/>
                    <w:rPr>
                      <w:rFonts w:ascii="Times New Roman"/>
                      <w:sz w:val="20"/>
                    </w:rPr>
                  </w:pPr>
                  <w:r>
                    <w:rPr>
                      <w:rFonts w:ascii="Times New Roman"/>
                      <w:w w:val="95"/>
                      <w:sz w:val="20"/>
                    </w:rPr>
                    <w:t>pdmd</w:t>
                  </w:r>
                </w:p>
              </w:txbxContent>
            </v:textbox>
            <w10:wrap type="none"/>
          </v:shape>
        </w:pict>
      </w:r>
      <w:r>
        <w:rPr>
          <w:b/>
          <w:sz w:val="28"/>
        </w:rPr>
        <w:t>特别提示</w:t>
      </w:r>
    </w:p>
    <w:p>
      <w:pPr>
        <w:spacing w:before="38"/>
        <w:ind w:left="73" w:right="64" w:firstLine="0"/>
        <w:jc w:val="center"/>
        <w:rPr>
          <w:sz w:val="18"/>
        </w:rPr>
      </w:pPr>
      <w:r>
        <w:rPr/>
        <w:br w:type="column"/>
      </w:r>
      <w:r>
        <w:rPr>
          <w:sz w:val="18"/>
        </w:rPr>
        <w:t>太平人寿</w:t>
      </w:r>
      <w:r>
        <w:rPr>
          <w:rFonts w:ascii="Times New Roman" w:eastAsia="Times New Roman"/>
          <w:sz w:val="18"/>
        </w:rPr>
        <w:t>[2017]</w:t>
      </w:r>
      <w:r>
        <w:rPr>
          <w:sz w:val="18"/>
        </w:rPr>
        <w:t>疾病保险 </w:t>
      </w:r>
      <w:r>
        <w:rPr>
          <w:rFonts w:ascii="Times New Roman" w:eastAsia="Times New Roman"/>
          <w:sz w:val="18"/>
        </w:rPr>
        <w:t>073 </w:t>
      </w:r>
      <w:r>
        <w:rPr>
          <w:sz w:val="18"/>
        </w:rPr>
        <w:t>号</w:t>
      </w:r>
    </w:p>
    <w:p>
      <w:pPr>
        <w:pStyle w:val="BodyText"/>
        <w:spacing w:before="4"/>
        <w:ind w:left="0"/>
        <w:rPr>
          <w:sz w:val="5"/>
        </w:rPr>
      </w:pPr>
    </w:p>
    <w:p>
      <w:pPr>
        <w:pStyle w:val="BodyText"/>
        <w:ind w:left="782"/>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24"/>
        <w:ind w:left="73" w:right="62" w:firstLine="0"/>
        <w:jc w:val="center"/>
        <w:rPr>
          <w:sz w:val="18"/>
        </w:rPr>
      </w:pPr>
      <w:r>
        <w:rPr>
          <w:sz w:val="18"/>
        </w:rPr>
        <w:t>请扫描以查询验证条款</w:t>
      </w:r>
    </w:p>
    <w:p>
      <w:pPr>
        <w:spacing w:after="0"/>
        <w:jc w:val="center"/>
        <w:rPr>
          <w:sz w:val="18"/>
        </w:rPr>
        <w:sectPr>
          <w:type w:val="continuous"/>
          <w:pgSz w:w="11910" w:h="16160"/>
          <w:pgMar w:top="560" w:bottom="280" w:left="500" w:right="260"/>
          <w:cols w:num="2" w:equalWidth="0">
            <w:col w:w="7945" w:space="522"/>
            <w:col w:w="2683"/>
          </w:cols>
        </w:sectPr>
      </w:pPr>
    </w:p>
    <w:p>
      <w:pPr>
        <w:pStyle w:val="BodyText"/>
        <w:ind w:left="0"/>
        <w:rPr>
          <w:sz w:val="20"/>
        </w:rPr>
      </w:pPr>
    </w:p>
    <w:p>
      <w:pPr>
        <w:pStyle w:val="BodyText"/>
        <w:ind w:left="0"/>
        <w:rPr>
          <w:sz w:val="20"/>
        </w:rPr>
      </w:pPr>
    </w:p>
    <w:p>
      <w:pPr>
        <w:pStyle w:val="BodyText"/>
        <w:spacing w:before="1"/>
        <w:ind w:left="0"/>
        <w:rPr>
          <w:sz w:val="16"/>
        </w:rPr>
      </w:pPr>
    </w:p>
    <w:p>
      <w:pPr>
        <w:spacing w:before="27"/>
        <w:ind w:left="1058" w:right="0" w:firstLine="0"/>
        <w:jc w:val="left"/>
        <w:rPr>
          <w:sz w:val="24"/>
        </w:rPr>
      </w:pPr>
      <w:r>
        <w:rPr>
          <w:sz w:val="24"/>
        </w:rPr>
        <w:t>感谢您选择了太平人寿保险有限公司。</w:t>
      </w:r>
    </w:p>
    <w:p>
      <w:pPr>
        <w:spacing w:line="549" w:lineRule="auto" w:before="46"/>
        <w:ind w:left="1060" w:right="2398" w:hanging="3"/>
        <w:jc w:val="left"/>
        <w:rPr>
          <w:b/>
          <w:sz w:val="24"/>
        </w:rPr>
      </w:pPr>
      <w:r>
        <w:rPr/>
        <w:pict>
          <v:shape style="position:absolute;margin-left:67.304001pt;margin-top:59.622265pt;width:486pt;height:141.5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84"/>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right="141"/>
                          <w:jc w:val="right"/>
                          <w:rPr>
                            <w:rFonts w:ascii="Times New Roman"/>
                            <w:b/>
                            <w:sz w:val="24"/>
                          </w:rPr>
                        </w:pPr>
                        <w:r>
                          <w:rPr>
                            <w:rFonts w:ascii="Times New Roman"/>
                            <w:b/>
                            <w:w w:val="99"/>
                            <w:sz w:val="24"/>
                          </w:rPr>
                          <w:t>:</w:t>
                        </w:r>
                      </w:p>
                    </w:tc>
                    <w:tc>
                      <w:tcPr>
                        <w:tcW w:w="7884"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rPr>
                            <w:sz w:val="18"/>
                          </w:rPr>
                        </w:pPr>
                      </w:p>
                      <w:p>
                        <w:pPr>
                          <w:pStyle w:val="TableParagraph"/>
                          <w:ind w:right="141"/>
                          <w:jc w:val="right"/>
                          <w:rPr>
                            <w:rFonts w:ascii="Times New Roman"/>
                            <w:b/>
                            <w:sz w:val="24"/>
                          </w:rPr>
                        </w:pPr>
                        <w:r>
                          <w:rPr>
                            <w:rFonts w:ascii="Times New Roman"/>
                            <w:b/>
                            <w:w w:val="99"/>
                            <w:sz w:val="24"/>
                          </w:rPr>
                          <w:t>:</w:t>
                        </w:r>
                      </w:p>
                    </w:tc>
                    <w:tc>
                      <w:tcPr>
                        <w:tcW w:w="7884" w:type="dxa"/>
                      </w:tcPr>
                      <w:p>
                        <w:pPr>
                          <w:pStyle w:val="TableParagraph"/>
                          <w:spacing w:line="276" w:lineRule="auto" w:before="185"/>
                          <w:ind w:left="143" w:right="197"/>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rPr>
                            <w:sz w:val="18"/>
                          </w:rPr>
                        </w:pPr>
                      </w:p>
                      <w:p>
                        <w:pPr>
                          <w:pStyle w:val="TableParagraph"/>
                          <w:ind w:right="141"/>
                          <w:jc w:val="right"/>
                          <w:rPr>
                            <w:rFonts w:ascii="Times New Roman"/>
                            <w:b/>
                            <w:sz w:val="24"/>
                          </w:rPr>
                        </w:pPr>
                        <w:r>
                          <w:rPr>
                            <w:rFonts w:ascii="Times New Roman"/>
                            <w:b/>
                            <w:w w:val="99"/>
                            <w:sz w:val="24"/>
                          </w:rPr>
                          <w:t>:</w:t>
                        </w:r>
                      </w:p>
                    </w:tc>
                    <w:tc>
                      <w:tcPr>
                        <w:tcW w:w="7884" w:type="dxa"/>
                      </w:tcPr>
                      <w:p>
                        <w:pPr>
                          <w:pStyle w:val="TableParagraph"/>
                          <w:spacing w:line="360" w:lineRule="atLeast" w:before="139"/>
                          <w:ind w:left="143" w:right="197"/>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662" w:hanging="420"/>
        <w:jc w:val="left"/>
        <w:rPr>
          <w:b/>
          <w:sz w:val="24"/>
        </w:rPr>
      </w:pPr>
      <w:r>
        <w:rPr>
          <w:b/>
          <w:spacing w:val="-5"/>
          <w:sz w:val="24"/>
        </w:rPr>
        <w:t>签收本合同之日起 </w:t>
      </w:r>
      <w:r>
        <w:rPr>
          <w:rFonts w:ascii="Times New Roman" w:eastAsia="Times New Roman"/>
          <w:b/>
          <w:sz w:val="24"/>
        </w:rPr>
        <w:t>10</w:t>
      </w:r>
      <w:r>
        <w:rPr>
          <w:rFonts w:ascii="Times New Roman" w:eastAsia="Times New Roman"/>
          <w:b/>
          <w:spacing w:val="10"/>
          <w:sz w:val="24"/>
        </w:rPr>
        <w:t> </w:t>
      </w:r>
      <w:r>
        <w:rPr>
          <w:b/>
          <w:sz w:val="24"/>
        </w:rPr>
        <w:t>日（即犹豫期）内您若要求解除保险合同，我们仅扣除工本</w:t>
      </w:r>
      <w:r>
        <w:rPr>
          <w:b/>
          <w:w w:val="85"/>
          <w:sz w:val="24"/>
        </w:rPr>
        <w:t>费</w:t>
      </w:r>
      <w:r>
        <w:rPr>
          <w:rFonts w:ascii="Courier New" w:eastAsia="Courier New"/>
          <w:b/>
          <w:w w:val="85"/>
          <w:sz w:val="24"/>
        </w:rPr>
        <w:t>...........................................................</w:t>
      </w:r>
      <w:r>
        <w:rPr>
          <w:b/>
          <w:w w:val="85"/>
          <w:sz w:val="24"/>
        </w:rPr>
        <w:t>第二十二条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第二十三条</w:t>
      </w:r>
    </w:p>
    <w:p>
      <w:pPr>
        <w:pStyle w:val="BodyText"/>
        <w:ind w:left="0"/>
        <w:rPr>
          <w:b/>
          <w:sz w:val="26"/>
        </w:rPr>
      </w:pPr>
    </w:p>
    <w:p>
      <w:pPr>
        <w:pStyle w:val="BodyText"/>
        <w:spacing w:before="7"/>
        <w:ind w:left="0"/>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0"/>
        <w:ind w:left="4833" w:right="4912"/>
        <w:jc w:val="center"/>
      </w:pPr>
      <w:r>
        <w:rPr/>
        <w:t>第</w:t>
      </w:r>
      <w:r>
        <w:rPr>
          <w:rFonts w:ascii="Times New Roman" w:eastAsia="Times New Roman"/>
        </w:rPr>
        <w:t>1</w:t>
      </w:r>
      <w:r>
        <w:rPr/>
        <w:t>页，共</w:t>
      </w:r>
      <w:r>
        <w:rPr>
          <w:rFonts w:ascii="Times New Roman" w:eastAsia="Times New Roman"/>
        </w:rPr>
        <w:t>33</w:t>
      </w:r>
      <w:r>
        <w:rPr/>
        <w:t>页</w:t>
      </w:r>
    </w:p>
    <w:p>
      <w:pPr>
        <w:spacing w:after="0"/>
        <w:jc w:val="center"/>
        <w:sectPr>
          <w:type w:val="continuous"/>
          <w:pgSz w:w="11910" w:h="16160"/>
          <w:pgMar w:top="560" w:bottom="280" w:left="500" w:right="260"/>
        </w:sectPr>
      </w:pPr>
    </w:p>
    <w:p>
      <w:pPr>
        <w:pStyle w:val="BodyText"/>
        <w:spacing w:before="5"/>
        <w:ind w:left="0"/>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4" w:val="right" w:leader="dot"/>
            </w:tabs>
            <w:spacing w:before="325"/>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4" w:val="right" w:leader="dot"/>
            </w:tabs>
            <w:spacing w:before="42"/>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0">
            <w:r>
              <w:rPr/>
              <w:t>第三部分</w:t>
              <w:tab/>
              <w:t>如何支付保险费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2">
            <w:r>
              <w:rPr/>
              <w:t>第十条</w:t>
              <w:tab/>
              <w:t>宽限期</w:t>
              <w:tab/>
            </w:r>
            <w:r>
              <w:rPr>
                <w:rFonts w:ascii="Times New Roman" w:eastAsia="Times New Roman"/>
              </w:rPr>
              <w:t>6</w:t>
            </w:r>
          </w:hyperlink>
        </w:p>
        <w:p>
          <w:pPr>
            <w:pStyle w:val="TOC1"/>
            <w:tabs>
              <w:tab w:pos="1377" w:val="left" w:leader="none"/>
              <w:tab w:pos="10014" w:val="right" w:leader="dot"/>
            </w:tabs>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5">
            <w:r>
              <w:rPr/>
              <w:t>第十二条</w:t>
              <w:tab/>
              <w:t>保险事故通知</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6">
            <w:r>
              <w:rPr/>
              <w:t>第十三条</w:t>
              <w:tab/>
              <w:t>诉讼时效</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7">
            <w:r>
              <w:rPr/>
              <w:t>第十四条</w:t>
              <w:tab/>
              <w:t>保险金申请</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8">
            <w:r>
              <w:rPr/>
              <w:t>第十五条</w:t>
              <w:tab/>
              <w:t>保险金给付</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19">
            <w:r>
              <w:rPr/>
              <w:t>第十六条</w:t>
              <w:tab/>
              <w:t>司法鉴定</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20">
            <w:r>
              <w:rPr/>
              <w:t>第十七条</w:t>
              <w:tab/>
              <w:t>失踪处理</w:t>
              <w:tab/>
            </w:r>
            <w:r>
              <w:rPr>
                <w:rFonts w:ascii="Times New Roman" w:eastAsia="Times New Roman"/>
              </w:rPr>
              <w:t>8</w:t>
            </w:r>
          </w:hyperlink>
        </w:p>
        <w:p>
          <w:pPr>
            <w:pStyle w:val="TOC1"/>
            <w:tabs>
              <w:tab w:pos="1377" w:val="left" w:leader="none"/>
              <w:tab w:pos="10014" w:val="right" w:leader="dot"/>
            </w:tabs>
            <w:spacing w:before="42"/>
            <w:rPr>
              <w:rFonts w:ascii="Times New Roman" w:eastAsia="Times New Roman"/>
            </w:rPr>
          </w:pPr>
          <w:hyperlink w:history="true" w:anchor="_bookmark21">
            <w:r>
              <w:rPr/>
              <w:t>第五部分</w:t>
              <w:tab/>
              <w:t>您还享有哪些权益</w:t>
              <w:tab/>
            </w:r>
            <w:r>
              <w:rPr>
                <w:rFonts w:ascii="Times New Roman" w:eastAsia="Times New Roman"/>
              </w:rPr>
              <w:t>8</w:t>
            </w:r>
          </w:hyperlink>
        </w:p>
        <w:p>
          <w:pPr>
            <w:pStyle w:val="TOC2"/>
            <w:tabs>
              <w:tab w:pos="1742" w:val="left" w:leader="none"/>
              <w:tab w:pos="10013" w:val="right" w:leader="dot"/>
            </w:tabs>
            <w:spacing w:before="41"/>
            <w:rPr>
              <w:rFonts w:ascii="Times New Roman" w:eastAsia="Times New Roman"/>
            </w:rPr>
          </w:pPr>
          <w:hyperlink w:history="true" w:anchor="_bookmark22">
            <w:r>
              <w:rPr/>
              <w:t>第十八条</w:t>
              <w:tab/>
              <w:t>保单贷款</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3">
            <w:r>
              <w:rPr/>
              <w:t>第十九条</w:t>
              <w:tab/>
              <w:t>年金转换权</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4">
            <w:r>
              <w:rPr/>
              <w:t>第二十条</w:t>
              <w:tab/>
              <w:t>合同内容的变更权</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5">
            <w:r>
              <w:rPr/>
              <w:t>第二十一条</w:t>
              <w:tab/>
              <w:t>合同效力的中止与恢复</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6">
            <w:r>
              <w:rPr/>
              <w:t>第二十二条</w:t>
              <w:tab/>
              <w:t>犹豫期</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7">
            <w:r>
              <w:rPr/>
              <w:t>第二十三条</w:t>
              <w:tab/>
              <w:t>您解除合同的手续及风险</w:t>
              <w:tab/>
            </w:r>
            <w:r>
              <w:rPr>
                <w:rFonts w:ascii="Times New Roman" w:eastAsia="Times New Roman"/>
              </w:rPr>
              <w:t>9</w:t>
            </w:r>
          </w:hyperlink>
        </w:p>
        <w:p>
          <w:pPr>
            <w:pStyle w:val="TOC1"/>
            <w:tabs>
              <w:tab w:pos="1377" w:val="left" w:leader="none"/>
              <w:tab w:pos="10014" w:val="right" w:leader="dot"/>
            </w:tabs>
            <w:spacing w:before="42"/>
            <w:rPr>
              <w:rFonts w:ascii="Times New Roman" w:eastAsia="Times New Roman"/>
            </w:rPr>
          </w:pPr>
          <w:hyperlink w:history="true" w:anchor="_bookmark28">
            <w:r>
              <w:rPr/>
              <w:t>第六部分</w:t>
              <w:tab/>
              <w:t>您必须了解的其他</w:t>
            </w:r>
            <w:r>
              <w:rPr>
                <w:spacing w:val="-3"/>
              </w:rPr>
              <w:t>事</w:t>
            </w:r>
            <w:r>
              <w:rPr/>
              <w:t>项</w:t>
              <w:tab/>
            </w:r>
            <w:r>
              <w:rPr>
                <w:rFonts w:ascii="Times New Roman" w:eastAsia="Times New Roman"/>
              </w:rPr>
              <w:t>9</w:t>
            </w:r>
          </w:hyperlink>
        </w:p>
        <w:p>
          <w:pPr>
            <w:pStyle w:val="TOC2"/>
            <w:tabs>
              <w:tab w:pos="1742" w:val="left" w:leader="none"/>
              <w:tab w:pos="10017" w:val="right" w:leader="dot"/>
            </w:tabs>
            <w:spacing w:before="42"/>
            <w:rPr>
              <w:rFonts w:ascii="Times New Roman" w:eastAsia="Times New Roman"/>
            </w:rPr>
          </w:pPr>
          <w:hyperlink w:history="true" w:anchor="_bookmark29">
            <w:r>
              <w:rPr/>
              <w:t>第二十四条</w:t>
              <w:tab/>
              <w:t>明确说明与如实告知</w:t>
              <w:tab/>
            </w:r>
            <w:r>
              <w:rPr>
                <w:rFonts w:ascii="Times New Roman" w:eastAsia="Times New Roman"/>
              </w:rPr>
              <w:t>10</w:t>
            </w:r>
          </w:hyperlink>
        </w:p>
        <w:p>
          <w:pPr>
            <w:pStyle w:val="TOC2"/>
            <w:tabs>
              <w:tab w:pos="1742" w:val="left" w:leader="none"/>
              <w:tab w:pos="10017" w:val="right" w:leader="dot"/>
            </w:tabs>
            <w:spacing w:before="63"/>
            <w:rPr>
              <w:rFonts w:ascii="Times New Roman" w:eastAsia="Times New Roman"/>
            </w:rPr>
          </w:pPr>
          <w:hyperlink w:history="true" w:anchor="_bookmark30">
            <w:r>
              <w:rPr/>
              <w:t>第二十五条</w:t>
              <w:tab/>
              <w:t>我们合同解除权的限制</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1">
            <w:r>
              <w:rPr/>
              <w:t>第二十六条</w:t>
              <w:tab/>
              <w:t>年龄错误</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2">
            <w:r>
              <w:rPr/>
              <w:t>第二十七条</w:t>
              <w:tab/>
              <w:t>性别错误</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3">
            <w:r>
              <w:rPr/>
              <w:t>第二十八条</w:t>
              <w:tab/>
              <w:t>未还款项</w:t>
              <w:tab/>
            </w:r>
            <w:r>
              <w:rPr>
                <w:rFonts w:ascii="Times New Roman" w:eastAsia="Times New Roman"/>
              </w:rPr>
              <w:t>10</w:t>
            </w:r>
          </w:hyperlink>
        </w:p>
        <w:p>
          <w:pPr>
            <w:pStyle w:val="TOC2"/>
            <w:tabs>
              <w:tab w:pos="1742" w:val="left" w:leader="none"/>
              <w:tab w:pos="10009" w:val="right" w:leader="dot"/>
            </w:tabs>
            <w:rPr>
              <w:rFonts w:ascii="Times New Roman" w:eastAsia="Times New Roman"/>
            </w:rPr>
          </w:pPr>
          <w:hyperlink w:history="true" w:anchor="_bookmark34">
            <w:r>
              <w:rPr/>
              <w:t>第二十九条</w:t>
              <w:tab/>
              <w:t>保险合同的终止</w:t>
              <w:tab/>
            </w:r>
            <w:r>
              <w:rPr>
                <w:rFonts w:ascii="Times New Roman" w:eastAsia="Times New Roman"/>
                <w:spacing w:val="-6"/>
              </w:rPr>
              <w:t>11</w:t>
            </w:r>
          </w:hyperlink>
        </w:p>
        <w:p>
          <w:pPr>
            <w:pStyle w:val="TOC2"/>
            <w:tabs>
              <w:tab w:pos="1742" w:val="left" w:leader="none"/>
              <w:tab w:pos="10009" w:val="right" w:leader="dot"/>
            </w:tabs>
            <w:rPr>
              <w:rFonts w:ascii="Times New Roman" w:eastAsia="Times New Roman"/>
            </w:rPr>
          </w:pPr>
          <w:hyperlink w:history="true" w:anchor="_bookmark35">
            <w:r>
              <w:rPr/>
              <w:t>第三十条</w:t>
              <w:tab/>
              <w:t>联系方式的变更</w:t>
              <w:tab/>
            </w:r>
            <w:r>
              <w:rPr>
                <w:rFonts w:ascii="Times New Roman" w:eastAsia="Times New Roman"/>
                <w:spacing w:val="-6"/>
              </w:rPr>
              <w:t>11</w:t>
            </w:r>
          </w:hyperlink>
        </w:p>
        <w:p>
          <w:pPr>
            <w:pStyle w:val="TOC2"/>
            <w:tabs>
              <w:tab w:pos="1742" w:val="left" w:leader="none"/>
              <w:tab w:pos="10009" w:val="right" w:leader="dot"/>
            </w:tabs>
            <w:rPr>
              <w:rFonts w:ascii="Times New Roman" w:eastAsia="Times New Roman"/>
            </w:rPr>
          </w:pPr>
          <w:hyperlink w:history="true" w:anchor="_bookmark36">
            <w:r>
              <w:rPr/>
              <w:t>第三十一条</w:t>
              <w:tab/>
              <w:t>争议处理</w:t>
              <w:tab/>
            </w:r>
            <w:r>
              <w:rPr>
                <w:rFonts w:ascii="Times New Roman" w:eastAsia="Times New Roman"/>
                <w:spacing w:val="-6"/>
              </w:rPr>
              <w:t>11</w:t>
            </w:r>
          </w:hyperlink>
        </w:p>
        <w:p>
          <w:pPr>
            <w:pStyle w:val="TOC2"/>
            <w:tabs>
              <w:tab w:pos="1742" w:val="left" w:leader="none"/>
              <w:tab w:pos="10009" w:val="right" w:leader="dot"/>
            </w:tabs>
            <w:rPr>
              <w:rFonts w:ascii="Times New Roman" w:eastAsia="Times New Roman"/>
            </w:rPr>
          </w:pPr>
          <w:hyperlink w:history="true" w:anchor="_bookmark37">
            <w:r>
              <w:rPr/>
              <w:t>第三十二条</w:t>
              <w:tab/>
              <w:t>特定疾病的种类及定义</w:t>
              <w:tab/>
            </w:r>
            <w:r>
              <w:rPr>
                <w:rFonts w:ascii="Times New Roman" w:eastAsia="Times New Roman"/>
                <w:spacing w:val="-6"/>
              </w:rPr>
              <w:t>11</w:t>
            </w:r>
          </w:hyperlink>
        </w:p>
        <w:p>
          <w:pPr>
            <w:pStyle w:val="TOC2"/>
            <w:tabs>
              <w:tab w:pos="1742" w:val="left" w:leader="none"/>
              <w:tab w:pos="10017" w:val="right" w:leader="dot"/>
            </w:tabs>
            <w:rPr>
              <w:rFonts w:ascii="Times New Roman" w:eastAsia="Times New Roman"/>
            </w:rPr>
          </w:pPr>
          <w:hyperlink w:history="true" w:anchor="_bookmark38">
            <w:r>
              <w:rPr/>
              <w:t>第三十三条</w:t>
              <w:tab/>
              <w:t>重大疾病的种类、定义及所属组别</w:t>
              <w:tab/>
            </w:r>
            <w:r>
              <w:rPr>
                <w:rFonts w:ascii="Times New Roman" w:eastAsia="Times New Roman"/>
              </w:rPr>
              <w:t>18</w:t>
            </w:r>
          </w:hyperlink>
        </w:p>
      </w:sdtContent>
    </w:sdt>
    <w:p>
      <w:pPr>
        <w:spacing w:after="0"/>
        <w:rPr>
          <w:rFonts w:ascii="Times New Roman" w:eastAsia="Times New Roman"/>
        </w:rPr>
        <w:sectPr>
          <w:footerReference w:type="default" r:id="rId8"/>
          <w:pgSz w:w="11910" w:h="16160"/>
          <w:pgMar w:footer="671" w:header="0" w:top="1520" w:bottom="86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right="1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r>
      <w:r>
        <w:rPr>
          <w:spacing w:val="-1"/>
        </w:rPr>
        <w:t>投</w:t>
      </w:r>
      <w:r>
        <w:rPr/>
        <w:t>保范围</w:t>
      </w:r>
    </w:p>
    <w:p>
      <w:pPr>
        <w:pStyle w:val="BodyText"/>
        <w:spacing w:before="37"/>
        <w:ind w:left="538"/>
      </w:pPr>
      <w:r>
        <w:rPr/>
        <w:t>本合同接受的被保险人的投保年龄为出生满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before="36"/>
        <w:ind w:left="538"/>
      </w:pPr>
      <w:r>
        <w:rPr/>
        <w:t>本合同的保险期间为终身，自本合同生效日零时起至被保险人身故时止，并在保险单上载明。</w:t>
      </w:r>
    </w:p>
    <w:p>
      <w:pPr>
        <w:pStyle w:val="BodyText"/>
        <w:spacing w:before="6"/>
        <w:ind w:left="0"/>
        <w:rPr>
          <w:sz w:val="24"/>
        </w:rPr>
      </w:pPr>
    </w:p>
    <w:p>
      <w:pPr>
        <w:pStyle w:val="Heading1"/>
        <w:tabs>
          <w:tab w:pos="1418" w:val="left" w:leader="none"/>
        </w:tabs>
        <w:ind w:right="3"/>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line="273" w:lineRule="auto" w:before="37"/>
        <w:ind w:right="120" w:firstLine="420"/>
      </w:pPr>
      <w:r>
        <w:rPr/>
        <w:t>本合同的基本保险金额在投保时由您和我们约定，并在保险单或批注上列明。如果该金额发生变更，则以变更后的金额为基本保险金额。</w:t>
      </w:r>
    </w:p>
    <w:p>
      <w:pPr>
        <w:pStyle w:val="BodyText"/>
        <w:spacing w:before="5"/>
        <w:ind w:left="0"/>
        <w:rPr>
          <w:sz w:val="24"/>
        </w:rPr>
      </w:pPr>
    </w:p>
    <w:p>
      <w:pPr>
        <w:pStyle w:val="Heading2"/>
        <w:tabs>
          <w:tab w:pos="957" w:val="left" w:leader="none"/>
        </w:tabs>
        <w:spacing w:before="1"/>
      </w:pPr>
      <w:bookmarkStart w:name="_bookmark7" w:id="8"/>
      <w:bookmarkEnd w:id="8"/>
      <w:r>
        <w:rPr>
          <w:b w:val="0"/>
        </w:rPr>
      </w:r>
      <w:r>
        <w:rPr/>
        <w:t>第六条</w:t>
        <w:tab/>
        <w:t>等待期</w:t>
      </w:r>
    </w:p>
    <w:p>
      <w:pPr>
        <w:pStyle w:val="BodyText"/>
        <w:spacing w:line="256" w:lineRule="auto" w:before="37"/>
        <w:ind w:right="117" w:firstLine="420"/>
      </w:pPr>
      <w:r>
        <w:rPr>
          <w:spacing w:val="-6"/>
        </w:rPr>
        <w:t>自本合同生效日零时起 </w:t>
      </w:r>
      <w:r>
        <w:rPr>
          <w:rFonts w:ascii="Times New Roman" w:eastAsia="Times New Roman"/>
        </w:rPr>
        <w:t>90 </w:t>
      </w:r>
      <w:r>
        <w:rPr>
          <w:spacing w:val="-9"/>
        </w:rPr>
        <w:t>日为等待期。如果本合同曾一次或多次恢复效力，则自每次合同效力恢复之日</w:t>
      </w:r>
      <w:r>
        <w:rPr>
          <w:spacing w:val="-19"/>
        </w:rPr>
        <w:t>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1828"/>
      </w:pPr>
      <w:r>
        <w:rPr/>
        <w:t>在本合同保险期间内且本合同有效，我们按照下列约定承担给付相应保险金的责任： 一、重大疾病保险金</w:t>
      </w:r>
    </w:p>
    <w:p>
      <w:pPr>
        <w:pStyle w:val="BodyText"/>
        <w:spacing w:before="7"/>
        <w:ind w:left="538"/>
      </w:pPr>
      <w:r>
        <w:rPr/>
        <w:t>（一）第一次重大疾病保险金</w:t>
      </w:r>
    </w:p>
    <w:p>
      <w:pPr>
        <w:pStyle w:val="ListParagraph"/>
        <w:numPr>
          <w:ilvl w:val="0"/>
          <w:numId w:val="2"/>
        </w:numPr>
        <w:tabs>
          <w:tab w:pos="803" w:val="left" w:leader="none"/>
        </w:tabs>
        <w:spacing w:line="240" w:lineRule="auto" w:before="37" w:after="0"/>
        <w:ind w:left="117" w:right="0" w:firstLine="421"/>
        <w:jc w:val="left"/>
        <w:rPr>
          <w:b/>
          <w:sz w:val="21"/>
        </w:rPr>
      </w:pPr>
      <w:r>
        <w:rPr>
          <w:spacing w:val="-1"/>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pacing w:val="-2"/>
          <w:sz w:val="21"/>
          <w:vertAlign w:val="baseline"/>
        </w:rPr>
        <w:t>或等待期后因意外伤害事故以外的原因导致被保险人经</w:t>
      </w:r>
      <w:r>
        <w:rPr>
          <w:b/>
          <w:sz w:val="21"/>
          <w:vertAlign w:val="baseline"/>
        </w:rPr>
        <w:t>医院</w:t>
      </w:r>
      <w:r>
        <w:rPr>
          <w:rFonts w:ascii="Times New Roman" w:eastAsia="Times New Roman"/>
          <w:b/>
          <w:sz w:val="21"/>
          <w:vertAlign w:val="superscript"/>
        </w:rPr>
        <w:t>5</w:t>
      </w:r>
      <w:r>
        <w:rPr>
          <w:rFonts w:ascii="Times New Roman" w:eastAsia="Times New Roman"/>
          <w:b/>
          <w:sz w:val="21"/>
          <w:vertAlign w:val="baseline"/>
        </w:rPr>
      </w:r>
      <w:r>
        <w:rPr>
          <w:b/>
          <w:sz w:val="21"/>
          <w:vertAlign w:val="baseline"/>
        </w:rPr>
        <w:t>初次确诊</w:t>
      </w:r>
    </w:p>
    <w:p>
      <w:pPr>
        <w:pStyle w:val="BodyText"/>
        <w:spacing w:before="21"/>
      </w:pPr>
      <w:r>
        <w:rPr>
          <w:rFonts w:ascii="Times New Roman" w:eastAsia="Times New Roman"/>
          <w:b/>
          <w:position w:val="10"/>
          <w:sz w:val="14"/>
        </w:rPr>
        <w:t>6</w:t>
      </w:r>
      <w:r>
        <w:rPr/>
        <w:t>患上一种或多种本合同第三十三条所定义的重大疾病，我们按本合同的基本保险金额给付第一次重大疾病保</w:t>
      </w:r>
    </w:p>
    <w:p>
      <w:pPr>
        <w:pStyle w:val="BodyText"/>
        <w:spacing w:before="4"/>
        <w:ind w:left="0"/>
        <w:rPr>
          <w:sz w:val="12"/>
        </w:rPr>
      </w:pPr>
      <w:r>
        <w:rPr/>
        <w:pict>
          <v:line style="position:absolute;mso-position-horizontal-relative:page;mso-position-vertical-relative:paragraph;z-index:1096;mso-wrap-distance-left:0;mso-wrap-distance-right:0" from="53.880001pt,10.262373pt" to="197.930001pt,10.262373pt" stroked="true" strokeweight=".47998pt" strokecolor="#000000">
            <v:stroke dashstyle="solid"/>
            <w10:wrap type="topAndBottom"/>
          </v:line>
        </w:pict>
      </w:r>
    </w:p>
    <w:p>
      <w:pPr>
        <w:pStyle w:val="BodyText"/>
        <w:spacing w:line="274" w:lineRule="exact" w:before="35"/>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rPr>
          <w:rFonts w:ascii="楷体" w:eastAsia="楷体" w:hint="eastAsia"/>
        </w:rPr>
      </w:pPr>
      <w:r>
        <w:rPr>
          <w:rFonts w:ascii="楷体" w:eastAsia="楷体" w:hint="eastAsia"/>
        </w:rPr>
        <w:t>之日起为零周岁，每经过一年增加一岁，不足一年的不计。</w:t>
      </w:r>
    </w:p>
    <w:p>
      <w:pPr>
        <w:pStyle w:val="BodyText"/>
        <w:spacing w:line="271" w:lineRule="exact"/>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指在本合同交费期限内，保险单或批注上列明的合同生效日在每月、每季、每半年或每</w:t>
      </w:r>
    </w:p>
    <w:p>
      <w:pPr>
        <w:pStyle w:val="BodyText"/>
        <w:spacing w:line="272" w:lineRule="exact"/>
        <w:rPr>
          <w:rFonts w:ascii="楷体" w:eastAsia="楷体" w:hint="eastAsia"/>
        </w:rPr>
      </w:pPr>
      <w:r>
        <w:rPr>
          <w:rFonts w:ascii="楷体" w:eastAsia="楷体" w:hint="eastAsia"/>
        </w:rPr>
        <w:t>年（根据交费方式确定）的对应日。如果当月无对应的同一日，则以该月最后一日作为对应日。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rPr>
          <w:rFonts w:ascii="楷体" w:eastAsia="楷体" w:hint="eastAsia"/>
        </w:rPr>
      </w:pPr>
      <w:r>
        <w:rPr>
          <w:rFonts w:ascii="Times New Roman" w:eastAsia="Times New Roman"/>
          <w:position w:val="10"/>
          <w:sz w:val="14"/>
        </w:rPr>
        <w:t>5</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4" w:lineRule="exact"/>
        <w:rPr>
          <w:rFonts w:ascii="楷体" w:eastAsia="楷体" w:hint="eastAsia"/>
        </w:rPr>
      </w:pPr>
      <w:r>
        <w:rPr>
          <w:rFonts w:ascii="Times New Roman" w:eastAsia="Times New Roman"/>
          <w:position w:val="8"/>
          <w:sz w:val="12"/>
        </w:rPr>
        <w:t>6</w:t>
      </w:r>
      <w:r>
        <w:rPr>
          <w:rFonts w:ascii="楷体" w:eastAsia="楷体" w:hint="eastAsia"/>
          <w:b/>
        </w:rPr>
        <w:t>初次确诊：</w:t>
      </w:r>
      <w:r>
        <w:rPr>
          <w:rFonts w:ascii="楷体" w:eastAsia="楷体" w:hint="eastAsia"/>
        </w:rPr>
        <w:t>指自被保险人出生之日起第一次经医院确诊患有某种疾病，而不是指自本合同生效、复效之后第</w:t>
      </w:r>
    </w:p>
    <w:p>
      <w:pPr>
        <w:pStyle w:val="BodyText"/>
        <w:spacing w:line="273" w:lineRule="exact"/>
        <w:rPr>
          <w:rFonts w:ascii="楷体" w:eastAsia="楷体" w:hint="eastAsia"/>
        </w:rPr>
      </w:pPr>
      <w:r>
        <w:rPr>
          <w:rFonts w:ascii="楷体" w:eastAsia="楷体" w:hint="eastAsia"/>
        </w:rPr>
        <w:t>一次经医院确诊患有某种疾病。</w:t>
      </w:r>
    </w:p>
    <w:p>
      <w:pPr>
        <w:spacing w:after="0" w:line="273" w:lineRule="exact"/>
        <w:rPr>
          <w:rFonts w:ascii="楷体" w:eastAsia="楷体" w:hint="eastAsia"/>
        </w:rPr>
        <w:sectPr>
          <w:pgSz w:w="11910" w:h="16160"/>
          <w:pgMar w:header="0" w:footer="671" w:top="1520" w:bottom="880" w:left="960" w:right="800"/>
        </w:sectPr>
      </w:pPr>
    </w:p>
    <w:p>
      <w:pPr>
        <w:spacing w:before="7"/>
        <w:ind w:left="117" w:right="0" w:firstLine="0"/>
        <w:jc w:val="left"/>
        <w:rPr>
          <w:sz w:val="21"/>
        </w:rPr>
      </w:pPr>
      <w:r>
        <w:rPr>
          <w:sz w:val="21"/>
        </w:rPr>
        <w:t>险金，</w:t>
      </w:r>
      <w:r>
        <w:rPr>
          <w:b/>
          <w:sz w:val="21"/>
        </w:rPr>
        <w:t>且以一次为限</w:t>
      </w:r>
      <w:r>
        <w:rPr>
          <w:sz w:val="21"/>
        </w:rPr>
        <w:t>。</w:t>
      </w:r>
    </w:p>
    <w:p>
      <w:pPr>
        <w:pStyle w:val="BodyText"/>
        <w:spacing w:line="264" w:lineRule="auto" w:before="37"/>
        <w:ind w:right="217" w:firstLine="420"/>
        <w:jc w:val="both"/>
      </w:pPr>
      <w:r>
        <w:rPr>
          <w:spacing w:val="-5"/>
        </w:rPr>
        <w:t>我们给付第一次重大疾病保险金后，本合同的</w:t>
      </w:r>
      <w:r>
        <w:rPr>
          <w:b/>
          <w:spacing w:val="-2"/>
        </w:rPr>
        <w:t>现金价值</w:t>
      </w:r>
      <w:r>
        <w:rPr>
          <w:rFonts w:ascii="Times New Roman" w:eastAsia="Times New Roman"/>
          <w:b/>
          <w:vertAlign w:val="superscript"/>
        </w:rPr>
        <w:t>7</w:t>
      </w:r>
      <w:r>
        <w:rPr>
          <w:rFonts w:ascii="Times New Roman" w:eastAsia="Times New Roman"/>
          <w:b/>
          <w:vertAlign w:val="baseline"/>
        </w:rPr>
      </w:r>
      <w:r>
        <w:rPr>
          <w:spacing w:val="-6"/>
          <w:vertAlign w:val="baseline"/>
        </w:rPr>
        <w:t>降为零，同时我们将豁免本合同在第一次重大疾病确诊日后的首个保险费约定支付日至交费期满之间本合同剩余的各期保险费，但不包括第一次重大疾病确</w:t>
      </w:r>
      <w:r>
        <w:rPr>
          <w:spacing w:val="-3"/>
          <w:vertAlign w:val="baseline"/>
        </w:rPr>
        <w:t>诊日之前所欠交的保险费及利息。</w:t>
      </w:r>
    </w:p>
    <w:p>
      <w:pPr>
        <w:spacing w:before="16"/>
        <w:ind w:left="540" w:right="0" w:firstLine="0"/>
        <w:jc w:val="left"/>
        <w:rPr>
          <w:sz w:val="21"/>
        </w:rPr>
      </w:pPr>
      <w:r>
        <w:rPr>
          <w:b/>
          <w:sz w:val="21"/>
        </w:rPr>
        <w:t>自第一次重大疾病确诊日起，我们不再承担给付特定疾病保险金的责任</w:t>
      </w:r>
      <w:r>
        <w:rPr>
          <w:sz w:val="21"/>
        </w:rPr>
        <w:t>。</w:t>
      </w:r>
    </w:p>
    <w:p>
      <w:pPr>
        <w:pStyle w:val="ListParagraph"/>
        <w:numPr>
          <w:ilvl w:val="0"/>
          <w:numId w:val="2"/>
        </w:numPr>
        <w:tabs>
          <w:tab w:pos="807" w:val="left" w:leader="none"/>
        </w:tabs>
        <w:spacing w:line="264" w:lineRule="auto" w:before="37" w:after="0"/>
        <w:ind w:left="117" w:right="217" w:firstLine="421"/>
        <w:jc w:val="both"/>
        <w:rPr>
          <w:sz w:val="21"/>
        </w:rPr>
      </w:pPr>
      <w:r>
        <w:rPr>
          <w:sz w:val="21"/>
        </w:rPr>
        <w:t>如果被保险人因意外伤害事故以外的原因经医院初次确诊患上一种或多种本合同第三十三条所定义</w:t>
      </w:r>
      <w:r>
        <w:rPr>
          <w:spacing w:val="-3"/>
          <w:sz w:val="21"/>
        </w:rPr>
        <w:t>的重大疾病，并且初次确诊时间在等待期内，我们按本合同的已交保险费给付第一次重大疾病保险金，</w:t>
      </w:r>
      <w:r>
        <w:rPr>
          <w:b/>
          <w:sz w:val="21"/>
        </w:rPr>
        <w:t>同时本合同终止</w:t>
      </w:r>
      <w:r>
        <w:rPr>
          <w:sz w:val="21"/>
        </w:rPr>
        <w:t>。</w:t>
      </w:r>
    </w:p>
    <w:p>
      <w:pPr>
        <w:pStyle w:val="BodyText"/>
        <w:spacing w:before="16"/>
        <w:ind w:left="538"/>
      </w:pPr>
      <w:r>
        <w:rPr/>
        <w:t>（二）第二次重大疾病保险金</w:t>
      </w:r>
    </w:p>
    <w:p>
      <w:pPr>
        <w:pStyle w:val="BodyText"/>
        <w:spacing w:line="264" w:lineRule="auto" w:before="37"/>
        <w:ind w:right="215" w:firstLine="420"/>
        <w:jc w:val="both"/>
      </w:pPr>
      <w:r>
        <w:rPr>
          <w:spacing w:val="-4"/>
        </w:rPr>
        <w:t>我们给付第一次重大疾病保险金后，如果被保险人自第一次重大疾病确诊日起 </w:t>
      </w:r>
      <w:r>
        <w:rPr>
          <w:rFonts w:ascii="Times New Roman" w:eastAsia="Times New Roman"/>
        </w:rPr>
        <w:t>365 </w:t>
      </w:r>
      <w:r>
        <w:rPr>
          <w:spacing w:val="-3"/>
        </w:rPr>
        <w:t>日后，经医院初次确诊患上本合同第三十三条所定义的第一次重大疾病所属组别以外的其他组别中的一种或多种重大疾病，我们按本合同的基本保险金额给付第二次重大疾病保险金，</w:t>
      </w:r>
      <w:r>
        <w:rPr>
          <w:b/>
        </w:rPr>
        <w:t>且以一次为限</w:t>
      </w:r>
      <w:r>
        <w:rPr/>
        <w:t>。</w:t>
      </w:r>
    </w:p>
    <w:p>
      <w:pPr>
        <w:pStyle w:val="BodyText"/>
        <w:spacing w:before="16"/>
        <w:ind w:left="538"/>
      </w:pPr>
      <w:r>
        <w:rPr/>
        <w:t>（三）第三次重大疾病保险金</w:t>
      </w:r>
    </w:p>
    <w:p>
      <w:pPr>
        <w:pStyle w:val="BodyText"/>
        <w:spacing w:line="264" w:lineRule="auto" w:before="36"/>
        <w:ind w:right="112" w:firstLine="420"/>
        <w:jc w:val="both"/>
      </w:pPr>
      <w:r>
        <w:rPr>
          <w:spacing w:val="-4"/>
        </w:rPr>
        <w:t>我们给付第二次重大疾病保险金后，如果被保险人自第二次重大疾病确诊日起 </w:t>
      </w:r>
      <w:r>
        <w:rPr>
          <w:rFonts w:ascii="Times New Roman" w:eastAsia="Times New Roman"/>
        </w:rPr>
        <w:t>365 </w:t>
      </w:r>
      <w:r>
        <w:rPr>
          <w:spacing w:val="-3"/>
        </w:rPr>
        <w:t>日后，经医院初次确诊患上本合同第三十三条所定义的第一次重大疾病以及第二次重大疾病所属组别以外的其他组别中的一种或</w:t>
      </w:r>
      <w:r>
        <w:rPr>
          <w:spacing w:val="-8"/>
        </w:rPr>
        <w:t>多种重大疾病，我们按本合同的基本保险金额给付第三次重大疾病保险金，</w:t>
      </w:r>
      <w:r>
        <w:rPr>
          <w:b/>
          <w:spacing w:val="-5"/>
        </w:rPr>
        <w:t>且以一次为限，同时本合同终止</w:t>
      </w:r>
      <w:r>
        <w:rPr/>
        <w:t>。</w:t>
      </w:r>
    </w:p>
    <w:p>
      <w:pPr>
        <w:pStyle w:val="BodyText"/>
        <w:spacing w:before="15"/>
        <w:ind w:left="538"/>
      </w:pPr>
      <w:r>
        <w:rPr/>
        <w:t>二、特定疾病保险金</w:t>
      </w:r>
    </w:p>
    <w:p>
      <w:pPr>
        <w:pStyle w:val="ListParagraph"/>
        <w:numPr>
          <w:ilvl w:val="0"/>
          <w:numId w:val="3"/>
        </w:numPr>
        <w:tabs>
          <w:tab w:pos="807" w:val="left" w:leader="none"/>
        </w:tabs>
        <w:spacing w:line="256" w:lineRule="auto" w:before="36" w:after="0"/>
        <w:ind w:left="117" w:right="215" w:firstLine="421"/>
        <w:jc w:val="both"/>
        <w:rPr>
          <w:sz w:val="21"/>
        </w:rPr>
      </w:pPr>
      <w:r>
        <w:rPr>
          <w:sz w:val="21"/>
        </w:rPr>
        <w:t>如果被保险人因意外伤害事故或等待期后因意外伤害事故以外的原因导致被保险人经医院初次确诊</w:t>
      </w:r>
      <w:r>
        <w:rPr>
          <w:spacing w:val="-4"/>
          <w:sz w:val="21"/>
        </w:rPr>
        <w:t>患上本合同第三十二条所定义的特定疾病，我们按本合同基本保险金额的 </w:t>
      </w:r>
      <w:r>
        <w:rPr>
          <w:rFonts w:ascii="Times New Roman" w:eastAsia="Times New Roman"/>
          <w:spacing w:val="-3"/>
          <w:sz w:val="21"/>
        </w:rPr>
        <w:t>20%</w:t>
      </w:r>
      <w:r>
        <w:rPr>
          <w:spacing w:val="-3"/>
          <w:sz w:val="21"/>
        </w:rPr>
        <w:t>额外给付特定疾病保险金。</w:t>
      </w:r>
    </w:p>
    <w:p>
      <w:pPr>
        <w:spacing w:line="273" w:lineRule="auto" w:before="4"/>
        <w:ind w:left="117" w:right="215" w:firstLine="420"/>
        <w:jc w:val="both"/>
        <w:rPr>
          <w:b/>
          <w:sz w:val="21"/>
        </w:rPr>
      </w:pPr>
      <w:r>
        <w:rPr>
          <w:sz w:val="21"/>
        </w:rPr>
        <w:t>每种特定疾病</w:t>
      </w:r>
      <w:r>
        <w:rPr>
          <w:b/>
          <w:sz w:val="21"/>
        </w:rPr>
        <w:t>限给付一次</w:t>
      </w:r>
      <w:r>
        <w:rPr>
          <w:sz w:val="21"/>
        </w:rPr>
        <w:t>，给付后该种特定疾病保险金保险责任终止。不同特定疾病可以多次给付，但本合同的特定疾病保险金累计给付</w:t>
      </w:r>
      <w:r>
        <w:rPr>
          <w:b/>
          <w:sz w:val="21"/>
        </w:rPr>
        <w:t>以三次为限</w:t>
      </w:r>
      <w:r>
        <w:rPr>
          <w:sz w:val="21"/>
        </w:rPr>
        <w:t>。当累计给付的特定疾病保险金达到三次时，</w:t>
      </w:r>
      <w:r>
        <w:rPr>
          <w:b/>
          <w:sz w:val="21"/>
        </w:rPr>
        <w:t>本项责任终止， 但本合同继续有效。</w:t>
      </w:r>
    </w:p>
    <w:p>
      <w:pPr>
        <w:spacing w:line="273" w:lineRule="auto" w:before="7"/>
        <w:ind w:left="117" w:right="220" w:firstLine="422"/>
        <w:jc w:val="both"/>
        <w:rPr>
          <w:b/>
          <w:sz w:val="21"/>
        </w:rPr>
      </w:pPr>
      <w:r>
        <w:rPr>
          <w:b/>
          <w:sz w:val="21"/>
        </w:rPr>
        <w:t>如果被保险人因同一原因导致其罹患本合同第三十二条所定义的两种或者两种以上的特定疾病，我们仅按一种特定疾病给付特定疾病保险金。</w:t>
      </w:r>
    </w:p>
    <w:p>
      <w:pPr>
        <w:pStyle w:val="BodyText"/>
        <w:spacing w:line="273" w:lineRule="auto" w:before="7"/>
        <w:ind w:right="246" w:firstLine="420"/>
        <w:jc w:val="both"/>
      </w:pPr>
      <w:r>
        <w:rPr/>
        <w:t>如果被保险人符合特定疾病保险金给付条件，我们在给付第一次特定疾病保险金的同时，将豁免本合同在第一次特定疾病确诊日后的首个保险费约定支付日至交费期满之间本合同剩余的各期保险费，但不包括第一次特定疾病确诊日之前所欠交的保险费及利息。</w:t>
      </w:r>
    </w:p>
    <w:p>
      <w:pPr>
        <w:pStyle w:val="ListParagraph"/>
        <w:numPr>
          <w:ilvl w:val="0"/>
          <w:numId w:val="3"/>
        </w:numPr>
        <w:tabs>
          <w:tab w:pos="803" w:val="left" w:leader="none"/>
        </w:tabs>
        <w:spacing w:line="256" w:lineRule="auto" w:before="7" w:after="0"/>
        <w:ind w:left="117" w:right="198" w:firstLine="421"/>
        <w:jc w:val="both"/>
        <w:rPr>
          <w:b/>
          <w:sz w:val="21"/>
        </w:rPr>
      </w:pPr>
      <w:r>
        <w:rPr>
          <w:spacing w:val="-3"/>
          <w:sz w:val="21"/>
        </w:rPr>
        <w:t>如果被保险人因意外伤害事故以外的原因经医院初次确诊患上本合同第三十二条所定义的特定疾病， 并且初次确诊时间在等待期内，我们不承担本项责任，</w:t>
      </w:r>
      <w:r>
        <w:rPr>
          <w:b/>
          <w:sz w:val="21"/>
        </w:rPr>
        <w:t>同时本项责任终止。</w:t>
      </w:r>
    </w:p>
    <w:p>
      <w:pPr>
        <w:pStyle w:val="BodyText"/>
        <w:spacing w:before="22"/>
        <w:ind w:left="538"/>
      </w:pPr>
      <w:r>
        <w:rPr/>
        <w:t>三、身故保险金</w:t>
      </w:r>
    </w:p>
    <w:p>
      <w:pPr>
        <w:pStyle w:val="ListParagraph"/>
        <w:numPr>
          <w:ilvl w:val="0"/>
          <w:numId w:val="4"/>
        </w:numPr>
        <w:tabs>
          <w:tab w:pos="803" w:val="left" w:leader="none"/>
        </w:tabs>
        <w:spacing w:line="256" w:lineRule="auto" w:before="37" w:after="0"/>
        <w:ind w:left="117" w:right="217" w:firstLine="421"/>
        <w:jc w:val="both"/>
        <w:rPr>
          <w:sz w:val="21"/>
        </w:rPr>
      </w:pPr>
      <w:r>
        <w:rPr>
          <w:spacing w:val="-4"/>
          <w:sz w:val="21"/>
        </w:rPr>
        <w:t>如果被保险人因意外伤害事故或等待期后因意外伤害事故以外的原因导致身故，我们按以下方式给付</w:t>
      </w:r>
      <w:r>
        <w:rPr>
          <w:spacing w:val="-3"/>
          <w:sz w:val="21"/>
        </w:rPr>
        <w:t>身故保险金，</w:t>
      </w:r>
      <w:r>
        <w:rPr>
          <w:b/>
          <w:spacing w:val="-1"/>
          <w:sz w:val="21"/>
        </w:rPr>
        <w:t>同时本合同终止</w:t>
      </w:r>
      <w:r>
        <w:rPr>
          <w:sz w:val="21"/>
        </w:rPr>
        <w:t>。</w:t>
      </w:r>
    </w:p>
    <w:p>
      <w:pPr>
        <w:spacing w:line="256" w:lineRule="auto" w:before="22"/>
        <w:ind w:left="117" w:right="212" w:firstLine="420"/>
        <w:jc w:val="both"/>
        <w:rPr>
          <w:sz w:val="21"/>
        </w:rPr>
      </w:pPr>
      <w:r>
        <w:rPr>
          <w:sz w:val="21"/>
        </w:rPr>
        <w:t>（</w:t>
      </w:r>
      <w:r>
        <w:rPr>
          <w:rFonts w:ascii="Times New Roman" w:hAnsi="Times New Roman" w:eastAsia="Times New Roman"/>
          <w:sz w:val="21"/>
        </w:rPr>
        <w:t>1</w:t>
      </w:r>
      <w:r>
        <w:rPr>
          <w:sz w:val="21"/>
        </w:rPr>
        <w:t>）</w:t>
      </w:r>
      <w:r>
        <w:rPr>
          <w:spacing w:val="-2"/>
          <w:sz w:val="21"/>
        </w:rPr>
        <w:t>如果被保险人在 </w:t>
      </w:r>
      <w:r>
        <w:rPr>
          <w:rFonts w:ascii="Times New Roman" w:hAnsi="Times New Roman" w:eastAsia="Times New Roman"/>
          <w:sz w:val="21"/>
        </w:rPr>
        <w:t>18 </w:t>
      </w:r>
      <w:r>
        <w:rPr>
          <w:spacing w:val="-1"/>
          <w:sz w:val="21"/>
        </w:rPr>
        <w:t>周岁的</w:t>
      </w:r>
      <w:r>
        <w:rPr>
          <w:b/>
          <w:spacing w:val="-1"/>
          <w:sz w:val="21"/>
        </w:rPr>
        <w:t>保险单周年日</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pacing w:val="-3"/>
          <w:sz w:val="21"/>
          <w:vertAlign w:val="baseline"/>
        </w:rPr>
        <w:t>零时之前身故，身故保险金＝</w:t>
      </w:r>
      <w:r>
        <w:rPr>
          <w:spacing w:val="-2"/>
          <w:sz w:val="21"/>
          <w:vertAlign w:val="baseline"/>
        </w:rPr>
        <w:t>本合同的</w:t>
      </w:r>
      <w:r>
        <w:rPr>
          <w:b/>
          <w:sz w:val="21"/>
          <w:vertAlign w:val="baseline"/>
        </w:rPr>
        <w:t>标准体</w:t>
      </w:r>
      <w:r>
        <w:rPr>
          <w:rFonts w:ascii="Times New Roman" w:hAnsi="Times New Roman" w:eastAsia="Times New Roman"/>
          <w:b/>
          <w:sz w:val="21"/>
          <w:vertAlign w:val="superscript"/>
        </w:rPr>
        <w:t>9</w:t>
      </w:r>
      <w:r>
        <w:rPr>
          <w:rFonts w:ascii="Times New Roman" w:hAnsi="Times New Roman" w:eastAsia="Times New Roman"/>
          <w:b/>
          <w:sz w:val="21"/>
          <w:vertAlign w:val="baseline"/>
        </w:rPr>
      </w:r>
      <w:r>
        <w:rPr>
          <w:spacing w:val="-2"/>
          <w:sz w:val="21"/>
          <w:vertAlign w:val="baseline"/>
        </w:rPr>
        <w:t>年交保险</w:t>
      </w:r>
      <w:r>
        <w:rPr>
          <w:spacing w:val="-3"/>
          <w:sz w:val="21"/>
          <w:vertAlign w:val="baseline"/>
        </w:rPr>
        <w:t>费×被保险人身故时本合同的</w:t>
      </w:r>
      <w:r>
        <w:rPr>
          <w:b/>
          <w:spacing w:val="-1"/>
          <w:sz w:val="21"/>
          <w:vertAlign w:val="baseline"/>
        </w:rPr>
        <w:t>保单年度数</w:t>
      </w:r>
      <w:r>
        <w:rPr>
          <w:rFonts w:ascii="Times New Roman" w:hAnsi="Times New Roman" w:eastAsia="Times New Roman"/>
          <w:b/>
          <w:sz w:val="21"/>
          <w:vertAlign w:val="superscript"/>
        </w:rPr>
        <w:t>10</w:t>
      </w:r>
      <w:r>
        <w:rPr>
          <w:rFonts w:ascii="Times New Roman" w:hAnsi="Times New Roman" w:eastAsia="Times New Roman"/>
          <w:b/>
          <w:sz w:val="21"/>
          <w:vertAlign w:val="baseline"/>
        </w:rPr>
      </w:r>
      <w:r>
        <w:rPr>
          <w:sz w:val="21"/>
          <w:vertAlign w:val="baseline"/>
        </w:rPr>
        <w:t>或</w:t>
      </w:r>
      <w:r>
        <w:rPr>
          <w:b/>
          <w:spacing w:val="-1"/>
          <w:sz w:val="21"/>
          <w:vertAlign w:val="baseline"/>
        </w:rPr>
        <w:t>交费年期数</w:t>
      </w:r>
      <w:r>
        <w:rPr>
          <w:rFonts w:ascii="Times New Roman" w:hAnsi="Times New Roman" w:eastAsia="Times New Roman"/>
          <w:b/>
          <w:sz w:val="21"/>
          <w:vertAlign w:val="superscript"/>
        </w:rPr>
        <w:t>11</w:t>
      </w:r>
      <w:r>
        <w:rPr>
          <w:rFonts w:ascii="Times New Roman" w:hAnsi="Times New Roman" w:eastAsia="Times New Roman"/>
          <w:b/>
          <w:sz w:val="21"/>
          <w:vertAlign w:val="baseline"/>
        </w:rPr>
      </w:r>
      <w:r>
        <w:rPr>
          <w:sz w:val="21"/>
          <w:vertAlign w:val="baseline"/>
        </w:rPr>
        <w:t>（</w:t>
      </w:r>
      <w:r>
        <w:rPr>
          <w:spacing w:val="-3"/>
          <w:sz w:val="21"/>
          <w:vertAlign w:val="baseline"/>
        </w:rPr>
        <w:t>以较小者为准</w:t>
      </w:r>
      <w:r>
        <w:rPr>
          <w:spacing w:val="-106"/>
          <w:sz w:val="21"/>
          <w:vertAlign w:val="baseline"/>
        </w:rPr>
        <w:t>）</w:t>
      </w:r>
      <w:r>
        <w:rPr>
          <w:sz w:val="21"/>
          <w:vertAlign w:val="baseline"/>
        </w:rPr>
        <w:t>。</w:t>
      </w:r>
    </w:p>
    <w:p>
      <w:pPr>
        <w:pStyle w:val="BodyText"/>
        <w:spacing w:before="9"/>
        <w:ind w:left="0"/>
        <w:rPr>
          <w:sz w:val="27"/>
        </w:rPr>
      </w:pPr>
      <w:r>
        <w:rPr/>
        <w:pict>
          <v:line style="position:absolute;mso-position-horizontal-relative:page;mso-position-vertical-relative:paragraph;z-index:1120;mso-wrap-distance-left:0;mso-wrap-distance-right:0" from="53.880001pt,20.317039pt" to="197.930001pt,20.317039pt" stroked="true" strokeweight=".48004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7</w:t>
      </w:r>
      <w:r>
        <w:rPr>
          <w:rFonts w:ascii="楷体" w:eastAsia="楷体" w:hint="eastAsia"/>
          <w:b/>
        </w:rPr>
        <w:t>现金价值：</w:t>
      </w:r>
      <w:r>
        <w:rPr>
          <w:rFonts w:ascii="楷体" w:eastAsia="楷体" w:hint="eastAsia"/>
        </w:rPr>
        <w:t>指保险单所具有的价值，通常体现为解除合同时，根据精算原理计算的，由我们退还的那部分金</w:t>
      </w:r>
    </w:p>
    <w:p>
      <w:pPr>
        <w:pStyle w:val="BodyText"/>
        <w:ind w:right="246"/>
        <w:rPr>
          <w:rFonts w:ascii="楷体" w:eastAsia="楷体" w:hint="eastAsia"/>
        </w:rPr>
      </w:pPr>
      <w:r>
        <w:rPr>
          <w:rFonts w:ascii="楷体" w:eastAsia="楷体" w:hint="eastAsia"/>
        </w:rPr>
        <w:t>额。保单年度末本合同所具有的现金价值在保险单或批注上列明。每个保单年度中，本合同所具有的现金价值根据本合同实际经过的日数计算。</w:t>
      </w:r>
    </w:p>
    <w:p>
      <w:pPr>
        <w:pStyle w:val="BodyText"/>
        <w:spacing w:line="271" w:lineRule="exact" w:before="2"/>
        <w:rPr>
          <w:rFonts w:ascii="楷体" w:eastAsia="楷体" w:hint="eastAsia"/>
        </w:rPr>
      </w:pPr>
      <w:r>
        <w:rPr>
          <w:rFonts w:ascii="Times New Roman" w:eastAsia="Times New Roman"/>
          <w:position w:val="10"/>
          <w:sz w:val="14"/>
        </w:rPr>
        <w:t>8</w:t>
      </w:r>
      <w:r>
        <w:rPr>
          <w:rFonts w:ascii="楷体" w:eastAsia="楷体" w:hint="eastAsia"/>
          <w:b/>
        </w:rPr>
        <w:t>保险单周年日：</w:t>
      </w:r>
      <w:r>
        <w:rPr>
          <w:rFonts w:ascii="楷体" w:eastAsia="楷体" w:hint="eastAsia"/>
        </w:rPr>
        <w:t>指在本合同有效期内，每一个保单年度内本合同生效日期的对应日。如果当月无对应的同一</w:t>
      </w:r>
    </w:p>
    <w:p>
      <w:pPr>
        <w:pStyle w:val="BodyText"/>
        <w:spacing w:line="272" w:lineRule="exact"/>
        <w:rPr>
          <w:rFonts w:ascii="楷体" w:eastAsia="楷体" w:hint="eastAsia"/>
        </w:rPr>
      </w:pPr>
      <w:r>
        <w:rPr>
          <w:rFonts w:ascii="楷体" w:eastAsia="楷体" w:hint="eastAsia"/>
        </w:rPr>
        <w:t>日，则以该月最后一日为对应日。</w:t>
      </w:r>
    </w:p>
    <w:p>
      <w:pPr>
        <w:pStyle w:val="BodyText"/>
        <w:spacing w:line="272" w:lineRule="exact"/>
        <w:rPr>
          <w:rFonts w:ascii="楷体" w:eastAsia="楷体" w:hint="eastAsia"/>
        </w:rPr>
      </w:pPr>
      <w:r>
        <w:rPr>
          <w:rFonts w:ascii="Times New Roman" w:eastAsia="Times New Roman"/>
          <w:position w:val="10"/>
          <w:sz w:val="14"/>
        </w:rPr>
        <w:t>9</w:t>
      </w:r>
      <w:r>
        <w:rPr>
          <w:rFonts w:ascii="楷体" w:eastAsia="楷体" w:hint="eastAsia"/>
          <w:b/>
        </w:rPr>
        <w:t>标准体：</w:t>
      </w:r>
      <w:r>
        <w:rPr>
          <w:rFonts w:ascii="楷体" w:eastAsia="楷体" w:hint="eastAsia"/>
        </w:rPr>
        <w:t>指经保险公司授权的专业人员审核后，保险公司不用增加额外保险费或特殊限制，而同意接受投保</w:t>
      </w:r>
    </w:p>
    <w:p>
      <w:pPr>
        <w:pStyle w:val="BodyText"/>
        <w:spacing w:line="272" w:lineRule="exact"/>
        <w:rPr>
          <w:rFonts w:ascii="楷体" w:eastAsia="楷体" w:hint="eastAsia"/>
        </w:rPr>
      </w:pPr>
      <w:r>
        <w:rPr>
          <w:rFonts w:ascii="楷体" w:eastAsia="楷体" w:hint="eastAsia"/>
        </w:rPr>
        <w:t>申请的被保险人。</w:t>
      </w:r>
    </w:p>
    <w:p>
      <w:pPr>
        <w:pStyle w:val="BodyText"/>
        <w:spacing w:line="225" w:lineRule="auto" w:before="15"/>
        <w:ind w:right="215"/>
        <w:rPr>
          <w:rFonts w:ascii="Times New Roman" w:eastAsia="Times New Roman"/>
        </w:rPr>
      </w:pPr>
      <w:r>
        <w:rPr>
          <w:rFonts w:ascii="Times New Roman" w:eastAsia="Times New Roman"/>
          <w:position w:val="10"/>
          <w:sz w:val="14"/>
        </w:rPr>
        <w:t>10</w:t>
      </w:r>
      <w:r>
        <w:rPr>
          <w:rFonts w:ascii="楷体" w:eastAsia="楷体" w:hint="eastAsia"/>
          <w:b/>
          <w:spacing w:val="-4"/>
        </w:rPr>
        <w:t>保单年度数：</w:t>
      </w:r>
      <w:r>
        <w:rPr>
          <w:rFonts w:ascii="楷体" w:eastAsia="楷体" w:hint="eastAsia"/>
          <w:spacing w:val="-6"/>
        </w:rPr>
        <w:t>指保险单自承保后所处的年度数。承保后首年的保单年度数为 </w:t>
      </w:r>
      <w:r>
        <w:rPr>
          <w:rFonts w:ascii="Times New Roman" w:eastAsia="Times New Roman"/>
          <w:spacing w:val="-10"/>
        </w:rPr>
        <w:t>1</w:t>
      </w:r>
      <w:r>
        <w:rPr>
          <w:rFonts w:ascii="楷体" w:eastAsia="楷体" w:hint="eastAsia"/>
          <w:spacing w:val="-4"/>
        </w:rPr>
        <w:t>，此后每到达一个保险单周年</w:t>
      </w:r>
      <w:r>
        <w:rPr>
          <w:rFonts w:ascii="楷体" w:eastAsia="楷体" w:hint="eastAsia"/>
          <w:spacing w:val="-11"/>
        </w:rPr>
        <w:t>日，保单年度数增加 </w:t>
      </w:r>
      <w:r>
        <w:rPr>
          <w:rFonts w:ascii="Times New Roman" w:eastAsia="Times New Roman"/>
          <w:spacing w:val="-3"/>
        </w:rPr>
        <w:t>1</w:t>
      </w:r>
      <w:r>
        <w:rPr>
          <w:rFonts w:ascii="楷体" w:eastAsia="楷体" w:hint="eastAsia"/>
          <w:spacing w:val="-11"/>
        </w:rPr>
        <w:t>。例如，如果本合同生效日为 </w:t>
      </w:r>
      <w:r>
        <w:rPr>
          <w:rFonts w:ascii="Times New Roman" w:eastAsia="Times New Roman"/>
        </w:rPr>
        <w:t>2003 </w:t>
      </w:r>
      <w:r>
        <w:rPr>
          <w:rFonts w:ascii="楷体" w:eastAsia="楷体" w:hint="eastAsia"/>
          <w:spacing w:val="-27"/>
        </w:rPr>
        <w:t>年 </w:t>
      </w:r>
      <w:r>
        <w:rPr>
          <w:rFonts w:ascii="Times New Roman" w:eastAsia="Times New Roman"/>
        </w:rPr>
        <w:t>7 </w:t>
      </w:r>
      <w:r>
        <w:rPr>
          <w:rFonts w:ascii="楷体" w:eastAsia="楷体" w:hint="eastAsia"/>
          <w:spacing w:val="-27"/>
        </w:rPr>
        <w:t>月 </w:t>
      </w:r>
      <w:r>
        <w:rPr>
          <w:rFonts w:ascii="Times New Roman" w:eastAsia="Times New Roman"/>
        </w:rPr>
        <w:t>1 </w:t>
      </w:r>
      <w:r>
        <w:rPr>
          <w:rFonts w:ascii="楷体" w:eastAsia="楷体" w:hint="eastAsia"/>
          <w:spacing w:val="-19"/>
        </w:rPr>
        <w:t>日，自 </w:t>
      </w:r>
      <w:r>
        <w:rPr>
          <w:rFonts w:ascii="Times New Roman" w:eastAsia="Times New Roman"/>
        </w:rPr>
        <w:t>2003 </w:t>
      </w:r>
      <w:r>
        <w:rPr>
          <w:rFonts w:ascii="楷体" w:eastAsia="楷体" w:hint="eastAsia"/>
          <w:spacing w:val="-26"/>
        </w:rPr>
        <w:t>年 </w:t>
      </w:r>
      <w:r>
        <w:rPr>
          <w:rFonts w:ascii="Times New Roman" w:eastAsia="Times New Roman"/>
        </w:rPr>
        <w:t>7 </w:t>
      </w:r>
      <w:r>
        <w:rPr>
          <w:rFonts w:ascii="楷体" w:eastAsia="楷体" w:hint="eastAsia"/>
          <w:spacing w:val="-25"/>
        </w:rPr>
        <w:t>月 </w:t>
      </w:r>
      <w:r>
        <w:rPr>
          <w:rFonts w:ascii="Times New Roman" w:eastAsia="Times New Roman"/>
        </w:rPr>
        <w:t>1 </w:t>
      </w:r>
      <w:r>
        <w:rPr>
          <w:rFonts w:ascii="楷体" w:eastAsia="楷体" w:hint="eastAsia"/>
          <w:spacing w:val="-19"/>
        </w:rPr>
        <w:t>日至 </w:t>
      </w:r>
      <w:r>
        <w:rPr>
          <w:rFonts w:ascii="Times New Roman" w:eastAsia="Times New Roman"/>
        </w:rPr>
        <w:t>2004 </w:t>
      </w:r>
      <w:r>
        <w:rPr>
          <w:rFonts w:ascii="楷体" w:eastAsia="楷体" w:hint="eastAsia"/>
          <w:spacing w:val="-26"/>
        </w:rPr>
        <w:t>年 </w:t>
      </w:r>
      <w:r>
        <w:rPr>
          <w:rFonts w:ascii="Times New Roman" w:eastAsia="Times New Roman"/>
        </w:rPr>
        <w:t>6 </w:t>
      </w:r>
      <w:r>
        <w:rPr>
          <w:rFonts w:ascii="楷体" w:eastAsia="楷体" w:hint="eastAsia"/>
          <w:spacing w:val="-26"/>
        </w:rPr>
        <w:t>月 </w:t>
      </w:r>
      <w:r>
        <w:rPr>
          <w:rFonts w:ascii="Times New Roman" w:eastAsia="Times New Roman"/>
        </w:rPr>
        <w:t>30</w:t>
      </w:r>
    </w:p>
    <w:p>
      <w:pPr>
        <w:pStyle w:val="BodyText"/>
        <w:spacing w:line="271" w:lineRule="exact"/>
        <w:rPr>
          <w:rFonts w:ascii="楷体" w:eastAsia="楷体" w:hint="eastAsia"/>
        </w:rPr>
      </w:pPr>
      <w:r>
        <w:rPr>
          <w:rFonts w:ascii="楷体" w:eastAsia="楷体" w:hint="eastAsia"/>
          <w:spacing w:val="-9"/>
        </w:rPr>
        <w:t>日保单年度数为 </w:t>
      </w:r>
      <w:r>
        <w:rPr>
          <w:rFonts w:ascii="Times New Roman" w:eastAsia="Times New Roman"/>
          <w:spacing w:val="-14"/>
        </w:rPr>
        <w:t>1</w:t>
      </w:r>
      <w:r>
        <w:rPr>
          <w:rFonts w:ascii="楷体" w:eastAsia="楷体" w:hint="eastAsia"/>
          <w:spacing w:val="-22"/>
        </w:rPr>
        <w:t>，自 </w:t>
      </w:r>
      <w:r>
        <w:rPr>
          <w:rFonts w:ascii="Times New Roman" w:eastAsia="Times New Roman"/>
        </w:rPr>
        <w:t>2004 </w:t>
      </w:r>
      <w:r>
        <w:rPr>
          <w:rFonts w:ascii="楷体" w:eastAsia="楷体" w:hint="eastAsia"/>
          <w:spacing w:val="-25"/>
        </w:rPr>
        <w:t>年 </w:t>
      </w:r>
      <w:r>
        <w:rPr>
          <w:rFonts w:ascii="Times New Roman" w:eastAsia="Times New Roman"/>
        </w:rPr>
        <w:t>7 </w:t>
      </w:r>
      <w:r>
        <w:rPr>
          <w:rFonts w:ascii="楷体" w:eastAsia="楷体" w:hint="eastAsia"/>
          <w:spacing w:val="-25"/>
        </w:rPr>
        <w:t>月 </w:t>
      </w:r>
      <w:r>
        <w:rPr>
          <w:rFonts w:ascii="Times New Roman" w:eastAsia="Times New Roman"/>
        </w:rPr>
        <w:t>1 </w:t>
      </w:r>
      <w:r>
        <w:rPr>
          <w:rFonts w:ascii="楷体" w:eastAsia="楷体" w:hint="eastAsia"/>
          <w:spacing w:val="-18"/>
        </w:rPr>
        <w:t>日至 </w:t>
      </w:r>
      <w:r>
        <w:rPr>
          <w:rFonts w:ascii="Times New Roman" w:eastAsia="Times New Roman"/>
        </w:rPr>
        <w:t>2005 </w:t>
      </w:r>
      <w:r>
        <w:rPr>
          <w:rFonts w:ascii="楷体" w:eastAsia="楷体" w:hint="eastAsia"/>
          <w:spacing w:val="-26"/>
        </w:rPr>
        <w:t>年 </w:t>
      </w:r>
      <w:r>
        <w:rPr>
          <w:rFonts w:ascii="Times New Roman" w:eastAsia="Times New Roman"/>
        </w:rPr>
        <w:t>6 </w:t>
      </w:r>
      <w:r>
        <w:rPr>
          <w:rFonts w:ascii="楷体" w:eastAsia="楷体" w:hint="eastAsia"/>
          <w:spacing w:val="-25"/>
        </w:rPr>
        <w:t>月 </w:t>
      </w:r>
      <w:r>
        <w:rPr>
          <w:rFonts w:ascii="Times New Roman" w:eastAsia="Times New Roman"/>
        </w:rPr>
        <w:t>30 </w:t>
      </w:r>
      <w:r>
        <w:rPr>
          <w:rFonts w:ascii="楷体" w:eastAsia="楷体" w:hint="eastAsia"/>
          <w:spacing w:val="-9"/>
        </w:rPr>
        <w:t>日保单年度数为 </w:t>
      </w:r>
      <w:r>
        <w:rPr>
          <w:rFonts w:ascii="Times New Roman" w:eastAsia="Times New Roman"/>
          <w:spacing w:val="-14"/>
        </w:rPr>
        <w:t>2</w:t>
      </w:r>
      <w:r>
        <w:rPr>
          <w:rFonts w:ascii="楷体" w:eastAsia="楷体" w:hint="eastAsia"/>
          <w:spacing w:val="-4"/>
        </w:rPr>
        <w:t>，后续年度以此类推</w:t>
      </w:r>
      <w:r>
        <w:rPr>
          <w:rFonts w:ascii="楷体" w:eastAsia="楷体" w:hint="eastAsia"/>
          <w:spacing w:val="-130"/>
        </w:rPr>
        <w:t>。</w:t>
      </w:r>
      <w:r>
        <w:rPr>
          <w:rFonts w:ascii="楷体" w:eastAsia="楷体" w:hint="eastAsia"/>
          <w:spacing w:val="-3"/>
        </w:rPr>
        <w:t>（</w:t>
      </w:r>
      <w:r>
        <w:rPr>
          <w:rFonts w:ascii="楷体" w:eastAsia="楷体" w:hint="eastAsia"/>
          <w:spacing w:val="-2"/>
        </w:rPr>
        <w:t>以上示例</w:t>
      </w:r>
    </w:p>
    <w:p>
      <w:pPr>
        <w:spacing w:after="0" w:line="271" w:lineRule="exact"/>
        <w:rPr>
          <w:rFonts w:ascii="楷体" w:eastAsia="楷体" w:hint="eastAsia"/>
        </w:rPr>
        <w:sectPr>
          <w:pgSz w:w="11910" w:h="16160"/>
          <w:pgMar w:header="0" w:footer="671" w:top="1360" w:bottom="860" w:left="960" w:right="700"/>
        </w:sectPr>
      </w:pPr>
    </w:p>
    <w:p>
      <w:pPr>
        <w:pStyle w:val="BodyText"/>
        <w:spacing w:line="256" w:lineRule="auto" w:before="27"/>
        <w:ind w:right="217" w:firstLine="420"/>
        <w:rPr>
          <w:b/>
        </w:rPr>
      </w:pPr>
      <w:r>
        <w:rPr>
          <w:spacing w:val="-13"/>
        </w:rPr>
        <w:t>（</w:t>
      </w:r>
      <w:r>
        <w:rPr>
          <w:rFonts w:ascii="Times New Roman" w:eastAsia="Times New Roman"/>
          <w:spacing w:val="-13"/>
        </w:rPr>
        <w:t>2</w:t>
      </w:r>
      <w:r>
        <w:rPr>
          <w:spacing w:val="-13"/>
        </w:rPr>
        <w:t>）</w:t>
      </w:r>
      <w:r>
        <w:rPr>
          <w:spacing w:val="-8"/>
        </w:rPr>
        <w:t>如果被保险人在 </w:t>
      </w:r>
      <w:r>
        <w:rPr>
          <w:rFonts w:ascii="Times New Roman" w:eastAsia="Times New Roman"/>
        </w:rPr>
        <w:t>18 </w:t>
      </w:r>
      <w:r>
        <w:rPr>
          <w:spacing w:val="-7"/>
        </w:rPr>
        <w:t>周岁的保险单周年日零时之后身故，或被保险人投保时年龄已满 </w:t>
      </w:r>
      <w:r>
        <w:rPr>
          <w:rFonts w:ascii="Times New Roman" w:eastAsia="Times New Roman"/>
        </w:rPr>
        <w:t>18 </w:t>
      </w:r>
      <w:r>
        <w:rPr>
          <w:spacing w:val="-3"/>
        </w:rPr>
        <w:t>周岁且在本合同保险期间内身故，我们按以下三项金额中的最大者给付身故保险金</w:t>
      </w:r>
      <w:r>
        <w:rPr>
          <w:b/>
        </w:rPr>
        <w:t>：</w:t>
      </w:r>
    </w:p>
    <w:p>
      <w:pPr>
        <w:pStyle w:val="BodyText"/>
        <w:spacing w:before="22"/>
        <w:ind w:left="538"/>
      </w:pPr>
      <w:r>
        <w:rPr/>
        <w:t>①被保险人身故时本合同的基本保险金额；</w:t>
      </w:r>
    </w:p>
    <w:p>
      <w:pPr>
        <w:pStyle w:val="BodyText"/>
        <w:spacing w:before="37"/>
        <w:ind w:left="538"/>
      </w:pPr>
      <w:r>
        <w:rPr>
          <w:spacing w:val="-3"/>
          <w:w w:val="100"/>
        </w:rPr>
        <w:t>②本合同的标准体年交保险费×被保险人身故时本合同的保单年度数或交费年期数</w:t>
      </w:r>
      <w:r>
        <w:rPr>
          <w:w w:val="100"/>
        </w:rPr>
        <w:t>（</w:t>
      </w:r>
      <w:r>
        <w:rPr>
          <w:spacing w:val="-3"/>
          <w:w w:val="100"/>
        </w:rPr>
        <w:t>以较小者为准</w:t>
      </w:r>
      <w:r>
        <w:rPr>
          <w:spacing w:val="-108"/>
          <w:w w:val="100"/>
        </w:rPr>
        <w:t>）</w:t>
      </w:r>
      <w:r>
        <w:rPr>
          <w:w w:val="100"/>
        </w:rPr>
        <w:t>；</w:t>
      </w:r>
    </w:p>
    <w:p>
      <w:pPr>
        <w:pStyle w:val="BodyText"/>
        <w:spacing w:before="44"/>
        <w:ind w:left="538"/>
      </w:pPr>
      <w:r>
        <w:rPr/>
        <w:t>③被保险人身故时本合同的现金价值。</w:t>
      </w:r>
    </w:p>
    <w:p>
      <w:pPr>
        <w:pStyle w:val="BodyText"/>
        <w:spacing w:line="264" w:lineRule="auto" w:before="18"/>
        <w:ind w:right="246" w:firstLine="420"/>
      </w:pPr>
      <w:r>
        <w:rPr>
          <w:spacing w:val="-3"/>
        </w:rPr>
        <w:t>上述标准体年交保险费以被保险人身故时的交费方式为基础计算，如果为</w:t>
      </w:r>
      <w:r>
        <w:rPr>
          <w:b/>
        </w:rPr>
        <w:t>趸交</w:t>
      </w:r>
      <w:r>
        <w:rPr>
          <w:rFonts w:ascii="Times New Roman" w:eastAsia="Times New Roman"/>
          <w:b/>
          <w:vertAlign w:val="superscript"/>
        </w:rPr>
        <w:t>12</w:t>
      </w:r>
      <w:r>
        <w:rPr>
          <w:rFonts w:ascii="Times New Roman" w:eastAsia="Times New Roman"/>
          <w:b/>
          <w:vertAlign w:val="baseline"/>
        </w:rPr>
      </w:r>
      <w:r>
        <w:rPr>
          <w:spacing w:val="-3"/>
          <w:vertAlign w:val="baseline"/>
        </w:rPr>
        <w:t>则对应趸交标准体保险费率，如果为分期支付则对应年交标准体保险费率，以被保险人身故时的基本保险金额对应的标准体年交保险费率为基础，按投保时被保险人的年龄计算。</w:t>
      </w:r>
    </w:p>
    <w:p>
      <w:pPr>
        <w:pStyle w:val="ListParagraph"/>
        <w:numPr>
          <w:ilvl w:val="0"/>
          <w:numId w:val="4"/>
        </w:numPr>
        <w:tabs>
          <w:tab w:pos="803" w:val="left" w:leader="none"/>
        </w:tabs>
        <w:spacing w:line="256" w:lineRule="auto" w:before="16" w:after="0"/>
        <w:ind w:left="117" w:right="214" w:firstLine="421"/>
        <w:jc w:val="left"/>
        <w:rPr>
          <w:sz w:val="21"/>
        </w:rPr>
      </w:pPr>
      <w:r>
        <w:rPr>
          <w:spacing w:val="-4"/>
          <w:sz w:val="21"/>
        </w:rPr>
        <w:t>如果被保险人在等待期内因意外伤害事故以外的原因导致身故，我们按本合同的已交保险费给付身故</w:t>
      </w:r>
      <w:r>
        <w:rPr>
          <w:spacing w:val="-2"/>
          <w:sz w:val="21"/>
        </w:rPr>
        <w:t>保险金，</w:t>
      </w:r>
      <w:r>
        <w:rPr>
          <w:b/>
          <w:spacing w:val="-1"/>
          <w:sz w:val="21"/>
        </w:rPr>
        <w:t>同时本合同终止</w:t>
      </w:r>
      <w:r>
        <w:rPr>
          <w:sz w:val="21"/>
        </w:rPr>
        <w:t>。</w:t>
      </w:r>
    </w:p>
    <w:p>
      <w:pPr>
        <w:tabs>
          <w:tab w:pos="969" w:val="left" w:leader="none"/>
        </w:tabs>
        <w:spacing w:line="624" w:lineRule="exact" w:before="80"/>
        <w:ind w:left="117" w:right="1691" w:firstLine="422"/>
        <w:jc w:val="left"/>
        <w:rPr>
          <w:b/>
          <w:sz w:val="21"/>
        </w:rPr>
      </w:pPr>
      <w:r>
        <w:rPr>
          <w:b/>
          <w:sz w:val="21"/>
        </w:rPr>
        <w:t>我们只给付本合同</w:t>
      </w:r>
      <w:r>
        <w:rPr>
          <w:b/>
          <w:spacing w:val="-3"/>
          <w:sz w:val="21"/>
        </w:rPr>
        <w:t>保</w:t>
      </w:r>
      <w:r>
        <w:rPr>
          <w:b/>
          <w:sz w:val="21"/>
        </w:rPr>
        <w:t>险</w:t>
      </w:r>
      <w:r>
        <w:rPr>
          <w:b/>
          <w:spacing w:val="-3"/>
          <w:sz w:val="21"/>
        </w:rPr>
        <w:t>责</w:t>
      </w:r>
      <w:r>
        <w:rPr>
          <w:b/>
          <w:sz w:val="21"/>
        </w:rPr>
        <w:t>任中约定的重大疾</w:t>
      </w:r>
      <w:r>
        <w:rPr>
          <w:b/>
          <w:spacing w:val="-3"/>
          <w:sz w:val="21"/>
        </w:rPr>
        <w:t>病</w:t>
      </w:r>
      <w:r>
        <w:rPr>
          <w:b/>
          <w:sz w:val="21"/>
        </w:rPr>
        <w:t>保</w:t>
      </w:r>
      <w:r>
        <w:rPr>
          <w:b/>
          <w:spacing w:val="-3"/>
          <w:sz w:val="21"/>
        </w:rPr>
        <w:t>险</w:t>
      </w:r>
      <w:r>
        <w:rPr>
          <w:b/>
          <w:sz w:val="21"/>
        </w:rPr>
        <w:t>金及身故保险金的</w:t>
      </w:r>
      <w:r>
        <w:rPr>
          <w:b/>
          <w:spacing w:val="-3"/>
          <w:sz w:val="21"/>
        </w:rPr>
        <w:t>其</w:t>
      </w:r>
      <w:r>
        <w:rPr>
          <w:b/>
          <w:sz w:val="21"/>
        </w:rPr>
        <w:t>中</w:t>
      </w:r>
      <w:r>
        <w:rPr>
          <w:b/>
          <w:spacing w:val="-3"/>
          <w:sz w:val="21"/>
        </w:rPr>
        <w:t>一</w:t>
      </w:r>
      <w:r>
        <w:rPr>
          <w:b/>
          <w:sz w:val="21"/>
        </w:rPr>
        <w:t>项保险金。</w:t>
      </w:r>
      <w:bookmarkStart w:name="_bookmark9" w:id="10"/>
      <w:bookmarkEnd w:id="10"/>
      <w:r>
        <w:rPr>
          <w:b/>
          <w:sz w:val="21"/>
        </w:rPr>
      </w:r>
      <w:r>
        <w:rPr>
          <w:b/>
          <w:sz w:val="21"/>
        </w:rPr>
        <w:t>第八条</w:t>
        <w:tab/>
        <w:t>责任免除</w:t>
      </w:r>
    </w:p>
    <w:p>
      <w:pPr>
        <w:pStyle w:val="BodyText"/>
        <w:spacing w:line="217" w:lineRule="exact"/>
        <w:ind w:left="538"/>
        <w:rPr>
          <w:rFonts w:ascii="黑体" w:eastAsia="黑体" w:hint="eastAsia"/>
        </w:rPr>
      </w:pPr>
      <w:r>
        <w:rPr>
          <w:rFonts w:ascii="黑体" w:eastAsia="黑体" w:hint="eastAsia"/>
        </w:rPr>
        <w:t>一、因下列情形之一导致被保险人患上本合同所定义的重大疾病或特定疾病的，我们不承担给付相应保</w:t>
      </w:r>
    </w:p>
    <w:p>
      <w:pPr>
        <w:pStyle w:val="BodyText"/>
        <w:spacing w:before="37"/>
        <w:rPr>
          <w:rFonts w:ascii="黑体" w:eastAsia="黑体" w:hint="eastAsia"/>
        </w:rPr>
      </w:pPr>
      <w:r>
        <w:rPr>
          <w:rFonts w:ascii="黑体" w:eastAsia="黑体" w:hint="eastAsia"/>
        </w:rPr>
        <w:t>险金的责任：</w:t>
      </w:r>
    </w:p>
    <w:p>
      <w:pPr>
        <w:pStyle w:val="ListParagraph"/>
        <w:numPr>
          <w:ilvl w:val="0"/>
          <w:numId w:val="5"/>
        </w:numPr>
        <w:tabs>
          <w:tab w:pos="803" w:val="left" w:leader="none"/>
        </w:tabs>
        <w:spacing w:line="282" w:lineRule="exact" w:before="15"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无合法有效驾驶证驾驶</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pacing w:val="-1"/>
          <w:sz w:val="21"/>
          <w:vertAlign w:val="baseline"/>
        </w:rPr>
        <w:t>无有效行驶证</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5"/>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20</w:t>
      </w:r>
      <w:r>
        <w:rPr>
          <w:rFonts w:ascii="Times New Roman" w:eastAsia="Times New Roman"/>
          <w:b/>
          <w:sz w:val="21"/>
          <w:vertAlign w:val="baseline"/>
        </w:rPr>
      </w:r>
      <w:r>
        <w:rPr>
          <w:rFonts w:ascii="黑体" w:eastAsia="黑体" w:hint="eastAsia"/>
          <w:sz w:val="21"/>
          <w:vertAlign w:val="baseline"/>
        </w:rPr>
        <w:t>。</w:t>
      </w:r>
    </w:p>
    <w:p>
      <w:pPr>
        <w:pStyle w:val="BodyText"/>
        <w:spacing w:before="7"/>
        <w:ind w:left="0"/>
        <w:rPr>
          <w:rFonts w:ascii="黑体"/>
          <w:sz w:val="20"/>
        </w:rPr>
      </w:pPr>
      <w:r>
        <w:rPr/>
        <w:pict>
          <v:line style="position:absolute;mso-position-horizontal-relative:page;mso-position-vertical-relative:paragraph;z-index:1144;mso-wrap-distance-left:0;mso-wrap-distance-right:0" from="53.880001pt,15.638623pt" to="197.930001pt,15.638623pt" stroked="true" strokeweight=".48001pt" strokecolor="#000000">
            <v:stroke dashstyle="solid"/>
            <w10:wrap type="topAndBottom"/>
          </v:line>
        </w:pict>
      </w:r>
    </w:p>
    <w:p>
      <w:pPr>
        <w:pStyle w:val="BodyText"/>
        <w:spacing w:line="273" w:lineRule="exact" w:before="35"/>
        <w:rPr>
          <w:rFonts w:ascii="楷体" w:eastAsia="楷体" w:hint="eastAsia"/>
        </w:rPr>
      </w:pPr>
      <w:r>
        <w:rPr>
          <w:rFonts w:ascii="楷体" w:eastAsia="楷体" w:hint="eastAsia"/>
        </w:rPr>
        <w:t>仅供您辅助理解之用，实际合同生效日在保险单或批注上列明）</w:t>
      </w:r>
    </w:p>
    <w:p>
      <w:pPr>
        <w:pStyle w:val="BodyText"/>
        <w:spacing w:line="280" w:lineRule="exact"/>
        <w:rPr>
          <w:rFonts w:ascii="楷体" w:eastAsia="楷体" w:hint="eastAsia"/>
        </w:rPr>
      </w:pPr>
      <w:r>
        <w:rPr>
          <w:rFonts w:ascii="Times New Roman" w:eastAsia="Times New Roman"/>
          <w:position w:val="10"/>
          <w:sz w:val="14"/>
        </w:rPr>
        <w:t>11</w:t>
      </w:r>
      <w:r>
        <w:rPr>
          <w:rFonts w:ascii="楷体" w:eastAsia="楷体" w:hint="eastAsia"/>
          <w:b/>
        </w:rPr>
        <w:t>交费年期数：</w:t>
      </w:r>
      <w:r>
        <w:rPr>
          <w:rFonts w:ascii="楷体" w:eastAsia="楷体" w:hint="eastAsia"/>
        </w:rPr>
        <w:t>指保险单中约定的交费年期的数值。如果交费方式为趸交，则交费年期数为 </w:t>
      </w:r>
      <w:r>
        <w:rPr>
          <w:rFonts w:ascii="Times New Roman" w:eastAsia="Times New Roman"/>
        </w:rPr>
        <w:t>1</w:t>
      </w:r>
      <w:r>
        <w:rPr>
          <w:rFonts w:ascii="楷体" w:eastAsia="楷体" w:hint="eastAsia"/>
        </w:rPr>
        <w:t>。</w:t>
      </w:r>
    </w:p>
    <w:p>
      <w:pPr>
        <w:spacing w:line="264" w:lineRule="exact" w:before="0"/>
        <w:ind w:left="117" w:right="0" w:firstLine="0"/>
        <w:jc w:val="left"/>
        <w:rPr>
          <w:rFonts w:ascii="楷体" w:eastAsia="楷体" w:hint="eastAsia"/>
          <w:sz w:val="21"/>
        </w:rPr>
      </w:pPr>
      <w:r>
        <w:rPr>
          <w:rFonts w:ascii="Times New Roman" w:eastAsia="Times New Roman"/>
          <w:position w:val="10"/>
          <w:sz w:val="14"/>
        </w:rPr>
        <w:t>12</w:t>
      </w:r>
      <w:r>
        <w:rPr>
          <w:rFonts w:ascii="楷体" w:eastAsia="楷体" w:hint="eastAsia"/>
          <w:b/>
          <w:sz w:val="21"/>
        </w:rPr>
        <w:t>趸交：</w:t>
      </w:r>
      <w:r>
        <w:rPr>
          <w:rFonts w:ascii="楷体" w:eastAsia="楷体" w:hint="eastAsia"/>
          <w:sz w:val="21"/>
        </w:rPr>
        <w:t>指一次性支付保险费。</w:t>
      </w:r>
    </w:p>
    <w:p>
      <w:pPr>
        <w:pStyle w:val="BodyText"/>
        <w:spacing w:line="272" w:lineRule="exact"/>
        <w:rPr>
          <w:rFonts w:ascii="楷体" w:eastAsia="楷体" w:hint="eastAsia"/>
        </w:rPr>
      </w:pPr>
      <w:r>
        <w:rPr>
          <w:rFonts w:ascii="Times New Roman" w:eastAsia="Times New Roman"/>
          <w:position w:val="10"/>
          <w:sz w:val="14"/>
        </w:rPr>
        <w:t>13</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rPr>
        <w:t>（</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2"/>
        <w:ind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rPr>
          <w:rFonts w:ascii="楷体" w:eastAsia="楷体" w:hint="eastAsia"/>
        </w:rPr>
      </w:pPr>
      <w:r>
        <w:rPr>
          <w:rFonts w:ascii="Times New Roman" w:eastAsia="Times New Roman"/>
          <w:position w:val="10"/>
          <w:sz w:val="14"/>
        </w:rPr>
        <w:t>14</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15</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3"/>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8"/>
        <w:ind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1" w:lineRule="exact"/>
        <w:rPr>
          <w:rFonts w:ascii="楷体" w:eastAsia="楷体" w:hint="eastAsia"/>
        </w:rPr>
      </w:pPr>
      <w:r>
        <w:rPr>
          <w:rFonts w:ascii="Times New Roman" w:eastAsia="Times New Roman"/>
          <w:position w:val="10"/>
          <w:sz w:val="14"/>
        </w:rPr>
        <w:t>16</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3" w:lineRule="auto" w:before="19"/>
        <w:ind w:right="24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72" w:lineRule="exact"/>
        <w:rPr>
          <w:rFonts w:ascii="楷体" w:eastAsia="楷体" w:hint="eastAsia"/>
        </w:rPr>
      </w:pPr>
      <w:r>
        <w:rPr>
          <w:rFonts w:ascii="Times New Roman" w:eastAsia="Times New Roman"/>
          <w:position w:val="10"/>
          <w:sz w:val="14"/>
        </w:rPr>
        <w:t>17</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2" w:lineRule="exact"/>
        <w:rPr>
          <w:rFonts w:ascii="楷体" w:eastAsia="楷体" w:hint="eastAsia"/>
        </w:rPr>
      </w:pPr>
      <w:r>
        <w:rPr>
          <w:rFonts w:ascii="楷体" w:eastAsia="楷体" w:hint="eastAsia"/>
        </w:rPr>
        <w:t>的轮式车辆。</w:t>
      </w:r>
    </w:p>
    <w:p>
      <w:pPr>
        <w:pStyle w:val="BodyText"/>
        <w:spacing w:line="228" w:lineRule="auto" w:before="13"/>
        <w:ind w:right="212"/>
        <w:rPr>
          <w:rFonts w:ascii="楷体" w:eastAsia="楷体" w:hint="eastAsia"/>
        </w:rPr>
      </w:pPr>
      <w:r>
        <w:rPr>
          <w:rFonts w:ascii="Times New Roman" w:eastAsia="Times New Roman"/>
          <w:position w:val="10"/>
          <w:sz w:val="14"/>
        </w:rPr>
        <w:t>18</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rPr>
          <w:rFonts w:ascii="楷体" w:eastAsia="楷体" w:hint="eastAsia"/>
        </w:rPr>
      </w:pPr>
      <w:r>
        <w:rPr>
          <w:rFonts w:ascii="Times New Roman" w:eastAsia="Times New Roman"/>
          <w:position w:val="10"/>
          <w:sz w:val="14"/>
        </w:rPr>
        <w:t>19</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3" w:lineRule="exact"/>
        <w:rPr>
          <w:rFonts w:ascii="楷体" w:eastAsia="楷体" w:hint="eastAsia"/>
        </w:rPr>
      </w:pPr>
      <w:r>
        <w:rPr>
          <w:rFonts w:ascii="楷体" w:eastAsia="楷体" w:hint="eastAsia"/>
        </w:rPr>
        <w:t>由亲代传至后代的垂直传递的特征。</w:t>
      </w:r>
    </w:p>
    <w:p>
      <w:pPr>
        <w:spacing w:after="0" w:line="273" w:lineRule="exact"/>
        <w:rPr>
          <w:rFonts w:ascii="楷体" w:eastAsia="楷体" w:hint="eastAsia"/>
        </w:rPr>
        <w:sectPr>
          <w:footerReference w:type="default" r:id="rId9"/>
          <w:pgSz w:w="11910" w:h="16160"/>
          <w:pgMar w:footer="631" w:header="0" w:top="1340" w:bottom="820" w:left="960" w:right="700"/>
          <w:pgNumType w:start="5"/>
        </w:sectPr>
      </w:pPr>
    </w:p>
    <w:p>
      <w:pPr>
        <w:pStyle w:val="BodyText"/>
        <w:spacing w:line="256" w:lineRule="auto" w:before="27"/>
        <w:ind w:right="18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项情形导致被保险人患上本合同所定义的重大疾病的，本合同终止，您已交足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ind w:right="160"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spacing w:before="17"/>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6"/>
        </w:numPr>
        <w:tabs>
          <w:tab w:pos="803" w:val="left" w:leader="none"/>
        </w:tabs>
        <w:spacing w:line="282" w:lineRule="exact" w:before="15" w:after="0"/>
        <w:ind w:left="117" w:right="0" w:firstLine="421"/>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6"/>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6"/>
        </w:numPr>
        <w:tabs>
          <w:tab w:pos="803" w:val="left" w:leader="none"/>
        </w:tabs>
        <w:spacing w:line="225" w:lineRule="auto" w:before="7" w:after="0"/>
        <w:ind w:left="117" w:right="112" w:firstLine="421"/>
        <w:jc w:val="left"/>
        <w:rPr>
          <w:rFonts w:ascii="黑体" w:eastAsia="黑体" w:hint="eastAsia"/>
          <w:sz w:val="21"/>
        </w:rPr>
      </w:pPr>
      <w:r>
        <w:rPr>
          <w:rFonts w:ascii="黑体" w:eastAsia="黑体" w:hint="eastAsia"/>
          <w:spacing w:val="-5"/>
          <w:sz w:val="21"/>
        </w:rPr>
        <w:t>被保险人自本合同成立或者合同效力恢复之日起 </w:t>
      </w:r>
      <w:r>
        <w:rPr>
          <w:rFonts w:ascii="Times New Roman" w:eastAsia="Times New Roman"/>
          <w:sz w:val="21"/>
        </w:rPr>
        <w:t>2</w:t>
      </w:r>
      <w:r>
        <w:rPr>
          <w:rFonts w:ascii="Times New Roman" w:eastAsia="Times New Roman"/>
          <w:spacing w:val="11"/>
          <w:sz w:val="21"/>
        </w:rPr>
        <w:t> </w:t>
      </w:r>
      <w:r>
        <w:rPr>
          <w:rFonts w:ascii="黑体" w:eastAsia="黑体" w:hint="eastAsia"/>
          <w:spacing w:val="-12"/>
          <w:sz w:val="21"/>
        </w:rPr>
        <w:t>年内自杀，但被保险人自杀时为</w:t>
      </w:r>
      <w:r>
        <w:rPr>
          <w:rFonts w:ascii="黑体" w:eastAsia="黑体" w:hint="eastAsia"/>
          <w:b/>
          <w:spacing w:val="-1"/>
          <w:sz w:val="21"/>
        </w:rPr>
        <w:t>无民事行为能力人</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rFonts w:ascii="黑体" w:eastAsia="黑体" w:hint="eastAsia"/>
          <w:spacing w:val="-1"/>
          <w:sz w:val="21"/>
          <w:vertAlign w:val="baseline"/>
        </w:rPr>
        <w:t>的除外；</w:t>
      </w:r>
    </w:p>
    <w:p>
      <w:pPr>
        <w:pStyle w:val="ListParagraph"/>
        <w:numPr>
          <w:ilvl w:val="0"/>
          <w:numId w:val="6"/>
        </w:numPr>
        <w:tabs>
          <w:tab w:pos="803" w:val="left" w:leader="none"/>
        </w:tabs>
        <w:spacing w:line="279" w:lineRule="exact" w:before="0"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6"/>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6"/>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6"/>
        </w:numPr>
        <w:tabs>
          <w:tab w:pos="803" w:val="left" w:leader="none"/>
        </w:tabs>
        <w:spacing w:line="282" w:lineRule="exact" w:before="0"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2"/>
        <w:ind w:right="18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before="6"/>
        <w:ind w:left="0"/>
        <w:rPr>
          <w:rFonts w:ascii="黑体"/>
          <w:sz w:val="24"/>
        </w:rPr>
      </w:pPr>
    </w:p>
    <w:p>
      <w:pPr>
        <w:pStyle w:val="Heading1"/>
        <w:tabs>
          <w:tab w:pos="1418" w:val="left" w:leader="none"/>
        </w:tabs>
        <w:spacing w:before="1"/>
        <w:ind w:right="39"/>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本合同保险费的交费方式和交费期限由您和我们约定，并在保险单或批注上列明。</w:t>
      </w:r>
    </w:p>
    <w:p>
      <w:pPr>
        <w:pStyle w:val="BodyText"/>
        <w:spacing w:line="273" w:lineRule="auto" w:before="36"/>
        <w:ind w:right="160" w:firstLine="420"/>
      </w:pPr>
      <w:r>
        <w:rPr/>
        <w:t>您可以选择趸交或分期支付保险费。选择分期支付保险费的，您在支付了首期保险费后，应按本合同的约定在每个保险费约定支付日支付当期应支付的保险费。</w:t>
      </w:r>
    </w:p>
    <w:p>
      <w:pPr>
        <w:pStyle w:val="BodyText"/>
        <w:spacing w:before="5"/>
        <w:ind w:left="0"/>
        <w:rPr>
          <w:sz w:val="24"/>
        </w:rPr>
      </w:pPr>
    </w:p>
    <w:p>
      <w:pPr>
        <w:pStyle w:val="Heading2"/>
        <w:tabs>
          <w:tab w:pos="969" w:val="left" w:leader="none"/>
        </w:tabs>
      </w:pPr>
      <w:bookmarkStart w:name="_bookmark12" w:id="13"/>
      <w:bookmarkEnd w:id="13"/>
      <w:r>
        <w:rPr>
          <w:b w:val="0"/>
        </w:rPr>
      </w:r>
      <w:r>
        <w:rPr/>
        <w:t>第十条</w:t>
        <w:tab/>
        <w:t>宽限期</w:t>
      </w:r>
    </w:p>
    <w:p>
      <w:pPr>
        <w:pStyle w:val="BodyText"/>
        <w:spacing w:line="264" w:lineRule="auto" w:before="37"/>
        <w:ind w:right="15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22</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6"/>
        <w:ind w:left="538"/>
      </w:pPr>
      <w:r>
        <w:rPr/>
        <w:t>如果您宽限期结束之后仍未支付保险费，则本合同自宽限期满的次日零时起效力中止。</w:t>
      </w:r>
    </w:p>
    <w:p>
      <w:pPr>
        <w:pStyle w:val="BodyText"/>
        <w:spacing w:before="6"/>
        <w:ind w:left="0"/>
        <w:rPr>
          <w:sz w:val="24"/>
        </w:rPr>
      </w:pPr>
    </w:p>
    <w:p>
      <w:pPr>
        <w:pStyle w:val="Heading1"/>
        <w:tabs>
          <w:tab w:pos="1418" w:val="left" w:leader="none"/>
        </w:tabs>
        <w:spacing w:before="1"/>
        <w:ind w:right="40"/>
        <w:jc w:val="center"/>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line="273" w:lineRule="auto" w:before="36"/>
        <w:ind w:left="538" w:right="2500"/>
      </w:pPr>
      <w:r>
        <w:rPr/>
        <w:t>除另有约定外，重大疾病保险金、特定疾病保险金的受益人为被保险人本人。您或者被保险人可以指定一人或多人为身故保险金受益人。</w:t>
      </w:r>
    </w:p>
    <w:p>
      <w:pPr>
        <w:pStyle w:val="BodyText"/>
        <w:spacing w:line="273" w:lineRule="auto" w:before="8"/>
        <w:ind w:right="160" w:firstLine="420"/>
      </w:pPr>
      <w:r>
        <w:rPr/>
        <w:t>身故保险金受益人为多人时，可以确定受益顺序和受益份额；如果没有确定份额，各受益人按照相等份额享有受益权。</w:t>
      </w:r>
    </w:p>
    <w:p>
      <w:pPr>
        <w:spacing w:before="8"/>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的，可以由其监护人指定受益人。</w:t>
      </w:r>
    </w:p>
    <w:p>
      <w:pPr>
        <w:pStyle w:val="BodyText"/>
        <w:spacing w:before="4"/>
        <w:ind w:left="0"/>
        <w:rPr>
          <w:sz w:val="26"/>
        </w:rPr>
      </w:pPr>
      <w:r>
        <w:rPr/>
        <w:pict>
          <v:line style="position:absolute;mso-position-horizontal-relative:page;mso-position-vertical-relative:paragraph;z-index:1168;mso-wrap-distance-left:0;mso-wrap-distance-right:0" from="53.880001pt,19.452808pt" to="197.930001pt,19.452808pt" stroked="true" strokeweight=".47998pt" strokecolor="#000000">
            <v:stroke dashstyle="solid"/>
            <w10:wrap type="topAndBottom"/>
          </v:line>
        </w:pict>
      </w:r>
    </w:p>
    <w:p>
      <w:pPr>
        <w:spacing w:line="274" w:lineRule="exact" w:before="32"/>
        <w:ind w:left="117" w:right="0" w:firstLine="0"/>
        <w:jc w:val="left"/>
        <w:rPr>
          <w:rFonts w:ascii="楷体" w:eastAsia="楷体" w:hint="eastAsia"/>
          <w:sz w:val="21"/>
        </w:rPr>
      </w:pPr>
      <w:r>
        <w:rPr>
          <w:rFonts w:ascii="Times New Roman" w:eastAsia="Times New Roman"/>
          <w:position w:val="10"/>
          <w:sz w:val="14"/>
        </w:rPr>
        <w:t>20</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spacing w:line="264" w:lineRule="exact" w:before="0"/>
        <w:ind w:left="1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无民事行为能力人：</w:t>
      </w:r>
      <w:r>
        <w:rPr>
          <w:rFonts w:ascii="楷体" w:eastAsia="楷体" w:hint="eastAsia"/>
          <w:sz w:val="21"/>
        </w:rPr>
        <w:t>一种是指不满八周岁的未成年人，另一种是指不能辨认自己行为的自然人。（根据《中</w:t>
      </w:r>
    </w:p>
    <w:p>
      <w:pPr>
        <w:pStyle w:val="BodyText"/>
        <w:spacing w:line="272" w:lineRule="exact"/>
        <w:rPr>
          <w:rFonts w:ascii="楷体" w:eastAsia="楷体" w:hint="eastAsia"/>
        </w:rPr>
      </w:pPr>
      <w:r>
        <w:rPr>
          <w:rFonts w:ascii="楷体" w:eastAsia="楷体" w:hint="eastAsia"/>
        </w:rPr>
        <w:t>华人民共和国民法总则》第二十条及第二十一条规定）</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保险事故：</w:t>
      </w:r>
      <w:r>
        <w:rPr>
          <w:rFonts w:ascii="楷体" w:eastAsia="楷体" w:hint="eastAsia"/>
          <w:sz w:val="21"/>
        </w:rPr>
        <w:t>指本合同约定的保险责任范围内的事故。</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限制民事行为能力人：</w:t>
      </w:r>
      <w:r>
        <w:rPr>
          <w:rFonts w:ascii="楷体" w:eastAsia="楷体" w:hint="eastAsia"/>
          <w:sz w:val="21"/>
        </w:rPr>
        <w:t>一种是指八周岁以上的未成年人，另一种是指不能完全辨认自己行为的成年人。（根</w:t>
      </w:r>
    </w:p>
    <w:p>
      <w:pPr>
        <w:pStyle w:val="BodyText"/>
        <w:spacing w:line="273" w:lineRule="exact"/>
        <w:rPr>
          <w:rFonts w:ascii="楷体" w:eastAsia="楷体" w:hint="eastAsia"/>
        </w:rPr>
      </w:pPr>
      <w:r>
        <w:rPr>
          <w:rFonts w:ascii="楷体" w:eastAsia="楷体" w:hint="eastAsia"/>
        </w:rPr>
        <w:t>据《中华人民共和国民法总则》第十九条及第二十二条规定）</w:t>
      </w:r>
    </w:p>
    <w:p>
      <w:pPr>
        <w:spacing w:after="0" w:line="273" w:lineRule="exact"/>
        <w:rPr>
          <w:rFonts w:ascii="楷体" w:eastAsia="楷体" w:hint="eastAsia"/>
        </w:rPr>
        <w:sectPr>
          <w:pgSz w:w="11910" w:h="16160"/>
          <w:pgMar w:header="0" w:footer="631" w:top="1340" w:bottom="880" w:left="960" w:right="760"/>
        </w:sectPr>
      </w:pPr>
    </w:p>
    <w:p>
      <w:pPr>
        <w:pStyle w:val="BodyText"/>
        <w:spacing w:line="273" w:lineRule="auto" w:before="7"/>
        <w:ind w:right="2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right="220" w:firstLine="420"/>
      </w:pPr>
      <w:r>
        <w:rPr/>
        <w:t>被保险人身故后，有下列情形之一的，保险金作为被保险人的遗产，由我们依照《中华人民共和国继承法》的规定履行给付保险金的义务：</w:t>
      </w:r>
    </w:p>
    <w:p>
      <w:pPr>
        <w:pStyle w:val="BodyText"/>
        <w:spacing w:line="273" w:lineRule="auto" w:before="8"/>
        <w:ind w:left="538" w:right="4449"/>
      </w:pPr>
      <w:r>
        <w:rPr/>
        <w:t>一、没有指定受益人，或者受益人指定不明无法确定的； 二、受益人先于被保险人身故，没有其他受益人的；</w:t>
      </w:r>
    </w:p>
    <w:p>
      <w:pPr>
        <w:pStyle w:val="BodyText"/>
        <w:spacing w:before="8"/>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9"/>
        <w:ind w:left="0"/>
        <w:rPr>
          <w:sz w:val="26"/>
        </w:rPr>
      </w:pPr>
    </w:p>
    <w:p>
      <w:pPr>
        <w:pStyle w:val="Heading2"/>
        <w:tabs>
          <w:tab w:pos="1197" w:val="left" w:leader="none"/>
        </w:tabs>
      </w:pPr>
      <w:bookmarkStart w:name="_bookmark15" w:id="16"/>
      <w:bookmarkEnd w:id="16"/>
      <w:r>
        <w:rPr>
          <w:b w:val="0"/>
        </w:rPr>
      </w:r>
      <w:r>
        <w:rPr/>
        <w:t>第十二条</w:t>
        <w:tab/>
        <w:t>保险事故通知</w:t>
      </w:r>
    </w:p>
    <w:p>
      <w:pPr>
        <w:pStyle w:val="BodyText"/>
        <w:spacing w:before="37"/>
        <w:ind w:left="538"/>
      </w:pPr>
      <w:r>
        <w:rPr/>
        <w:t>您或受益人知道保险事故后应当在 </w:t>
      </w:r>
      <w:r>
        <w:rPr>
          <w:rFonts w:ascii="Times New Roman" w:eastAsia="Times New Roman"/>
        </w:rPr>
        <w:t>10 </w:t>
      </w:r>
      <w:r>
        <w:rPr/>
        <w:t>日内通知我们。</w:t>
      </w:r>
    </w:p>
    <w:p>
      <w:pPr>
        <w:spacing w:line="273" w:lineRule="auto" w:before="20"/>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5"/>
          <w:sz w:val="21"/>
        </w:rPr>
        <w:t>，但我们通过其他途径已经及时知道或者应当及时知道保</w:t>
      </w:r>
      <w:r>
        <w:rPr>
          <w:spacing w:val="-4"/>
          <w:sz w:val="21"/>
        </w:rPr>
        <w:t>险事故发生或者虽未及时通知但不影响我们确定保险事故的性质、原因、损失程度的除外。</w:t>
      </w:r>
    </w:p>
    <w:p>
      <w:pPr>
        <w:pStyle w:val="BodyText"/>
        <w:spacing w:before="5"/>
        <w:ind w:left="0"/>
        <w:rPr>
          <w:sz w:val="24"/>
        </w:rPr>
      </w:pPr>
    </w:p>
    <w:p>
      <w:pPr>
        <w:pStyle w:val="Heading2"/>
        <w:tabs>
          <w:tab w:pos="1197" w:val="left" w:leader="none"/>
        </w:tabs>
      </w:pPr>
      <w:bookmarkStart w:name="_bookmark16" w:id="17"/>
      <w:bookmarkEnd w:id="17"/>
      <w:r>
        <w:rPr>
          <w:b w:val="0"/>
        </w:rPr>
      </w:r>
      <w:r>
        <w:rPr/>
        <w:t>第十三条</w:t>
        <w:tab/>
        <w:t>诉讼时效</w:t>
      </w:r>
    </w:p>
    <w:p>
      <w:pPr>
        <w:pStyle w:val="BodyText"/>
        <w:spacing w:line="273" w:lineRule="auto" w:before="37"/>
        <w:ind w:right="2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61" w:lineRule="auto" w:before="15"/>
        <w:ind w:right="220" w:firstLine="420"/>
      </w:pPr>
      <w:r>
        <w:rPr/>
        <w:t>人寿保险的被保险人或者受益人向我们请求给付保险金的诉讼时效期间为五年，自其知道或者应当知道保险事故发生之日起计算。</w:t>
      </w:r>
    </w:p>
    <w:p>
      <w:pPr>
        <w:pStyle w:val="BodyText"/>
        <w:spacing w:before="10"/>
        <w:ind w:left="0"/>
        <w:rPr>
          <w:sz w:val="23"/>
        </w:rPr>
      </w:pPr>
    </w:p>
    <w:p>
      <w:pPr>
        <w:pStyle w:val="Heading2"/>
        <w:tabs>
          <w:tab w:pos="1197" w:val="left" w:leader="none"/>
        </w:tabs>
      </w:pPr>
      <w:bookmarkStart w:name="_bookmark17" w:id="18"/>
      <w:bookmarkEnd w:id="18"/>
      <w:r>
        <w:rPr>
          <w:b w:val="0"/>
        </w:rPr>
      </w:r>
      <w:r>
        <w:rPr/>
        <w:t>第十四条</w:t>
        <w:tab/>
        <w:t>保险金申请</w:t>
      </w:r>
    </w:p>
    <w:p>
      <w:pPr>
        <w:pStyle w:val="BodyText"/>
        <w:spacing w:before="36"/>
        <w:ind w:left="538"/>
      </w:pPr>
      <w:r>
        <w:rPr/>
        <w:t>一、重大疾病保险金、特定疾病保险金的申请</w:t>
      </w:r>
    </w:p>
    <w:p>
      <w:pPr>
        <w:pStyle w:val="BodyText"/>
        <w:spacing w:line="273" w:lineRule="auto" w:before="36"/>
        <w:ind w:right="109" w:firstLine="420"/>
      </w:pPr>
      <w:r>
        <w:rPr>
          <w:spacing w:val="-8"/>
        </w:rPr>
        <w:t>在申请重大疾病保险金、特定疾病保险金时，由相应保险金的受益人作为申请人填写保险金给付申请书， </w:t>
      </w:r>
      <w:r>
        <w:rPr>
          <w:spacing w:val="-5"/>
        </w:rPr>
        <w:t>并提供下列证明和资料：</w:t>
      </w:r>
    </w:p>
    <w:p>
      <w:pPr>
        <w:pStyle w:val="ListParagraph"/>
        <w:numPr>
          <w:ilvl w:val="0"/>
          <w:numId w:val="7"/>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7"/>
        </w:numPr>
        <w:tabs>
          <w:tab w:pos="803" w:val="left" w:leader="none"/>
        </w:tabs>
        <w:spacing w:line="240" w:lineRule="auto" w:before="21"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ListParagraph"/>
        <w:numPr>
          <w:ilvl w:val="0"/>
          <w:numId w:val="7"/>
        </w:numPr>
        <w:tabs>
          <w:tab w:pos="803" w:val="left" w:leader="none"/>
        </w:tabs>
        <w:spacing w:line="240" w:lineRule="auto" w:before="21"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7"/>
        </w:numPr>
        <w:tabs>
          <w:tab w:pos="803" w:val="left" w:leader="none"/>
        </w:tabs>
        <w:spacing w:line="256" w:lineRule="auto" w:before="21" w:after="0"/>
        <w:ind w:left="538" w:right="31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2"/>
        <w:ind w:right="220" w:firstLine="420"/>
      </w:pPr>
      <w:r>
        <w:rPr/>
        <w:t>在申请身故保险金时，由身故保险金的受益人作为申请人填写保险金给付申请书，并提供下列证明和资料：</w:t>
      </w:r>
    </w:p>
    <w:p>
      <w:pPr>
        <w:pStyle w:val="ListParagraph"/>
        <w:numPr>
          <w:ilvl w:val="0"/>
          <w:numId w:val="8"/>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8"/>
        </w:numPr>
        <w:tabs>
          <w:tab w:pos="803" w:val="left" w:leader="none"/>
        </w:tabs>
        <w:spacing w:line="240" w:lineRule="auto" w:before="21" w:after="0"/>
        <w:ind w:left="802" w:right="0" w:hanging="264"/>
        <w:jc w:val="left"/>
        <w:rPr>
          <w:sz w:val="21"/>
        </w:rPr>
      </w:pPr>
      <w:r>
        <w:rPr>
          <w:spacing w:val="-3"/>
          <w:sz w:val="21"/>
        </w:rPr>
        <w:t>受益人的有效身份证件；</w:t>
      </w:r>
    </w:p>
    <w:p>
      <w:pPr>
        <w:pStyle w:val="ListParagraph"/>
        <w:numPr>
          <w:ilvl w:val="0"/>
          <w:numId w:val="8"/>
        </w:numPr>
        <w:tabs>
          <w:tab w:pos="803" w:val="left" w:leader="none"/>
        </w:tabs>
        <w:spacing w:line="240" w:lineRule="auto" w:before="21" w:after="0"/>
        <w:ind w:left="802" w:right="0" w:hanging="264"/>
        <w:jc w:val="left"/>
        <w:rPr>
          <w:sz w:val="21"/>
        </w:rPr>
      </w:pPr>
      <w:r>
        <w:rPr>
          <w:spacing w:val="-3"/>
          <w:sz w:val="21"/>
        </w:rPr>
        <w:t>国务院卫生行政部门规定的医疗机构、公安机关或其他相关机构出具的被保险人的死亡证明；</w:t>
      </w:r>
    </w:p>
    <w:p>
      <w:pPr>
        <w:pStyle w:val="ListParagraph"/>
        <w:numPr>
          <w:ilvl w:val="0"/>
          <w:numId w:val="8"/>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5"/>
        <w:ind w:left="0"/>
        <w:rPr>
          <w:sz w:val="25"/>
        </w:rPr>
      </w:pPr>
    </w:p>
    <w:p>
      <w:pPr>
        <w:pStyle w:val="BodyText"/>
        <w:spacing w:line="273" w:lineRule="auto"/>
        <w:ind w:right="217" w:firstLine="420"/>
      </w:pPr>
      <w:r>
        <w:rPr/>
        <w:t>如果委托他人代为申请，除上述证明和资料外，还须提供相关保险金受益人的授权委托书、受托人有效身份证件等相关证明文件。保险金作为被保险人遗产时，还须提供可证明合法继承权的相关权利文件。受益</w:t>
      </w:r>
    </w:p>
    <w:p>
      <w:pPr>
        <w:pStyle w:val="BodyText"/>
        <w:spacing w:before="3"/>
        <w:ind w:left="0"/>
        <w:rPr>
          <w:sz w:val="29"/>
        </w:rPr>
      </w:pPr>
      <w:r>
        <w:rPr/>
        <w:pict>
          <v:line style="position:absolute;mso-position-horizontal-relative:page;mso-position-vertical-relative:paragraph;z-index:1192;mso-wrap-distance-left:0;mso-wrap-distance-right:0" from="53.880001pt,21.370253pt" to="197.930001pt,21.370253pt" stroked="true" strokeweight=".47998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24</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line="273" w:lineRule="exact"/>
        <w:rPr>
          <w:rFonts w:ascii="楷体" w:eastAsia="楷体" w:hint="eastAsia"/>
        </w:rPr>
      </w:pPr>
      <w:r>
        <w:rPr>
          <w:rFonts w:ascii="楷体" w:eastAsia="楷体" w:hint="eastAsia"/>
        </w:rPr>
        <w:t>证件。</w:t>
      </w:r>
    </w:p>
    <w:p>
      <w:pPr>
        <w:spacing w:after="0" w:line="273" w:lineRule="exact"/>
        <w:rPr>
          <w:rFonts w:ascii="楷体" w:eastAsia="楷体" w:hint="eastAsia"/>
        </w:rPr>
        <w:sectPr>
          <w:pgSz w:w="11910" w:h="16160"/>
          <w:pgMar w:header="0" w:footer="631" w:top="1360" w:bottom="880" w:left="960" w:right="700"/>
        </w:sectPr>
      </w:pPr>
    </w:p>
    <w:p>
      <w:pPr>
        <w:pStyle w:val="BodyText"/>
        <w:spacing w:line="273" w:lineRule="auto" w:before="7"/>
        <w:ind w:right="157"/>
        <w:jc w:val="both"/>
      </w:pPr>
      <w:r>
        <w:rPr/>
        <w:t>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ind w:left="0"/>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7"/>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1"/>
        <w:ind w:right="8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right="154"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7"/>
        <w:ind w:left="0"/>
        <w:rPr>
          <w:sz w:val="25"/>
        </w:rPr>
      </w:pPr>
    </w:p>
    <w:p>
      <w:pPr>
        <w:pStyle w:val="Heading2"/>
        <w:tabs>
          <w:tab w:pos="1197" w:val="left" w:leader="none"/>
        </w:tabs>
      </w:pPr>
      <w:bookmarkStart w:name="_bookmark19" w:id="20"/>
      <w:bookmarkEnd w:id="20"/>
      <w:r>
        <w:rPr>
          <w:b w:val="0"/>
        </w:rPr>
      </w:r>
      <w:r>
        <w:rPr/>
        <w:t>第十六条</w:t>
        <w:tab/>
        <w:t>司法鉴定</w:t>
      </w:r>
    </w:p>
    <w:p>
      <w:pPr>
        <w:pStyle w:val="BodyText"/>
        <w:spacing w:before="36"/>
        <w:ind w:left="538"/>
      </w:pPr>
      <w:r>
        <w:rPr/>
        <w:t>如果被保险人身故，我们有权要求司法鉴定机构对保险事故进行鉴定。</w:t>
      </w:r>
    </w:p>
    <w:p>
      <w:pPr>
        <w:pStyle w:val="BodyText"/>
        <w:spacing w:before="8"/>
        <w:ind w:left="0"/>
        <w:rPr>
          <w:sz w:val="26"/>
        </w:rPr>
      </w:pPr>
    </w:p>
    <w:p>
      <w:pPr>
        <w:pStyle w:val="Heading2"/>
        <w:tabs>
          <w:tab w:pos="1197" w:val="left" w:leader="none"/>
        </w:tabs>
      </w:pPr>
      <w:bookmarkStart w:name="_bookmark20" w:id="21"/>
      <w:bookmarkEnd w:id="21"/>
      <w:r>
        <w:rPr>
          <w:b w:val="0"/>
        </w:rPr>
      </w:r>
      <w:r>
        <w:rPr/>
        <w:t>第十七条</w:t>
        <w:tab/>
        <w:t>失踪处理</w:t>
      </w:r>
    </w:p>
    <w:p>
      <w:pPr>
        <w:pStyle w:val="BodyText"/>
        <w:spacing w:line="273" w:lineRule="auto" w:before="36"/>
        <w:ind w:right="158" w:firstLine="420"/>
        <w:jc w:val="both"/>
      </w:pPr>
      <w:r>
        <w:rPr/>
        <w:t>在本合同保险期间内且本合同有效，如果被保险人失踪，且经法院宣告死亡，申请人可以向我们申请身故保险金，我们以法院判决宣告之被保险人死亡日为被保险人死亡的日期，并且按本合同中与身故有关的约定处理。如果被保险人被宣告死亡之日在保险期间之外，但有证据证明下落不明之日在本合同有效期内，我们仍承担与身故有关的保险责任，并按合同终止日计算保险金的金额。</w:t>
      </w:r>
    </w:p>
    <w:p>
      <w:pPr>
        <w:pStyle w:val="BodyText"/>
        <w:spacing w:before="7"/>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pPr>
      <w:r>
        <w:rPr/>
        <w:t>日内，向我们退还已领取的身故保险金。退还保险金后，本合同的效力由您和我们协商处理。</w:t>
      </w:r>
    </w:p>
    <w:p>
      <w:pPr>
        <w:pStyle w:val="BodyText"/>
        <w:spacing w:before="7"/>
        <w:ind w:left="0"/>
        <w:rPr>
          <w:sz w:val="24"/>
        </w:rPr>
      </w:pPr>
    </w:p>
    <w:p>
      <w:pPr>
        <w:pStyle w:val="Heading1"/>
        <w:tabs>
          <w:tab w:pos="1418" w:val="left" w:leader="none"/>
        </w:tabs>
        <w:ind w:right="40"/>
        <w:jc w:val="center"/>
      </w:pPr>
      <w:bookmarkStart w:name="_bookmark21" w:id="22"/>
      <w:bookmarkEnd w:id="22"/>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pPr>
      <w:bookmarkStart w:name="_bookmark22" w:id="23"/>
      <w:bookmarkEnd w:id="23"/>
      <w:r>
        <w:rPr>
          <w:b w:val="0"/>
        </w:rPr>
      </w:r>
      <w:r>
        <w:rPr/>
        <w:t>第十八条</w:t>
        <w:tab/>
        <w:t>保单贷款</w:t>
      </w:r>
    </w:p>
    <w:p>
      <w:pPr>
        <w:pStyle w:val="BodyText"/>
        <w:spacing w:line="261" w:lineRule="auto" w:before="37"/>
        <w:ind w:right="100" w:firstLine="420"/>
        <w:jc w:val="both"/>
      </w:pPr>
      <w:r>
        <w:rPr>
          <w:spacing w:val="-3"/>
        </w:rPr>
        <w:t>在本合同犹豫期之后，如果本合同具有现金价值，经被保险人书面同意，您可以向我们申请保单贷款。保单贷款的最高金额不超过本合同当时所具有的</w:t>
      </w:r>
      <w:r>
        <w:rPr>
          <w:b/>
        </w:rPr>
        <w:t>现金价值净额</w:t>
      </w:r>
      <w:r>
        <w:rPr>
          <w:rFonts w:ascii="Times New Roman" w:eastAsia="Times New Roman"/>
          <w:b/>
          <w:vertAlign w:val="superscript"/>
        </w:rPr>
        <w:t>25</w:t>
      </w:r>
      <w:r>
        <w:rPr>
          <w:rFonts w:ascii="Times New Roman" w:eastAsia="Times New Roman"/>
          <w:b/>
          <w:vertAlign w:val="baseline"/>
        </w:rPr>
      </w:r>
      <w:r>
        <w:rPr>
          <w:spacing w:val="-21"/>
          <w:vertAlign w:val="baseline"/>
        </w:rPr>
        <w:t>的 </w:t>
      </w:r>
      <w:r>
        <w:rPr>
          <w:rFonts w:ascii="Times New Roman" w:eastAsia="Times New Roman"/>
          <w:vertAlign w:val="baseline"/>
        </w:rPr>
        <w:t>80</w:t>
      </w:r>
      <w:r>
        <w:rPr>
          <w:vertAlign w:val="baseline"/>
        </w:rPr>
        <w:t>％（</w:t>
      </w:r>
      <w:r>
        <w:rPr>
          <w:spacing w:val="-7"/>
          <w:vertAlign w:val="baseline"/>
        </w:rPr>
        <w:t>最低金额不得少于人民币 </w:t>
      </w:r>
      <w:r>
        <w:rPr>
          <w:rFonts w:ascii="Times New Roman" w:eastAsia="Times New Roman"/>
          <w:vertAlign w:val="baseline"/>
        </w:rPr>
        <w:t>1000</w:t>
      </w:r>
      <w:r>
        <w:rPr>
          <w:rFonts w:ascii="Times New Roman" w:eastAsia="Times New Roman"/>
          <w:spacing w:val="6"/>
          <w:vertAlign w:val="baseline"/>
        </w:rPr>
        <w:t> </w:t>
      </w:r>
      <w:r>
        <w:rPr>
          <w:vertAlign w:val="baseline"/>
        </w:rPr>
        <w:t>元， </w:t>
      </w:r>
      <w:r>
        <w:rPr>
          <w:spacing w:val="-3"/>
          <w:vertAlign w:val="baseline"/>
        </w:rPr>
        <w:t>我们将不定期调整最低贷款金额</w:t>
      </w:r>
      <w:r>
        <w:rPr>
          <w:spacing w:val="-65"/>
          <w:vertAlign w:val="baseline"/>
        </w:rPr>
        <w:t>）</w:t>
      </w:r>
      <w:r>
        <w:rPr>
          <w:spacing w:val="-12"/>
          <w:vertAlign w:val="baseline"/>
        </w:rPr>
        <w:t>，具体额度需经我们审批。每一期贷款的最长期限为 </w:t>
      </w:r>
      <w:r>
        <w:rPr>
          <w:rFonts w:ascii="Times New Roman" w:eastAsia="Times New Roman"/>
          <w:vertAlign w:val="baseline"/>
        </w:rPr>
        <w:t>6</w:t>
      </w:r>
      <w:r>
        <w:rPr>
          <w:rFonts w:ascii="Times New Roman" w:eastAsia="Times New Roman"/>
          <w:spacing w:val="12"/>
          <w:vertAlign w:val="baseline"/>
        </w:rPr>
        <w:t> </w:t>
      </w:r>
      <w:r>
        <w:rPr>
          <w:spacing w:val="-7"/>
          <w:vertAlign w:val="baseline"/>
        </w:rPr>
        <w:t>个月。保单贷款利率</w:t>
      </w:r>
      <w:r>
        <w:rPr>
          <w:spacing w:val="-5"/>
          <w:vertAlign w:val="baseline"/>
        </w:rPr>
        <w:t>按您与我们签订的贷款协议中约定的利率执行。</w:t>
      </w:r>
    </w:p>
    <w:p>
      <w:pPr>
        <w:pStyle w:val="BodyText"/>
        <w:spacing w:line="273" w:lineRule="auto" w:before="18"/>
        <w:ind w:right="159" w:firstLine="420"/>
      </w:pPr>
      <w:r>
        <w:rPr/>
        <w:t>如果您没有未偿还的保单贷款，您申请的保单贷款按我们最近一次确定的保单贷款利率每日计息，每一期贷款适用的保单贷款利率在贷款期限内固定不变。</w:t>
      </w:r>
    </w:p>
    <w:p>
      <w:pPr>
        <w:pStyle w:val="BodyText"/>
        <w:spacing w:line="273" w:lineRule="auto" w:before="7"/>
        <w:ind w:right="160"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，且本合同的现金价值净额大于零，未偿</w:t>
      </w:r>
    </w:p>
    <w:p>
      <w:pPr>
        <w:pStyle w:val="BodyText"/>
        <w:spacing w:line="256" w:lineRule="auto"/>
        <w:ind w:right="110"/>
      </w:pPr>
      <w:r>
        <w:rPr/>
        <w:t>还的保单贷款及累积利息将构成新一期的保单贷款，贷款期限为 </w:t>
      </w:r>
      <w:r>
        <w:rPr>
          <w:rFonts w:ascii="Times New Roman" w:eastAsia="Times New Roman"/>
        </w:rPr>
        <w:t>6 </w:t>
      </w:r>
      <w:r>
        <w:rPr/>
        <w:t>个月，并按我们届时执行的最新保单贷款利率计息。</w:t>
      </w:r>
    </w:p>
    <w:p>
      <w:pPr>
        <w:pStyle w:val="BodyText"/>
        <w:spacing w:before="34"/>
        <w:ind w:left="538"/>
      </w:pPr>
      <w:r>
        <w:rPr/>
        <w:t>您可以在保单贷款期满时，或保单贷款期满前偿还全部或部分的贷款及累积利息，还款将首先用于偿还</w:t>
      </w:r>
    </w:p>
    <w:p>
      <w:pPr>
        <w:pStyle w:val="BodyText"/>
        <w:spacing w:before="9"/>
        <w:ind w:left="0"/>
        <w:rPr>
          <w:sz w:val="29"/>
        </w:rPr>
      </w:pPr>
      <w:r>
        <w:rPr/>
        <w:pict>
          <v:line style="position:absolute;mso-position-horizontal-relative:page;mso-position-vertical-relative:paragraph;z-index:1216;mso-wrap-distance-left:0;mso-wrap-distance-right:0" from="53.880001pt,21.671722pt" to="197.930001pt,21.671722pt" stroked="true" strokeweight=".48004pt" strokecolor="#000000">
            <v:stroke dashstyle="solid"/>
            <w10:wrap type="topAndBottom"/>
          </v:line>
        </w:pict>
      </w:r>
    </w:p>
    <w:p>
      <w:pPr>
        <w:pStyle w:val="BodyText"/>
        <w:spacing w:before="56"/>
        <w:rPr>
          <w:rFonts w:ascii="楷体" w:eastAsia="楷体" w:hint="eastAsia"/>
        </w:rPr>
      </w:pPr>
      <w:r>
        <w:rPr>
          <w:rFonts w:ascii="Times New Roman" w:eastAsia="Times New Roman"/>
          <w:position w:val="10"/>
          <w:sz w:val="14"/>
        </w:rPr>
        <w:t>25</w:t>
      </w:r>
      <w:r>
        <w:rPr>
          <w:rFonts w:ascii="楷体" w:eastAsia="楷体" w:hint="eastAsia"/>
          <w:b/>
        </w:rPr>
        <w:t>现金价值净额：</w:t>
      </w:r>
      <w:r>
        <w:rPr>
          <w:rFonts w:ascii="楷体" w:eastAsia="楷体" w:hint="eastAsia"/>
        </w:rPr>
        <w:t>指现金价值在扣除尚未偿还的保单贷款、欠交的保险费、累积利息和其他未还款项后的余</w:t>
      </w:r>
    </w:p>
    <w:p>
      <w:pPr>
        <w:pStyle w:val="BodyText"/>
        <w:spacing w:before="36"/>
        <w:rPr>
          <w:rFonts w:ascii="楷体" w:eastAsia="楷体" w:hint="eastAsia"/>
        </w:rPr>
      </w:pPr>
      <w:r>
        <w:rPr>
          <w:rFonts w:ascii="楷体" w:eastAsia="楷体" w:hint="eastAsia"/>
        </w:rPr>
        <w:t>额。</w:t>
      </w:r>
    </w:p>
    <w:p>
      <w:pPr>
        <w:pStyle w:val="BodyText"/>
        <w:spacing w:line="273" w:lineRule="exact" w:before="15"/>
        <w:rPr>
          <w:rFonts w:ascii="楷体" w:eastAsia="楷体" w:hint="eastAsia"/>
        </w:rPr>
      </w:pPr>
      <w:r>
        <w:rPr>
          <w:rFonts w:ascii="Times New Roman" w:eastAsia="Times New Roman"/>
          <w:position w:val="10"/>
          <w:sz w:val="14"/>
        </w:rPr>
        <w:t>26</w:t>
      </w:r>
      <w:r>
        <w:rPr>
          <w:rFonts w:ascii="楷体" w:eastAsia="楷体" w:hint="eastAsia"/>
          <w:b/>
        </w:rPr>
        <w:t>累积利息：</w:t>
      </w:r>
      <w:r>
        <w:rPr>
          <w:rFonts w:ascii="楷体" w:eastAsia="楷体" w:hint="eastAsia"/>
        </w:rPr>
        <w:t>指根据我们确定的保单贷款利率计算的金额。如果本合同有欠交的保险费或保单贷款，我们将</w:t>
      </w:r>
    </w:p>
    <w:p>
      <w:pPr>
        <w:pStyle w:val="BodyText"/>
        <w:spacing w:line="273" w:lineRule="exact"/>
        <w:rPr>
          <w:rFonts w:ascii="楷体" w:eastAsia="楷体" w:hint="eastAsia"/>
        </w:rPr>
      </w:pPr>
      <w:r>
        <w:rPr>
          <w:rFonts w:ascii="楷体" w:eastAsia="楷体" w:hint="eastAsia"/>
        </w:rPr>
        <w:t>每半年复利计息一次。</w:t>
      </w:r>
    </w:p>
    <w:p>
      <w:pPr>
        <w:spacing w:after="0" w:line="273" w:lineRule="exact"/>
        <w:rPr>
          <w:rFonts w:ascii="楷体" w:eastAsia="楷体" w:hint="eastAsia"/>
        </w:rPr>
        <w:sectPr>
          <w:pgSz w:w="11910" w:h="16160"/>
          <w:pgMar w:header="0" w:footer="631" w:top="1360" w:bottom="880" w:left="960" w:right="760"/>
        </w:sectPr>
      </w:pPr>
    </w:p>
    <w:p>
      <w:pPr>
        <w:pStyle w:val="BodyText"/>
        <w:spacing w:before="7"/>
      </w:pPr>
      <w:r>
        <w:rPr/>
        <w:t>累积利息，然后用于偿还贷款本金。</w:t>
      </w:r>
    </w:p>
    <w:p>
      <w:pPr>
        <w:pStyle w:val="BodyText"/>
        <w:spacing w:line="273" w:lineRule="auto" w:before="37"/>
        <w:ind w:right="120" w:firstLine="420"/>
      </w:pPr>
      <w:r>
        <w:rPr/>
        <w:t>当本合同的现金价值净额小于或等于零时，本合同的效力中止。但因我们给付第一次重大疾病保险金导致现金价值降为零的情况除外。</w:t>
      </w:r>
    </w:p>
    <w:p>
      <w:pPr>
        <w:pStyle w:val="BodyText"/>
        <w:spacing w:before="5"/>
        <w:ind w:left="0"/>
        <w:rPr>
          <w:sz w:val="24"/>
        </w:rPr>
      </w:pPr>
    </w:p>
    <w:p>
      <w:pPr>
        <w:pStyle w:val="Heading2"/>
        <w:tabs>
          <w:tab w:pos="1197" w:val="left" w:leader="none"/>
        </w:tabs>
      </w:pPr>
      <w:bookmarkStart w:name="_bookmark23" w:id="24"/>
      <w:bookmarkEnd w:id="24"/>
      <w:r>
        <w:rPr>
          <w:b w:val="0"/>
        </w:rPr>
      </w:r>
      <w:r>
        <w:rPr/>
        <w:t>第十九条</w:t>
        <w:tab/>
        <w:t>年金转换权</w:t>
      </w:r>
    </w:p>
    <w:p>
      <w:pPr>
        <w:pStyle w:val="BodyText"/>
        <w:spacing w:line="273" w:lineRule="auto" w:before="36"/>
        <w:ind w:left="538" w:right="148"/>
      </w:pPr>
      <w:r>
        <w:rPr/>
        <w:t>您或者受益人与我们协商同意后，有权按以下方式申请订立我们当时提供的保险金转换年金保险合同： 方式一：受益人在申请本合同的保险金时，可将保险金全部或部分转换成年金。</w:t>
      </w:r>
    </w:p>
    <w:p>
      <w:pPr>
        <w:pStyle w:val="BodyText"/>
        <w:spacing w:line="256" w:lineRule="auto" w:before="7"/>
        <w:ind w:right="117" w:firstLine="420"/>
      </w:pPr>
      <w:r>
        <w:rPr>
          <w:spacing w:val="-9"/>
        </w:rPr>
        <w:t>方式二：本合同生效第 </w:t>
      </w:r>
      <w:r>
        <w:rPr>
          <w:rFonts w:ascii="Times New Roman" w:eastAsia="Times New Roman"/>
        </w:rPr>
        <w:t>20 </w:t>
      </w:r>
      <w:r>
        <w:rPr>
          <w:spacing w:val="-7"/>
        </w:rPr>
        <w:t>个保险单周年日之后，如果您申请解除本合同，或依据我们届时的相关政策进</w:t>
      </w:r>
      <w:r>
        <w:rPr/>
        <w:t>行</w:t>
      </w:r>
      <w:r>
        <w:rPr>
          <w:b/>
        </w:rPr>
        <w:t>减保</w:t>
      </w:r>
      <w:r>
        <w:rPr>
          <w:rFonts w:ascii="Times New Roman" w:eastAsia="Times New Roman"/>
          <w:b/>
          <w:vertAlign w:val="superscript"/>
        </w:rPr>
        <w:t>27</w:t>
      </w:r>
      <w:r>
        <w:rPr>
          <w:rFonts w:ascii="Times New Roman" w:eastAsia="Times New Roman"/>
          <w:b/>
          <w:vertAlign w:val="baseline"/>
        </w:rPr>
      </w:r>
      <w:r>
        <w:rPr>
          <w:spacing w:val="-3"/>
          <w:vertAlign w:val="baseline"/>
        </w:rPr>
        <w:t>，您可将我们所退还的现金价值全部或部分转换成年金。</w:t>
      </w:r>
    </w:p>
    <w:p>
      <w:pPr>
        <w:pStyle w:val="BodyText"/>
        <w:spacing w:before="4"/>
        <w:ind w:left="538"/>
      </w:pPr>
      <w:r>
        <w:rPr/>
        <w:t>申请转换的保险金、现金价值总额不得低于转换当时我们规定的最低限额。</w:t>
      </w:r>
    </w:p>
    <w:p>
      <w:pPr>
        <w:pStyle w:val="BodyText"/>
        <w:spacing w:before="8"/>
        <w:ind w:left="0"/>
        <w:rPr>
          <w:sz w:val="26"/>
        </w:rPr>
      </w:pPr>
    </w:p>
    <w:p>
      <w:pPr>
        <w:pStyle w:val="Heading2"/>
        <w:tabs>
          <w:tab w:pos="1197" w:val="left" w:leader="none"/>
        </w:tabs>
      </w:pPr>
      <w:bookmarkStart w:name="_bookmark24" w:id="25"/>
      <w:bookmarkEnd w:id="25"/>
      <w:r>
        <w:rPr>
          <w:b w:val="0"/>
        </w:rPr>
      </w:r>
      <w:r>
        <w:rPr/>
        <w:t>第二十条</w:t>
        <w:tab/>
        <w:t>合同内容的变更权</w:t>
      </w:r>
    </w:p>
    <w:p>
      <w:pPr>
        <w:pStyle w:val="BodyText"/>
        <w:spacing w:line="273" w:lineRule="auto" w:before="37"/>
        <w:ind w:right="120" w:firstLine="420"/>
      </w:pPr>
      <w:r>
        <w:rPr/>
        <w:t>您和我们协商同意后，有权变更本合同的有关内容，并由我们在保险单或保险凭证上批注，或签订合同变更的书面协议。</w:t>
      </w:r>
    </w:p>
    <w:p>
      <w:pPr>
        <w:pStyle w:val="BodyText"/>
        <w:spacing w:before="5"/>
        <w:ind w:left="0"/>
        <w:rPr>
          <w:sz w:val="24"/>
        </w:rPr>
      </w:pPr>
    </w:p>
    <w:p>
      <w:pPr>
        <w:pStyle w:val="Heading2"/>
        <w:tabs>
          <w:tab w:pos="1394" w:val="left" w:leader="none"/>
        </w:tabs>
      </w:pPr>
      <w:bookmarkStart w:name="_bookmark25" w:id="26"/>
      <w:bookmarkEnd w:id="26"/>
      <w:r>
        <w:rPr>
          <w:b w:val="0"/>
        </w:rPr>
      </w:r>
      <w:r>
        <w:rPr/>
        <w:t>第二十一条</w:t>
        <w:tab/>
        <w:t>合同效力的中止与</w:t>
      </w:r>
      <w:r>
        <w:rPr>
          <w:spacing w:val="-3"/>
        </w:rPr>
        <w:t>恢</w:t>
      </w:r>
      <w:r>
        <w:rPr/>
        <w:t>复</w:t>
      </w:r>
    </w:p>
    <w:p>
      <w:pPr>
        <w:spacing w:before="37"/>
        <w:ind w:left="538" w:right="0" w:firstLine="0"/>
        <w:jc w:val="left"/>
        <w:rPr>
          <w:b/>
          <w:sz w:val="21"/>
        </w:rPr>
      </w:pPr>
      <w:r>
        <w:rPr>
          <w:b/>
          <w:sz w:val="21"/>
        </w:rPr>
        <w:t>在本合同效力中止期间，我们不承担保险责任。</w:t>
      </w:r>
    </w:p>
    <w:p>
      <w:pPr>
        <w:spacing w:line="256" w:lineRule="auto" w:before="37"/>
        <w:ind w:left="117" w:right="115" w:firstLine="420"/>
        <w:jc w:val="left"/>
        <w:rPr>
          <w:sz w:val="21"/>
        </w:rPr>
      </w:pPr>
      <w:r>
        <w:rPr>
          <w:spacing w:val="-7"/>
          <w:sz w:val="21"/>
        </w:rPr>
        <w:t>本合同效力中止后 </w:t>
      </w:r>
      <w:r>
        <w:rPr>
          <w:rFonts w:ascii="Times New Roman" w:eastAsia="Times New Roman"/>
          <w:sz w:val="21"/>
        </w:rPr>
        <w:t>2 </w:t>
      </w:r>
      <w:r>
        <w:rPr>
          <w:spacing w:val="-11"/>
          <w:sz w:val="21"/>
        </w:rPr>
        <w:t>年内，您可以申请恢复合同效力。</w:t>
      </w:r>
      <w:r>
        <w:rPr>
          <w:b/>
          <w:spacing w:val="-9"/>
          <w:sz w:val="21"/>
        </w:rPr>
        <w:t>申请恢复合同效力时，您应履行如实告知义务</w:t>
      </w:r>
      <w:r>
        <w:rPr>
          <w:spacing w:val="-3"/>
          <w:sz w:val="21"/>
        </w:rPr>
        <w:t>（</w:t>
      </w:r>
      <w:r>
        <w:rPr>
          <w:sz w:val="21"/>
        </w:rPr>
        <w:t>有</w:t>
      </w:r>
      <w:r>
        <w:rPr>
          <w:spacing w:val="-3"/>
          <w:sz w:val="21"/>
        </w:rPr>
        <w:t>关如实告知义务的具体内容及相应责任，参见本合同第二十四条</w:t>
      </w:r>
      <w:r>
        <w:rPr>
          <w:spacing w:val="-108"/>
          <w:sz w:val="21"/>
        </w:rPr>
        <w:t>）。</w:t>
      </w:r>
    </w:p>
    <w:p>
      <w:pPr>
        <w:pStyle w:val="BodyText"/>
        <w:spacing w:line="273" w:lineRule="auto" w:before="22"/>
        <w:ind w:right="120" w:firstLine="420"/>
      </w:pPr>
      <w:r>
        <w:rPr/>
        <w:t>因欠交保险费导致合同效力中止的，经我们与您协商并达成协议，在您补交保险费及累积利息之日起， 合同效力恢复。</w:t>
      </w:r>
    </w:p>
    <w:p>
      <w:pPr>
        <w:pStyle w:val="BodyText"/>
        <w:spacing w:line="273" w:lineRule="auto" w:before="7"/>
        <w:ind w:right="120" w:firstLine="420"/>
      </w:pPr>
      <w:r>
        <w:rPr/>
        <w:t>因保单贷款导致合同效力中止的，经我们与您协商并达成协议，在您偿还保单贷款、累积利息及其他未还款项之日起，合同效力恢复。</w:t>
      </w:r>
    </w:p>
    <w:p>
      <w:pPr>
        <w:pStyle w:val="BodyText"/>
        <w:spacing w:line="256" w:lineRule="auto" w:before="7"/>
        <w:ind w:right="72"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6"/>
        <w:ind w:left="0"/>
        <w:rPr>
          <w:sz w:val="25"/>
        </w:rPr>
      </w:pPr>
    </w:p>
    <w:p>
      <w:pPr>
        <w:pStyle w:val="Heading2"/>
        <w:tabs>
          <w:tab w:pos="1394" w:val="left" w:leader="none"/>
        </w:tabs>
      </w:pPr>
      <w:bookmarkStart w:name="_bookmark26" w:id="27"/>
      <w:bookmarkEnd w:id="27"/>
      <w:r>
        <w:rPr>
          <w:b w:val="0"/>
        </w:rPr>
      </w:r>
      <w:r>
        <w:rPr/>
        <w:t>第二十二条</w:t>
        <w:tab/>
        <w:t>犹豫期</w:t>
      </w:r>
    </w:p>
    <w:p>
      <w:pPr>
        <w:pStyle w:val="BodyText"/>
        <w:spacing w:before="36"/>
        <w:ind w:left="538"/>
      </w:pPr>
      <w:r>
        <w:rPr/>
        <w:t>您在收到本合同并签收之日起可享有 </w:t>
      </w:r>
      <w:r>
        <w:rPr>
          <w:rFonts w:ascii="Times New Roman" w:eastAsia="Times New Roman"/>
        </w:rPr>
        <w:t>10 </w:t>
      </w:r>
      <w:r>
        <w:rPr/>
        <w:t>日的犹豫期，在犹豫期内要求解除本合同的，在我们收齐相关文</w:t>
      </w:r>
    </w:p>
    <w:p>
      <w:pPr>
        <w:pStyle w:val="BodyText"/>
        <w:spacing w:line="256" w:lineRule="auto" w:before="20"/>
        <w:ind w:right="115"/>
      </w:pPr>
      <w:r>
        <w:rPr>
          <w:spacing w:val="-6"/>
        </w:rPr>
        <w:t>件和资料的次日零时，本合同即被解除，</w:t>
      </w:r>
      <w:r>
        <w:rPr>
          <w:b/>
        </w:rPr>
        <w:t>我们自始不承担保险责任</w:t>
      </w:r>
      <w:r>
        <w:rPr>
          <w:spacing w:val="-11"/>
        </w:rPr>
        <w:t>。我们在扣除 </w:t>
      </w:r>
      <w:r>
        <w:rPr>
          <w:rFonts w:ascii="Times New Roman" w:eastAsia="Times New Roman"/>
        </w:rPr>
        <w:t>10 </w:t>
      </w:r>
      <w:r>
        <w:rPr>
          <w:spacing w:val="-6"/>
        </w:rPr>
        <w:t>元工本费后，无息退还已</w:t>
      </w:r>
      <w:r>
        <w:rPr>
          <w:spacing w:val="-4"/>
        </w:rPr>
        <w:t>交保险费。</w:t>
      </w:r>
    </w:p>
    <w:p>
      <w:pPr>
        <w:pStyle w:val="BodyText"/>
        <w:spacing w:before="6"/>
        <w:ind w:left="0"/>
        <w:rPr>
          <w:sz w:val="25"/>
        </w:rPr>
      </w:pPr>
    </w:p>
    <w:p>
      <w:pPr>
        <w:pStyle w:val="Heading2"/>
        <w:tabs>
          <w:tab w:pos="1394" w:val="left" w:leader="none"/>
        </w:tabs>
      </w:pPr>
      <w:bookmarkStart w:name="_bookmark27" w:id="28"/>
      <w:bookmarkEnd w:id="28"/>
      <w:r>
        <w:rPr>
          <w:b w:val="0"/>
        </w:rPr>
      </w:r>
      <w:r>
        <w:rPr/>
        <w:t>第二十三条</w:t>
        <w:tab/>
        <w:t>您解除合同的手续</w:t>
      </w:r>
      <w:r>
        <w:rPr>
          <w:spacing w:val="-3"/>
        </w:rPr>
        <w:t>及</w:t>
      </w:r>
      <w:r>
        <w:rPr/>
        <w:t>风险</w:t>
      </w:r>
    </w:p>
    <w:p>
      <w:pPr>
        <w:pStyle w:val="BodyText"/>
        <w:spacing w:line="273" w:lineRule="auto" w:before="36"/>
        <w:ind w:left="538" w:right="2037"/>
      </w:pPr>
      <w:r>
        <w:rPr/>
        <w:t>如您在犹豫期后申请解除本合同，请填写解除合同申请书并向我们提供下列资料： 一、保险合同；</w:t>
      </w:r>
    </w:p>
    <w:p>
      <w:pPr>
        <w:pStyle w:val="BodyText"/>
        <w:spacing w:before="8"/>
        <w:ind w:left="538"/>
      </w:pPr>
      <w:r>
        <w:rPr/>
        <w:t>二、您的有效身份证件。</w:t>
      </w:r>
    </w:p>
    <w:p>
      <w:pPr>
        <w:pStyle w:val="BodyText"/>
        <w:spacing w:line="256" w:lineRule="auto" w:before="37"/>
        <w:ind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ind w:left="0"/>
        <w:rPr>
          <w:sz w:val="24"/>
        </w:rPr>
      </w:pPr>
    </w:p>
    <w:p>
      <w:pPr>
        <w:pStyle w:val="Heading1"/>
        <w:tabs>
          <w:tab w:pos="4575" w:val="left" w:leader="none"/>
        </w:tabs>
        <w:ind w:left="3157"/>
      </w:pPr>
      <w:bookmarkStart w:name="_bookmark28" w:id="29"/>
      <w:bookmarkEnd w:id="29"/>
      <w:r>
        <w:rPr>
          <w:b w:val="0"/>
        </w:rPr>
      </w:r>
      <w:r>
        <w:rPr/>
        <w:t>第六部分</w:t>
        <w:tab/>
      </w:r>
      <w:r>
        <w:rPr>
          <w:w w:val="95"/>
        </w:rPr>
        <w:t>您必须了解的其他事项</w:t>
      </w:r>
    </w:p>
    <w:p>
      <w:pPr>
        <w:pStyle w:val="BodyText"/>
        <w:ind w:left="0"/>
        <w:rPr>
          <w:b/>
          <w:sz w:val="20"/>
        </w:rPr>
      </w:pPr>
    </w:p>
    <w:p>
      <w:pPr>
        <w:pStyle w:val="BodyText"/>
        <w:ind w:left="0"/>
        <w:rPr>
          <w:b/>
          <w:sz w:val="20"/>
        </w:rPr>
      </w:pPr>
    </w:p>
    <w:p>
      <w:pPr>
        <w:pStyle w:val="BodyText"/>
        <w:ind w:left="0"/>
        <w:rPr>
          <w:b/>
          <w:sz w:val="20"/>
        </w:rPr>
      </w:pPr>
    </w:p>
    <w:p>
      <w:pPr>
        <w:pStyle w:val="BodyText"/>
        <w:spacing w:before="8"/>
        <w:ind w:left="0"/>
        <w:rPr>
          <w:b/>
          <w:sz w:val="13"/>
        </w:rPr>
      </w:pPr>
      <w:r>
        <w:rPr/>
        <w:pict>
          <v:line style="position:absolute;mso-position-horizontal-relative:page;mso-position-vertical-relative:paragraph;z-index:1240;mso-wrap-distance-left:0;mso-wrap-distance-right:0" from="53.880001pt,11.123352pt" to="197.930001pt,11.123352pt" stroked="true" strokeweight=".48004pt" strokecolor="#000000">
            <v:stroke dashstyle="solid"/>
            <w10:wrap type="topAndBottom"/>
          </v:line>
        </w:pict>
      </w:r>
    </w:p>
    <w:p>
      <w:pPr>
        <w:pStyle w:val="BodyText"/>
        <w:spacing w:before="32"/>
        <w:rPr>
          <w:rFonts w:ascii="楷体" w:eastAsia="楷体" w:hint="eastAsia"/>
        </w:rPr>
      </w:pPr>
      <w:r>
        <w:rPr>
          <w:rFonts w:ascii="Times New Roman" w:eastAsia="Times New Roman"/>
          <w:position w:val="10"/>
          <w:sz w:val="14"/>
        </w:rPr>
        <w:t>27</w:t>
      </w:r>
      <w:r>
        <w:rPr>
          <w:rFonts w:ascii="楷体" w:eastAsia="楷体" w:hint="eastAsia"/>
          <w:b/>
        </w:rPr>
        <w:t>减保：</w:t>
      </w:r>
      <w:r>
        <w:rPr>
          <w:rFonts w:ascii="楷体" w:eastAsia="楷体" w:hint="eastAsia"/>
        </w:rPr>
        <w:t>是指将本合同的基本保险金额减少，我们将退还减少部分对应的现金价值。</w:t>
      </w:r>
    </w:p>
    <w:p>
      <w:pPr>
        <w:spacing w:after="0"/>
        <w:rPr>
          <w:rFonts w:ascii="楷体" w:eastAsia="楷体" w:hint="eastAsia"/>
        </w:rPr>
        <w:sectPr>
          <w:pgSz w:w="11910" w:h="16160"/>
          <w:pgMar w:header="0" w:footer="631" w:top="1360" w:bottom="880" w:left="960" w:right="800"/>
        </w:sectPr>
      </w:pPr>
    </w:p>
    <w:p>
      <w:pPr>
        <w:pStyle w:val="Heading2"/>
        <w:tabs>
          <w:tab w:pos="1394" w:val="left" w:leader="none"/>
        </w:tabs>
        <w:spacing w:before="7"/>
      </w:pPr>
      <w:bookmarkStart w:name="_bookmark29" w:id="30"/>
      <w:bookmarkEnd w:id="30"/>
      <w:r>
        <w:rPr>
          <w:b w:val="0"/>
        </w:rPr>
      </w:r>
      <w:r>
        <w:rPr/>
        <w:t>第二十四条</w:t>
        <w:tab/>
        <w:t>明确说明与如实告知</w:t>
      </w:r>
    </w:p>
    <w:p>
      <w:pPr>
        <w:pStyle w:val="BodyText"/>
        <w:spacing w:before="44"/>
        <w:ind w:left="538"/>
      </w:pPr>
      <w:r>
        <w:rPr/>
        <w:t>订立本合同时，我们应向您说明本合同的内容。</w:t>
      </w:r>
    </w:p>
    <w:p>
      <w:pPr>
        <w:pStyle w:val="BodyText"/>
        <w:spacing w:line="261" w:lineRule="auto" w:before="25"/>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538"/>
      </w:pPr>
      <w:r>
        <w:rPr/>
        <w:t>我们就您和被保险人的有关情况提出询问，您应当如实告知。</w:t>
      </w:r>
    </w:p>
    <w:p>
      <w:pPr>
        <w:spacing w:line="261" w:lineRule="auto" w:before="25"/>
        <w:ind w:left="117" w:right="120" w:firstLine="422"/>
        <w:jc w:val="both"/>
        <w:rPr>
          <w:b/>
          <w:sz w:val="21"/>
        </w:rPr>
      </w:pPr>
      <w:r>
        <w:rPr>
          <w:b/>
          <w:sz w:val="21"/>
        </w:rPr>
        <w:t>如果您故意或者因重大过失未履行前款规定的如实告知义务，足以影响我们决定是否同意承保或者提高保险费率的，我们有权解除本合同。</w:t>
      </w:r>
    </w:p>
    <w:p>
      <w:pPr>
        <w:spacing w:line="261" w:lineRule="auto" w:before="6"/>
        <w:ind w:left="117" w:right="118" w:firstLine="422"/>
        <w:jc w:val="both"/>
        <w:rPr>
          <w:b/>
          <w:sz w:val="21"/>
        </w:rPr>
      </w:pPr>
      <w:r>
        <w:rPr>
          <w:b/>
          <w:sz w:val="21"/>
        </w:rPr>
        <w:t>如果您故意不履行如实告知义务，对于本合同解除前发生的保险事故，我们不承担给付保险金的责任， 并不退还保险费。</w:t>
      </w:r>
    </w:p>
    <w:p>
      <w:pPr>
        <w:spacing w:line="261" w:lineRule="auto" w:before="6"/>
        <w:ind w:left="117" w:right="118" w:firstLine="422"/>
        <w:jc w:val="both"/>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ind w:right="119" w:firstLine="410"/>
        <w:jc w:val="both"/>
      </w:pPr>
      <w:r>
        <w:rPr/>
        <w:t>我们在合同订立时已经知道您未如实告知的情况的，我们不得解除合同；发生保险事故的，我们承担给付保险金的责任。</w:t>
      </w:r>
    </w:p>
    <w:p>
      <w:pPr>
        <w:pStyle w:val="BodyText"/>
        <w:spacing w:before="5"/>
        <w:ind w:left="0"/>
        <w:rPr>
          <w:sz w:val="24"/>
        </w:rPr>
      </w:pPr>
    </w:p>
    <w:p>
      <w:pPr>
        <w:pStyle w:val="Heading2"/>
        <w:tabs>
          <w:tab w:pos="1394" w:val="left" w:leader="none"/>
        </w:tabs>
        <w:spacing w:before="1"/>
      </w:pPr>
      <w:bookmarkStart w:name="_bookmark30" w:id="31"/>
      <w:bookmarkEnd w:id="31"/>
      <w:r>
        <w:rPr>
          <w:b w:val="0"/>
        </w:rPr>
      </w:r>
      <w:r>
        <w:rPr/>
        <w:t>第二十五条</w:t>
        <w:tab/>
        <w:t>我们合同解除权的</w:t>
      </w:r>
      <w:r>
        <w:rPr>
          <w:spacing w:val="-3"/>
        </w:rPr>
        <w:t>限</w:t>
      </w:r>
      <w:r>
        <w:rPr/>
        <w:t>制</w:t>
      </w:r>
    </w:p>
    <w:p>
      <w:pPr>
        <w:pStyle w:val="BodyText"/>
        <w:spacing w:before="37"/>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pPr>
      <w:r>
        <w:rPr/>
        <w:t>超过 </w:t>
      </w:r>
      <w:r>
        <w:rPr>
          <w:rFonts w:ascii="Times New Roman" w:eastAsia="Times New Roman"/>
        </w:rPr>
        <w:t>2 </w:t>
      </w:r>
      <w:r>
        <w:rPr/>
        <w:t>年的，我们不得解除合同；发生保险事故的，我们承担给付保险金的责任。</w:t>
      </w:r>
    </w:p>
    <w:p>
      <w:pPr>
        <w:pStyle w:val="BodyText"/>
        <w:spacing w:before="6"/>
        <w:ind w:left="0"/>
        <w:rPr>
          <w:sz w:val="25"/>
        </w:rPr>
      </w:pPr>
    </w:p>
    <w:p>
      <w:pPr>
        <w:pStyle w:val="Heading2"/>
        <w:tabs>
          <w:tab w:pos="1394" w:val="left" w:leader="none"/>
        </w:tabs>
      </w:pPr>
      <w:bookmarkStart w:name="_bookmark31" w:id="32"/>
      <w:bookmarkEnd w:id="32"/>
      <w:r>
        <w:rPr>
          <w:b w:val="0"/>
        </w:rPr>
      </w:r>
      <w:r>
        <w:rPr/>
        <w:t>第二十六条</w:t>
        <w:tab/>
        <w:t>年龄错误</w:t>
      </w:r>
    </w:p>
    <w:p>
      <w:pPr>
        <w:pStyle w:val="BodyText"/>
        <w:spacing w:line="273" w:lineRule="auto" w:before="37"/>
        <w:ind w:right="120" w:firstLine="420"/>
        <w:jc w:val="both"/>
      </w:pPr>
      <w:r>
        <w:rPr/>
        <w:t>您在申请投保时，应将与有效身份证件相符的被保险人的出生日期在投保单上填明，如果发生错误按照下列方式办理：</w:t>
      </w:r>
    </w:p>
    <w:p>
      <w:pPr>
        <w:spacing w:line="273" w:lineRule="auto" w:before="7"/>
        <w:ind w:left="117" w:right="114"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spacing w:line="273" w:lineRule="auto" w:before="7"/>
        <w:ind w:left="117" w:right="120" w:firstLine="420"/>
        <w:jc w:val="both"/>
        <w:rPr>
          <w:b/>
          <w:sz w:val="21"/>
        </w:rPr>
      </w:pPr>
      <w:r>
        <w:rPr>
          <w:sz w:val="21"/>
        </w:rPr>
        <w:t>二、您申报的被保险人年龄不真实，致使您实付保险费少于应付保险费的，我们有权更正并要求您补交保险费。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jc w:val="both"/>
      </w:pPr>
      <w:r>
        <w:rPr/>
        <w:t>三、您申报的被保险人年龄不真实，致使您实付保险费多于应付保险费的，我们会将多收的保险费退还给您。</w:t>
      </w:r>
    </w:p>
    <w:p>
      <w:pPr>
        <w:pStyle w:val="BodyText"/>
        <w:spacing w:before="4"/>
        <w:ind w:left="0"/>
        <w:rPr>
          <w:sz w:val="24"/>
        </w:rPr>
      </w:pPr>
    </w:p>
    <w:p>
      <w:pPr>
        <w:pStyle w:val="Heading2"/>
        <w:tabs>
          <w:tab w:pos="1394" w:val="left" w:leader="none"/>
        </w:tabs>
        <w:spacing w:before="1"/>
      </w:pPr>
      <w:bookmarkStart w:name="_bookmark32" w:id="33"/>
      <w:bookmarkEnd w:id="33"/>
      <w:r>
        <w:rPr>
          <w:b w:val="0"/>
        </w:rPr>
      </w:r>
      <w:r>
        <w:rPr/>
        <w:t>第二十七条</w:t>
        <w:tab/>
        <w:t>性别错误</w:t>
      </w:r>
    </w:p>
    <w:p>
      <w:pPr>
        <w:pStyle w:val="BodyText"/>
        <w:spacing w:line="273" w:lineRule="auto" w:before="37"/>
        <w:ind w:right="120" w:firstLine="420"/>
        <w:jc w:val="both"/>
      </w:pPr>
      <w:r>
        <w:rPr/>
        <w:t>您在申请投保时，应将与有效身份证件相符的被保险人的性别在投保单上填明，如果发生错误按照下列方式办理：</w:t>
      </w:r>
    </w:p>
    <w:p>
      <w:pPr>
        <w:spacing w:line="273" w:lineRule="auto" w:before="7"/>
        <w:ind w:left="117" w:right="120" w:firstLine="420"/>
        <w:jc w:val="both"/>
        <w:rPr>
          <w:b/>
          <w:sz w:val="21"/>
        </w:rPr>
      </w:pPr>
      <w:r>
        <w:rPr>
          <w:sz w:val="21"/>
        </w:rPr>
        <w:t>一、您申报的被保险人性别不真实，致使您实付保险费少于应付保险费的，我们有权更正并要求您补交保险费。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jc w:val="both"/>
      </w:pPr>
      <w:r>
        <w:rPr/>
        <w:t>二、您申报的被保险人性别不真实，致使您实付保险费多于应付保险费的，我们会将多收的保险费退还给您。</w:t>
      </w:r>
    </w:p>
    <w:p>
      <w:pPr>
        <w:pStyle w:val="BodyText"/>
        <w:spacing w:before="5"/>
        <w:ind w:left="0"/>
        <w:rPr>
          <w:sz w:val="24"/>
        </w:rPr>
      </w:pPr>
    </w:p>
    <w:p>
      <w:pPr>
        <w:pStyle w:val="Heading2"/>
        <w:tabs>
          <w:tab w:pos="1394" w:val="left" w:leader="none"/>
        </w:tabs>
      </w:pPr>
      <w:bookmarkStart w:name="_bookmark33" w:id="34"/>
      <w:bookmarkEnd w:id="34"/>
      <w:r>
        <w:rPr>
          <w:b w:val="0"/>
        </w:rPr>
      </w:r>
      <w:r>
        <w:rPr/>
        <w:t>第二十八条</w:t>
        <w:tab/>
        <w:t>未还款项</w:t>
      </w:r>
    </w:p>
    <w:p>
      <w:pPr>
        <w:pStyle w:val="BodyText"/>
        <w:spacing w:line="273" w:lineRule="auto" w:before="36"/>
        <w:ind w:right="146"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八条。</w:t>
      </w:r>
    </w:p>
    <w:p>
      <w:pPr>
        <w:spacing w:after="0" w:line="273" w:lineRule="auto"/>
        <w:jc w:val="both"/>
        <w:sectPr>
          <w:pgSz w:w="11910" w:h="16160"/>
          <w:pgMar w:header="0" w:footer="631" w:top="1360" w:bottom="900" w:left="960" w:right="800"/>
        </w:sectPr>
      </w:pPr>
    </w:p>
    <w:p>
      <w:pPr>
        <w:pStyle w:val="Heading2"/>
        <w:tabs>
          <w:tab w:pos="1594" w:val="left" w:leader="none"/>
        </w:tabs>
        <w:spacing w:before="7"/>
        <w:ind w:left="317"/>
      </w:pPr>
      <w:bookmarkStart w:name="_bookmark34" w:id="35"/>
      <w:bookmarkEnd w:id="35"/>
      <w:r>
        <w:rPr>
          <w:b w:val="0"/>
        </w:rPr>
      </w:r>
      <w:r>
        <w:rPr/>
        <w:t>第二十九条</w:t>
        <w:tab/>
        <w:t>保险合同的终止</w:t>
      </w:r>
    </w:p>
    <w:p>
      <w:pPr>
        <w:pStyle w:val="BodyText"/>
        <w:spacing w:line="273" w:lineRule="auto" w:before="37"/>
        <w:ind w:left="738" w:right="3800"/>
      </w:pPr>
      <w:r>
        <w:rPr/>
        <w:t>除本合同另有约定外，本合同在发生下列情况之一时自动终止： 一、我们已按本合同的约定给付第三次重大疾病保险金；</w:t>
      </w:r>
    </w:p>
    <w:p>
      <w:pPr>
        <w:pStyle w:val="BodyText"/>
        <w:spacing w:line="273" w:lineRule="auto" w:before="7"/>
        <w:ind w:left="738" w:right="5480"/>
      </w:pPr>
      <w:r>
        <w:rPr/>
        <w:t>二、我们已按本合同的约定给付身故保险金； 三、本合同内约定的其他终止情况。</w:t>
      </w:r>
    </w:p>
    <w:p>
      <w:pPr>
        <w:pStyle w:val="BodyText"/>
        <w:spacing w:before="5"/>
        <w:ind w:left="0"/>
        <w:rPr>
          <w:sz w:val="24"/>
        </w:rPr>
      </w:pPr>
    </w:p>
    <w:p>
      <w:pPr>
        <w:pStyle w:val="Heading2"/>
        <w:tabs>
          <w:tab w:pos="1450" w:val="left" w:leader="none"/>
        </w:tabs>
        <w:ind w:left="317"/>
      </w:pPr>
      <w:bookmarkStart w:name="_bookmark35" w:id="36"/>
      <w:bookmarkEnd w:id="36"/>
      <w:r>
        <w:rPr>
          <w:b w:val="0"/>
        </w:rPr>
      </w:r>
      <w:r>
        <w:rPr/>
        <w:t>第三十条</w:t>
        <w:tab/>
        <w:t>联系方式的变更</w:t>
      </w:r>
    </w:p>
    <w:p>
      <w:pPr>
        <w:pStyle w:val="BodyText"/>
        <w:spacing w:line="273" w:lineRule="auto" w:before="37"/>
        <w:ind w:left="317" w:right="228" w:firstLine="420"/>
      </w:pPr>
      <w:r>
        <w:rPr/>
        <w:t>为了保障您的权益，如果您的联系方式（如联系地址、联系电话、电子邮箱等）发生变化，请及时通知我们。否则，我们将按已知的最后联系方式与您联系。</w:t>
      </w:r>
    </w:p>
    <w:p>
      <w:pPr>
        <w:pStyle w:val="BodyText"/>
        <w:spacing w:before="6"/>
        <w:ind w:left="0"/>
        <w:rPr>
          <w:sz w:val="23"/>
        </w:rPr>
      </w:pPr>
    </w:p>
    <w:p>
      <w:pPr>
        <w:pStyle w:val="Heading2"/>
        <w:tabs>
          <w:tab w:pos="1594" w:val="left" w:leader="none"/>
        </w:tabs>
        <w:ind w:left="317"/>
      </w:pPr>
      <w:bookmarkStart w:name="_bookmark36" w:id="37"/>
      <w:bookmarkEnd w:id="37"/>
      <w:r>
        <w:rPr>
          <w:b w:val="0"/>
        </w:rPr>
      </w:r>
      <w:r>
        <w:rPr/>
        <w:t>第三十一条</w:t>
        <w:tab/>
        <w:t>争议处理</w:t>
      </w:r>
    </w:p>
    <w:p>
      <w:pPr>
        <w:pStyle w:val="BodyText"/>
        <w:spacing w:before="43"/>
        <w:ind w:left="738"/>
      </w:pPr>
      <w:r>
        <w:rPr/>
        <w:t>在合同履行过程中，双方发生争议时，可以从下列两种方式中选择一种争议处理方式：</w:t>
      </w:r>
    </w:p>
    <w:p>
      <w:pPr>
        <w:pStyle w:val="BodyText"/>
        <w:spacing w:line="261" w:lineRule="auto" w:before="25"/>
        <w:ind w:left="738" w:right="43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before="6"/>
        <w:ind w:left="738"/>
      </w:pPr>
      <w:r>
        <w:rPr/>
        <w:t>如果双方选择仲裁方式，应当达成仲裁协议并明确约定仲裁事项、仲裁机构。</w:t>
      </w:r>
    </w:p>
    <w:p>
      <w:pPr>
        <w:pStyle w:val="BodyText"/>
        <w:spacing w:before="3"/>
        <w:ind w:left="0"/>
        <w:rPr>
          <w:sz w:val="24"/>
        </w:rPr>
      </w:pPr>
    </w:p>
    <w:p>
      <w:pPr>
        <w:pStyle w:val="Heading2"/>
        <w:tabs>
          <w:tab w:pos="1594" w:val="left" w:leader="none"/>
        </w:tabs>
        <w:ind w:left="317"/>
      </w:pPr>
      <w:bookmarkStart w:name="_bookmark37" w:id="38"/>
      <w:bookmarkEnd w:id="38"/>
      <w:r>
        <w:rPr>
          <w:b w:val="0"/>
        </w:rPr>
      </w:r>
      <w:r>
        <w:rPr/>
        <w:t>第三十二条</w:t>
        <w:tab/>
        <w:t>特定疾病的种类及</w:t>
      </w:r>
      <w:r>
        <w:rPr>
          <w:spacing w:val="-3"/>
        </w:rPr>
        <w:t>定义</w:t>
      </w:r>
    </w:p>
    <w:p>
      <w:pPr>
        <w:pStyle w:val="BodyText"/>
        <w:spacing w:line="256" w:lineRule="auto" w:before="36"/>
        <w:ind w:left="317" w:right="201" w:firstLine="420"/>
      </w:pPr>
      <w:r>
        <w:rPr/>
        <w:t>本合同所保障的特定疾病，是指被保险人经</w:t>
      </w:r>
      <w:r>
        <w:rPr>
          <w:b/>
        </w:rPr>
        <w:t>专科医生</w:t>
      </w:r>
      <w:r>
        <w:rPr>
          <w:rFonts w:ascii="Times New Roman" w:eastAsia="Times New Roman"/>
          <w:b/>
          <w:vertAlign w:val="superscript"/>
        </w:rPr>
        <w:t>2</w:t>
      </w:r>
      <w:r>
        <w:rPr>
          <w:rFonts w:ascii="Times New Roman" w:eastAsia="Times New Roman"/>
          <w:b/>
          <w:vertAlign w:val="superscript"/>
        </w:rPr>
        <w:t>8</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738"/>
      </w:pPr>
      <w:r>
        <w:rPr/>
        <w:t>本合同所保障的特定疾病共 </w:t>
      </w:r>
      <w:r>
        <w:rPr>
          <w:rFonts w:ascii="Times New Roman" w:eastAsia="Times New Roman"/>
        </w:rPr>
        <w:t>50 </w:t>
      </w:r>
      <w:r>
        <w:rPr/>
        <w:t>种。</w:t>
      </w:r>
    </w:p>
    <w:p>
      <w:pPr>
        <w:pStyle w:val="BodyText"/>
        <w:spacing w:before="10"/>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2524"/>
        <w:gridCol w:w="7121"/>
      </w:tblGrid>
      <w:tr>
        <w:trPr>
          <w:trHeight w:val="2762" w:hRule="atLeast"/>
        </w:trPr>
        <w:tc>
          <w:tcPr>
            <w:tcW w:w="546" w:type="dxa"/>
          </w:tcPr>
          <w:p>
            <w:pPr>
              <w:pStyle w:val="TableParagraph"/>
              <w:spacing w:line="234" w:lineRule="exact"/>
              <w:ind w:left="200"/>
              <w:rPr>
                <w:rFonts w:ascii="Times New Roman"/>
                <w:sz w:val="21"/>
              </w:rPr>
            </w:pPr>
            <w:r>
              <w:rPr>
                <w:rFonts w:ascii="Times New Roman"/>
                <w:sz w:val="21"/>
              </w:rPr>
              <w:t>1.</w:t>
            </w:r>
          </w:p>
        </w:tc>
        <w:tc>
          <w:tcPr>
            <w:tcW w:w="2524" w:type="dxa"/>
          </w:tcPr>
          <w:p>
            <w:pPr>
              <w:pStyle w:val="TableParagraph"/>
              <w:spacing w:line="220" w:lineRule="exact"/>
              <w:ind w:left="187"/>
              <w:rPr>
                <w:sz w:val="21"/>
              </w:rPr>
            </w:pPr>
            <w:r>
              <w:rPr>
                <w:sz w:val="21"/>
              </w:rPr>
              <w:t>极早期恶性肿瘤或者</w:t>
            </w:r>
          </w:p>
          <w:p>
            <w:pPr>
              <w:pStyle w:val="TableParagraph"/>
              <w:spacing w:before="37"/>
              <w:ind w:left="187"/>
              <w:rPr>
                <w:sz w:val="21"/>
              </w:rPr>
            </w:pPr>
            <w:r>
              <w:rPr>
                <w:sz w:val="21"/>
              </w:rPr>
              <w:t>恶性病变</w:t>
            </w:r>
          </w:p>
        </w:tc>
        <w:tc>
          <w:tcPr>
            <w:tcW w:w="7121" w:type="dxa"/>
          </w:tcPr>
          <w:p>
            <w:pPr>
              <w:pStyle w:val="TableParagraph"/>
              <w:spacing w:line="220" w:lineRule="exact"/>
              <w:ind w:left="248"/>
              <w:rPr>
                <w:sz w:val="21"/>
              </w:rPr>
            </w:pPr>
            <w:r>
              <w:rPr>
                <w:sz w:val="21"/>
              </w:rPr>
              <w:t>指经组织病理学检查被明确诊断为下列恶性病变，并且接受了相应的治</w:t>
            </w:r>
          </w:p>
          <w:p>
            <w:pPr>
              <w:pStyle w:val="TableParagraph"/>
              <w:spacing w:before="37"/>
              <w:ind w:left="248"/>
              <w:rPr>
                <w:sz w:val="21"/>
              </w:rPr>
            </w:pPr>
            <w:r>
              <w:rPr>
                <w:sz w:val="21"/>
              </w:rPr>
              <w:t>疗。</w:t>
            </w:r>
          </w:p>
          <w:p>
            <w:pPr>
              <w:pStyle w:val="TableParagraph"/>
              <w:spacing w:before="37"/>
              <w:ind w:left="248"/>
              <w:rPr>
                <w:sz w:val="21"/>
              </w:rPr>
            </w:pPr>
            <w:r>
              <w:rPr>
                <w:rFonts w:ascii="Times New Roman" w:eastAsia="Times New Roman"/>
                <w:sz w:val="21"/>
              </w:rPr>
              <w:t>1</w:t>
            </w:r>
            <w:r>
              <w:rPr>
                <w:sz w:val="21"/>
              </w:rPr>
              <w:t>．原位癌；</w:t>
            </w:r>
          </w:p>
          <w:p>
            <w:pPr>
              <w:pStyle w:val="TableParagraph"/>
              <w:spacing w:before="21"/>
              <w:ind w:left="248"/>
              <w:rPr>
                <w:sz w:val="21"/>
              </w:rPr>
            </w:pPr>
            <w:r>
              <w:rPr>
                <w:rFonts w:ascii="Times New Roman" w:eastAsia="Times New Roman"/>
                <w:sz w:val="21"/>
              </w:rPr>
              <w:t>2</w:t>
            </w:r>
            <w:r>
              <w:rPr>
                <w:spacing w:val="-12"/>
                <w:sz w:val="21"/>
              </w:rPr>
              <w:t>．相当于 </w:t>
            </w:r>
            <w:r>
              <w:rPr>
                <w:rFonts w:ascii="Times New Roman" w:eastAsia="Times New Roman"/>
                <w:sz w:val="21"/>
              </w:rPr>
              <w:t>Binet </w:t>
            </w:r>
            <w:r>
              <w:rPr>
                <w:spacing w:val="-13"/>
                <w:sz w:val="21"/>
              </w:rPr>
              <w:t>分期方案 </w:t>
            </w:r>
            <w:r>
              <w:rPr>
                <w:rFonts w:ascii="Times New Roman" w:eastAsia="Times New Roman"/>
                <w:sz w:val="21"/>
              </w:rPr>
              <w:t>A</w:t>
            </w:r>
            <w:r>
              <w:rPr>
                <w:rFonts w:ascii="Times New Roman" w:eastAsia="Times New Roman"/>
                <w:spacing w:val="51"/>
                <w:sz w:val="21"/>
              </w:rPr>
              <w:t> </w:t>
            </w:r>
            <w:r>
              <w:rPr>
                <w:spacing w:val="-3"/>
                <w:sz w:val="21"/>
              </w:rPr>
              <w:t>期程度的慢性淋巴细胞白血病；</w:t>
            </w:r>
          </w:p>
          <w:p>
            <w:pPr>
              <w:pStyle w:val="TableParagraph"/>
              <w:spacing w:before="20"/>
              <w:ind w:left="248"/>
              <w:rPr>
                <w:sz w:val="21"/>
              </w:rPr>
            </w:pP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ind w:left="248"/>
              <w:rPr>
                <w:sz w:val="21"/>
              </w:rPr>
            </w:pPr>
            <w:r>
              <w:rPr>
                <w:rFonts w:ascii="Times New Roman" w:eastAsia="Times New Roman"/>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TableParagraph"/>
              <w:spacing w:before="20"/>
              <w:ind w:left="248"/>
              <w:rPr>
                <w:sz w:val="21"/>
              </w:rPr>
            </w:pP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期或者更轻分期的前列腺癌。</w:t>
            </w:r>
          </w:p>
          <w:p>
            <w:pPr>
              <w:pStyle w:val="TableParagraph"/>
              <w:spacing w:line="312" w:lineRule="exact" w:before="16"/>
              <w:ind w:left="248" w:right="306"/>
              <w:rPr>
                <w:b/>
                <w:sz w:val="21"/>
              </w:rPr>
            </w:pPr>
            <w:r>
              <w:rPr>
                <w:b/>
                <w:sz w:val="21"/>
              </w:rPr>
              <w:t>感染艾滋病毒或患艾滋病期间所患极早期恶性肿瘤或恶性病变不在保障范围之内。</w:t>
            </w:r>
          </w:p>
        </w:tc>
      </w:tr>
      <w:tr>
        <w:trPr>
          <w:trHeight w:val="2496" w:hRule="atLeast"/>
        </w:trPr>
        <w:tc>
          <w:tcPr>
            <w:tcW w:w="546" w:type="dxa"/>
          </w:tcPr>
          <w:p>
            <w:pPr>
              <w:pStyle w:val="TableParagraph"/>
              <w:spacing w:before="38"/>
              <w:ind w:left="200"/>
              <w:rPr>
                <w:rFonts w:ascii="Times New Roman"/>
                <w:sz w:val="21"/>
              </w:rPr>
            </w:pPr>
            <w:r>
              <w:rPr>
                <w:rFonts w:ascii="Times New Roman"/>
                <w:sz w:val="21"/>
              </w:rPr>
              <w:t>2.</w:t>
            </w:r>
          </w:p>
        </w:tc>
        <w:tc>
          <w:tcPr>
            <w:tcW w:w="2524" w:type="dxa"/>
          </w:tcPr>
          <w:p>
            <w:pPr>
              <w:pStyle w:val="TableParagraph"/>
              <w:spacing w:line="266" w:lineRule="exact"/>
              <w:ind w:left="187"/>
              <w:rPr>
                <w:sz w:val="21"/>
              </w:rPr>
            </w:pPr>
            <w:r>
              <w:rPr>
                <w:sz w:val="21"/>
              </w:rPr>
              <w:t>轻微脑中风</w:t>
            </w:r>
          </w:p>
        </w:tc>
        <w:tc>
          <w:tcPr>
            <w:tcW w:w="7121" w:type="dxa"/>
          </w:tcPr>
          <w:p>
            <w:pPr>
              <w:pStyle w:val="TableParagraph"/>
              <w:spacing w:line="264" w:lineRule="auto"/>
              <w:ind w:left="248" w:right="197"/>
              <w:jc w:val="both"/>
              <w:rPr>
                <w:sz w:val="21"/>
              </w:rPr>
            </w:pPr>
            <w:r>
              <w:rPr>
                <w:sz w:val="21"/>
              </w:rPr>
              <w:t>指被保险人实际发生了脑血管的突发病变出现神经系统功能障碍表现， </w:t>
            </w:r>
            <w:r>
              <w:rPr>
                <w:w w:val="100"/>
                <w:sz w:val="21"/>
              </w:rPr>
              <w:t>头颅</w:t>
            </w:r>
            <w:r>
              <w:rPr>
                <w:sz w:val="21"/>
              </w:rPr>
              <w:t> </w:t>
            </w:r>
            <w:r>
              <w:rPr>
                <w:rFonts w:ascii="Times New Roman" w:hAnsi="Times New Roman" w:eastAsia="Times New Roman"/>
                <w:w w:val="100"/>
                <w:sz w:val="21"/>
              </w:rPr>
              <w:t>X</w:t>
            </w:r>
            <w:r>
              <w:rPr>
                <w:rFonts w:ascii="Times New Roman" w:hAnsi="Times New Roman" w:eastAsia="Times New Roman"/>
                <w:spacing w:val="-8"/>
                <w:sz w:val="21"/>
              </w:rPr>
              <w:t>  </w:t>
            </w:r>
            <w:r>
              <w:rPr>
                <w:spacing w:val="-3"/>
                <w:w w:val="100"/>
                <w:sz w:val="21"/>
              </w:rPr>
              <w:t>线断层扫描（</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8"/>
                <w:w w:val="100"/>
                <w:sz w:val="21"/>
              </w:rPr>
              <w:t>）</w:t>
            </w:r>
            <w:r>
              <w:rPr>
                <w:spacing w:val="-3"/>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w w:val="100"/>
                <w:sz w:val="21"/>
              </w:rPr>
              <w:t>）</w:t>
            </w:r>
            <w:r>
              <w:rPr>
                <w:spacing w:val="-3"/>
                <w:w w:val="100"/>
                <w:sz w:val="21"/>
              </w:rPr>
              <w:t>等影像学检查证实存</w:t>
            </w:r>
            <w:r>
              <w:rPr>
                <w:spacing w:val="-4"/>
                <w:sz w:val="21"/>
              </w:rPr>
              <w:t>在对应病灶，确诊为脑出血、脑栓塞或脑梗塞，在确诊 </w:t>
            </w:r>
            <w:r>
              <w:rPr>
                <w:rFonts w:ascii="Times New Roman" w:hAnsi="Times New Roman" w:eastAsia="Times New Roman"/>
                <w:sz w:val="21"/>
              </w:rPr>
              <w:t>180 </w:t>
            </w:r>
            <w:r>
              <w:rPr>
                <w:spacing w:val="-3"/>
                <w:sz w:val="21"/>
              </w:rPr>
              <w:t>天后遗留神经系统功能障碍。后遗的神经系统功能障碍程度未达到本合同所指重大</w:t>
            </w:r>
            <w:r>
              <w:rPr>
                <w:spacing w:val="-8"/>
                <w:sz w:val="21"/>
              </w:rPr>
              <w:t>疾病“脑中风后遗症”的给付标准，但仍遗留下列一种或一种以上障碍：</w:t>
            </w:r>
          </w:p>
          <w:p>
            <w:pPr>
              <w:pStyle w:val="TableParagraph"/>
              <w:spacing w:before="25"/>
              <w:ind w:left="248"/>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II </w:t>
            </w:r>
            <w:r>
              <w:rPr>
                <w:sz w:val="21"/>
              </w:rPr>
              <w:t>级或 </w:t>
            </w:r>
            <w:r>
              <w:rPr>
                <w:rFonts w:ascii="Times New Roman" w:eastAsia="Times New Roman"/>
                <w:sz w:val="21"/>
              </w:rPr>
              <w:t>II </w:t>
            </w:r>
            <w:r>
              <w:rPr>
                <w:sz w:val="21"/>
              </w:rPr>
              <w:t>级以下；</w:t>
            </w:r>
          </w:p>
          <w:p>
            <w:pPr>
              <w:pStyle w:val="TableParagraph"/>
              <w:spacing w:line="256" w:lineRule="auto" w:before="20"/>
              <w:ind w:left="248" w:right="305"/>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中的两项或两项以上。</w:t>
            </w:r>
          </w:p>
        </w:tc>
      </w:tr>
      <w:tr>
        <w:trPr>
          <w:trHeight w:val="578" w:hRule="atLeast"/>
        </w:trPr>
        <w:tc>
          <w:tcPr>
            <w:tcW w:w="546" w:type="dxa"/>
          </w:tcPr>
          <w:p>
            <w:pPr>
              <w:pStyle w:val="TableParagraph"/>
              <w:spacing w:before="38"/>
              <w:ind w:left="200"/>
              <w:rPr>
                <w:rFonts w:ascii="Times New Roman"/>
                <w:sz w:val="21"/>
              </w:rPr>
            </w:pPr>
            <w:r>
              <w:rPr>
                <w:rFonts w:ascii="Times New Roman"/>
                <w:sz w:val="21"/>
              </w:rPr>
              <w:t>3.</w:t>
            </w:r>
          </w:p>
        </w:tc>
        <w:tc>
          <w:tcPr>
            <w:tcW w:w="2524" w:type="dxa"/>
          </w:tcPr>
          <w:p>
            <w:pPr>
              <w:pStyle w:val="TableParagraph"/>
              <w:spacing w:line="266" w:lineRule="exact"/>
              <w:ind w:left="187"/>
              <w:rPr>
                <w:sz w:val="21"/>
              </w:rPr>
            </w:pPr>
            <w:r>
              <w:rPr>
                <w:sz w:val="21"/>
              </w:rPr>
              <w:t>心脏瓣膜介入手术（非</w:t>
            </w:r>
          </w:p>
          <w:p>
            <w:pPr>
              <w:pStyle w:val="TableParagraph"/>
              <w:spacing w:line="255" w:lineRule="exact" w:before="37"/>
              <w:ind w:left="187"/>
              <w:rPr>
                <w:sz w:val="21"/>
              </w:rPr>
            </w:pPr>
            <w:r>
              <w:rPr>
                <w:sz w:val="21"/>
              </w:rPr>
              <w:t>开胸手术）</w:t>
            </w:r>
          </w:p>
        </w:tc>
        <w:tc>
          <w:tcPr>
            <w:tcW w:w="7121" w:type="dxa"/>
          </w:tcPr>
          <w:p>
            <w:pPr>
              <w:pStyle w:val="TableParagraph"/>
              <w:spacing w:line="266" w:lineRule="exact"/>
              <w:ind w:left="248"/>
              <w:rPr>
                <w:sz w:val="21"/>
              </w:rPr>
            </w:pPr>
            <w:r>
              <w:rPr>
                <w:sz w:val="21"/>
              </w:rPr>
              <w:t>为了治疗心脏瓣膜疾病，实际实施了非开胸的经胸壁打孔内镜手术或者</w:t>
            </w:r>
          </w:p>
          <w:p>
            <w:pPr>
              <w:pStyle w:val="TableParagraph"/>
              <w:spacing w:line="255" w:lineRule="exact" w:before="37"/>
              <w:ind w:left="248"/>
              <w:rPr>
                <w:sz w:val="21"/>
              </w:rPr>
            </w:pPr>
            <w:r>
              <w:rPr>
                <w:sz w:val="21"/>
              </w:rPr>
              <w:t>经皮经导管介入手术进行的心脏瓣膜置换或者修复手术。</w:t>
            </w:r>
          </w:p>
        </w:tc>
      </w:tr>
    </w:tbl>
    <w:p>
      <w:pPr>
        <w:pStyle w:val="BodyText"/>
        <w:spacing w:before="8"/>
        <w:ind w:left="0"/>
        <w:rPr>
          <w:sz w:val="20"/>
        </w:rPr>
      </w:pPr>
      <w:r>
        <w:rPr/>
        <w:pict>
          <v:line style="position:absolute;mso-position-horizontal-relative:page;mso-position-vertical-relative:paragraph;z-index:1264;mso-wrap-distance-left:0;mso-wrap-distance-right:0" from="53.880001pt,15.703893pt" to="197.930001pt,15.703893pt" stroked="true" strokeweight=".47998pt" strokecolor="#000000">
            <v:stroke dashstyle="solid"/>
            <w10:wrap type="topAndBottom"/>
          </v:line>
        </w:pict>
      </w:r>
    </w:p>
    <w:p>
      <w:pPr>
        <w:pStyle w:val="BodyText"/>
        <w:spacing w:line="282" w:lineRule="exact" w:before="32"/>
        <w:ind w:left="317"/>
        <w:rPr>
          <w:rFonts w:ascii="楷体" w:eastAsia="楷体" w:hint="eastAsia"/>
        </w:rPr>
      </w:pPr>
      <w:r>
        <w:rPr>
          <w:rFonts w:ascii="Times New Roman" w:eastAsia="Times New Roman"/>
          <w:w w:val="99"/>
          <w:position w:val="10"/>
          <w:sz w:val="14"/>
        </w:rPr>
        <w:t>28</w:t>
      </w:r>
      <w:r>
        <w:rPr>
          <w:rFonts w:ascii="楷体" w:eastAsia="楷体" w:hint="eastAsia"/>
          <w:b/>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8"/>
        <w:ind w:left="317" w:right="1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spacing w:val="-1"/>
          <w:w w:val="100"/>
        </w:rPr>
        <w:t>（</w:t>
      </w:r>
      <w:r>
        <w:rPr>
          <w:rFonts w:ascii="Times New Roman" w:eastAsia="Times New Roman"/>
          <w:spacing w:val="-2"/>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line="271" w:lineRule="exact" w:before="0"/>
        <w:ind w:left="317" w:right="0" w:firstLine="0"/>
        <w:jc w:val="left"/>
        <w:rPr>
          <w:rFonts w:ascii="楷体" w:eastAsia="楷体" w:hint="eastAsia"/>
          <w:sz w:val="21"/>
        </w:rPr>
      </w:pPr>
      <w:r>
        <w:rPr>
          <w:rFonts w:ascii="Times New Roman" w:eastAsia="Times New Roman"/>
          <w:position w:val="10"/>
          <w:sz w:val="14"/>
        </w:rPr>
        <w:t>29</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1" w:lineRule="exact"/>
        <w:jc w:val="left"/>
        <w:rPr>
          <w:rFonts w:ascii="楷体" w:eastAsia="楷体" w:hint="eastAsia"/>
          <w:sz w:val="21"/>
        </w:rPr>
        <w:sectPr>
          <w:pgSz w:w="11910" w:h="16160"/>
          <w:pgMar w:header="0" w:footer="631" w:top="1360" w:bottom="880" w:left="7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72"/>
        <w:gridCol w:w="7122"/>
      </w:tblGrid>
      <w:tr>
        <w:trPr>
          <w:trHeight w:val="578" w:hRule="atLeast"/>
        </w:trPr>
        <w:tc>
          <w:tcPr>
            <w:tcW w:w="599" w:type="dxa"/>
          </w:tcPr>
          <w:p>
            <w:pPr>
              <w:pStyle w:val="TableParagraph"/>
              <w:spacing w:line="234" w:lineRule="exact"/>
              <w:ind w:left="200"/>
              <w:rPr>
                <w:rFonts w:ascii="Times New Roman"/>
                <w:sz w:val="21"/>
              </w:rPr>
            </w:pPr>
            <w:r>
              <w:rPr>
                <w:rFonts w:ascii="Times New Roman"/>
                <w:sz w:val="21"/>
              </w:rPr>
              <w:t>4.</w:t>
            </w:r>
          </w:p>
        </w:tc>
        <w:tc>
          <w:tcPr>
            <w:tcW w:w="2472" w:type="dxa"/>
          </w:tcPr>
          <w:p>
            <w:pPr>
              <w:pStyle w:val="TableParagraph"/>
              <w:spacing w:line="220" w:lineRule="exact"/>
              <w:ind w:left="134"/>
              <w:rPr>
                <w:sz w:val="21"/>
              </w:rPr>
            </w:pPr>
            <w:r>
              <w:rPr>
                <w:sz w:val="21"/>
              </w:rPr>
              <w:t>主动脉内手术（非开胸</w:t>
            </w:r>
          </w:p>
          <w:p>
            <w:pPr>
              <w:pStyle w:val="TableParagraph"/>
              <w:spacing w:before="37"/>
              <w:ind w:left="134"/>
              <w:rPr>
                <w:sz w:val="21"/>
              </w:rPr>
            </w:pPr>
            <w:r>
              <w:rPr>
                <w:sz w:val="21"/>
              </w:rPr>
              <w:t>手术）</w:t>
            </w:r>
          </w:p>
        </w:tc>
        <w:tc>
          <w:tcPr>
            <w:tcW w:w="7122" w:type="dxa"/>
          </w:tcPr>
          <w:p>
            <w:pPr>
              <w:pStyle w:val="TableParagraph"/>
              <w:spacing w:line="220" w:lineRule="exact"/>
              <w:ind w:left="247"/>
              <w:rPr>
                <w:sz w:val="21"/>
              </w:rPr>
            </w:pPr>
            <w:r>
              <w:rPr>
                <w:sz w:val="21"/>
              </w:rPr>
              <w:t>为了治疗主动脉疾病实际实施了经皮经导管进行的动脉内手术。主动脉</w:t>
            </w:r>
          </w:p>
          <w:p>
            <w:pPr>
              <w:pStyle w:val="TableParagraph"/>
              <w:spacing w:before="37"/>
              <w:ind w:left="247"/>
              <w:rPr>
                <w:sz w:val="21"/>
              </w:rPr>
            </w:pPr>
            <w:r>
              <w:rPr>
                <w:sz w:val="21"/>
              </w:rPr>
              <w:t>指胸主动脉和腹主动脉，不包括胸主动脉和腹主动脉的分支血管。</w:t>
            </w:r>
          </w:p>
        </w:tc>
      </w:tr>
      <w:tr>
        <w:trPr>
          <w:trHeight w:val="935" w:hRule="atLeast"/>
        </w:trPr>
        <w:tc>
          <w:tcPr>
            <w:tcW w:w="599" w:type="dxa"/>
          </w:tcPr>
          <w:p>
            <w:pPr>
              <w:pStyle w:val="TableParagraph"/>
              <w:spacing w:before="38"/>
              <w:ind w:left="200"/>
              <w:rPr>
                <w:rFonts w:ascii="Times New Roman"/>
                <w:sz w:val="21"/>
              </w:rPr>
            </w:pPr>
            <w:r>
              <w:rPr>
                <w:rFonts w:ascii="Times New Roman"/>
                <w:sz w:val="21"/>
              </w:rPr>
              <w:t>5.</w:t>
            </w:r>
          </w:p>
        </w:tc>
        <w:tc>
          <w:tcPr>
            <w:tcW w:w="2472" w:type="dxa"/>
          </w:tcPr>
          <w:p>
            <w:pPr>
              <w:pStyle w:val="TableParagraph"/>
              <w:spacing w:line="266" w:lineRule="exact"/>
              <w:ind w:left="134"/>
              <w:rPr>
                <w:sz w:val="21"/>
              </w:rPr>
            </w:pPr>
            <w:r>
              <w:rPr>
                <w:sz w:val="21"/>
              </w:rPr>
              <w:t>心包膜切除术</w:t>
            </w:r>
          </w:p>
        </w:tc>
        <w:tc>
          <w:tcPr>
            <w:tcW w:w="7122" w:type="dxa"/>
          </w:tcPr>
          <w:p>
            <w:pPr>
              <w:pStyle w:val="TableParagraph"/>
              <w:spacing w:line="266" w:lineRule="exact"/>
              <w:ind w:left="247"/>
              <w:rPr>
                <w:sz w:val="21"/>
              </w:rPr>
            </w:pPr>
            <w:r>
              <w:rPr>
                <w:sz w:val="21"/>
              </w:rPr>
              <w:t>指为治疗心包膜疾病，已经实施了心包膜切除术，但未达到本合同所指</w:t>
            </w:r>
          </w:p>
          <w:p>
            <w:pPr>
              <w:pStyle w:val="TableParagraph"/>
              <w:spacing w:line="310" w:lineRule="atLeast" w:before="2"/>
              <w:ind w:left="247" w:right="306"/>
              <w:rPr>
                <w:sz w:val="21"/>
              </w:rPr>
            </w:pPr>
            <w:r>
              <w:rPr>
                <w:sz w:val="21"/>
              </w:rPr>
              <w:t>重大疾病“严重慢性缩窄型心包炎”的标准。手术必须在心脏科医生认为是医学上必需的情况下进行。</w:t>
            </w:r>
          </w:p>
        </w:tc>
      </w:tr>
      <w:tr>
        <w:trPr>
          <w:trHeight w:val="1871" w:hRule="atLeast"/>
        </w:trPr>
        <w:tc>
          <w:tcPr>
            <w:tcW w:w="599" w:type="dxa"/>
          </w:tcPr>
          <w:p>
            <w:pPr>
              <w:pStyle w:val="TableParagraph"/>
              <w:spacing w:before="38"/>
              <w:ind w:left="200"/>
              <w:rPr>
                <w:rFonts w:ascii="Times New Roman"/>
                <w:sz w:val="21"/>
              </w:rPr>
            </w:pPr>
            <w:r>
              <w:rPr>
                <w:rFonts w:ascii="Times New Roman"/>
                <w:sz w:val="21"/>
              </w:rPr>
              <w:t>6.</w:t>
            </w:r>
          </w:p>
        </w:tc>
        <w:tc>
          <w:tcPr>
            <w:tcW w:w="2472" w:type="dxa"/>
          </w:tcPr>
          <w:p>
            <w:pPr>
              <w:pStyle w:val="TableParagraph"/>
              <w:spacing w:line="273" w:lineRule="auto"/>
              <w:ind w:left="134" w:right="249"/>
              <w:rPr>
                <w:sz w:val="21"/>
              </w:rPr>
            </w:pPr>
            <w:r>
              <w:rPr>
                <w:sz w:val="21"/>
              </w:rPr>
              <w:t>于颈动脉进行血管成形术或内膜切除术</w:t>
            </w:r>
          </w:p>
        </w:tc>
        <w:tc>
          <w:tcPr>
            <w:tcW w:w="7122" w:type="dxa"/>
          </w:tcPr>
          <w:p>
            <w:pPr>
              <w:pStyle w:val="TableParagraph"/>
              <w:spacing w:line="264" w:lineRule="auto"/>
              <w:ind w:left="247" w:right="199"/>
              <w:jc w:val="both"/>
              <w:rPr>
                <w:sz w:val="21"/>
              </w:rPr>
            </w:pPr>
            <w:r>
              <w:rPr>
                <w:sz w:val="21"/>
              </w:rPr>
              <w:t>指根据颈动脉造影检查结果，确诊一条或以上颈动脉存在严重狭窄性病 </w:t>
            </w:r>
            <w:r>
              <w:rPr>
                <w:spacing w:val="-51"/>
                <w:sz w:val="21"/>
              </w:rPr>
              <w:t>变</w:t>
            </w:r>
            <w:r>
              <w:rPr>
                <w:spacing w:val="-3"/>
                <w:sz w:val="21"/>
              </w:rPr>
              <w:t>（</w:t>
            </w:r>
            <w:r>
              <w:rPr>
                <w:spacing w:val="-7"/>
                <w:sz w:val="21"/>
              </w:rPr>
              <w:t>至少一支血管管腔直径减少 </w:t>
            </w:r>
            <w:r>
              <w:rPr>
                <w:rFonts w:ascii="Times New Roman" w:eastAsia="Times New Roman"/>
                <w:sz w:val="21"/>
              </w:rPr>
              <w:t>50</w:t>
            </w:r>
            <w:r>
              <w:rPr>
                <w:spacing w:val="-2"/>
                <w:sz w:val="21"/>
              </w:rPr>
              <w:t>％以上</w:t>
            </w:r>
            <w:r>
              <w:rPr>
                <w:spacing w:val="-108"/>
                <w:sz w:val="21"/>
              </w:rPr>
              <w:t>）</w:t>
            </w:r>
            <w:r>
              <w:rPr>
                <w:spacing w:val="-8"/>
                <w:sz w:val="21"/>
              </w:rPr>
              <w:t>。本病须经国家机关认可的有</w:t>
            </w:r>
            <w:r>
              <w:rPr>
                <w:spacing w:val="-9"/>
                <w:sz w:val="21"/>
              </w:rPr>
              <w:t>合法资质的专科医生明确诊断，同时必须已经采取以下手术以减轻症状：</w:t>
            </w:r>
          </w:p>
          <w:p>
            <w:pPr>
              <w:pStyle w:val="TableParagraph"/>
              <w:spacing w:before="25"/>
              <w:ind w:left="247"/>
              <w:rPr>
                <w:sz w:val="21"/>
              </w:rPr>
            </w:pPr>
            <w:r>
              <w:rPr>
                <w:rFonts w:ascii="Times New Roman" w:eastAsia="Times New Roman"/>
                <w:sz w:val="21"/>
              </w:rPr>
              <w:t>1</w:t>
            </w:r>
            <w:r>
              <w:rPr>
                <w:sz w:val="21"/>
              </w:rPr>
              <w:t>．确实进行动脉内膜切除术；</w:t>
            </w:r>
          </w:p>
          <w:p>
            <w:pPr>
              <w:pStyle w:val="TableParagraph"/>
              <w:spacing w:line="256" w:lineRule="auto" w:before="21"/>
              <w:ind w:left="247" w:right="305"/>
              <w:rPr>
                <w:sz w:val="21"/>
              </w:rPr>
            </w:pPr>
            <w:r>
              <w:rPr>
                <w:rFonts w:ascii="Times New Roman" w:eastAsia="Times New Roman"/>
                <w:sz w:val="21"/>
              </w:rPr>
              <w:t>2</w:t>
            </w:r>
            <w:r>
              <w:rPr>
                <w:sz w:val="21"/>
              </w:rPr>
              <w:t>．确实进行血管介入治疗，例如血管成形术及</w:t>
            </w:r>
            <w:r>
              <w:rPr>
                <w:rFonts w:ascii="Times New Roman" w:eastAsia="Times New Roman"/>
                <w:sz w:val="21"/>
              </w:rPr>
              <w:t>/</w:t>
            </w:r>
            <w:r>
              <w:rPr>
                <w:sz w:val="21"/>
              </w:rPr>
              <w:t>或进行植入支架或动脉粥样瘤清除手术。</w:t>
            </w:r>
          </w:p>
        </w:tc>
      </w:tr>
      <w:tr>
        <w:trPr>
          <w:trHeight w:val="3432" w:hRule="atLeast"/>
        </w:trPr>
        <w:tc>
          <w:tcPr>
            <w:tcW w:w="599" w:type="dxa"/>
          </w:tcPr>
          <w:p>
            <w:pPr>
              <w:pStyle w:val="TableParagraph"/>
              <w:spacing w:before="38"/>
              <w:ind w:left="200"/>
              <w:rPr>
                <w:rFonts w:ascii="Times New Roman"/>
                <w:sz w:val="21"/>
              </w:rPr>
            </w:pPr>
            <w:r>
              <w:rPr>
                <w:rFonts w:ascii="Times New Roman"/>
                <w:sz w:val="21"/>
              </w:rPr>
              <w:t>7.</w:t>
            </w:r>
          </w:p>
        </w:tc>
        <w:tc>
          <w:tcPr>
            <w:tcW w:w="2472" w:type="dxa"/>
          </w:tcPr>
          <w:p>
            <w:pPr>
              <w:pStyle w:val="TableParagraph"/>
              <w:spacing w:line="273" w:lineRule="auto"/>
              <w:ind w:left="134" w:right="249"/>
              <w:rPr>
                <w:sz w:val="21"/>
              </w:rPr>
            </w:pPr>
            <w:r>
              <w:rPr>
                <w:sz w:val="21"/>
              </w:rPr>
              <w:t>不典型的急性心肌梗塞</w:t>
            </w:r>
          </w:p>
        </w:tc>
        <w:tc>
          <w:tcPr>
            <w:tcW w:w="7122" w:type="dxa"/>
          </w:tcPr>
          <w:p>
            <w:pPr>
              <w:pStyle w:val="TableParagraph"/>
              <w:spacing w:line="273" w:lineRule="auto"/>
              <w:ind w:left="247" w:right="136"/>
              <w:rPr>
                <w:sz w:val="21"/>
              </w:rPr>
            </w:pPr>
            <w:r>
              <w:rPr>
                <w:sz w:val="21"/>
              </w:rPr>
              <w:t>指被临床诊断为急性心肌梗塞并接受了急性心肌梗塞治疗，须满足下列至少两项条件，但未达到本合同所指重大疾病“急性心肌梗塞”的标准：</w:t>
            </w:r>
          </w:p>
          <w:p>
            <w:pPr>
              <w:pStyle w:val="TableParagraph"/>
              <w:spacing w:before="16"/>
              <w:ind w:left="247"/>
              <w:rPr>
                <w:sz w:val="21"/>
              </w:rPr>
            </w:pPr>
            <w:r>
              <w:rPr>
                <w:sz w:val="21"/>
              </w:rPr>
              <w:t>（</w:t>
            </w:r>
            <w:r>
              <w:rPr>
                <w:rFonts w:ascii="Times New Roman" w:eastAsia="Times New Roman"/>
                <w:sz w:val="21"/>
              </w:rPr>
              <w:t>1</w:t>
            </w:r>
            <w:r>
              <w:rPr>
                <w:sz w:val="21"/>
              </w:rPr>
              <w:t>）典型临床表现，例如急性胸痛等；</w:t>
            </w:r>
          </w:p>
          <w:p>
            <w:pPr>
              <w:pStyle w:val="TableParagraph"/>
              <w:spacing w:before="20"/>
              <w:ind w:left="247"/>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left="247" w:right="244"/>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left="247" w:right="302"/>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p>
            <w:pPr>
              <w:pStyle w:val="TableParagraph"/>
              <w:spacing w:line="312" w:lineRule="exact" w:before="1"/>
              <w:ind w:left="247" w:right="199"/>
              <w:rPr>
                <w:b/>
                <w:sz w:val="21"/>
              </w:rPr>
            </w:pPr>
            <w:r>
              <w:rPr>
                <w:b/>
                <w:spacing w:val="-15"/>
                <w:w w:val="100"/>
                <w:sz w:val="21"/>
              </w:rPr>
              <w:t>我们仅对“不典型的急性心肌梗塞”</w:t>
            </w:r>
            <w:r>
              <w:rPr>
                <w:b/>
                <w:spacing w:val="-26"/>
                <w:w w:val="100"/>
                <w:sz w:val="21"/>
              </w:rPr>
              <w:t>、“冠状动脉介入手术</w:t>
            </w:r>
            <w:r>
              <w:rPr>
                <w:b/>
                <w:w w:val="100"/>
                <w:sz w:val="21"/>
              </w:rPr>
              <w:t>（</w:t>
            </w:r>
            <w:r>
              <w:rPr>
                <w:b/>
                <w:spacing w:val="-1"/>
                <w:w w:val="100"/>
                <w:sz w:val="21"/>
              </w:rPr>
              <w:t>非开胸手术</w:t>
            </w:r>
            <w:r>
              <w:rPr>
                <w:b/>
                <w:spacing w:val="-106"/>
                <w:w w:val="100"/>
                <w:sz w:val="21"/>
              </w:rPr>
              <w:t>）</w:t>
            </w:r>
            <w:r>
              <w:rPr>
                <w:b/>
                <w:w w:val="100"/>
                <w:sz w:val="21"/>
              </w:rPr>
              <w:t>”</w:t>
            </w:r>
            <w:r>
              <w:rPr>
                <w:b/>
                <w:sz w:val="21"/>
              </w:rPr>
              <w:t>和“激光心肌血运重建术”三项中的其中一项承担保险责任，给付其中</w:t>
            </w:r>
            <w:r>
              <w:rPr>
                <w:b/>
                <w:spacing w:val="-3"/>
                <w:sz w:val="21"/>
              </w:rPr>
              <w:t>一项保险金后，对其他两项特定疾病保险责任同时终止。</w:t>
            </w:r>
          </w:p>
        </w:tc>
      </w:tr>
      <w:tr>
        <w:trPr>
          <w:trHeight w:val="2496" w:hRule="atLeast"/>
        </w:trPr>
        <w:tc>
          <w:tcPr>
            <w:tcW w:w="599" w:type="dxa"/>
          </w:tcPr>
          <w:p>
            <w:pPr>
              <w:pStyle w:val="TableParagraph"/>
              <w:spacing w:before="38"/>
              <w:ind w:left="200"/>
              <w:rPr>
                <w:rFonts w:ascii="Times New Roman"/>
                <w:sz w:val="21"/>
              </w:rPr>
            </w:pPr>
            <w:r>
              <w:rPr>
                <w:rFonts w:ascii="Times New Roman"/>
                <w:sz w:val="21"/>
              </w:rPr>
              <w:t>8.</w:t>
            </w:r>
          </w:p>
        </w:tc>
        <w:tc>
          <w:tcPr>
            <w:tcW w:w="2472" w:type="dxa"/>
          </w:tcPr>
          <w:p>
            <w:pPr>
              <w:pStyle w:val="TableParagraph"/>
              <w:spacing w:line="273" w:lineRule="auto"/>
              <w:ind w:left="134" w:right="202"/>
              <w:rPr>
                <w:sz w:val="21"/>
              </w:rPr>
            </w:pPr>
            <w:r>
              <w:rPr>
                <w:sz w:val="21"/>
              </w:rPr>
              <w:t>冠状动脉介入手术（非开胸手术）</w:t>
            </w:r>
          </w:p>
        </w:tc>
        <w:tc>
          <w:tcPr>
            <w:tcW w:w="7122" w:type="dxa"/>
          </w:tcPr>
          <w:p>
            <w:pPr>
              <w:pStyle w:val="TableParagraph"/>
              <w:spacing w:line="273" w:lineRule="auto"/>
              <w:ind w:left="247" w:right="306"/>
              <w:jc w:val="both"/>
              <w:rPr>
                <w:sz w:val="21"/>
              </w:rPr>
            </w:pPr>
            <w:r>
              <w:rPr>
                <w:sz w:val="21"/>
              </w:rPr>
              <w:t>为了治疗明显的冠状动脉狭窄性疾病，首次实际实施了冠状动脉球囊扩张成形术、冠状动脉支架植入术、冠状动脉粥肿斑块切除术或者激光冠状动脉成形术。</w:t>
            </w:r>
          </w:p>
          <w:p>
            <w:pPr>
              <w:pStyle w:val="TableParagraph"/>
              <w:spacing w:line="273" w:lineRule="auto" w:before="16"/>
              <w:ind w:left="247" w:right="305"/>
              <w:rPr>
                <w:b/>
                <w:sz w:val="21"/>
              </w:rPr>
            </w:pPr>
            <w:r>
              <w:rPr>
                <w:b/>
                <w:sz w:val="21"/>
              </w:rPr>
              <w:t>被保险人已达到本合同所指重大疾病“急性心肌梗塞”或“严重冠状动脉粥样硬化性心脏病”标准的，我们不承担本项手术保险责任。</w:t>
            </w:r>
          </w:p>
          <w:p>
            <w:pPr>
              <w:pStyle w:val="TableParagraph"/>
              <w:spacing w:line="312" w:lineRule="exact" w:before="3"/>
              <w:ind w:left="247" w:right="200"/>
              <w:rPr>
                <w:b/>
                <w:sz w:val="21"/>
              </w:rPr>
            </w:pPr>
            <w:r>
              <w:rPr>
                <w:b/>
                <w:spacing w:val="-18"/>
                <w:sz w:val="21"/>
              </w:rPr>
              <w:t>我们仅对“不典型的急性心肌梗塞”</w:t>
            </w:r>
            <w:r>
              <w:rPr>
                <w:b/>
                <w:spacing w:val="-33"/>
                <w:sz w:val="21"/>
              </w:rPr>
              <w:t>、“冠状动脉介入手术</w:t>
            </w:r>
            <w:r>
              <w:rPr>
                <w:b/>
                <w:sz w:val="21"/>
              </w:rPr>
              <w:t>（非开胸手术</w:t>
            </w:r>
            <w:r>
              <w:rPr>
                <w:b/>
                <w:spacing w:val="-106"/>
                <w:sz w:val="21"/>
              </w:rPr>
              <w:t>）”</w:t>
            </w:r>
            <w:r>
              <w:rPr>
                <w:b/>
                <w:sz w:val="21"/>
              </w:rPr>
              <w:t>、和“激光心肌血运重建术”三项中的其中一项承担保险责任，给付其中</w:t>
            </w:r>
            <w:r>
              <w:rPr>
                <w:b/>
                <w:spacing w:val="-3"/>
                <w:sz w:val="21"/>
              </w:rPr>
              <w:t>一项保险金后，对其他两项特定疾病保险责任同时终止。</w:t>
            </w:r>
          </w:p>
        </w:tc>
      </w:tr>
      <w:tr>
        <w:trPr>
          <w:trHeight w:val="2496" w:hRule="atLeast"/>
        </w:trPr>
        <w:tc>
          <w:tcPr>
            <w:tcW w:w="599" w:type="dxa"/>
          </w:tcPr>
          <w:p>
            <w:pPr>
              <w:pStyle w:val="TableParagraph"/>
              <w:spacing w:before="38"/>
              <w:ind w:left="200"/>
              <w:rPr>
                <w:rFonts w:ascii="Times New Roman"/>
                <w:sz w:val="21"/>
              </w:rPr>
            </w:pPr>
            <w:r>
              <w:rPr>
                <w:rFonts w:ascii="Times New Roman"/>
                <w:sz w:val="21"/>
              </w:rPr>
              <w:t>9.</w:t>
            </w:r>
          </w:p>
        </w:tc>
        <w:tc>
          <w:tcPr>
            <w:tcW w:w="2472" w:type="dxa"/>
          </w:tcPr>
          <w:p>
            <w:pPr>
              <w:pStyle w:val="TableParagraph"/>
              <w:spacing w:line="266" w:lineRule="exact"/>
              <w:ind w:left="134"/>
              <w:rPr>
                <w:sz w:val="21"/>
              </w:rPr>
            </w:pPr>
            <w:r>
              <w:rPr>
                <w:sz w:val="21"/>
              </w:rPr>
              <w:t>激光心肌血运重建术</w:t>
            </w:r>
          </w:p>
        </w:tc>
        <w:tc>
          <w:tcPr>
            <w:tcW w:w="7122" w:type="dxa"/>
          </w:tcPr>
          <w:p>
            <w:pPr>
              <w:pStyle w:val="TableParagraph"/>
              <w:spacing w:line="273" w:lineRule="auto"/>
              <w:ind w:left="247" w:right="303"/>
              <w:jc w:val="both"/>
              <w:rPr>
                <w:sz w:val="21"/>
              </w:rPr>
            </w:pPr>
            <w:r>
              <w:rPr>
                <w:sz w:val="21"/>
              </w:rPr>
              <w:t>指患有顽固性心绞痛，经持续药物治疗后无改善，冠状动脉搭桥手术及经皮血管成形手术已失败或者被认为不适合。在我们认可医院内实际进行了开胸手术下或者胸腔镜下的激光心肌血运重建术。</w:t>
            </w:r>
          </w:p>
          <w:p>
            <w:pPr>
              <w:pStyle w:val="TableParagraph"/>
              <w:spacing w:line="273" w:lineRule="auto" w:before="16"/>
              <w:ind w:left="247" w:right="305"/>
              <w:rPr>
                <w:b/>
                <w:sz w:val="21"/>
              </w:rPr>
            </w:pPr>
            <w:r>
              <w:rPr>
                <w:b/>
                <w:sz w:val="21"/>
              </w:rPr>
              <w:t>被保险人已达到本合同所指重大疾病“急性心肌梗塞”或“严重冠状动脉粥样硬化性心脏病”标准的，我们不承担本项手术保险责任。</w:t>
            </w:r>
          </w:p>
          <w:p>
            <w:pPr>
              <w:pStyle w:val="TableParagraph"/>
              <w:spacing w:line="312" w:lineRule="exact" w:before="3"/>
              <w:ind w:left="247" w:right="200"/>
              <w:rPr>
                <w:b/>
                <w:sz w:val="21"/>
              </w:rPr>
            </w:pPr>
            <w:r>
              <w:rPr>
                <w:b/>
                <w:spacing w:val="-18"/>
                <w:sz w:val="21"/>
              </w:rPr>
              <w:t>我们仅对“不典型的急性心肌梗塞”</w:t>
            </w:r>
            <w:r>
              <w:rPr>
                <w:b/>
                <w:spacing w:val="-33"/>
                <w:sz w:val="21"/>
              </w:rPr>
              <w:t>、“冠状动脉介入手术</w:t>
            </w:r>
            <w:r>
              <w:rPr>
                <w:b/>
                <w:sz w:val="21"/>
              </w:rPr>
              <w:t>（非开胸手术</w:t>
            </w:r>
            <w:r>
              <w:rPr>
                <w:b/>
                <w:spacing w:val="-106"/>
                <w:sz w:val="21"/>
              </w:rPr>
              <w:t>）”</w:t>
            </w:r>
            <w:r>
              <w:rPr>
                <w:b/>
                <w:sz w:val="21"/>
              </w:rPr>
              <w:t>、和“激光心肌血运重建术”三项中的其中一项承担保险责任，给付其中</w:t>
            </w:r>
            <w:r>
              <w:rPr>
                <w:b/>
                <w:spacing w:val="-3"/>
                <w:sz w:val="21"/>
              </w:rPr>
              <w:t>一项保险金后，对其他两项特定疾病保险责任同时终止。</w:t>
            </w:r>
          </w:p>
        </w:tc>
      </w:tr>
      <w:tr>
        <w:trPr>
          <w:trHeight w:val="1202" w:hRule="atLeast"/>
        </w:trPr>
        <w:tc>
          <w:tcPr>
            <w:tcW w:w="599" w:type="dxa"/>
          </w:tcPr>
          <w:p>
            <w:pPr>
              <w:pStyle w:val="TableParagraph"/>
              <w:spacing w:before="38"/>
              <w:ind w:left="200"/>
              <w:rPr>
                <w:rFonts w:ascii="Times New Roman"/>
                <w:sz w:val="21"/>
              </w:rPr>
            </w:pPr>
            <w:r>
              <w:rPr>
                <w:rFonts w:ascii="Times New Roman"/>
                <w:sz w:val="21"/>
              </w:rPr>
              <w:t>10.</w:t>
            </w:r>
          </w:p>
        </w:tc>
        <w:tc>
          <w:tcPr>
            <w:tcW w:w="2472" w:type="dxa"/>
          </w:tcPr>
          <w:p>
            <w:pPr>
              <w:pStyle w:val="TableParagraph"/>
              <w:spacing w:line="266" w:lineRule="exact"/>
              <w:ind w:left="134"/>
              <w:rPr>
                <w:sz w:val="21"/>
              </w:rPr>
            </w:pPr>
            <w:r>
              <w:rPr>
                <w:sz w:val="21"/>
              </w:rPr>
              <w:t>植入心脏起搏器</w:t>
            </w:r>
          </w:p>
        </w:tc>
        <w:tc>
          <w:tcPr>
            <w:tcW w:w="7122" w:type="dxa"/>
          </w:tcPr>
          <w:p>
            <w:pPr>
              <w:pStyle w:val="TableParagraph"/>
              <w:spacing w:line="273" w:lineRule="auto"/>
              <w:ind w:left="247" w:right="303"/>
              <w:rPr>
                <w:sz w:val="21"/>
              </w:rPr>
            </w:pPr>
            <w:r>
              <w:rPr>
                <w:sz w:val="21"/>
              </w:rPr>
              <w:t>因严重心律失常而确实已经实施永久性心脏起搏器的植入手术。理赔时须提供完整病历资料及手术记录，诊断及治疗均须在我们认可医院专科</w:t>
            </w:r>
          </w:p>
          <w:p>
            <w:pPr>
              <w:pStyle w:val="TableParagraph"/>
              <w:spacing w:line="312" w:lineRule="exact" w:before="12"/>
              <w:ind w:left="247" w:right="306"/>
              <w:rPr>
                <w:sz w:val="21"/>
              </w:rPr>
            </w:pPr>
            <w:r>
              <w:rPr>
                <w:sz w:val="21"/>
              </w:rPr>
              <w:t>医生认为是医疗必须的情况下进行。由于心脏再同步化治疗而实施的植入心脏起博器包括在本项保障范围内。</w:t>
            </w:r>
          </w:p>
        </w:tc>
      </w:tr>
    </w:tbl>
    <w:p>
      <w:pPr>
        <w:spacing w:after="0" w:line="312" w:lineRule="exact"/>
        <w:rPr>
          <w:sz w:val="21"/>
        </w:rPr>
        <w:sectPr>
          <w:pgSz w:w="11910" w:h="16160"/>
          <w:pgMar w:header="0" w:footer="631" w:top="1420" w:bottom="820" w:left="7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71"/>
        <w:gridCol w:w="7020"/>
      </w:tblGrid>
      <w:tr>
        <w:trPr>
          <w:trHeight w:val="1210" w:hRule="atLeast"/>
        </w:trPr>
        <w:tc>
          <w:tcPr>
            <w:tcW w:w="599" w:type="dxa"/>
          </w:tcPr>
          <w:p>
            <w:pPr>
              <w:pStyle w:val="TableParagraph"/>
              <w:spacing w:line="234" w:lineRule="exact"/>
              <w:ind w:right="140"/>
              <w:jc w:val="right"/>
              <w:rPr>
                <w:rFonts w:ascii="Times New Roman"/>
                <w:sz w:val="21"/>
              </w:rPr>
            </w:pPr>
            <w:r>
              <w:rPr>
                <w:rFonts w:ascii="Times New Roman"/>
                <w:sz w:val="21"/>
              </w:rPr>
              <w:t>11.</w:t>
            </w:r>
          </w:p>
        </w:tc>
        <w:tc>
          <w:tcPr>
            <w:tcW w:w="2471" w:type="dxa"/>
          </w:tcPr>
          <w:p>
            <w:pPr>
              <w:pStyle w:val="TableParagraph"/>
              <w:spacing w:line="220" w:lineRule="exact"/>
              <w:ind w:left="134"/>
              <w:rPr>
                <w:sz w:val="21"/>
              </w:rPr>
            </w:pPr>
            <w:r>
              <w:rPr>
                <w:sz w:val="21"/>
              </w:rPr>
              <w:t>原发性肺动脉高压</w:t>
            </w:r>
          </w:p>
        </w:tc>
        <w:tc>
          <w:tcPr>
            <w:tcW w:w="7020" w:type="dxa"/>
          </w:tcPr>
          <w:p>
            <w:pPr>
              <w:pStyle w:val="TableParagraph"/>
              <w:spacing w:line="220" w:lineRule="exact"/>
              <w:ind w:left="248"/>
              <w:rPr>
                <w:b/>
                <w:sz w:val="21"/>
              </w:rPr>
            </w:pPr>
            <w:r>
              <w:rPr>
                <w:sz w:val="21"/>
              </w:rPr>
              <w:t>指由于原发性肺动脉高压进行性发展而导致右心室肥厚，已经造成</w:t>
            </w:r>
            <w:r>
              <w:rPr>
                <w:b/>
                <w:sz w:val="21"/>
              </w:rPr>
              <w:t>永久</w:t>
            </w:r>
          </w:p>
          <w:p>
            <w:pPr>
              <w:pStyle w:val="TableParagraph"/>
              <w:spacing w:line="256" w:lineRule="auto" w:before="37"/>
              <w:ind w:left="248" w:right="199"/>
              <w:rPr>
                <w:sz w:val="21"/>
              </w:rPr>
            </w:pPr>
            <w:r>
              <w:rPr>
                <w:b/>
                <w:sz w:val="21"/>
              </w:rPr>
              <w:t>不可逆</w:t>
            </w:r>
            <w:r>
              <w:rPr>
                <w:rFonts w:ascii="Times New Roman" w:hAnsi="Times New Roman" w:eastAsia="Times New Roman"/>
                <w:b/>
                <w:sz w:val="21"/>
                <w:vertAlign w:val="superscript"/>
              </w:rPr>
              <w:t>30</w:t>
            </w:r>
            <w:r>
              <w:rPr>
                <w:rFonts w:ascii="Times New Roman" w:hAnsi="Times New Roman" w:eastAsia="Times New Roman"/>
                <w:b/>
                <w:sz w:val="21"/>
                <w:vertAlign w:val="baseline"/>
              </w:rPr>
            </w:r>
            <w:r>
              <w:rPr>
                <w:spacing w:val="-11"/>
                <w:sz w:val="21"/>
                <w:vertAlign w:val="baseline"/>
              </w:rPr>
              <w:t>性的体力活动能力受限，达到美国纽约心脏病学会心功能状态分</w:t>
            </w:r>
            <w:r>
              <w:rPr>
                <w:spacing w:val="5"/>
                <w:sz w:val="21"/>
                <w:vertAlign w:val="baseline"/>
              </w:rPr>
              <w:t>级Ⅲ级及以上，但尚未达到 </w:t>
            </w:r>
            <w:r>
              <w:rPr>
                <w:rFonts w:ascii="Times New Roman" w:hAnsi="Times New Roman" w:eastAsia="Times New Roman"/>
                <w:sz w:val="21"/>
                <w:vertAlign w:val="baseline"/>
              </w:rPr>
              <w:t>IV</w:t>
            </w:r>
            <w:r>
              <w:rPr>
                <w:rFonts w:ascii="Times New Roman" w:hAnsi="Times New Roman" w:eastAsia="Times New Roman"/>
                <w:spacing w:val="15"/>
                <w:sz w:val="21"/>
                <w:vertAlign w:val="baseline"/>
              </w:rPr>
              <w:t>  </w:t>
            </w:r>
            <w:r>
              <w:rPr>
                <w:spacing w:val="3"/>
                <w:sz w:val="21"/>
                <w:vertAlign w:val="baseline"/>
              </w:rPr>
              <w:t>级，且静息状态下肺动脉平均压超过</w:t>
            </w:r>
          </w:p>
          <w:p>
            <w:pPr>
              <w:pStyle w:val="TableParagraph"/>
              <w:spacing w:before="4"/>
              <w:ind w:left="248"/>
              <w:rPr>
                <w:sz w:val="21"/>
              </w:rPr>
            </w:pPr>
            <w:r>
              <w:rPr>
                <w:rFonts w:ascii="Times New Roman" w:eastAsia="Times New Roman"/>
                <w:sz w:val="21"/>
              </w:rPr>
              <w:t>25mmHg</w:t>
            </w:r>
            <w:r>
              <w:rPr>
                <w:sz w:val="21"/>
              </w:rPr>
              <w:t>，但尚未超过 </w:t>
            </w:r>
            <w:r>
              <w:rPr>
                <w:rFonts w:ascii="Times New Roman" w:eastAsia="Times New Roman"/>
                <w:sz w:val="21"/>
              </w:rPr>
              <w:t>30mmHg</w:t>
            </w:r>
            <w:r>
              <w:rPr>
                <w:sz w:val="21"/>
              </w:rPr>
              <w:t>。</w:t>
            </w:r>
          </w:p>
        </w:tc>
      </w:tr>
      <w:tr>
        <w:trPr>
          <w:trHeight w:val="3424" w:hRule="atLeast"/>
        </w:trPr>
        <w:tc>
          <w:tcPr>
            <w:tcW w:w="599" w:type="dxa"/>
          </w:tcPr>
          <w:p>
            <w:pPr>
              <w:pStyle w:val="TableParagraph"/>
              <w:spacing w:before="30"/>
              <w:ind w:right="132"/>
              <w:jc w:val="right"/>
              <w:rPr>
                <w:rFonts w:ascii="Times New Roman"/>
                <w:sz w:val="21"/>
              </w:rPr>
            </w:pPr>
            <w:r>
              <w:rPr>
                <w:rFonts w:ascii="Times New Roman"/>
                <w:sz w:val="21"/>
              </w:rPr>
              <w:t>12.</w:t>
            </w:r>
          </w:p>
        </w:tc>
        <w:tc>
          <w:tcPr>
            <w:tcW w:w="2471" w:type="dxa"/>
          </w:tcPr>
          <w:p>
            <w:pPr>
              <w:pStyle w:val="TableParagraph"/>
              <w:spacing w:line="258" w:lineRule="exact"/>
              <w:ind w:left="134"/>
              <w:rPr>
                <w:sz w:val="21"/>
              </w:rPr>
            </w:pPr>
            <w:r>
              <w:rPr>
                <w:sz w:val="21"/>
              </w:rPr>
              <w:t>特定周围动脉疾病的</w:t>
            </w:r>
          </w:p>
          <w:p>
            <w:pPr>
              <w:pStyle w:val="TableParagraph"/>
              <w:spacing w:before="37"/>
              <w:ind w:left="134"/>
              <w:rPr>
                <w:sz w:val="21"/>
              </w:rPr>
            </w:pPr>
            <w:r>
              <w:rPr>
                <w:sz w:val="21"/>
              </w:rPr>
              <w:t>血管介入治疗</w:t>
            </w:r>
          </w:p>
        </w:tc>
        <w:tc>
          <w:tcPr>
            <w:tcW w:w="7020" w:type="dxa"/>
          </w:tcPr>
          <w:p>
            <w:pPr>
              <w:pStyle w:val="TableParagraph"/>
              <w:spacing w:line="279" w:lineRule="exact"/>
              <w:ind w:left="248"/>
              <w:rPr>
                <w:sz w:val="21"/>
              </w:rPr>
            </w:pPr>
            <w:r>
              <w:rPr>
                <w:sz w:val="21"/>
              </w:rPr>
              <w:t>指为治疗一条或者一条以上的下</w:t>
            </w:r>
            <w:r>
              <w:rPr>
                <w:rFonts w:ascii="Malgun Gothic" w:eastAsia="Malgun Gothic" w:hint="eastAsia"/>
                <w:sz w:val="21"/>
              </w:rPr>
              <w:t>列</w:t>
            </w:r>
            <w:r>
              <w:rPr>
                <w:sz w:val="21"/>
              </w:rPr>
              <w:t>动脉狭窄而实施的血管介入治疗：</w:t>
            </w:r>
          </w:p>
          <w:p>
            <w:pPr>
              <w:pStyle w:val="TableParagraph"/>
              <w:spacing w:before="16"/>
              <w:ind w:left="248"/>
              <w:rPr>
                <w:sz w:val="21"/>
              </w:rPr>
            </w:pPr>
            <w:r>
              <w:rPr>
                <w:rFonts w:ascii="Times New Roman" w:eastAsia="Times New Roman"/>
                <w:sz w:val="21"/>
              </w:rPr>
              <w:t>1</w:t>
            </w:r>
            <w:r>
              <w:rPr>
                <w:sz w:val="21"/>
              </w:rPr>
              <w:t>．为下肢或者上肢供血的动脉；</w:t>
            </w:r>
          </w:p>
          <w:p>
            <w:pPr>
              <w:pStyle w:val="TableParagraph"/>
              <w:spacing w:before="21"/>
              <w:ind w:left="248"/>
              <w:rPr>
                <w:sz w:val="21"/>
              </w:rPr>
            </w:pPr>
            <w:r>
              <w:rPr>
                <w:rFonts w:ascii="Times New Roman" w:eastAsia="Times New Roman"/>
                <w:sz w:val="21"/>
              </w:rPr>
              <w:t>2</w:t>
            </w:r>
            <w:r>
              <w:rPr>
                <w:sz w:val="21"/>
              </w:rPr>
              <w:t>．肾动脉；</w:t>
            </w:r>
          </w:p>
          <w:p>
            <w:pPr>
              <w:pStyle w:val="TableParagraph"/>
              <w:spacing w:before="21"/>
              <w:ind w:left="248"/>
              <w:rPr>
                <w:sz w:val="21"/>
              </w:rPr>
            </w:pPr>
            <w:r>
              <w:rPr>
                <w:rFonts w:ascii="Times New Roman" w:eastAsia="Times New Roman"/>
                <w:sz w:val="21"/>
              </w:rPr>
              <w:t>3</w:t>
            </w:r>
            <w:r>
              <w:rPr>
                <w:sz w:val="21"/>
              </w:rPr>
              <w:t>．肠系膜动脉。</w:t>
            </w:r>
          </w:p>
          <w:p>
            <w:pPr>
              <w:pStyle w:val="TableParagraph"/>
              <w:spacing w:before="21"/>
              <w:ind w:left="248"/>
              <w:rPr>
                <w:sz w:val="21"/>
              </w:rPr>
            </w:pPr>
            <w:r>
              <w:rPr>
                <w:sz w:val="21"/>
              </w:rPr>
              <w:t>须满足下列全部条件：</w:t>
            </w:r>
          </w:p>
          <w:p>
            <w:pPr>
              <w:pStyle w:val="TableParagraph"/>
              <w:spacing w:line="256" w:lineRule="auto" w:before="37"/>
              <w:ind w:left="248" w:right="199"/>
              <w:rPr>
                <w:sz w:val="21"/>
              </w:rPr>
            </w:pPr>
            <w:r>
              <w:rPr>
                <w:rFonts w:ascii="Times New Roman" w:eastAsia="Times New Roman"/>
                <w:spacing w:val="-34"/>
                <w:sz w:val="21"/>
              </w:rPr>
              <w:t>1</w:t>
            </w:r>
            <w:r>
              <w:rPr>
                <w:spacing w:val="-8"/>
                <w:sz w:val="21"/>
              </w:rPr>
              <w:t>．经血管造影术证实一条或者一条以上的上述动脉狭窄达到 </w:t>
            </w:r>
            <w:r>
              <w:rPr>
                <w:rFonts w:ascii="Times New Roman" w:eastAsia="Times New Roman"/>
                <w:sz w:val="21"/>
              </w:rPr>
              <w:t>50%</w:t>
            </w:r>
            <w:r>
              <w:rPr>
                <w:spacing w:val="-2"/>
                <w:sz w:val="21"/>
              </w:rPr>
              <w:t>或者以上；</w:t>
            </w:r>
          </w:p>
          <w:p>
            <w:pPr>
              <w:pStyle w:val="TableParagraph"/>
              <w:spacing w:line="259" w:lineRule="auto" w:before="22"/>
              <w:ind w:left="248" w:right="151"/>
              <w:rPr>
                <w:sz w:val="21"/>
              </w:rPr>
            </w:pPr>
            <w:r>
              <w:rPr>
                <w:rFonts w:ascii="Times New Roman" w:eastAsia="Times New Roman"/>
                <w:sz w:val="21"/>
              </w:rPr>
              <w:t>2</w:t>
            </w:r>
            <w:r>
              <w:rPr>
                <w:sz w:val="21"/>
              </w:rPr>
              <w:t>．对一条或者一条以上的上述动脉施行了血管介入治疗，如血管成形术及</w:t>
            </w:r>
            <w:r>
              <w:rPr>
                <w:rFonts w:ascii="Times New Roman" w:eastAsia="Times New Roman"/>
                <w:sz w:val="21"/>
              </w:rPr>
              <w:t>/</w:t>
            </w:r>
            <w:r>
              <w:rPr>
                <w:sz w:val="21"/>
              </w:rPr>
              <w:t>或者进行植入支架或者动脉瘤清除手术。</w:t>
            </w:r>
          </w:p>
          <w:p>
            <w:pPr>
              <w:pStyle w:val="TableParagraph"/>
              <w:spacing w:before="2"/>
              <w:ind w:left="248"/>
              <w:rPr>
                <w:sz w:val="21"/>
              </w:rPr>
            </w:pPr>
            <w:r>
              <w:rPr>
                <w:sz w:val="21"/>
              </w:rPr>
              <w:t>上述动脉疾病的诊断以及相关治疗的必要性必须由血管疾病的专科医生</w:t>
            </w:r>
          </w:p>
          <w:p>
            <w:pPr>
              <w:pStyle w:val="TableParagraph"/>
              <w:spacing w:before="37"/>
              <w:ind w:left="248"/>
              <w:rPr>
                <w:sz w:val="21"/>
              </w:rPr>
            </w:pPr>
            <w:r>
              <w:rPr>
                <w:sz w:val="21"/>
              </w:rPr>
              <w:t>确定。</w:t>
            </w:r>
          </w:p>
        </w:tc>
      </w:tr>
      <w:tr>
        <w:trPr>
          <w:trHeight w:val="1872" w:hRule="atLeast"/>
        </w:trPr>
        <w:tc>
          <w:tcPr>
            <w:tcW w:w="599" w:type="dxa"/>
          </w:tcPr>
          <w:p>
            <w:pPr>
              <w:pStyle w:val="TableParagraph"/>
              <w:spacing w:before="38"/>
              <w:ind w:right="132"/>
              <w:jc w:val="right"/>
              <w:rPr>
                <w:rFonts w:ascii="Times New Roman"/>
                <w:sz w:val="21"/>
              </w:rPr>
            </w:pPr>
            <w:r>
              <w:rPr>
                <w:rFonts w:ascii="Times New Roman"/>
                <w:sz w:val="21"/>
              </w:rPr>
              <w:t>13.</w:t>
            </w:r>
          </w:p>
        </w:tc>
        <w:tc>
          <w:tcPr>
            <w:tcW w:w="2471" w:type="dxa"/>
          </w:tcPr>
          <w:p>
            <w:pPr>
              <w:pStyle w:val="TableParagraph"/>
              <w:spacing w:line="273" w:lineRule="auto"/>
              <w:ind w:left="134" w:right="248"/>
              <w:rPr>
                <w:sz w:val="21"/>
              </w:rPr>
            </w:pPr>
            <w:r>
              <w:rPr>
                <w:sz w:val="21"/>
              </w:rPr>
              <w:t>脑动脉瘤夹闭手术或栓塞手术</w:t>
            </w:r>
          </w:p>
        </w:tc>
        <w:tc>
          <w:tcPr>
            <w:tcW w:w="7020" w:type="dxa"/>
          </w:tcPr>
          <w:p>
            <w:pPr>
              <w:pStyle w:val="TableParagraph"/>
              <w:spacing w:line="273" w:lineRule="auto"/>
              <w:ind w:left="248" w:right="203"/>
              <w:jc w:val="both"/>
              <w:rPr>
                <w:sz w:val="21"/>
              </w:rPr>
            </w:pPr>
            <w:r>
              <w:rPr>
                <w:sz w:val="21"/>
              </w:rPr>
              <w:t>被保险人实际接受了对未破裂脑动脉瘤的动脉瘤夹闭手术或动脉瘤栓塞手术。</w:t>
            </w:r>
          </w:p>
          <w:p>
            <w:pPr>
              <w:pStyle w:val="TableParagraph"/>
              <w:spacing w:line="312" w:lineRule="exact" w:before="12"/>
              <w:ind w:left="248" w:right="203"/>
              <w:jc w:val="both"/>
              <w:rPr>
                <w:b/>
                <w:sz w:val="21"/>
              </w:rPr>
            </w:pPr>
            <w:r>
              <w:rPr>
                <w:b/>
                <w:spacing w:val="-8"/>
                <w:sz w:val="21"/>
              </w:rPr>
              <w:t>我们对“脑动脉瘤夹闭手术或栓塞手术”和“微创颅脑手术”、“脑垂体</w:t>
            </w:r>
            <w:r>
              <w:rPr>
                <w:b/>
                <w:spacing w:val="-18"/>
                <w:sz w:val="21"/>
              </w:rPr>
              <w:t>瘤、脑囊肿、脑动脉瘤及脑血管瘤”、“植入大脑内分流器”四项中的其中一项承担保险责任，给付其中一项保险金后，对其他三项特定疾病保险责任同时终止。</w:t>
            </w:r>
          </w:p>
        </w:tc>
      </w:tr>
      <w:tr>
        <w:trPr>
          <w:trHeight w:val="2808" w:hRule="atLeast"/>
        </w:trPr>
        <w:tc>
          <w:tcPr>
            <w:tcW w:w="599" w:type="dxa"/>
          </w:tcPr>
          <w:p>
            <w:pPr>
              <w:pStyle w:val="TableParagraph"/>
              <w:spacing w:before="38"/>
              <w:ind w:right="134"/>
              <w:jc w:val="right"/>
              <w:rPr>
                <w:rFonts w:ascii="Times New Roman"/>
                <w:sz w:val="21"/>
              </w:rPr>
            </w:pPr>
            <w:r>
              <w:rPr>
                <w:rFonts w:ascii="Times New Roman"/>
                <w:sz w:val="21"/>
              </w:rPr>
              <w:t>14.</w:t>
            </w:r>
          </w:p>
        </w:tc>
        <w:tc>
          <w:tcPr>
            <w:tcW w:w="2471" w:type="dxa"/>
          </w:tcPr>
          <w:p>
            <w:pPr>
              <w:pStyle w:val="TableParagraph"/>
              <w:spacing w:line="266" w:lineRule="exact"/>
              <w:ind w:left="134"/>
              <w:rPr>
                <w:sz w:val="21"/>
              </w:rPr>
            </w:pPr>
            <w:r>
              <w:rPr>
                <w:sz w:val="21"/>
              </w:rPr>
              <w:t>微创颅脑手术</w:t>
            </w:r>
          </w:p>
        </w:tc>
        <w:tc>
          <w:tcPr>
            <w:tcW w:w="7020" w:type="dxa"/>
          </w:tcPr>
          <w:p>
            <w:pPr>
              <w:pStyle w:val="TableParagraph"/>
              <w:spacing w:line="273" w:lineRule="auto"/>
              <w:ind w:left="248" w:right="210"/>
              <w:jc w:val="both"/>
              <w:rPr>
                <w:b/>
                <w:sz w:val="21"/>
              </w:rPr>
            </w:pPr>
            <w:r>
              <w:rPr>
                <w:sz w:val="21"/>
              </w:rPr>
              <w:t>因疾病被保险人确已实施全麻下的颅骨钻孔手术或者经鼻蝶窦入颅手术。</w:t>
            </w:r>
            <w:r>
              <w:rPr>
                <w:b/>
                <w:sz w:val="21"/>
              </w:rPr>
              <w:t>因外伤而实施的脑外科手术不在保障范围内。</w:t>
            </w:r>
          </w:p>
          <w:p>
            <w:pPr>
              <w:pStyle w:val="TableParagraph"/>
              <w:spacing w:line="273" w:lineRule="auto" w:before="17"/>
              <w:ind w:left="248" w:right="203"/>
              <w:jc w:val="both"/>
              <w:rPr>
                <w:b/>
                <w:sz w:val="21"/>
              </w:rPr>
            </w:pPr>
            <w:r>
              <w:rPr>
                <w:b/>
                <w:spacing w:val="-8"/>
                <w:sz w:val="21"/>
              </w:rPr>
              <w:t>我们对“脑动脉瘤夹闭手术或栓塞手术”和“微创颅脑手术”、“脑垂体</w:t>
            </w:r>
            <w:r>
              <w:rPr>
                <w:b/>
                <w:spacing w:val="-18"/>
                <w:sz w:val="21"/>
              </w:rPr>
              <w:t>瘤、脑囊肿、脑动脉瘤及脑血管瘤”、“植入大脑内分流器”四项中的其中一项承担保险责任，给付其中一项保险金后，对其他三项特定疾病保险责任同时终止。</w:t>
            </w:r>
          </w:p>
          <w:p>
            <w:pPr>
              <w:pStyle w:val="TableParagraph"/>
              <w:spacing w:line="312" w:lineRule="exact" w:before="3"/>
              <w:ind w:left="248" w:right="203"/>
              <w:jc w:val="both"/>
              <w:rPr>
                <w:b/>
                <w:sz w:val="21"/>
              </w:rPr>
            </w:pPr>
            <w:r>
              <w:rPr>
                <w:b/>
                <w:spacing w:val="-11"/>
                <w:sz w:val="21"/>
              </w:rPr>
              <w:t>我们对“微创颅脑手术”和“重症头部外伤”、“硬脑膜下血肿手术”三项中的其中一项承担保险责任，给付其中一项保险金后，对其他两项特</w:t>
            </w:r>
            <w:r>
              <w:rPr>
                <w:b/>
                <w:spacing w:val="-10"/>
                <w:sz w:val="21"/>
              </w:rPr>
              <w:t>定疾病保险责任同时终止。</w:t>
            </w:r>
          </w:p>
        </w:tc>
      </w:tr>
      <w:tr>
        <w:trPr>
          <w:trHeight w:val="2808" w:hRule="atLeast"/>
        </w:trPr>
        <w:tc>
          <w:tcPr>
            <w:tcW w:w="599" w:type="dxa"/>
          </w:tcPr>
          <w:p>
            <w:pPr>
              <w:pStyle w:val="TableParagraph"/>
              <w:spacing w:before="38"/>
              <w:ind w:right="134"/>
              <w:jc w:val="right"/>
              <w:rPr>
                <w:rFonts w:ascii="Times New Roman"/>
                <w:sz w:val="21"/>
              </w:rPr>
            </w:pPr>
            <w:r>
              <w:rPr>
                <w:rFonts w:ascii="Times New Roman"/>
                <w:sz w:val="21"/>
              </w:rPr>
              <w:t>15.</w:t>
            </w:r>
          </w:p>
        </w:tc>
        <w:tc>
          <w:tcPr>
            <w:tcW w:w="2471" w:type="dxa"/>
          </w:tcPr>
          <w:p>
            <w:pPr>
              <w:pStyle w:val="TableParagraph"/>
              <w:spacing w:line="273" w:lineRule="auto"/>
              <w:ind w:left="134" w:right="201"/>
              <w:rPr>
                <w:sz w:val="21"/>
              </w:rPr>
            </w:pPr>
            <w:r>
              <w:rPr>
                <w:sz w:val="21"/>
              </w:rPr>
              <w:t>脑垂体瘤、脑囊肿、脑动脉瘤及脑血管瘤</w:t>
            </w:r>
          </w:p>
        </w:tc>
        <w:tc>
          <w:tcPr>
            <w:tcW w:w="7020" w:type="dxa"/>
          </w:tcPr>
          <w:p>
            <w:pPr>
              <w:pStyle w:val="TableParagraph"/>
              <w:spacing w:line="256" w:lineRule="auto"/>
              <w:ind w:left="248" w:right="199"/>
              <w:rPr>
                <w:sz w:val="21"/>
              </w:rPr>
            </w:pPr>
            <w:r>
              <w:rPr>
                <w:spacing w:val="-6"/>
                <w:w w:val="100"/>
                <w:sz w:val="21"/>
              </w:rPr>
              <w:t>指经头颅断层扫描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0"/>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22"/>
                <w:w w:val="100"/>
                <w:sz w:val="21"/>
              </w:rPr>
              <w:t>）</w:t>
            </w:r>
            <w:r>
              <w:rPr>
                <w:spacing w:val="-3"/>
                <w:w w:val="100"/>
                <w:sz w:val="21"/>
              </w:rPr>
              <w:t>或者其他影像学检查被</w:t>
            </w:r>
            <w:r>
              <w:rPr>
                <w:spacing w:val="-3"/>
                <w:sz w:val="21"/>
              </w:rPr>
              <w:t>确诊为下列病变，并实际接受了手术或者放射治疗。</w:t>
            </w:r>
          </w:p>
          <w:p>
            <w:pPr>
              <w:pStyle w:val="TableParagraph"/>
              <w:spacing w:before="31"/>
              <w:ind w:left="248"/>
              <w:rPr>
                <w:sz w:val="21"/>
              </w:rPr>
            </w:pPr>
            <w:r>
              <w:rPr>
                <w:rFonts w:ascii="Times New Roman" w:eastAsia="Times New Roman"/>
                <w:sz w:val="21"/>
              </w:rPr>
              <w:t>1</w:t>
            </w:r>
            <w:r>
              <w:rPr>
                <w:sz w:val="21"/>
              </w:rPr>
              <w:t>．脑垂体瘤；</w:t>
            </w:r>
          </w:p>
          <w:p>
            <w:pPr>
              <w:pStyle w:val="TableParagraph"/>
              <w:spacing w:before="21"/>
              <w:ind w:left="248"/>
              <w:rPr>
                <w:sz w:val="21"/>
              </w:rPr>
            </w:pPr>
            <w:r>
              <w:rPr>
                <w:rFonts w:ascii="Times New Roman" w:eastAsia="Times New Roman"/>
                <w:sz w:val="21"/>
              </w:rPr>
              <w:t>2</w:t>
            </w:r>
            <w:r>
              <w:rPr>
                <w:sz w:val="21"/>
              </w:rPr>
              <w:t>．脑囊肿；</w:t>
            </w:r>
          </w:p>
          <w:p>
            <w:pPr>
              <w:pStyle w:val="TableParagraph"/>
              <w:spacing w:before="22"/>
              <w:ind w:left="248"/>
              <w:rPr>
                <w:sz w:val="21"/>
              </w:rPr>
            </w:pPr>
            <w:r>
              <w:rPr>
                <w:rFonts w:ascii="Times New Roman" w:eastAsia="Times New Roman"/>
                <w:sz w:val="21"/>
              </w:rPr>
              <w:t>3</w:t>
            </w:r>
            <w:r>
              <w:rPr>
                <w:sz w:val="21"/>
              </w:rPr>
              <w:t>．脑动脉瘤、脑血管瘤。</w:t>
            </w:r>
          </w:p>
          <w:p>
            <w:pPr>
              <w:pStyle w:val="TableParagraph"/>
              <w:spacing w:line="312" w:lineRule="exact" w:before="17"/>
              <w:ind w:left="248" w:right="203"/>
              <w:jc w:val="both"/>
              <w:rPr>
                <w:b/>
                <w:sz w:val="21"/>
              </w:rPr>
            </w:pPr>
            <w:r>
              <w:rPr>
                <w:b/>
                <w:spacing w:val="-8"/>
                <w:sz w:val="21"/>
              </w:rPr>
              <w:t>我们对“脑动脉瘤夹闭手术或栓塞手术”和“微创颅脑手术”、“脑垂体</w:t>
            </w:r>
            <w:r>
              <w:rPr>
                <w:b/>
                <w:spacing w:val="-18"/>
                <w:sz w:val="21"/>
              </w:rPr>
              <w:t>瘤、脑囊肿、脑动脉瘤及脑血管瘤”、“植入大脑内分流器”四项中的其中一项承担保险责任，给付其中一项保险金后，对其他三项特定疾病保险责任同时终止。</w:t>
            </w:r>
          </w:p>
        </w:tc>
      </w:tr>
      <w:tr>
        <w:trPr>
          <w:trHeight w:val="578" w:hRule="atLeast"/>
        </w:trPr>
        <w:tc>
          <w:tcPr>
            <w:tcW w:w="599" w:type="dxa"/>
          </w:tcPr>
          <w:p>
            <w:pPr>
              <w:pStyle w:val="TableParagraph"/>
              <w:spacing w:before="38"/>
              <w:ind w:right="134"/>
              <w:jc w:val="right"/>
              <w:rPr>
                <w:rFonts w:ascii="Times New Roman"/>
                <w:sz w:val="21"/>
              </w:rPr>
            </w:pPr>
            <w:r>
              <w:rPr>
                <w:rFonts w:ascii="Times New Roman"/>
                <w:sz w:val="21"/>
              </w:rPr>
              <w:t>16.</w:t>
            </w:r>
          </w:p>
        </w:tc>
        <w:tc>
          <w:tcPr>
            <w:tcW w:w="2471" w:type="dxa"/>
          </w:tcPr>
          <w:p>
            <w:pPr>
              <w:pStyle w:val="TableParagraph"/>
              <w:spacing w:line="266" w:lineRule="exact"/>
              <w:ind w:left="134"/>
              <w:rPr>
                <w:sz w:val="21"/>
              </w:rPr>
            </w:pPr>
            <w:r>
              <w:rPr>
                <w:sz w:val="21"/>
              </w:rPr>
              <w:t>植入大脑内分流器</w:t>
            </w:r>
          </w:p>
        </w:tc>
        <w:tc>
          <w:tcPr>
            <w:tcW w:w="7020" w:type="dxa"/>
          </w:tcPr>
          <w:p>
            <w:pPr>
              <w:pStyle w:val="TableParagraph"/>
              <w:spacing w:line="266" w:lineRule="exact"/>
              <w:ind w:left="248"/>
              <w:rPr>
                <w:sz w:val="21"/>
              </w:rPr>
            </w:pPr>
            <w:r>
              <w:rPr>
                <w:sz w:val="21"/>
              </w:rPr>
              <w:t>指确实在脑室进行分流器植入手术，以缓解升高的脑脊液压力。必须由</w:t>
            </w:r>
          </w:p>
          <w:p>
            <w:pPr>
              <w:pStyle w:val="TableParagraph"/>
              <w:spacing w:line="255" w:lineRule="exact" w:before="37"/>
              <w:ind w:left="248"/>
              <w:rPr>
                <w:sz w:val="21"/>
              </w:rPr>
            </w:pPr>
            <w:r>
              <w:rPr>
                <w:sz w:val="21"/>
              </w:rPr>
              <w:t>脑神经专科医生证实植入分流器为医疗所需。</w:t>
            </w:r>
          </w:p>
        </w:tc>
      </w:tr>
    </w:tbl>
    <w:p>
      <w:pPr>
        <w:pStyle w:val="BodyText"/>
        <w:spacing w:before="12"/>
        <w:ind w:left="0"/>
        <w:rPr>
          <w:rFonts w:ascii="楷体"/>
          <w:sz w:val="29"/>
        </w:rPr>
      </w:pPr>
      <w:r>
        <w:rPr/>
        <w:pict>
          <v:line style="position:absolute;mso-position-horizontal-relative:page;mso-position-vertical-relative:paragraph;z-index:1288;mso-wrap-distance-left:0;mso-wrap-distance-right:0" from="53.880001pt,21.780853pt" to="197.930001pt,21.780853pt" stroked="true" strokeweight=".47998pt" strokecolor="#000000">
            <v:stroke dashstyle="solid"/>
            <w10:wrap type="topAndBottom"/>
          </v:line>
        </w:pict>
      </w:r>
    </w:p>
    <w:p>
      <w:pPr>
        <w:pStyle w:val="BodyText"/>
        <w:spacing w:line="223" w:lineRule="auto" w:before="55"/>
        <w:ind w:left="317" w:right="112"/>
        <w:rPr>
          <w:rFonts w:ascii="楷体" w:eastAsia="楷体" w:hint="eastAsia"/>
        </w:rPr>
      </w:pPr>
      <w:r>
        <w:rPr>
          <w:rFonts w:ascii="Times New Roman" w:eastAsia="Times New Roman"/>
          <w:position w:val="10"/>
          <w:sz w:val="14"/>
        </w:rPr>
        <w:t>30</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820" w:left="76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82"/>
        <w:gridCol w:w="7046"/>
      </w:tblGrid>
      <w:tr>
        <w:trPr>
          <w:trHeight w:val="1505" w:hRule="atLeast"/>
        </w:trPr>
        <w:tc>
          <w:tcPr>
            <w:tcW w:w="599" w:type="dxa"/>
          </w:tcPr>
          <w:p>
            <w:pPr>
              <w:pStyle w:val="TableParagraph"/>
              <w:rPr>
                <w:rFonts w:ascii="Times New Roman"/>
                <w:sz w:val="20"/>
              </w:rPr>
            </w:pPr>
          </w:p>
        </w:tc>
        <w:tc>
          <w:tcPr>
            <w:tcW w:w="2482" w:type="dxa"/>
          </w:tcPr>
          <w:p>
            <w:pPr>
              <w:pStyle w:val="TableParagraph"/>
              <w:rPr>
                <w:rFonts w:ascii="Times New Roman"/>
                <w:sz w:val="20"/>
              </w:rPr>
            </w:pPr>
          </w:p>
        </w:tc>
        <w:tc>
          <w:tcPr>
            <w:tcW w:w="7046" w:type="dxa"/>
          </w:tcPr>
          <w:p>
            <w:pPr>
              <w:pStyle w:val="TableParagraph"/>
              <w:spacing w:line="202" w:lineRule="exact"/>
              <w:ind w:left="237"/>
              <w:rPr>
                <w:b/>
                <w:sz w:val="21"/>
              </w:rPr>
            </w:pPr>
            <w:r>
              <w:rPr>
                <w:b/>
                <w:sz w:val="21"/>
              </w:rPr>
              <w:t>先天性脑积水不在保障范围内。</w:t>
            </w:r>
          </w:p>
          <w:p>
            <w:pPr>
              <w:pStyle w:val="TableParagraph"/>
              <w:spacing w:line="273" w:lineRule="auto" w:before="37"/>
              <w:ind w:left="237" w:right="240"/>
              <w:jc w:val="both"/>
              <w:rPr>
                <w:b/>
                <w:sz w:val="21"/>
              </w:rPr>
            </w:pPr>
            <w:r>
              <w:rPr>
                <w:b/>
                <w:spacing w:val="-8"/>
                <w:sz w:val="21"/>
              </w:rPr>
              <w:t>我们对“脑动脉瘤夹闭手术或栓塞手术”和“微创颅脑手术”、“脑垂体</w:t>
            </w:r>
            <w:r>
              <w:rPr>
                <w:b/>
                <w:spacing w:val="-18"/>
                <w:sz w:val="21"/>
              </w:rPr>
              <w:t>瘤、脑囊肿、脑动脉瘤及脑血管瘤”、“植入大脑内分流器”四项中的其中一项承担保险责任，给付其中一项保险金后，对其他三项特定疾病保险责任同时终止。</w:t>
            </w:r>
          </w:p>
        </w:tc>
      </w:tr>
      <w:tr>
        <w:trPr>
          <w:trHeight w:val="3432" w:hRule="atLeast"/>
        </w:trPr>
        <w:tc>
          <w:tcPr>
            <w:tcW w:w="599" w:type="dxa"/>
          </w:tcPr>
          <w:p>
            <w:pPr>
              <w:pStyle w:val="TableParagraph"/>
              <w:spacing w:before="29"/>
              <w:ind w:right="134"/>
              <w:jc w:val="right"/>
              <w:rPr>
                <w:rFonts w:ascii="Times New Roman"/>
                <w:sz w:val="21"/>
              </w:rPr>
            </w:pPr>
            <w:r>
              <w:rPr>
                <w:rFonts w:ascii="Times New Roman"/>
                <w:sz w:val="21"/>
              </w:rPr>
              <w:t>17.</w:t>
            </w:r>
          </w:p>
        </w:tc>
        <w:tc>
          <w:tcPr>
            <w:tcW w:w="2482" w:type="dxa"/>
          </w:tcPr>
          <w:p>
            <w:pPr>
              <w:pStyle w:val="TableParagraph"/>
              <w:spacing w:line="257" w:lineRule="exact"/>
              <w:ind w:left="134"/>
              <w:rPr>
                <w:sz w:val="21"/>
              </w:rPr>
            </w:pPr>
            <w:r>
              <w:rPr>
                <w:sz w:val="21"/>
              </w:rPr>
              <w:t>重症头部外伤</w:t>
            </w:r>
          </w:p>
        </w:tc>
        <w:tc>
          <w:tcPr>
            <w:tcW w:w="7046" w:type="dxa"/>
          </w:tcPr>
          <w:p>
            <w:pPr>
              <w:pStyle w:val="TableParagraph"/>
              <w:spacing w:line="273" w:lineRule="exact"/>
              <w:ind w:left="237"/>
              <w:rPr>
                <w:sz w:val="21"/>
              </w:rPr>
            </w:pPr>
            <w:r>
              <w:rPr>
                <w:sz w:val="21"/>
              </w:rPr>
              <w:t>指因头部遭受机械性外力伤害，引起脑重要部位损伤，并且由头颅 </w:t>
            </w:r>
            <w:r>
              <w:rPr>
                <w:rFonts w:ascii="Times New Roman" w:eastAsia="Times New Roman"/>
                <w:sz w:val="21"/>
              </w:rPr>
              <w:t>X </w:t>
            </w:r>
            <w:r>
              <w:rPr>
                <w:sz w:val="21"/>
              </w:rPr>
              <w:t>线</w:t>
            </w:r>
          </w:p>
          <w:p>
            <w:pPr>
              <w:pStyle w:val="TableParagraph"/>
              <w:spacing w:line="264" w:lineRule="auto" w:before="21"/>
              <w:ind w:left="237" w:right="198"/>
              <w:jc w:val="both"/>
              <w:rPr>
                <w:sz w:val="21"/>
              </w:rPr>
            </w:pPr>
            <w:r>
              <w:rPr>
                <w:spacing w:val="-1"/>
                <w:w w:val="100"/>
                <w:sz w:val="21"/>
              </w:rPr>
              <w:t>断层扫描</w:t>
            </w:r>
            <w:r>
              <w:rPr>
                <w:spacing w:val="-3"/>
                <w:w w:val="100"/>
                <w:sz w:val="21"/>
              </w:rPr>
              <w:t>（</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3"/>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w w:val="100"/>
                <w:sz w:val="21"/>
              </w:rPr>
              <w:t>）</w:t>
            </w:r>
            <w:r>
              <w:rPr>
                <w:spacing w:val="-3"/>
                <w:w w:val="100"/>
                <w:sz w:val="21"/>
              </w:rPr>
              <w:t>或正电子发射断层扫描（</w:t>
            </w:r>
            <w:r>
              <w:rPr>
                <w:rFonts w:ascii="Times New Roman" w:hAnsi="Times New Roman" w:eastAsia="Times New Roman"/>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w w:val="100"/>
                <w:sz w:val="21"/>
              </w:rPr>
              <w:t>）</w:t>
            </w:r>
            <w:r>
              <w:rPr>
                <w:sz w:val="21"/>
              </w:rPr>
              <w:t>等影像学检查证实。头部外伤导致神经系统功能障碍，未达到本合同所</w:t>
            </w:r>
            <w:r>
              <w:rPr>
                <w:spacing w:val="-3"/>
                <w:sz w:val="21"/>
              </w:rPr>
              <w:t>指重大疾病“严重脑损伤”的给付标准，但是符合以下条件之一：</w:t>
            </w:r>
          </w:p>
          <w:p>
            <w:pPr>
              <w:pStyle w:val="TableParagraph"/>
              <w:spacing w:line="256" w:lineRule="auto" w:before="16"/>
              <w:ind w:left="237" w:right="245"/>
              <w:jc w:val="both"/>
              <w:rPr>
                <w:sz w:val="21"/>
              </w:rPr>
            </w:pPr>
            <w:r>
              <w:rPr>
                <w:spacing w:val="2"/>
                <w:sz w:val="21"/>
              </w:rPr>
              <w:t>（</w:t>
            </w:r>
            <w:r>
              <w:rPr>
                <w:rFonts w:ascii="Times New Roman" w:eastAsia="Times New Roman"/>
                <w:spacing w:val="2"/>
                <w:sz w:val="21"/>
              </w:rPr>
              <w:t>1</w:t>
            </w:r>
            <w:r>
              <w:rPr>
                <w:spacing w:val="2"/>
                <w:sz w:val="21"/>
              </w:rPr>
              <w:t>）</w:t>
            </w:r>
            <w:r>
              <w:rPr>
                <w:sz w:val="21"/>
              </w:rPr>
              <w:t>被保险人接受了全麻下颅骨切开颅内血肿清除术</w:t>
            </w:r>
            <w:r>
              <w:rPr>
                <w:spacing w:val="2"/>
                <w:sz w:val="21"/>
              </w:rPr>
              <w:t>（</w:t>
            </w:r>
            <w:r>
              <w:rPr>
                <w:sz w:val="21"/>
              </w:rPr>
              <w:t>颅骨钻孔术除</w:t>
            </w:r>
            <w:r>
              <w:rPr>
                <w:w w:val="100"/>
                <w:sz w:val="21"/>
              </w:rPr>
              <w:t>外</w:t>
            </w:r>
            <w:r>
              <w:rPr>
                <w:spacing w:val="-106"/>
                <w:w w:val="100"/>
                <w:sz w:val="21"/>
              </w:rPr>
              <w:t>）</w:t>
            </w:r>
            <w:r>
              <w:rPr>
                <w:w w:val="100"/>
                <w:sz w:val="21"/>
              </w:rPr>
              <w:t>；</w:t>
            </w:r>
          </w:p>
          <w:p>
            <w:pPr>
              <w:pStyle w:val="TableParagraph"/>
              <w:spacing w:line="259" w:lineRule="auto" w:before="22"/>
              <w:ind w:left="237" w:right="240"/>
              <w:jc w:val="both"/>
              <w:rPr>
                <w:sz w:val="21"/>
              </w:rPr>
            </w:pPr>
            <w:r>
              <w:rPr>
                <w:sz w:val="21"/>
              </w:rPr>
              <w:t>（</w:t>
            </w:r>
            <w:r>
              <w:rPr>
                <w:rFonts w:ascii="Times New Roman" w:eastAsia="Times New Roman"/>
                <w:sz w:val="21"/>
              </w:rPr>
              <w:t>2</w:t>
            </w:r>
            <w:r>
              <w:rPr>
                <w:sz w:val="21"/>
              </w:rPr>
              <w:t>）</w:t>
            </w:r>
            <w:r>
              <w:rPr>
                <w:spacing w:val="-10"/>
                <w:sz w:val="21"/>
              </w:rPr>
              <w:t>在外伤 </w:t>
            </w:r>
            <w:r>
              <w:rPr>
                <w:rFonts w:ascii="Times New Roman" w:eastAsia="Times New Roman"/>
                <w:sz w:val="21"/>
              </w:rPr>
              <w:t>180 </w:t>
            </w:r>
            <w:r>
              <w:rPr>
                <w:spacing w:val="-5"/>
                <w:sz w:val="21"/>
              </w:rPr>
              <w:t>天后仍然遗留一肢或一肢以上肢体肌力 </w:t>
            </w:r>
            <w:r>
              <w:rPr>
                <w:rFonts w:ascii="Times New Roman" w:eastAsia="Times New Roman"/>
                <w:sz w:val="21"/>
              </w:rPr>
              <w:t>II </w:t>
            </w:r>
            <w:r>
              <w:rPr>
                <w:spacing w:val="-11"/>
                <w:sz w:val="21"/>
              </w:rPr>
              <w:t>级或 </w:t>
            </w:r>
            <w:r>
              <w:rPr>
                <w:rFonts w:ascii="Times New Roman" w:eastAsia="Times New Roman"/>
                <w:sz w:val="21"/>
              </w:rPr>
              <w:t>II </w:t>
            </w:r>
            <w:r>
              <w:rPr>
                <w:sz w:val="21"/>
              </w:rPr>
              <w:t>级以</w:t>
            </w:r>
            <w:r>
              <w:rPr>
                <w:spacing w:val="-3"/>
                <w:sz w:val="21"/>
              </w:rPr>
              <w:t>下的运动功能障碍。</w:t>
            </w:r>
          </w:p>
          <w:p>
            <w:pPr>
              <w:pStyle w:val="TableParagraph"/>
              <w:spacing w:line="273" w:lineRule="auto" w:before="19"/>
              <w:ind w:left="237" w:right="240"/>
              <w:jc w:val="both"/>
              <w:rPr>
                <w:b/>
                <w:sz w:val="21"/>
              </w:rPr>
            </w:pPr>
            <w:r>
              <w:rPr>
                <w:b/>
                <w:spacing w:val="-11"/>
                <w:sz w:val="21"/>
              </w:rPr>
              <w:t>我们对“微创颅脑手术”和“重症头部外伤”、“硬脑膜下血肿手术”三项中的其中一项承担保险责任，给付其中一项保险金后，对其他两项特</w:t>
            </w:r>
            <w:r>
              <w:rPr>
                <w:b/>
                <w:spacing w:val="-10"/>
                <w:sz w:val="21"/>
              </w:rPr>
              <w:t>定疾病保险责任同时终止。</w:t>
            </w:r>
          </w:p>
        </w:tc>
      </w:tr>
      <w:tr>
        <w:trPr>
          <w:trHeight w:val="1872" w:hRule="atLeast"/>
        </w:trPr>
        <w:tc>
          <w:tcPr>
            <w:tcW w:w="599" w:type="dxa"/>
          </w:tcPr>
          <w:p>
            <w:pPr>
              <w:pStyle w:val="TableParagraph"/>
              <w:spacing w:before="29"/>
              <w:ind w:right="134"/>
              <w:jc w:val="right"/>
              <w:rPr>
                <w:rFonts w:ascii="Times New Roman"/>
                <w:sz w:val="21"/>
              </w:rPr>
            </w:pPr>
            <w:r>
              <w:rPr>
                <w:rFonts w:ascii="Times New Roman"/>
                <w:sz w:val="21"/>
              </w:rPr>
              <w:t>18.</w:t>
            </w:r>
          </w:p>
        </w:tc>
        <w:tc>
          <w:tcPr>
            <w:tcW w:w="2482" w:type="dxa"/>
          </w:tcPr>
          <w:p>
            <w:pPr>
              <w:pStyle w:val="TableParagraph"/>
              <w:spacing w:line="257" w:lineRule="exact"/>
              <w:ind w:left="134"/>
              <w:rPr>
                <w:sz w:val="21"/>
              </w:rPr>
            </w:pPr>
            <w:r>
              <w:rPr>
                <w:sz w:val="21"/>
              </w:rPr>
              <w:t>硬脑膜下血肿手术</w:t>
            </w:r>
          </w:p>
        </w:tc>
        <w:tc>
          <w:tcPr>
            <w:tcW w:w="7046" w:type="dxa"/>
          </w:tcPr>
          <w:p>
            <w:pPr>
              <w:pStyle w:val="TableParagraph"/>
              <w:spacing w:line="257" w:lineRule="exact"/>
              <w:ind w:left="237"/>
              <w:rPr>
                <w:sz w:val="21"/>
              </w:rPr>
            </w:pPr>
            <w:r>
              <w:rPr>
                <w:sz w:val="21"/>
              </w:rPr>
              <w:t>为清除或引流因意外导致的血肿，需于头部进行开颅或钻孔手术。</w:t>
            </w:r>
          </w:p>
          <w:p>
            <w:pPr>
              <w:pStyle w:val="TableParagraph"/>
              <w:spacing w:line="273" w:lineRule="auto" w:before="37"/>
              <w:ind w:left="237" w:right="238"/>
              <w:jc w:val="both"/>
              <w:rPr>
                <w:sz w:val="21"/>
              </w:rPr>
            </w:pPr>
            <w:r>
              <w:rPr>
                <w:sz w:val="21"/>
              </w:rPr>
              <w:t>开颅或钻孔手术必须在我们认可医院内由专科医生认为是医疗必须的情况下进行。</w:t>
            </w:r>
          </w:p>
          <w:p>
            <w:pPr>
              <w:pStyle w:val="TableParagraph"/>
              <w:spacing w:line="273" w:lineRule="auto" w:before="7"/>
              <w:ind w:left="237" w:right="240"/>
              <w:jc w:val="both"/>
              <w:rPr>
                <w:b/>
                <w:sz w:val="21"/>
              </w:rPr>
            </w:pPr>
            <w:r>
              <w:rPr>
                <w:b/>
                <w:spacing w:val="-11"/>
                <w:sz w:val="21"/>
              </w:rPr>
              <w:t>我们对“微创颅脑手术”和“重症头部外伤”、“硬脑膜下血肿手术”三项中的其中一项承担保险责任，给付其中一项保险金后，对其他两项特</w:t>
            </w:r>
            <w:r>
              <w:rPr>
                <w:b/>
                <w:spacing w:val="-10"/>
                <w:sz w:val="21"/>
              </w:rPr>
              <w:t>定疾病保险责任同时终止。</w:t>
            </w:r>
          </w:p>
        </w:tc>
      </w:tr>
      <w:tr>
        <w:trPr>
          <w:trHeight w:val="1872" w:hRule="atLeast"/>
        </w:trPr>
        <w:tc>
          <w:tcPr>
            <w:tcW w:w="599" w:type="dxa"/>
          </w:tcPr>
          <w:p>
            <w:pPr>
              <w:pStyle w:val="TableParagraph"/>
              <w:spacing w:before="29"/>
              <w:ind w:right="134"/>
              <w:jc w:val="right"/>
              <w:rPr>
                <w:rFonts w:ascii="Times New Roman"/>
                <w:sz w:val="21"/>
              </w:rPr>
            </w:pPr>
            <w:r>
              <w:rPr>
                <w:rFonts w:ascii="Times New Roman"/>
                <w:sz w:val="21"/>
              </w:rPr>
              <w:t>19.</w:t>
            </w:r>
          </w:p>
        </w:tc>
        <w:tc>
          <w:tcPr>
            <w:tcW w:w="2482" w:type="dxa"/>
          </w:tcPr>
          <w:p>
            <w:pPr>
              <w:pStyle w:val="TableParagraph"/>
              <w:spacing w:line="257" w:lineRule="exact"/>
              <w:ind w:left="134"/>
              <w:rPr>
                <w:sz w:val="21"/>
              </w:rPr>
            </w:pPr>
            <w:r>
              <w:rPr>
                <w:sz w:val="21"/>
              </w:rPr>
              <w:t>中度重症肌无力</w:t>
            </w:r>
          </w:p>
        </w:tc>
        <w:tc>
          <w:tcPr>
            <w:tcW w:w="7046" w:type="dxa"/>
          </w:tcPr>
          <w:p>
            <w:pPr>
              <w:pStyle w:val="TableParagraph"/>
              <w:spacing w:line="257" w:lineRule="exact"/>
              <w:ind w:left="237"/>
              <w:rPr>
                <w:sz w:val="21"/>
              </w:rPr>
            </w:pPr>
            <w:r>
              <w:rPr>
                <w:sz w:val="21"/>
              </w:rPr>
              <w:t>是一种神经与肌肉接头部位传递障碍的自身免疫性疾病，临床特征是局</w:t>
            </w:r>
          </w:p>
          <w:p>
            <w:pPr>
              <w:pStyle w:val="TableParagraph"/>
              <w:spacing w:line="268" w:lineRule="auto" w:before="37"/>
              <w:ind w:left="237" w:right="236"/>
              <w:jc w:val="both"/>
              <w:rPr>
                <w:sz w:val="21"/>
              </w:rPr>
            </w:pPr>
            <w:r>
              <w:rPr>
                <w:sz w:val="21"/>
              </w:rPr>
              <w:t>部或全身横纹肌于活动时易于疲劳无力，颅神经眼外肌最易累及，也可涉及呼吸肌、下肢近端肌群以至全身肌肉。该病必须由我们认可医院的专科医生明确诊断，且疾病确诊 </w:t>
            </w:r>
            <w:r>
              <w:rPr>
                <w:rFonts w:ascii="Times New Roman" w:hAnsi="Times New Roman" w:eastAsia="Times New Roman"/>
                <w:sz w:val="21"/>
              </w:rPr>
              <w:t>180 </w:t>
            </w:r>
            <w:r>
              <w:rPr>
                <w:sz w:val="21"/>
              </w:rPr>
              <w:t>天后，仍然存在自主生活能力部分丧失，无法独立完成六项基本日常生活活动中的两项，但未达到本合同所指重大疾病“全身性（型）重症肌无力”的标准。</w:t>
            </w:r>
          </w:p>
        </w:tc>
      </w:tr>
      <w:tr>
        <w:trPr>
          <w:trHeight w:val="3432" w:hRule="atLeast"/>
        </w:trPr>
        <w:tc>
          <w:tcPr>
            <w:tcW w:w="599" w:type="dxa"/>
          </w:tcPr>
          <w:p>
            <w:pPr>
              <w:pStyle w:val="TableParagraph"/>
              <w:spacing w:before="29"/>
              <w:ind w:right="132"/>
              <w:jc w:val="right"/>
              <w:rPr>
                <w:rFonts w:ascii="Times New Roman"/>
                <w:sz w:val="21"/>
              </w:rPr>
            </w:pPr>
            <w:r>
              <w:rPr>
                <w:rFonts w:ascii="Times New Roman"/>
                <w:sz w:val="21"/>
              </w:rPr>
              <w:t>20.</w:t>
            </w:r>
          </w:p>
        </w:tc>
        <w:tc>
          <w:tcPr>
            <w:tcW w:w="2482" w:type="dxa"/>
          </w:tcPr>
          <w:p>
            <w:pPr>
              <w:pStyle w:val="TableParagraph"/>
              <w:spacing w:line="257" w:lineRule="exact"/>
              <w:ind w:left="134"/>
              <w:rPr>
                <w:b/>
                <w:sz w:val="21"/>
              </w:rPr>
            </w:pPr>
            <w:r>
              <w:rPr>
                <w:sz w:val="21"/>
              </w:rPr>
              <w:t>视力严重受损－ </w:t>
            </w:r>
            <w:r>
              <w:rPr>
                <w:b/>
                <w:sz w:val="21"/>
              </w:rPr>
              <w:t>三周</w:t>
            </w:r>
          </w:p>
          <w:p>
            <w:pPr>
              <w:pStyle w:val="TableParagraph"/>
              <w:spacing w:before="37"/>
              <w:ind w:left="134"/>
              <w:rPr>
                <w:b/>
                <w:sz w:val="21"/>
              </w:rPr>
            </w:pPr>
            <w:r>
              <w:rPr>
                <w:b/>
                <w:sz w:val="21"/>
              </w:rPr>
              <w:t>岁始理赔</w:t>
            </w:r>
          </w:p>
        </w:tc>
        <w:tc>
          <w:tcPr>
            <w:tcW w:w="7046" w:type="dxa"/>
          </w:tcPr>
          <w:p>
            <w:pPr>
              <w:pStyle w:val="TableParagraph"/>
              <w:spacing w:line="257" w:lineRule="exact"/>
              <w:ind w:left="237"/>
              <w:rPr>
                <w:sz w:val="21"/>
              </w:rPr>
            </w:pPr>
            <w:r>
              <w:rPr>
                <w:sz w:val="21"/>
              </w:rPr>
              <w:t>指因疾病或者意外伤害导致双眼视力永久不可逆性丧失，虽然未达到本</w:t>
            </w:r>
          </w:p>
          <w:p>
            <w:pPr>
              <w:pStyle w:val="TableParagraph"/>
              <w:spacing w:line="273" w:lineRule="auto" w:before="37"/>
              <w:ind w:left="237" w:right="240"/>
              <w:jc w:val="both"/>
              <w:rPr>
                <w:sz w:val="21"/>
              </w:rPr>
            </w:pPr>
            <w:r>
              <w:rPr>
                <w:sz w:val="21"/>
              </w:rPr>
              <w:t>合同所指重大疾病“双目失明－</w:t>
            </w:r>
            <w:r>
              <w:rPr>
                <w:b/>
                <w:sz w:val="21"/>
              </w:rPr>
              <w:t>三周岁始理赔</w:t>
            </w:r>
            <w:r>
              <w:rPr>
                <w:sz w:val="21"/>
              </w:rPr>
              <w:t>”的给付标准，但满足下列条件之一：</w:t>
            </w:r>
          </w:p>
          <w:p>
            <w:pPr>
              <w:pStyle w:val="TableParagraph"/>
              <w:spacing w:line="256" w:lineRule="auto" w:before="7"/>
              <w:ind w:left="237" w:right="236"/>
              <w:jc w:val="both"/>
              <w:rPr>
                <w:sz w:val="21"/>
              </w:rPr>
            </w:pPr>
            <w:r>
              <w:rPr>
                <w:rFonts w:ascii="Times New Roman" w:eastAsia="Times New Roman"/>
                <w:sz w:val="21"/>
              </w:rPr>
              <w:t>1</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22"/>
              <w:ind w:left="237"/>
              <w:rPr>
                <w:sz w:val="21"/>
              </w:rPr>
            </w:pP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273" w:lineRule="auto" w:before="22"/>
              <w:ind w:left="237" w:right="242"/>
              <w:rPr>
                <w:b/>
                <w:sz w:val="21"/>
              </w:rPr>
            </w:pPr>
            <w:r>
              <w:rPr>
                <w:b/>
                <w:sz w:val="21"/>
              </w:rPr>
              <w:t>被保险人申请理赔时年龄必须在三周岁以上，并且提供理赔当时的视力丧失诊断及检查证据。</w:t>
            </w:r>
          </w:p>
          <w:p>
            <w:pPr>
              <w:pStyle w:val="TableParagraph"/>
              <w:spacing w:line="273" w:lineRule="auto" w:before="7"/>
              <w:ind w:left="237" w:right="242"/>
              <w:jc w:val="both"/>
              <w:rPr>
                <w:b/>
                <w:sz w:val="21"/>
              </w:rPr>
            </w:pPr>
            <w:r>
              <w:rPr>
                <w:b/>
                <w:spacing w:val="-15"/>
                <w:sz w:val="21"/>
              </w:rPr>
              <w:t>我们对“视力严重受损”、“单目失明”和“角膜移植”三项中的其中一项承担保险责任，给付其中一项保险金后，对其它两项特定疾病保险责任同时终止。</w:t>
            </w:r>
          </w:p>
        </w:tc>
      </w:tr>
      <w:tr>
        <w:trPr>
          <w:trHeight w:val="1530" w:hRule="atLeast"/>
        </w:trPr>
        <w:tc>
          <w:tcPr>
            <w:tcW w:w="599" w:type="dxa"/>
          </w:tcPr>
          <w:p>
            <w:pPr>
              <w:pStyle w:val="TableParagraph"/>
              <w:spacing w:before="29"/>
              <w:ind w:right="132"/>
              <w:jc w:val="right"/>
              <w:rPr>
                <w:rFonts w:ascii="Times New Roman"/>
                <w:sz w:val="21"/>
              </w:rPr>
            </w:pPr>
            <w:r>
              <w:rPr>
                <w:rFonts w:ascii="Times New Roman"/>
                <w:sz w:val="21"/>
              </w:rPr>
              <w:t>21.</w:t>
            </w:r>
          </w:p>
        </w:tc>
        <w:tc>
          <w:tcPr>
            <w:tcW w:w="2482" w:type="dxa"/>
          </w:tcPr>
          <w:p>
            <w:pPr>
              <w:pStyle w:val="TableParagraph"/>
              <w:spacing w:line="257" w:lineRule="exact"/>
              <w:ind w:left="134"/>
              <w:rPr>
                <w:b/>
                <w:sz w:val="21"/>
              </w:rPr>
            </w:pPr>
            <w:r>
              <w:rPr>
                <w:sz w:val="21"/>
              </w:rPr>
              <w:t>单目失明－ </w:t>
            </w:r>
            <w:r>
              <w:rPr>
                <w:b/>
                <w:sz w:val="21"/>
              </w:rPr>
              <w:t>三周岁始</w:t>
            </w:r>
          </w:p>
          <w:p>
            <w:pPr>
              <w:pStyle w:val="TableParagraph"/>
              <w:spacing w:before="37"/>
              <w:ind w:left="134"/>
              <w:rPr>
                <w:b/>
                <w:sz w:val="21"/>
              </w:rPr>
            </w:pPr>
            <w:r>
              <w:rPr>
                <w:b/>
                <w:sz w:val="21"/>
              </w:rPr>
              <w:t>理赔</w:t>
            </w:r>
          </w:p>
        </w:tc>
        <w:tc>
          <w:tcPr>
            <w:tcW w:w="7046" w:type="dxa"/>
          </w:tcPr>
          <w:p>
            <w:pPr>
              <w:pStyle w:val="TableParagraph"/>
              <w:spacing w:line="257" w:lineRule="exact"/>
              <w:ind w:left="237"/>
              <w:rPr>
                <w:sz w:val="21"/>
              </w:rPr>
            </w:pPr>
            <w:r>
              <w:rPr>
                <w:sz w:val="21"/>
              </w:rPr>
              <w:t>指因疾病或意外伤害导致单眼视力永久不可逆性丧失，但未达到本合同</w:t>
            </w:r>
          </w:p>
          <w:p>
            <w:pPr>
              <w:pStyle w:val="TableParagraph"/>
              <w:spacing w:line="273" w:lineRule="auto" w:before="37"/>
              <w:ind w:left="237" w:right="240"/>
              <w:rPr>
                <w:sz w:val="21"/>
              </w:rPr>
            </w:pPr>
            <w:r>
              <w:rPr>
                <w:sz w:val="21"/>
              </w:rPr>
              <w:t>所指重大疾病“双目失明－</w:t>
            </w:r>
            <w:r>
              <w:rPr>
                <w:b/>
                <w:sz w:val="21"/>
              </w:rPr>
              <w:t>三周岁始理赔</w:t>
            </w:r>
            <w:r>
              <w:rPr>
                <w:sz w:val="21"/>
              </w:rPr>
              <w:t>”或“失去一肢及一眼”的给付标准，患眼须满足下列至少一项条件：</w:t>
            </w:r>
          </w:p>
          <w:p>
            <w:pPr>
              <w:pStyle w:val="TableParagraph"/>
              <w:spacing w:before="7"/>
              <w:ind w:left="237"/>
              <w:rPr>
                <w:sz w:val="21"/>
              </w:rPr>
            </w:pPr>
            <w:r>
              <w:rPr>
                <w:rFonts w:ascii="Times New Roman" w:eastAsia="Times New Roman"/>
                <w:sz w:val="21"/>
              </w:rPr>
              <w:t>1</w:t>
            </w:r>
            <w:r>
              <w:rPr>
                <w:sz w:val="21"/>
              </w:rPr>
              <w:t>．眼球缺失或摘除；</w:t>
            </w:r>
          </w:p>
          <w:p>
            <w:pPr>
              <w:pStyle w:val="TableParagraph"/>
              <w:spacing w:line="280" w:lineRule="exact" w:before="20"/>
              <w:ind w:left="237"/>
              <w:rPr>
                <w:sz w:val="21"/>
              </w:rPr>
            </w:pP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（采用国际标准视力表，如果使用其它视力表应进</w:t>
            </w:r>
          </w:p>
        </w:tc>
      </w:tr>
    </w:tbl>
    <w:p>
      <w:pPr>
        <w:spacing w:after="0" w:line="280" w:lineRule="exact"/>
        <w:rPr>
          <w:sz w:val="21"/>
        </w:rPr>
        <w:sectPr>
          <w:pgSz w:w="11910" w:h="16160"/>
          <w:pgMar w:header="0" w:footer="631" w:top="1440" w:bottom="820" w:left="76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22"/>
        <w:gridCol w:w="7172"/>
      </w:tblGrid>
      <w:tr>
        <w:trPr>
          <w:trHeight w:val="2753" w:hRule="atLeast"/>
        </w:trPr>
        <w:tc>
          <w:tcPr>
            <w:tcW w:w="599" w:type="dxa"/>
          </w:tcPr>
          <w:p>
            <w:pPr>
              <w:pStyle w:val="TableParagraph"/>
              <w:rPr>
                <w:rFonts w:ascii="Times New Roman"/>
                <w:sz w:val="20"/>
              </w:rPr>
            </w:pPr>
          </w:p>
        </w:tc>
        <w:tc>
          <w:tcPr>
            <w:tcW w:w="2422" w:type="dxa"/>
          </w:tcPr>
          <w:p>
            <w:pPr>
              <w:pStyle w:val="TableParagraph"/>
              <w:rPr>
                <w:rFonts w:ascii="Times New Roman"/>
                <w:sz w:val="20"/>
              </w:rPr>
            </w:pPr>
          </w:p>
        </w:tc>
        <w:tc>
          <w:tcPr>
            <w:tcW w:w="7172" w:type="dxa"/>
          </w:tcPr>
          <w:p>
            <w:pPr>
              <w:pStyle w:val="TableParagraph"/>
              <w:spacing w:line="202" w:lineRule="exact"/>
              <w:ind w:left="297"/>
              <w:rPr>
                <w:sz w:val="21"/>
              </w:rPr>
            </w:pPr>
            <w:r>
              <w:rPr>
                <w:spacing w:val="-1"/>
                <w:w w:val="100"/>
                <w:sz w:val="21"/>
              </w:rPr>
              <w:t>行换算</w:t>
            </w:r>
            <w:r>
              <w:rPr>
                <w:spacing w:val="-106"/>
                <w:w w:val="100"/>
                <w:sz w:val="21"/>
              </w:rPr>
              <w:t>）</w:t>
            </w:r>
            <w:r>
              <w:rPr>
                <w:w w:val="100"/>
                <w:sz w:val="21"/>
              </w:rPr>
              <w:t>；</w:t>
            </w:r>
          </w:p>
          <w:p>
            <w:pPr>
              <w:pStyle w:val="TableParagraph"/>
              <w:spacing w:before="37"/>
              <w:ind w:left="297"/>
              <w:rPr>
                <w:sz w:val="21"/>
              </w:rPr>
            </w:pP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before="20"/>
              <w:ind w:left="297" w:right="305"/>
              <w:rPr>
                <w:sz w:val="21"/>
              </w:rPr>
            </w:pPr>
            <w:r>
              <w:rPr>
                <w:sz w:val="21"/>
              </w:rPr>
              <w:t>诊断须在我们认可的医院内由眼科专科医生确认，并且提供理赔当时的视力丧失诊断及检查证据。</w:t>
            </w:r>
          </w:p>
          <w:p>
            <w:pPr>
              <w:pStyle w:val="TableParagraph"/>
              <w:spacing w:line="273" w:lineRule="auto" w:before="7"/>
              <w:ind w:left="297" w:right="308"/>
              <w:rPr>
                <w:b/>
                <w:sz w:val="21"/>
              </w:rPr>
            </w:pPr>
            <w:r>
              <w:rPr>
                <w:b/>
                <w:sz w:val="21"/>
              </w:rPr>
              <w:t>被保险人申请理赔时年龄必须在三周岁以上，并且提供理赔当时的视力丧失诊断及检查证据。</w:t>
            </w:r>
          </w:p>
          <w:p>
            <w:pPr>
              <w:pStyle w:val="TableParagraph"/>
              <w:spacing w:line="273" w:lineRule="auto" w:before="7"/>
              <w:ind w:left="297" w:right="308"/>
              <w:jc w:val="both"/>
              <w:rPr>
                <w:b/>
                <w:sz w:val="21"/>
              </w:rPr>
            </w:pPr>
            <w:r>
              <w:rPr>
                <w:b/>
                <w:spacing w:val="-15"/>
                <w:sz w:val="21"/>
              </w:rPr>
              <w:t>我们对“视力严重受损”、“单目失明”和“角膜移植”三项中的其中一项承担保险责任，给付其中一项保险金后，对其它两项特定疾病保险责任同时终止。</w:t>
            </w:r>
          </w:p>
        </w:tc>
      </w:tr>
      <w:tr>
        <w:trPr>
          <w:trHeight w:val="1872" w:hRule="atLeast"/>
        </w:trPr>
        <w:tc>
          <w:tcPr>
            <w:tcW w:w="599" w:type="dxa"/>
          </w:tcPr>
          <w:p>
            <w:pPr>
              <w:pStyle w:val="TableParagraph"/>
              <w:spacing w:before="29"/>
              <w:ind w:right="132"/>
              <w:jc w:val="right"/>
              <w:rPr>
                <w:rFonts w:ascii="Times New Roman"/>
                <w:sz w:val="21"/>
              </w:rPr>
            </w:pPr>
            <w:r>
              <w:rPr>
                <w:rFonts w:ascii="Times New Roman"/>
                <w:sz w:val="21"/>
              </w:rPr>
              <w:t>22.</w:t>
            </w:r>
          </w:p>
        </w:tc>
        <w:tc>
          <w:tcPr>
            <w:tcW w:w="2422" w:type="dxa"/>
          </w:tcPr>
          <w:p>
            <w:pPr>
              <w:pStyle w:val="TableParagraph"/>
              <w:spacing w:line="257" w:lineRule="exact"/>
              <w:ind w:left="134"/>
              <w:rPr>
                <w:sz w:val="21"/>
              </w:rPr>
            </w:pPr>
            <w:r>
              <w:rPr>
                <w:sz w:val="21"/>
              </w:rPr>
              <w:t>角膜移植</w:t>
            </w:r>
          </w:p>
        </w:tc>
        <w:tc>
          <w:tcPr>
            <w:tcW w:w="7172" w:type="dxa"/>
          </w:tcPr>
          <w:p>
            <w:pPr>
              <w:pStyle w:val="TableParagraph"/>
              <w:spacing w:line="257" w:lineRule="exact"/>
              <w:ind w:left="297"/>
              <w:rPr>
                <w:sz w:val="21"/>
              </w:rPr>
            </w:pPr>
            <w:r>
              <w:rPr>
                <w:sz w:val="21"/>
              </w:rPr>
              <w:t>指为增进视力或治疗某些角膜疾患，已经实施了异体的角膜移植手术。</w:t>
            </w:r>
          </w:p>
          <w:p>
            <w:pPr>
              <w:pStyle w:val="TableParagraph"/>
              <w:spacing w:line="273" w:lineRule="auto" w:before="37"/>
              <w:ind w:left="297" w:right="311"/>
              <w:jc w:val="both"/>
              <w:rPr>
                <w:sz w:val="21"/>
              </w:rPr>
            </w:pPr>
            <w:r>
              <w:rPr>
                <w:sz w:val="21"/>
              </w:rPr>
              <w:t>此手术必须在我们认可医院内由专科医生认为是医疗必须的情况下进行。</w:t>
            </w:r>
          </w:p>
          <w:p>
            <w:pPr>
              <w:pStyle w:val="TableParagraph"/>
              <w:spacing w:line="273" w:lineRule="auto" w:before="8"/>
              <w:ind w:left="297" w:right="308"/>
              <w:jc w:val="both"/>
              <w:rPr>
                <w:b/>
                <w:sz w:val="21"/>
              </w:rPr>
            </w:pPr>
            <w:r>
              <w:rPr>
                <w:b/>
                <w:spacing w:val="-15"/>
                <w:sz w:val="21"/>
              </w:rPr>
              <w:t>我们对“视力严重受损”、“单目失明”和“角膜移植”三项中的其中一项承担保险责任，给付其中一项保险金后，对其它两项特定疾病保险责任同时终止。</w:t>
            </w:r>
          </w:p>
        </w:tc>
      </w:tr>
      <w:tr>
        <w:trPr>
          <w:trHeight w:val="624" w:hRule="atLeast"/>
        </w:trPr>
        <w:tc>
          <w:tcPr>
            <w:tcW w:w="599" w:type="dxa"/>
          </w:tcPr>
          <w:p>
            <w:pPr>
              <w:pStyle w:val="TableParagraph"/>
              <w:spacing w:before="29"/>
              <w:ind w:right="132"/>
              <w:jc w:val="right"/>
              <w:rPr>
                <w:rFonts w:ascii="Times New Roman"/>
                <w:sz w:val="21"/>
              </w:rPr>
            </w:pPr>
            <w:r>
              <w:rPr>
                <w:rFonts w:ascii="Times New Roman"/>
                <w:sz w:val="21"/>
              </w:rPr>
              <w:t>23.</w:t>
            </w:r>
          </w:p>
        </w:tc>
        <w:tc>
          <w:tcPr>
            <w:tcW w:w="2422" w:type="dxa"/>
          </w:tcPr>
          <w:p>
            <w:pPr>
              <w:pStyle w:val="TableParagraph"/>
              <w:spacing w:line="257" w:lineRule="exact"/>
              <w:ind w:left="134"/>
              <w:rPr>
                <w:sz w:val="21"/>
              </w:rPr>
            </w:pPr>
            <w:r>
              <w:rPr>
                <w:sz w:val="21"/>
              </w:rPr>
              <w:t>肾脏切除</w:t>
            </w:r>
          </w:p>
        </w:tc>
        <w:tc>
          <w:tcPr>
            <w:tcW w:w="7172" w:type="dxa"/>
          </w:tcPr>
          <w:p>
            <w:pPr>
              <w:pStyle w:val="TableParagraph"/>
              <w:spacing w:line="257" w:lineRule="exact"/>
              <w:ind w:left="297"/>
              <w:rPr>
                <w:sz w:val="21"/>
              </w:rPr>
            </w:pPr>
            <w:r>
              <w:rPr>
                <w:sz w:val="21"/>
              </w:rPr>
              <w:t>因疾病或者意外伤害导致至少单侧肾切除。</w:t>
            </w:r>
          </w:p>
          <w:p>
            <w:pPr>
              <w:pStyle w:val="TableParagraph"/>
              <w:spacing w:before="37"/>
              <w:ind w:left="297"/>
              <w:rPr>
                <w:b/>
                <w:sz w:val="21"/>
              </w:rPr>
            </w:pPr>
            <w:r>
              <w:rPr>
                <w:b/>
                <w:sz w:val="21"/>
              </w:rPr>
              <w:t>因捐赠肾脏、恶性肿瘤而所需的肾脏切除不在保障范围内。</w:t>
            </w:r>
          </w:p>
        </w:tc>
      </w:tr>
      <w:tr>
        <w:trPr>
          <w:trHeight w:val="3744" w:hRule="atLeast"/>
        </w:trPr>
        <w:tc>
          <w:tcPr>
            <w:tcW w:w="599" w:type="dxa"/>
          </w:tcPr>
          <w:p>
            <w:pPr>
              <w:pStyle w:val="TableParagraph"/>
              <w:spacing w:before="29"/>
              <w:ind w:right="132"/>
              <w:jc w:val="right"/>
              <w:rPr>
                <w:rFonts w:ascii="Times New Roman"/>
                <w:sz w:val="21"/>
              </w:rPr>
            </w:pPr>
            <w:r>
              <w:rPr>
                <w:rFonts w:ascii="Times New Roman"/>
                <w:sz w:val="21"/>
              </w:rPr>
              <w:t>24.</w:t>
            </w:r>
          </w:p>
        </w:tc>
        <w:tc>
          <w:tcPr>
            <w:tcW w:w="2422" w:type="dxa"/>
          </w:tcPr>
          <w:p>
            <w:pPr>
              <w:pStyle w:val="TableParagraph"/>
              <w:spacing w:line="257" w:lineRule="exact"/>
              <w:ind w:left="134"/>
              <w:rPr>
                <w:sz w:val="21"/>
              </w:rPr>
            </w:pPr>
            <w:r>
              <w:rPr>
                <w:sz w:val="21"/>
              </w:rPr>
              <w:t>系统性红斑狼疮</w:t>
            </w:r>
          </w:p>
        </w:tc>
        <w:tc>
          <w:tcPr>
            <w:tcW w:w="7172" w:type="dxa"/>
          </w:tcPr>
          <w:p>
            <w:pPr>
              <w:pStyle w:val="TableParagraph"/>
              <w:spacing w:line="257" w:lineRule="exact"/>
              <w:ind w:left="297"/>
              <w:rPr>
                <w:sz w:val="21"/>
              </w:rPr>
            </w:pPr>
            <w:r>
              <w:rPr>
                <w:sz w:val="21"/>
              </w:rPr>
              <w:t>是由多种因素引起，累及多系统的自身免疫性疾病。其特点是生成自身</w:t>
            </w:r>
          </w:p>
          <w:p>
            <w:pPr>
              <w:pStyle w:val="TableParagraph"/>
              <w:spacing w:before="37"/>
              <w:ind w:left="297"/>
              <w:rPr>
                <w:sz w:val="21"/>
              </w:rPr>
            </w:pPr>
            <w:r>
              <w:rPr>
                <w:sz w:val="21"/>
              </w:rPr>
              <w:t>抗体对抗多种自身抗原。多见于育龄妇女。</w:t>
            </w:r>
          </w:p>
          <w:p>
            <w:pPr>
              <w:pStyle w:val="TableParagraph"/>
              <w:spacing w:line="264" w:lineRule="auto" w:before="37"/>
              <w:ind w:left="297" w:right="306"/>
              <w:jc w:val="both"/>
              <w:rPr>
                <w:sz w:val="21"/>
              </w:rPr>
            </w:pPr>
            <w:r>
              <w:rPr>
                <w:sz w:val="21"/>
              </w:rPr>
              <w:t>必须根据“系统性红斑狼疮诊断标准”明确诊断，并且已经造成肾脏损害，但未达到本合同所指重大疾病“系统性红斑狼疮－（并发）</w:t>
            </w:r>
            <w:r>
              <w:rPr>
                <w:rFonts w:ascii="Times New Roman" w:hAnsi="Times New Roman" w:eastAsia="Times New Roman"/>
                <w:sz w:val="21"/>
              </w:rPr>
              <w:t>III </w:t>
            </w:r>
            <w:r>
              <w:rPr>
                <w:sz w:val="21"/>
              </w:rPr>
              <w:t>型或以上狼疮性肾炎”诊断标准</w:t>
            </w:r>
          </w:p>
          <w:p>
            <w:pPr>
              <w:pStyle w:val="TableParagraph"/>
              <w:spacing w:line="256" w:lineRule="auto" w:before="16"/>
              <w:ind w:left="297" w:right="302"/>
              <w:rPr>
                <w:sz w:val="21"/>
              </w:rPr>
            </w:pPr>
            <w:r>
              <w:rPr>
                <w:sz w:val="21"/>
              </w:rPr>
              <w:t>临床证据证实被保险人存在持续 </w:t>
            </w:r>
            <w:r>
              <w:rPr>
                <w:rFonts w:ascii="Times New Roman" w:eastAsia="Times New Roman"/>
                <w:sz w:val="21"/>
              </w:rPr>
              <w:t>180 </w:t>
            </w:r>
            <w:r>
              <w:rPr>
                <w:sz w:val="21"/>
              </w:rPr>
              <w:t>天以上的满足下列所有条件的肾脏损害：</w:t>
            </w:r>
          </w:p>
          <w:p>
            <w:pPr>
              <w:pStyle w:val="TableParagraph"/>
              <w:spacing w:before="22"/>
              <w:ind w:left="297"/>
              <w:rPr>
                <w:sz w:val="21"/>
              </w:rPr>
            </w:pPr>
            <w:r>
              <w:rPr>
                <w:rFonts w:ascii="Times New Roman" w:eastAsia="Times New Roman"/>
                <w:sz w:val="21"/>
              </w:rPr>
              <w:t>1</w:t>
            </w:r>
            <w:r>
              <w:rPr>
                <w:sz w:val="21"/>
              </w:rPr>
              <w:t>．血尿、蛋白尿；</w:t>
            </w:r>
          </w:p>
          <w:p>
            <w:pPr>
              <w:pStyle w:val="TableParagraph"/>
              <w:spacing w:before="21"/>
              <w:ind w:left="297"/>
              <w:rPr>
                <w:sz w:val="21"/>
              </w:rPr>
            </w:pPr>
            <w:r>
              <w:rPr>
                <w:rFonts w:ascii="Times New Roman" w:eastAsia="Times New Roman"/>
                <w:sz w:val="21"/>
              </w:rPr>
              <w:t>2</w:t>
            </w:r>
            <w:r>
              <w:rPr>
                <w:sz w:val="21"/>
              </w:rPr>
              <w:t>．高血压</w:t>
            </w:r>
          </w:p>
          <w:p>
            <w:pPr>
              <w:pStyle w:val="TableParagraph"/>
              <w:spacing w:before="21"/>
              <w:ind w:left="297"/>
              <w:rPr>
                <w:sz w:val="21"/>
              </w:rPr>
            </w:pPr>
            <w:r>
              <w:rPr>
                <w:rFonts w:ascii="Times New Roman" w:eastAsia="Times New Roman"/>
                <w:sz w:val="21"/>
              </w:rPr>
              <w:t>3</w:t>
            </w:r>
            <w:r>
              <w:rPr>
                <w:sz w:val="21"/>
              </w:rPr>
              <w:t>．血肌酐（</w:t>
            </w:r>
            <w:r>
              <w:rPr>
                <w:rFonts w:ascii="Times New Roman" w:eastAsia="Times New Roman"/>
                <w:sz w:val="21"/>
              </w:rPr>
              <w:t>Scr</w:t>
            </w:r>
            <w:r>
              <w:rPr>
                <w:sz w:val="21"/>
              </w:rPr>
              <w:t>）</w:t>
            </w:r>
            <w:r>
              <w:rPr>
                <w:rFonts w:ascii="Times New Roman" w:eastAsia="Times New Roman"/>
                <w:sz w:val="21"/>
              </w:rPr>
              <w:t>&gt;1. 5mg/dl </w:t>
            </w:r>
            <w:r>
              <w:rPr>
                <w:sz w:val="21"/>
              </w:rPr>
              <w:t>或</w:t>
            </w:r>
            <w:r>
              <w:rPr>
                <w:rFonts w:ascii="Times New Roman" w:eastAsia="Times New Roman"/>
                <w:sz w:val="21"/>
              </w:rPr>
              <w:t>&gt;133umol/L</w:t>
            </w:r>
            <w:r>
              <w:rPr>
                <w:sz w:val="21"/>
              </w:rPr>
              <w:t>；</w:t>
            </w:r>
          </w:p>
          <w:p>
            <w:pPr>
              <w:pStyle w:val="TableParagraph"/>
              <w:spacing w:line="273" w:lineRule="auto" w:before="21"/>
              <w:ind w:left="297" w:right="308"/>
              <w:rPr>
                <w:b/>
                <w:sz w:val="21"/>
              </w:rPr>
            </w:pPr>
            <w:r>
              <w:rPr>
                <w:b/>
                <w:sz w:val="21"/>
              </w:rPr>
              <w:t>其他类型的红斑性狼疮，如盘状狼疮、仅累及血液及关节的狼疮不在保障范围內。</w:t>
            </w:r>
          </w:p>
        </w:tc>
      </w:tr>
      <w:tr>
        <w:trPr>
          <w:trHeight w:val="936" w:hRule="atLeast"/>
        </w:trPr>
        <w:tc>
          <w:tcPr>
            <w:tcW w:w="599" w:type="dxa"/>
          </w:tcPr>
          <w:p>
            <w:pPr>
              <w:pStyle w:val="TableParagraph"/>
              <w:spacing w:before="29"/>
              <w:ind w:right="132"/>
              <w:jc w:val="right"/>
              <w:rPr>
                <w:rFonts w:ascii="Times New Roman"/>
                <w:sz w:val="21"/>
              </w:rPr>
            </w:pPr>
            <w:r>
              <w:rPr>
                <w:rFonts w:ascii="Times New Roman"/>
                <w:sz w:val="21"/>
              </w:rPr>
              <w:t>25.</w:t>
            </w:r>
          </w:p>
        </w:tc>
        <w:tc>
          <w:tcPr>
            <w:tcW w:w="2422" w:type="dxa"/>
          </w:tcPr>
          <w:p>
            <w:pPr>
              <w:pStyle w:val="TableParagraph"/>
              <w:spacing w:line="257" w:lineRule="exact"/>
              <w:ind w:left="230"/>
              <w:rPr>
                <w:sz w:val="21"/>
              </w:rPr>
            </w:pPr>
            <w:r>
              <w:rPr>
                <w:sz w:val="21"/>
              </w:rPr>
              <w:t>糖尿病导致单足截除</w:t>
            </w:r>
          </w:p>
        </w:tc>
        <w:tc>
          <w:tcPr>
            <w:tcW w:w="7172" w:type="dxa"/>
          </w:tcPr>
          <w:p>
            <w:pPr>
              <w:pStyle w:val="TableParagraph"/>
              <w:spacing w:line="257" w:lineRule="exact"/>
              <w:ind w:left="297"/>
              <w:rPr>
                <w:sz w:val="21"/>
              </w:rPr>
            </w:pPr>
            <w:r>
              <w:rPr>
                <w:sz w:val="21"/>
              </w:rPr>
              <w:t>因糖尿病引起的神经及血管病变累及足部，为了维持生命在我们认可医</w:t>
            </w:r>
          </w:p>
          <w:p>
            <w:pPr>
              <w:pStyle w:val="TableParagraph"/>
              <w:spacing w:line="273" w:lineRule="auto" w:before="37"/>
              <w:ind w:left="297" w:right="968"/>
              <w:rPr>
                <w:b/>
                <w:sz w:val="21"/>
              </w:rPr>
            </w:pPr>
            <w:r>
              <w:rPr>
                <w:sz w:val="21"/>
              </w:rPr>
              <w:t>院内已经进行了医疗必须的由足踝或以上位置的单足截除手术。</w:t>
            </w:r>
            <w:r>
              <w:rPr>
                <w:b/>
                <w:sz w:val="21"/>
              </w:rPr>
              <w:t>切除多只脚趾或因任何其他原因引起的截除术不在保障范围内。</w:t>
            </w:r>
          </w:p>
        </w:tc>
      </w:tr>
      <w:tr>
        <w:trPr>
          <w:trHeight w:val="1248" w:hRule="atLeast"/>
        </w:trPr>
        <w:tc>
          <w:tcPr>
            <w:tcW w:w="599" w:type="dxa"/>
          </w:tcPr>
          <w:p>
            <w:pPr>
              <w:pStyle w:val="TableParagraph"/>
              <w:spacing w:before="29"/>
              <w:ind w:right="132"/>
              <w:jc w:val="right"/>
              <w:rPr>
                <w:rFonts w:ascii="Times New Roman"/>
                <w:sz w:val="21"/>
              </w:rPr>
            </w:pPr>
            <w:r>
              <w:rPr>
                <w:rFonts w:ascii="Times New Roman"/>
                <w:sz w:val="21"/>
              </w:rPr>
              <w:t>26.</w:t>
            </w:r>
          </w:p>
        </w:tc>
        <w:tc>
          <w:tcPr>
            <w:tcW w:w="2422" w:type="dxa"/>
          </w:tcPr>
          <w:p>
            <w:pPr>
              <w:pStyle w:val="TableParagraph"/>
              <w:spacing w:line="257" w:lineRule="exact"/>
              <w:ind w:left="134"/>
              <w:rPr>
                <w:sz w:val="21"/>
              </w:rPr>
            </w:pPr>
            <w:r>
              <w:rPr>
                <w:sz w:val="21"/>
              </w:rPr>
              <w:t>单个肢体缺失</w:t>
            </w:r>
          </w:p>
        </w:tc>
        <w:tc>
          <w:tcPr>
            <w:tcW w:w="7172" w:type="dxa"/>
          </w:tcPr>
          <w:p>
            <w:pPr>
              <w:pStyle w:val="TableParagraph"/>
              <w:spacing w:line="257" w:lineRule="exact"/>
              <w:ind w:left="297"/>
              <w:rPr>
                <w:sz w:val="21"/>
              </w:rPr>
            </w:pPr>
            <w:r>
              <w:rPr>
                <w:sz w:val="21"/>
              </w:rPr>
              <w:t>指一个肢体自腕关节或踝关节近端（靠近躯干端）以上完全性断离，但</w:t>
            </w:r>
          </w:p>
          <w:p>
            <w:pPr>
              <w:pStyle w:val="TableParagraph"/>
              <w:spacing w:line="273" w:lineRule="auto" w:before="37"/>
              <w:ind w:left="297" w:right="302"/>
              <w:rPr>
                <w:sz w:val="21"/>
              </w:rPr>
            </w:pPr>
            <w:r>
              <w:rPr>
                <w:sz w:val="21"/>
              </w:rPr>
              <w:t>未达到本合同所指重大疾病“多个肢体缺失”或“失去一肢及一眼”的标准。</w:t>
            </w:r>
          </w:p>
          <w:p>
            <w:pPr>
              <w:pStyle w:val="TableParagraph"/>
              <w:spacing w:before="7"/>
              <w:ind w:left="297"/>
              <w:rPr>
                <w:b/>
                <w:sz w:val="21"/>
              </w:rPr>
            </w:pPr>
            <w:r>
              <w:rPr>
                <w:b/>
                <w:sz w:val="21"/>
              </w:rPr>
              <w:t>因“糖尿病导致单足截除”导致的单个肢体缺失不在保障范围内。</w:t>
            </w:r>
          </w:p>
        </w:tc>
      </w:tr>
      <w:tr>
        <w:trPr>
          <w:trHeight w:val="623" w:hRule="atLeast"/>
        </w:trPr>
        <w:tc>
          <w:tcPr>
            <w:tcW w:w="599" w:type="dxa"/>
          </w:tcPr>
          <w:p>
            <w:pPr>
              <w:pStyle w:val="TableParagraph"/>
              <w:spacing w:before="29"/>
              <w:ind w:right="132"/>
              <w:jc w:val="right"/>
              <w:rPr>
                <w:rFonts w:ascii="Times New Roman"/>
                <w:sz w:val="21"/>
              </w:rPr>
            </w:pPr>
            <w:r>
              <w:rPr>
                <w:rFonts w:ascii="Times New Roman"/>
                <w:sz w:val="21"/>
              </w:rPr>
              <w:t>27.</w:t>
            </w:r>
          </w:p>
        </w:tc>
        <w:tc>
          <w:tcPr>
            <w:tcW w:w="2422" w:type="dxa"/>
          </w:tcPr>
          <w:p>
            <w:pPr>
              <w:pStyle w:val="TableParagraph"/>
              <w:spacing w:line="257" w:lineRule="exact"/>
              <w:ind w:left="134"/>
              <w:rPr>
                <w:sz w:val="21"/>
              </w:rPr>
            </w:pPr>
            <w:r>
              <w:rPr>
                <w:sz w:val="21"/>
              </w:rPr>
              <w:t>单侧肺脏切除</w:t>
            </w:r>
          </w:p>
        </w:tc>
        <w:tc>
          <w:tcPr>
            <w:tcW w:w="7172" w:type="dxa"/>
          </w:tcPr>
          <w:p>
            <w:pPr>
              <w:pStyle w:val="TableParagraph"/>
              <w:spacing w:line="257" w:lineRule="exact"/>
              <w:ind w:left="297"/>
              <w:rPr>
                <w:sz w:val="21"/>
              </w:rPr>
            </w:pPr>
            <w:r>
              <w:rPr>
                <w:sz w:val="21"/>
              </w:rPr>
              <w:t>因疾病或意外事故实际实施的一侧肺脏切除术。</w:t>
            </w:r>
          </w:p>
          <w:p>
            <w:pPr>
              <w:pStyle w:val="TableParagraph"/>
              <w:spacing w:before="37"/>
              <w:ind w:left="297"/>
              <w:rPr>
                <w:b/>
                <w:sz w:val="21"/>
              </w:rPr>
            </w:pPr>
            <w:r>
              <w:rPr>
                <w:b/>
                <w:sz w:val="21"/>
              </w:rPr>
              <w:t>部分切除手术、肺脏捐献、因恶性肿瘤引起的手术不在保障范围内。</w:t>
            </w:r>
          </w:p>
        </w:tc>
      </w:tr>
      <w:tr>
        <w:trPr>
          <w:trHeight w:val="623" w:hRule="atLeast"/>
        </w:trPr>
        <w:tc>
          <w:tcPr>
            <w:tcW w:w="599" w:type="dxa"/>
          </w:tcPr>
          <w:p>
            <w:pPr>
              <w:pStyle w:val="TableParagraph"/>
              <w:spacing w:before="29"/>
              <w:ind w:right="132"/>
              <w:jc w:val="right"/>
              <w:rPr>
                <w:rFonts w:ascii="Times New Roman"/>
                <w:sz w:val="21"/>
              </w:rPr>
            </w:pPr>
            <w:r>
              <w:rPr>
                <w:rFonts w:ascii="Times New Roman"/>
                <w:sz w:val="21"/>
              </w:rPr>
              <w:t>28.</w:t>
            </w:r>
          </w:p>
        </w:tc>
        <w:tc>
          <w:tcPr>
            <w:tcW w:w="2422" w:type="dxa"/>
          </w:tcPr>
          <w:p>
            <w:pPr>
              <w:pStyle w:val="TableParagraph"/>
              <w:spacing w:line="257" w:lineRule="exact"/>
              <w:ind w:left="134"/>
              <w:rPr>
                <w:sz w:val="21"/>
              </w:rPr>
            </w:pPr>
            <w:r>
              <w:rPr>
                <w:sz w:val="21"/>
              </w:rPr>
              <w:t>腔静脉过滤器植入术</w:t>
            </w:r>
          </w:p>
        </w:tc>
        <w:tc>
          <w:tcPr>
            <w:tcW w:w="7172" w:type="dxa"/>
          </w:tcPr>
          <w:p>
            <w:pPr>
              <w:pStyle w:val="TableParagraph"/>
              <w:spacing w:line="257" w:lineRule="exact"/>
              <w:ind w:left="297"/>
              <w:rPr>
                <w:sz w:val="21"/>
              </w:rPr>
            </w:pPr>
            <w:r>
              <w:rPr>
                <w:sz w:val="21"/>
              </w:rPr>
              <w:t>为治疗反复肺栓塞发作，抗凝血疗法无效，已经实施了腔静脉过滤器植</w:t>
            </w:r>
          </w:p>
          <w:p>
            <w:pPr>
              <w:pStyle w:val="TableParagraph"/>
              <w:spacing w:before="37"/>
              <w:ind w:left="297"/>
              <w:rPr>
                <w:sz w:val="21"/>
              </w:rPr>
            </w:pPr>
            <w:r>
              <w:rPr>
                <w:sz w:val="21"/>
              </w:rPr>
              <w:t>入术。手术必须在专科医生认为是医学上必需的情况下进行。</w:t>
            </w:r>
          </w:p>
        </w:tc>
      </w:tr>
      <w:tr>
        <w:trPr>
          <w:trHeight w:val="935" w:hRule="atLeast"/>
        </w:trPr>
        <w:tc>
          <w:tcPr>
            <w:tcW w:w="599" w:type="dxa"/>
          </w:tcPr>
          <w:p>
            <w:pPr>
              <w:pStyle w:val="TableParagraph"/>
              <w:spacing w:before="29"/>
              <w:ind w:right="132"/>
              <w:jc w:val="right"/>
              <w:rPr>
                <w:rFonts w:ascii="Times New Roman"/>
                <w:sz w:val="21"/>
              </w:rPr>
            </w:pPr>
            <w:r>
              <w:rPr>
                <w:rFonts w:ascii="Times New Roman"/>
                <w:sz w:val="21"/>
              </w:rPr>
              <w:t>29.</w:t>
            </w:r>
          </w:p>
        </w:tc>
        <w:tc>
          <w:tcPr>
            <w:tcW w:w="2422" w:type="dxa"/>
          </w:tcPr>
          <w:p>
            <w:pPr>
              <w:pStyle w:val="TableParagraph"/>
              <w:spacing w:line="257" w:lineRule="exact"/>
              <w:ind w:left="134"/>
              <w:rPr>
                <w:sz w:val="21"/>
              </w:rPr>
            </w:pPr>
            <w:r>
              <w:rPr>
                <w:sz w:val="21"/>
              </w:rPr>
              <w:t>双侧睾丸切除术</w:t>
            </w:r>
          </w:p>
        </w:tc>
        <w:tc>
          <w:tcPr>
            <w:tcW w:w="7172" w:type="dxa"/>
          </w:tcPr>
          <w:p>
            <w:pPr>
              <w:pStyle w:val="TableParagraph"/>
              <w:spacing w:line="257" w:lineRule="exact"/>
              <w:ind w:left="297"/>
              <w:rPr>
                <w:sz w:val="21"/>
              </w:rPr>
            </w:pPr>
            <w:r>
              <w:rPr>
                <w:sz w:val="21"/>
              </w:rPr>
              <w:t>指因疾病或者意外伤害导致接受了经腹部切开或腹腔镜进行的双侧睾丸</w:t>
            </w:r>
          </w:p>
          <w:p>
            <w:pPr>
              <w:pStyle w:val="TableParagraph"/>
              <w:spacing w:before="37"/>
              <w:ind w:left="297"/>
              <w:rPr>
                <w:sz w:val="21"/>
              </w:rPr>
            </w:pPr>
            <w:r>
              <w:rPr>
                <w:sz w:val="21"/>
              </w:rPr>
              <w:t>完全切除手术。</w:t>
            </w:r>
          </w:p>
          <w:p>
            <w:pPr>
              <w:pStyle w:val="TableParagraph"/>
              <w:spacing w:before="37"/>
              <w:ind w:left="297"/>
              <w:rPr>
                <w:b/>
                <w:sz w:val="21"/>
              </w:rPr>
            </w:pPr>
            <w:r>
              <w:rPr>
                <w:b/>
                <w:sz w:val="21"/>
              </w:rPr>
              <w:t>单侧或部分睾丸切除、变性手术、因恶性肿瘤引起的手术不在保障范围。</w:t>
            </w:r>
          </w:p>
        </w:tc>
      </w:tr>
      <w:tr>
        <w:trPr>
          <w:trHeight w:val="279" w:hRule="atLeast"/>
        </w:trPr>
        <w:tc>
          <w:tcPr>
            <w:tcW w:w="599" w:type="dxa"/>
          </w:tcPr>
          <w:p>
            <w:pPr>
              <w:pStyle w:val="TableParagraph"/>
              <w:spacing w:line="230" w:lineRule="exact" w:before="29"/>
              <w:ind w:right="132"/>
              <w:jc w:val="right"/>
              <w:rPr>
                <w:rFonts w:ascii="Times New Roman"/>
                <w:sz w:val="21"/>
              </w:rPr>
            </w:pPr>
            <w:r>
              <w:rPr>
                <w:rFonts w:ascii="Times New Roman"/>
                <w:sz w:val="21"/>
              </w:rPr>
              <w:t>30.</w:t>
            </w:r>
          </w:p>
        </w:tc>
        <w:tc>
          <w:tcPr>
            <w:tcW w:w="2422" w:type="dxa"/>
          </w:tcPr>
          <w:p>
            <w:pPr>
              <w:pStyle w:val="TableParagraph"/>
              <w:spacing w:line="257" w:lineRule="exact"/>
              <w:ind w:left="134"/>
              <w:rPr>
                <w:sz w:val="21"/>
              </w:rPr>
            </w:pPr>
            <w:r>
              <w:rPr>
                <w:sz w:val="21"/>
              </w:rPr>
              <w:t>双侧卵巢切除术</w:t>
            </w:r>
          </w:p>
        </w:tc>
        <w:tc>
          <w:tcPr>
            <w:tcW w:w="7172" w:type="dxa"/>
          </w:tcPr>
          <w:p>
            <w:pPr>
              <w:pStyle w:val="TableParagraph"/>
              <w:spacing w:line="257" w:lineRule="exact"/>
              <w:ind w:left="297"/>
              <w:rPr>
                <w:sz w:val="21"/>
              </w:rPr>
            </w:pPr>
            <w:r>
              <w:rPr>
                <w:sz w:val="21"/>
              </w:rPr>
              <w:t>指因疾病或者意外伤害导致接受了经腹部切开或腹腔镜进行的双侧卵巢</w:t>
            </w:r>
          </w:p>
        </w:tc>
      </w:tr>
    </w:tbl>
    <w:p>
      <w:pPr>
        <w:spacing w:after="0" w:line="257" w:lineRule="exact"/>
        <w:rPr>
          <w:sz w:val="21"/>
        </w:rPr>
        <w:sectPr>
          <w:pgSz w:w="11910" w:h="16160"/>
          <w:pgMar w:header="0" w:footer="631" w:top="1440" w:bottom="820" w:left="7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71"/>
        <w:gridCol w:w="7125"/>
      </w:tblGrid>
      <w:tr>
        <w:trPr>
          <w:trHeight w:val="569" w:hRule="atLeast"/>
        </w:trPr>
        <w:tc>
          <w:tcPr>
            <w:tcW w:w="599" w:type="dxa"/>
          </w:tcPr>
          <w:p>
            <w:pPr>
              <w:pStyle w:val="TableParagraph"/>
              <w:rPr>
                <w:rFonts w:ascii="Times New Roman"/>
                <w:sz w:val="20"/>
              </w:rPr>
            </w:pPr>
          </w:p>
        </w:tc>
        <w:tc>
          <w:tcPr>
            <w:tcW w:w="2471" w:type="dxa"/>
          </w:tcPr>
          <w:p>
            <w:pPr>
              <w:pStyle w:val="TableParagraph"/>
              <w:rPr>
                <w:rFonts w:ascii="Times New Roman"/>
                <w:sz w:val="20"/>
              </w:rPr>
            </w:pPr>
          </w:p>
        </w:tc>
        <w:tc>
          <w:tcPr>
            <w:tcW w:w="7125" w:type="dxa"/>
          </w:tcPr>
          <w:p>
            <w:pPr>
              <w:pStyle w:val="TableParagraph"/>
              <w:spacing w:line="202" w:lineRule="exact"/>
              <w:ind w:left="248"/>
              <w:rPr>
                <w:sz w:val="21"/>
              </w:rPr>
            </w:pPr>
            <w:r>
              <w:rPr>
                <w:sz w:val="21"/>
              </w:rPr>
              <w:t>完全切除手术。</w:t>
            </w:r>
          </w:p>
          <w:p>
            <w:pPr>
              <w:pStyle w:val="TableParagraph"/>
              <w:spacing w:before="37"/>
              <w:ind w:left="248"/>
              <w:rPr>
                <w:b/>
                <w:sz w:val="21"/>
              </w:rPr>
            </w:pPr>
            <w:r>
              <w:rPr>
                <w:b/>
                <w:sz w:val="21"/>
              </w:rPr>
              <w:t>单侧或部分卵巢切除、变性手术、因恶性肿瘤引起的手术不在保障范围。</w:t>
            </w:r>
          </w:p>
        </w:tc>
      </w:tr>
      <w:tr>
        <w:trPr>
          <w:trHeight w:val="1879" w:hRule="atLeast"/>
        </w:trPr>
        <w:tc>
          <w:tcPr>
            <w:tcW w:w="599" w:type="dxa"/>
          </w:tcPr>
          <w:p>
            <w:pPr>
              <w:pStyle w:val="TableParagraph"/>
              <w:spacing w:before="29"/>
              <w:ind w:right="132"/>
              <w:jc w:val="right"/>
              <w:rPr>
                <w:rFonts w:ascii="Times New Roman"/>
                <w:sz w:val="21"/>
              </w:rPr>
            </w:pPr>
            <w:r>
              <w:rPr>
                <w:rFonts w:ascii="Times New Roman"/>
                <w:sz w:val="21"/>
              </w:rPr>
              <w:t>31.</w:t>
            </w:r>
          </w:p>
        </w:tc>
        <w:tc>
          <w:tcPr>
            <w:tcW w:w="2471" w:type="dxa"/>
          </w:tcPr>
          <w:p>
            <w:pPr>
              <w:pStyle w:val="TableParagraph"/>
              <w:spacing w:line="257" w:lineRule="exact"/>
              <w:ind w:left="134"/>
              <w:rPr>
                <w:sz w:val="21"/>
              </w:rPr>
            </w:pPr>
            <w:r>
              <w:rPr>
                <w:sz w:val="21"/>
              </w:rPr>
              <w:t>慢性肾功能衰竭</w:t>
            </w:r>
          </w:p>
        </w:tc>
        <w:tc>
          <w:tcPr>
            <w:tcW w:w="7125" w:type="dxa"/>
          </w:tcPr>
          <w:p>
            <w:pPr>
              <w:pStyle w:val="TableParagraph"/>
              <w:spacing w:line="257" w:lineRule="exact"/>
              <w:ind w:left="248"/>
              <w:rPr>
                <w:sz w:val="21"/>
              </w:rPr>
            </w:pPr>
            <w:r>
              <w:rPr>
                <w:sz w:val="21"/>
              </w:rPr>
              <w:t>指被保险人因双肾功能慢性不可逆性损害达到肾功能衰竭期，但未达到</w:t>
            </w:r>
          </w:p>
          <w:p>
            <w:pPr>
              <w:pStyle w:val="TableParagraph"/>
              <w:spacing w:line="273" w:lineRule="auto" w:before="37"/>
              <w:ind w:left="248" w:right="304"/>
              <w:rPr>
                <w:sz w:val="21"/>
              </w:rPr>
            </w:pPr>
            <w:r>
              <w:rPr>
                <w:spacing w:val="-6"/>
                <w:w w:val="100"/>
                <w:sz w:val="21"/>
              </w:rPr>
              <w:t>本合同所指重大疾病“终末期肾病</w:t>
            </w:r>
            <w:r>
              <w:rPr>
                <w:spacing w:val="-3"/>
                <w:w w:val="100"/>
                <w:sz w:val="21"/>
              </w:rPr>
              <w:t>（或称慢性肾功能衰竭尿毒症期</w:t>
            </w:r>
            <w:r>
              <w:rPr>
                <w:spacing w:val="-106"/>
                <w:w w:val="100"/>
                <w:sz w:val="21"/>
              </w:rPr>
              <w:t>）</w:t>
            </w:r>
            <w:r>
              <w:rPr>
                <w:spacing w:val="-10"/>
                <w:w w:val="100"/>
                <w:sz w:val="21"/>
              </w:rPr>
              <w:t>”的</w:t>
            </w:r>
            <w:r>
              <w:rPr>
                <w:spacing w:val="-5"/>
                <w:sz w:val="21"/>
              </w:rPr>
              <w:t>标准。诊断必须满足所有以下标准。</w:t>
            </w:r>
          </w:p>
          <w:p>
            <w:pPr>
              <w:pStyle w:val="TableParagraph"/>
              <w:spacing w:before="7"/>
              <w:ind w:left="248"/>
              <w:rPr>
                <w:sz w:val="21"/>
              </w:rPr>
            </w:pPr>
            <w:r>
              <w:rPr>
                <w:rFonts w:ascii="Times New Roman" w:eastAsia="Times New Roman"/>
                <w:sz w:val="21"/>
              </w:rPr>
              <w:t>1</w:t>
            </w:r>
            <w:r>
              <w:rPr>
                <w:sz w:val="21"/>
              </w:rPr>
              <w:t>．</w:t>
            </w:r>
            <w:r>
              <w:rPr>
                <w:rFonts w:ascii="Times New Roman" w:eastAsia="Times New Roman"/>
                <w:sz w:val="21"/>
              </w:rPr>
              <w:t>GFR &lt; 25%</w:t>
            </w:r>
            <w:r>
              <w:rPr>
                <w:sz w:val="21"/>
              </w:rPr>
              <w:t>；</w:t>
            </w:r>
          </w:p>
          <w:p>
            <w:pPr>
              <w:pStyle w:val="TableParagraph"/>
              <w:spacing w:before="20"/>
              <w:ind w:left="248"/>
              <w:rPr>
                <w:sz w:val="21"/>
              </w:rPr>
            </w:pPr>
            <w:r>
              <w:rPr>
                <w:rFonts w:ascii="Times New Roman" w:eastAsia="Times New Roman"/>
                <w:sz w:val="21"/>
              </w:rPr>
              <w:t>2</w:t>
            </w:r>
            <w:r>
              <w:rPr>
                <w:sz w:val="21"/>
              </w:rPr>
              <w:t>．</w:t>
            </w:r>
            <w:r>
              <w:rPr>
                <w:rFonts w:ascii="Times New Roman" w:eastAsia="Times New Roman"/>
                <w:sz w:val="21"/>
              </w:rPr>
              <w:t>Scr&gt; 5mg/dl </w:t>
            </w:r>
            <w:r>
              <w:rPr>
                <w:sz w:val="21"/>
              </w:rPr>
              <w:t>或</w:t>
            </w:r>
            <w:r>
              <w:rPr>
                <w:rFonts w:ascii="Times New Roman" w:eastAsia="Times New Roman"/>
                <w:sz w:val="21"/>
              </w:rPr>
              <w:t>&gt;442umol/L</w:t>
            </w:r>
            <w:r>
              <w:rPr>
                <w:sz w:val="21"/>
              </w:rPr>
              <w:t>；</w:t>
            </w:r>
          </w:p>
          <w:p>
            <w:pPr>
              <w:pStyle w:val="TableParagraph"/>
              <w:spacing w:before="20"/>
              <w:ind w:left="248"/>
              <w:rPr>
                <w:sz w:val="21"/>
              </w:rPr>
            </w:pPr>
            <w:r>
              <w:rPr>
                <w:rFonts w:ascii="Times New Roman" w:eastAsia="Times New Roman"/>
                <w:sz w:val="21"/>
              </w:rPr>
              <w:t>3</w:t>
            </w:r>
            <w:r>
              <w:rPr>
                <w:sz w:val="21"/>
              </w:rPr>
              <w:t>．持续 </w:t>
            </w:r>
            <w:r>
              <w:rPr>
                <w:rFonts w:ascii="Times New Roman" w:eastAsia="Times New Roman"/>
                <w:sz w:val="21"/>
              </w:rPr>
              <w:t>180 </w:t>
            </w:r>
            <w:r>
              <w:rPr>
                <w:sz w:val="21"/>
              </w:rPr>
              <w:t>天。</w:t>
            </w:r>
          </w:p>
        </w:tc>
      </w:tr>
      <w:tr>
        <w:trPr>
          <w:trHeight w:val="2808" w:hRule="atLeast"/>
        </w:trPr>
        <w:tc>
          <w:tcPr>
            <w:tcW w:w="599" w:type="dxa"/>
          </w:tcPr>
          <w:p>
            <w:pPr>
              <w:pStyle w:val="TableParagraph"/>
              <w:spacing w:before="21"/>
              <w:ind w:right="134"/>
              <w:jc w:val="right"/>
              <w:rPr>
                <w:rFonts w:ascii="Times New Roman"/>
                <w:sz w:val="21"/>
              </w:rPr>
            </w:pPr>
            <w:r>
              <w:rPr>
                <w:rFonts w:ascii="Times New Roman"/>
                <w:sz w:val="21"/>
              </w:rPr>
              <w:t>32.</w:t>
            </w:r>
          </w:p>
        </w:tc>
        <w:tc>
          <w:tcPr>
            <w:tcW w:w="2471" w:type="dxa"/>
          </w:tcPr>
          <w:p>
            <w:pPr>
              <w:pStyle w:val="TableParagraph"/>
              <w:spacing w:line="249" w:lineRule="exact"/>
              <w:ind w:left="134"/>
              <w:rPr>
                <w:sz w:val="21"/>
              </w:rPr>
            </w:pPr>
            <w:r>
              <w:rPr>
                <w:sz w:val="21"/>
              </w:rPr>
              <w:t>急性肾衰竭肾脏透析</w:t>
            </w:r>
          </w:p>
          <w:p>
            <w:pPr>
              <w:pStyle w:val="TableParagraph"/>
              <w:spacing w:before="37"/>
              <w:ind w:left="134"/>
              <w:rPr>
                <w:sz w:val="21"/>
              </w:rPr>
            </w:pPr>
            <w:r>
              <w:rPr>
                <w:sz w:val="21"/>
              </w:rPr>
              <w:t>治疗</w:t>
            </w:r>
          </w:p>
        </w:tc>
        <w:tc>
          <w:tcPr>
            <w:tcW w:w="7125" w:type="dxa"/>
          </w:tcPr>
          <w:p>
            <w:pPr>
              <w:pStyle w:val="TableParagraph"/>
              <w:spacing w:line="265" w:lineRule="exact"/>
              <w:ind w:left="248"/>
              <w:rPr>
                <w:sz w:val="21"/>
              </w:rPr>
            </w:pPr>
            <w:r>
              <w:rPr>
                <w:sz w:val="21"/>
              </w:rPr>
              <w:t>急性肾衰竭（</w:t>
            </w:r>
            <w:r>
              <w:rPr>
                <w:rFonts w:ascii="Times New Roman" w:eastAsia="Times New Roman"/>
                <w:sz w:val="21"/>
              </w:rPr>
              <w:t>ARF</w:t>
            </w:r>
            <w:r>
              <w:rPr>
                <w:sz w:val="21"/>
              </w:rPr>
              <w:t>）是指各种病因引起的肾功能在短期内（数小时或数</w:t>
            </w:r>
          </w:p>
          <w:p>
            <w:pPr>
              <w:pStyle w:val="TableParagraph"/>
              <w:spacing w:line="266" w:lineRule="auto" w:before="21"/>
              <w:ind w:left="248" w:right="304"/>
              <w:jc w:val="both"/>
              <w:rPr>
                <w:sz w:val="21"/>
              </w:rPr>
            </w:pPr>
            <w:r>
              <w:rPr>
                <w:sz w:val="21"/>
              </w:rPr>
              <w:t>周）急剧进行性下降，导致体内氮质产物潴留而出现的临床综合征，国</w:t>
            </w:r>
            <w:r>
              <w:rPr>
                <w:spacing w:val="-9"/>
                <w:w w:val="100"/>
                <w:sz w:val="21"/>
              </w:rPr>
              <w:t>际上近年来改称为急性肾损伤</w:t>
            </w:r>
            <w:r>
              <w:rPr>
                <w:spacing w:val="-3"/>
                <w:w w:val="100"/>
                <w:sz w:val="21"/>
              </w:rPr>
              <w:t>（</w:t>
            </w:r>
            <w:r>
              <w:rPr>
                <w:rFonts w:ascii="Times New Roman" w:hAnsi="Times New Roman" w:eastAsia="Times New Roman"/>
                <w:w w:val="100"/>
                <w:sz w:val="21"/>
              </w:rPr>
              <w:t>A</w:t>
            </w:r>
            <w:r>
              <w:rPr>
                <w:rFonts w:ascii="Times New Roman" w:hAnsi="Times New Roman" w:eastAsia="Times New Roman"/>
                <w:spacing w:val="-4"/>
                <w:w w:val="100"/>
                <w:sz w:val="21"/>
              </w:rPr>
              <w:t>K</w:t>
            </w:r>
            <w:r>
              <w:rPr>
                <w:rFonts w:ascii="Times New Roman" w:hAnsi="Times New Roman" w:eastAsia="Times New Roman"/>
                <w:spacing w:val="-3"/>
                <w:w w:val="100"/>
                <w:sz w:val="21"/>
              </w:rPr>
              <w:t>I</w:t>
            </w:r>
            <w:r>
              <w:rPr>
                <w:spacing w:val="-106"/>
                <w:w w:val="100"/>
                <w:sz w:val="21"/>
              </w:rPr>
              <w:t>）</w:t>
            </w:r>
            <w:r>
              <w:rPr>
                <w:spacing w:val="-15"/>
                <w:w w:val="100"/>
                <w:sz w:val="21"/>
              </w:rPr>
              <w:t>，但未达到本合同所指重大疾病“终</w:t>
            </w:r>
            <w:r>
              <w:rPr>
                <w:spacing w:val="-13"/>
                <w:w w:val="100"/>
                <w:sz w:val="21"/>
              </w:rPr>
              <w:t>末期肾病</w:t>
            </w:r>
            <w:r>
              <w:rPr>
                <w:spacing w:val="-3"/>
                <w:w w:val="100"/>
                <w:sz w:val="21"/>
              </w:rPr>
              <w:t>（或称慢性肾功能衰竭尿毒症期</w:t>
            </w:r>
            <w:r>
              <w:rPr>
                <w:spacing w:val="-106"/>
                <w:w w:val="100"/>
                <w:sz w:val="21"/>
              </w:rPr>
              <w:t>）</w:t>
            </w:r>
            <w:r>
              <w:rPr>
                <w:spacing w:val="-7"/>
                <w:w w:val="100"/>
                <w:sz w:val="21"/>
              </w:rPr>
              <w:t>”的标准，被保险人被明确诊</w:t>
            </w:r>
            <w:r>
              <w:rPr>
                <w:spacing w:val="-5"/>
                <w:sz w:val="21"/>
              </w:rPr>
              <w:t>断为急性肾衰竭并且满足下列所有条件：</w:t>
            </w:r>
          </w:p>
          <w:p>
            <w:pPr>
              <w:pStyle w:val="TableParagraph"/>
              <w:spacing w:before="13"/>
              <w:ind w:left="248"/>
              <w:jc w:val="both"/>
              <w:rPr>
                <w:sz w:val="21"/>
              </w:rPr>
            </w:pPr>
            <w:r>
              <w:rPr>
                <w:rFonts w:ascii="Times New Roman" w:eastAsia="Times New Roman"/>
                <w:sz w:val="21"/>
              </w:rPr>
              <w:t>1</w:t>
            </w:r>
            <w:r>
              <w:rPr>
                <w:sz w:val="21"/>
              </w:rPr>
              <w:t>．少尿或无尿 </w:t>
            </w:r>
            <w:r>
              <w:rPr>
                <w:rFonts w:ascii="Times New Roman" w:eastAsia="Times New Roman"/>
                <w:sz w:val="21"/>
              </w:rPr>
              <w:t>2 </w:t>
            </w:r>
            <w:r>
              <w:rPr>
                <w:sz w:val="21"/>
              </w:rPr>
              <w:t>天以上；</w:t>
            </w:r>
          </w:p>
          <w:p>
            <w:pPr>
              <w:pStyle w:val="TableParagraph"/>
              <w:spacing w:before="20"/>
              <w:ind w:left="248"/>
              <w:jc w:val="both"/>
              <w:rPr>
                <w:sz w:val="21"/>
              </w:rPr>
            </w:pPr>
            <w:r>
              <w:rPr>
                <w:rFonts w:ascii="Times New Roman" w:eastAsia="Times New Roman"/>
                <w:sz w:val="21"/>
              </w:rPr>
              <w:t>2</w:t>
            </w:r>
            <w:r>
              <w:rPr>
                <w:sz w:val="21"/>
              </w:rPr>
              <w:t>．血肌酐（</w:t>
            </w:r>
            <w:r>
              <w:rPr>
                <w:rFonts w:ascii="Times New Roman" w:eastAsia="Times New Roman"/>
                <w:sz w:val="21"/>
              </w:rPr>
              <w:t>Scr</w:t>
            </w:r>
            <w:r>
              <w:rPr>
                <w:sz w:val="21"/>
              </w:rPr>
              <w:t>） </w:t>
            </w:r>
            <w:r>
              <w:rPr>
                <w:rFonts w:ascii="Times New Roman" w:eastAsia="Times New Roman"/>
                <w:sz w:val="21"/>
              </w:rPr>
              <w:t>&gt; 5mg/dl </w:t>
            </w:r>
            <w:r>
              <w:rPr>
                <w:sz w:val="21"/>
              </w:rPr>
              <w:t>或</w:t>
            </w:r>
            <w:r>
              <w:rPr>
                <w:rFonts w:ascii="Times New Roman" w:eastAsia="Times New Roman"/>
                <w:sz w:val="21"/>
              </w:rPr>
              <w:t>&gt;442umol/L</w:t>
            </w:r>
            <w:r>
              <w:rPr>
                <w:sz w:val="21"/>
              </w:rPr>
              <w:t>；</w:t>
            </w:r>
          </w:p>
          <w:p>
            <w:pPr>
              <w:pStyle w:val="TableParagraph"/>
              <w:spacing w:before="20"/>
              <w:ind w:left="248"/>
              <w:jc w:val="both"/>
              <w:rPr>
                <w:sz w:val="21"/>
              </w:rPr>
            </w:pPr>
            <w:r>
              <w:rPr>
                <w:rFonts w:ascii="Times New Roman" w:eastAsia="Times New Roman"/>
                <w:sz w:val="21"/>
              </w:rPr>
              <w:t>3</w:t>
            </w:r>
            <w:r>
              <w:rPr>
                <w:sz w:val="21"/>
              </w:rPr>
              <w:t>．血钾 </w:t>
            </w:r>
            <w:r>
              <w:rPr>
                <w:rFonts w:ascii="Times New Roman" w:eastAsia="Times New Roman"/>
                <w:sz w:val="21"/>
              </w:rPr>
              <w:t>&gt; 6.5mmol/L</w:t>
            </w:r>
            <w:r>
              <w:rPr>
                <w:sz w:val="21"/>
              </w:rPr>
              <w:t>；</w:t>
            </w:r>
          </w:p>
          <w:p>
            <w:pPr>
              <w:pStyle w:val="TableParagraph"/>
              <w:spacing w:before="20"/>
              <w:ind w:left="248"/>
              <w:jc w:val="both"/>
              <w:rPr>
                <w:sz w:val="21"/>
              </w:rPr>
            </w:pPr>
            <w:r>
              <w:rPr>
                <w:rFonts w:ascii="Times New Roman" w:eastAsia="Times New Roman"/>
                <w:sz w:val="21"/>
              </w:rPr>
              <w:t>4</w:t>
            </w:r>
            <w:r>
              <w:rPr>
                <w:sz w:val="21"/>
              </w:rPr>
              <w:t>．接受了血液透析治疗。</w:t>
            </w:r>
          </w:p>
        </w:tc>
      </w:tr>
      <w:tr>
        <w:trPr>
          <w:trHeight w:val="928" w:hRule="atLeast"/>
        </w:trPr>
        <w:tc>
          <w:tcPr>
            <w:tcW w:w="599" w:type="dxa"/>
          </w:tcPr>
          <w:p>
            <w:pPr>
              <w:pStyle w:val="TableParagraph"/>
              <w:spacing w:before="21"/>
              <w:ind w:right="134"/>
              <w:jc w:val="right"/>
              <w:rPr>
                <w:rFonts w:ascii="Times New Roman"/>
                <w:sz w:val="21"/>
              </w:rPr>
            </w:pPr>
            <w:r>
              <w:rPr>
                <w:rFonts w:ascii="Times New Roman"/>
                <w:sz w:val="21"/>
              </w:rPr>
              <w:t>33.</w:t>
            </w:r>
          </w:p>
        </w:tc>
        <w:tc>
          <w:tcPr>
            <w:tcW w:w="2471" w:type="dxa"/>
          </w:tcPr>
          <w:p>
            <w:pPr>
              <w:pStyle w:val="TableParagraph"/>
              <w:spacing w:line="249" w:lineRule="exact"/>
              <w:ind w:left="134"/>
              <w:rPr>
                <w:sz w:val="21"/>
              </w:rPr>
            </w:pPr>
            <w:r>
              <w:rPr>
                <w:sz w:val="21"/>
              </w:rPr>
              <w:t>急性出血坏死性胰腺</w:t>
            </w:r>
          </w:p>
          <w:p>
            <w:pPr>
              <w:pStyle w:val="TableParagraph"/>
              <w:spacing w:before="37"/>
              <w:ind w:left="134"/>
              <w:rPr>
                <w:sz w:val="21"/>
              </w:rPr>
            </w:pPr>
            <w:r>
              <w:rPr>
                <w:sz w:val="21"/>
              </w:rPr>
              <w:t>炎腹腔镜手术</w:t>
            </w:r>
          </w:p>
        </w:tc>
        <w:tc>
          <w:tcPr>
            <w:tcW w:w="7125" w:type="dxa"/>
          </w:tcPr>
          <w:p>
            <w:pPr>
              <w:pStyle w:val="TableParagraph"/>
              <w:spacing w:line="249" w:lineRule="exact"/>
              <w:ind w:left="248"/>
              <w:rPr>
                <w:sz w:val="21"/>
              </w:rPr>
            </w:pPr>
            <w:r>
              <w:rPr>
                <w:sz w:val="21"/>
              </w:rPr>
              <w:t>指被保险人被确诊为急性坏死性胰腺炎，并实际接受了腹腔镜手术治疗，</w:t>
            </w:r>
          </w:p>
          <w:p>
            <w:pPr>
              <w:pStyle w:val="TableParagraph"/>
              <w:spacing w:before="37"/>
              <w:ind w:left="248"/>
              <w:rPr>
                <w:sz w:val="21"/>
              </w:rPr>
            </w:pPr>
            <w:r>
              <w:rPr>
                <w:sz w:val="21"/>
              </w:rPr>
              <w:t>以进行坏死组织清除、坏死病灶切除或胰腺切除。</w:t>
            </w:r>
          </w:p>
          <w:p>
            <w:pPr>
              <w:pStyle w:val="TableParagraph"/>
              <w:spacing w:before="37"/>
              <w:ind w:left="248"/>
              <w:rPr>
                <w:b/>
                <w:sz w:val="21"/>
              </w:rPr>
            </w:pPr>
            <w:r>
              <w:rPr>
                <w:b/>
                <w:sz w:val="21"/>
              </w:rPr>
              <w:t>因酗酒或饮酒过量所致的急性坏死性胰腺炎不在保障范围内。</w:t>
            </w:r>
          </w:p>
        </w:tc>
      </w:tr>
      <w:tr>
        <w:trPr>
          <w:trHeight w:val="2184" w:hRule="atLeast"/>
        </w:trPr>
        <w:tc>
          <w:tcPr>
            <w:tcW w:w="599" w:type="dxa"/>
          </w:tcPr>
          <w:p>
            <w:pPr>
              <w:pStyle w:val="TableParagraph"/>
              <w:spacing w:before="29"/>
              <w:ind w:right="134"/>
              <w:jc w:val="right"/>
              <w:rPr>
                <w:rFonts w:ascii="Times New Roman"/>
                <w:sz w:val="21"/>
              </w:rPr>
            </w:pPr>
            <w:r>
              <w:rPr>
                <w:rFonts w:ascii="Times New Roman"/>
                <w:sz w:val="21"/>
              </w:rPr>
              <w:t>34.</w:t>
            </w:r>
          </w:p>
        </w:tc>
        <w:tc>
          <w:tcPr>
            <w:tcW w:w="2471" w:type="dxa"/>
          </w:tcPr>
          <w:p>
            <w:pPr>
              <w:pStyle w:val="TableParagraph"/>
              <w:spacing w:line="257" w:lineRule="exact"/>
              <w:ind w:left="134"/>
              <w:rPr>
                <w:sz w:val="21"/>
              </w:rPr>
            </w:pPr>
            <w:r>
              <w:rPr>
                <w:sz w:val="21"/>
              </w:rPr>
              <w:t>早期肝硬化</w:t>
            </w:r>
          </w:p>
        </w:tc>
        <w:tc>
          <w:tcPr>
            <w:tcW w:w="7125" w:type="dxa"/>
          </w:tcPr>
          <w:p>
            <w:pPr>
              <w:pStyle w:val="TableParagraph"/>
              <w:spacing w:line="257" w:lineRule="exact"/>
              <w:ind w:left="248"/>
              <w:rPr>
                <w:sz w:val="21"/>
              </w:rPr>
            </w:pPr>
            <w:r>
              <w:rPr>
                <w:sz w:val="21"/>
              </w:rPr>
              <w:t>肝硬化须由专科医生明确诊断。必须由活检证实有再生的肝细胞结节和</w:t>
            </w:r>
          </w:p>
          <w:p>
            <w:pPr>
              <w:pStyle w:val="TableParagraph"/>
              <w:spacing w:before="37"/>
              <w:ind w:left="248"/>
              <w:rPr>
                <w:sz w:val="21"/>
              </w:rPr>
            </w:pPr>
            <w:r>
              <w:rPr>
                <w:sz w:val="21"/>
              </w:rPr>
              <w:t>典型的肝组织纤维化。下列条件必须全部满足并至少持续一年：</w:t>
            </w:r>
          </w:p>
          <w:p>
            <w:pPr>
              <w:pStyle w:val="TableParagraph"/>
              <w:spacing w:before="37"/>
              <w:ind w:left="248"/>
              <w:rPr>
                <w:rFonts w:ascii="Times New Roman" w:eastAsia="Times New Roman"/>
                <w:sz w:val="21"/>
              </w:rPr>
            </w:pPr>
            <w:r>
              <w:rPr>
                <w:rFonts w:ascii="Times New Roman" w:eastAsia="Times New Roman"/>
                <w:sz w:val="21"/>
              </w:rPr>
              <w:t>1</w:t>
            </w:r>
            <w:r>
              <w:rPr>
                <w:sz w:val="21"/>
              </w:rPr>
              <w:t>．持续性黄疸，胆红素水平升高超过 </w:t>
            </w:r>
            <w:r>
              <w:rPr>
                <w:rFonts w:ascii="Times New Roman" w:eastAsia="Times New Roman"/>
                <w:sz w:val="21"/>
              </w:rPr>
              <w:t>50umol/L;</w:t>
            </w:r>
          </w:p>
          <w:p>
            <w:pPr>
              <w:pStyle w:val="TableParagraph"/>
              <w:spacing w:before="21"/>
              <w:ind w:left="248"/>
              <w:rPr>
                <w:rFonts w:ascii="Times New Roman" w:eastAsia="Times New Roman"/>
                <w:sz w:val="21"/>
              </w:rPr>
            </w:pPr>
            <w:r>
              <w:rPr>
                <w:rFonts w:ascii="Times New Roman" w:eastAsia="Times New Roman"/>
                <w:sz w:val="21"/>
              </w:rPr>
              <w:t>2</w:t>
            </w:r>
            <w:r>
              <w:rPr>
                <w:sz w:val="21"/>
              </w:rPr>
              <w:t>．蛋白质合成异常，白蛋白水平低于 </w:t>
            </w:r>
            <w:r>
              <w:rPr>
                <w:rFonts w:ascii="Times New Roman" w:eastAsia="Times New Roman"/>
                <w:sz w:val="21"/>
              </w:rPr>
              <w:t>27g/L;</w:t>
            </w:r>
          </w:p>
          <w:p>
            <w:pPr>
              <w:pStyle w:val="TableParagraph"/>
              <w:spacing w:before="20"/>
              <w:ind w:left="248"/>
              <w:rPr>
                <w:sz w:val="21"/>
              </w:rPr>
            </w:pP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倍或以上，或者国际</w:t>
            </w:r>
          </w:p>
          <w:p>
            <w:pPr>
              <w:pStyle w:val="TableParagraph"/>
              <w:spacing w:before="20"/>
              <w:ind w:left="248"/>
              <w:rPr>
                <w:sz w:val="21"/>
              </w:rPr>
            </w:pPr>
            <w:r>
              <w:rPr>
                <w:sz w:val="21"/>
              </w:rPr>
              <w:t>正常化比率（</w:t>
            </w:r>
            <w:r>
              <w:rPr>
                <w:rFonts w:ascii="Times New Roman" w:eastAsia="Times New Roman"/>
                <w:sz w:val="21"/>
              </w:rPr>
              <w:t>INR</w:t>
            </w:r>
            <w:r>
              <w:rPr>
                <w:sz w:val="21"/>
              </w:rPr>
              <w:t>）在 </w:t>
            </w:r>
            <w:r>
              <w:rPr>
                <w:rFonts w:ascii="Times New Roman" w:eastAsia="Times New Roman"/>
                <w:sz w:val="21"/>
              </w:rPr>
              <w:t>2.0 </w:t>
            </w:r>
            <w:r>
              <w:rPr>
                <w:sz w:val="21"/>
              </w:rPr>
              <w:t>以上。</w:t>
            </w:r>
          </w:p>
          <w:p>
            <w:pPr>
              <w:pStyle w:val="TableParagraph"/>
              <w:spacing w:before="20"/>
              <w:ind w:left="248"/>
              <w:rPr>
                <w:b/>
                <w:sz w:val="21"/>
              </w:rPr>
            </w:pPr>
            <w:r>
              <w:rPr>
                <w:b/>
                <w:sz w:val="21"/>
              </w:rPr>
              <w:t>因酗酒或药物滥用导致的肝功能衰竭不在保障范围内。</w:t>
            </w:r>
          </w:p>
        </w:tc>
      </w:tr>
      <w:tr>
        <w:trPr>
          <w:trHeight w:val="1567" w:hRule="atLeast"/>
        </w:trPr>
        <w:tc>
          <w:tcPr>
            <w:tcW w:w="599" w:type="dxa"/>
          </w:tcPr>
          <w:p>
            <w:pPr>
              <w:pStyle w:val="TableParagraph"/>
              <w:spacing w:before="29"/>
              <w:ind w:right="134"/>
              <w:jc w:val="right"/>
              <w:rPr>
                <w:rFonts w:ascii="Times New Roman"/>
                <w:sz w:val="21"/>
              </w:rPr>
            </w:pPr>
            <w:r>
              <w:rPr>
                <w:rFonts w:ascii="Times New Roman"/>
                <w:sz w:val="21"/>
              </w:rPr>
              <w:t>35.</w:t>
            </w:r>
          </w:p>
        </w:tc>
        <w:tc>
          <w:tcPr>
            <w:tcW w:w="2471" w:type="dxa"/>
          </w:tcPr>
          <w:p>
            <w:pPr>
              <w:pStyle w:val="TableParagraph"/>
              <w:spacing w:line="257" w:lineRule="exact"/>
              <w:ind w:left="134"/>
              <w:rPr>
                <w:sz w:val="21"/>
              </w:rPr>
            </w:pPr>
            <w:r>
              <w:rPr>
                <w:sz w:val="21"/>
              </w:rPr>
              <w:t>急性重型肝炎人工肝</w:t>
            </w:r>
          </w:p>
          <w:p>
            <w:pPr>
              <w:pStyle w:val="TableParagraph"/>
              <w:spacing w:before="37"/>
              <w:ind w:left="134"/>
              <w:rPr>
                <w:sz w:val="21"/>
              </w:rPr>
            </w:pPr>
            <w:r>
              <w:rPr>
                <w:sz w:val="21"/>
              </w:rPr>
              <w:t>治疗</w:t>
            </w:r>
          </w:p>
        </w:tc>
        <w:tc>
          <w:tcPr>
            <w:tcW w:w="7125" w:type="dxa"/>
          </w:tcPr>
          <w:p>
            <w:pPr>
              <w:pStyle w:val="TableParagraph"/>
              <w:spacing w:line="257" w:lineRule="exact"/>
              <w:ind w:left="248"/>
              <w:rPr>
                <w:sz w:val="21"/>
              </w:rPr>
            </w:pPr>
            <w:r>
              <w:rPr>
                <w:sz w:val="21"/>
              </w:rPr>
              <w:t>被保险人被明确诊断为急性重型肝炎，并且实际接受了人工肝支持系统</w:t>
            </w:r>
          </w:p>
          <w:p>
            <w:pPr>
              <w:pStyle w:val="TableParagraph"/>
              <w:spacing w:before="37"/>
              <w:ind w:left="248"/>
              <w:rPr>
                <w:sz w:val="21"/>
              </w:rPr>
            </w:pPr>
            <w:r>
              <w:rPr>
                <w:sz w:val="21"/>
              </w:rPr>
              <w:t>（</w:t>
            </w:r>
            <w:r>
              <w:rPr>
                <w:rFonts w:ascii="Times New Roman" w:eastAsia="Times New Roman"/>
                <w:sz w:val="21"/>
              </w:rPr>
              <w:t>ALSS</w:t>
            </w:r>
            <w:r>
              <w:rPr>
                <w:sz w:val="21"/>
              </w:rPr>
              <w:t>）治疗。</w:t>
            </w:r>
          </w:p>
          <w:p>
            <w:pPr>
              <w:pStyle w:val="TableParagraph"/>
              <w:spacing w:line="264" w:lineRule="auto" w:before="21"/>
              <w:ind w:left="248" w:right="306"/>
              <w:rPr>
                <w:b/>
                <w:sz w:val="21"/>
              </w:rPr>
            </w:pPr>
            <w:r>
              <w:rPr>
                <w:rFonts w:ascii="Times New Roman" w:eastAsia="Times New Roman"/>
                <w:sz w:val="21"/>
              </w:rPr>
              <w:t>ALSS </w:t>
            </w:r>
            <w:r>
              <w:rPr>
                <w:spacing w:val="-10"/>
                <w:sz w:val="21"/>
              </w:rPr>
              <w:t>又称体外肝脏支持装置，指借助体外机械、化学或生物性装置暂时</w:t>
            </w:r>
            <w:r>
              <w:rPr>
                <w:spacing w:val="-5"/>
                <w:sz w:val="21"/>
              </w:rPr>
              <w:t>部分替代肝脏功能，协助治疗肝脏功能不全或相关疾病的治疗方法。 </w:t>
            </w:r>
            <w:r>
              <w:rPr>
                <w:b/>
                <w:spacing w:val="-12"/>
                <w:sz w:val="21"/>
              </w:rPr>
              <w:t>慢性重型肝炎 </w:t>
            </w:r>
            <w:r>
              <w:rPr>
                <w:rFonts w:ascii="Times New Roman" w:eastAsia="Times New Roman"/>
                <w:b/>
                <w:sz w:val="21"/>
              </w:rPr>
              <w:t>ALSS </w:t>
            </w:r>
            <w:r>
              <w:rPr>
                <w:b/>
                <w:sz w:val="21"/>
              </w:rPr>
              <w:t>治疗不在保障范围内。</w:t>
            </w:r>
          </w:p>
        </w:tc>
      </w:tr>
      <w:tr>
        <w:trPr>
          <w:trHeight w:val="1240" w:hRule="atLeast"/>
        </w:trPr>
        <w:tc>
          <w:tcPr>
            <w:tcW w:w="599" w:type="dxa"/>
          </w:tcPr>
          <w:p>
            <w:pPr>
              <w:pStyle w:val="TableParagraph"/>
              <w:spacing w:before="21"/>
              <w:ind w:right="134"/>
              <w:jc w:val="right"/>
              <w:rPr>
                <w:rFonts w:ascii="Times New Roman"/>
                <w:sz w:val="21"/>
              </w:rPr>
            </w:pPr>
            <w:r>
              <w:rPr>
                <w:rFonts w:ascii="Times New Roman"/>
                <w:sz w:val="21"/>
              </w:rPr>
              <w:t>36.</w:t>
            </w:r>
          </w:p>
        </w:tc>
        <w:tc>
          <w:tcPr>
            <w:tcW w:w="2471" w:type="dxa"/>
          </w:tcPr>
          <w:p>
            <w:pPr>
              <w:pStyle w:val="TableParagraph"/>
              <w:spacing w:line="249" w:lineRule="exact"/>
              <w:ind w:left="134"/>
              <w:rPr>
                <w:sz w:val="21"/>
              </w:rPr>
            </w:pPr>
            <w:r>
              <w:rPr>
                <w:sz w:val="21"/>
              </w:rPr>
              <w:t>中度瘫痪</w:t>
            </w:r>
          </w:p>
        </w:tc>
        <w:tc>
          <w:tcPr>
            <w:tcW w:w="7125" w:type="dxa"/>
          </w:tcPr>
          <w:p>
            <w:pPr>
              <w:pStyle w:val="TableParagraph"/>
              <w:spacing w:line="249" w:lineRule="exact"/>
              <w:ind w:left="248"/>
              <w:rPr>
                <w:sz w:val="21"/>
              </w:rPr>
            </w:pPr>
            <w:r>
              <w:rPr>
                <w:sz w:val="21"/>
              </w:rPr>
              <w:t>指因疾病或者意外伤害导致一肢或一肢以上肢体机能永久完全丧失，且</w:t>
            </w:r>
          </w:p>
          <w:p>
            <w:pPr>
              <w:pStyle w:val="TableParagraph"/>
              <w:spacing w:line="264" w:lineRule="auto" w:before="37"/>
              <w:ind w:left="248" w:right="304"/>
              <w:jc w:val="both"/>
              <w:rPr>
                <w:sz w:val="21"/>
              </w:rPr>
            </w:pPr>
            <w:r>
              <w:rPr>
                <w:sz w:val="21"/>
              </w:rPr>
              <w:t>未达到本合同所指重大疾病“瘫痪”的给付标准。肢体机能永久完全丧</w:t>
            </w:r>
            <w:r>
              <w:rPr>
                <w:spacing w:val="-7"/>
                <w:sz w:val="21"/>
              </w:rPr>
              <w:t>失，指疾病确诊 </w:t>
            </w:r>
            <w:r>
              <w:rPr>
                <w:rFonts w:ascii="Times New Roman" w:hAnsi="Times New Roman" w:eastAsia="Times New Roman"/>
                <w:sz w:val="21"/>
              </w:rPr>
              <w:t>180 </w:t>
            </w:r>
            <w:r>
              <w:rPr>
                <w:spacing w:val="-6"/>
                <w:sz w:val="21"/>
              </w:rPr>
              <w:t>天后或意外伤害发生 </w:t>
            </w:r>
            <w:r>
              <w:rPr>
                <w:rFonts w:ascii="Times New Roman" w:hAnsi="Times New Roman" w:eastAsia="Times New Roman"/>
                <w:sz w:val="21"/>
              </w:rPr>
              <w:t>180 </w:t>
            </w:r>
            <w:r>
              <w:rPr>
                <w:spacing w:val="-3"/>
                <w:sz w:val="21"/>
              </w:rPr>
              <w:t>天后，每肢三大关节中的两大关节仍然完全僵硬，或不能随意识活动。</w:t>
            </w:r>
          </w:p>
        </w:tc>
      </w:tr>
      <w:tr>
        <w:trPr>
          <w:trHeight w:val="1559" w:hRule="atLeast"/>
        </w:trPr>
        <w:tc>
          <w:tcPr>
            <w:tcW w:w="599" w:type="dxa"/>
          </w:tcPr>
          <w:p>
            <w:pPr>
              <w:pStyle w:val="TableParagraph"/>
              <w:spacing w:before="29"/>
              <w:ind w:right="134"/>
              <w:jc w:val="right"/>
              <w:rPr>
                <w:rFonts w:ascii="Times New Roman"/>
                <w:sz w:val="21"/>
              </w:rPr>
            </w:pPr>
            <w:r>
              <w:rPr>
                <w:rFonts w:ascii="Times New Roman"/>
                <w:sz w:val="21"/>
              </w:rPr>
              <w:t>37.</w:t>
            </w:r>
          </w:p>
        </w:tc>
        <w:tc>
          <w:tcPr>
            <w:tcW w:w="2471" w:type="dxa"/>
          </w:tcPr>
          <w:p>
            <w:pPr>
              <w:pStyle w:val="TableParagraph"/>
              <w:spacing w:line="273" w:lineRule="exact"/>
              <w:ind w:left="134"/>
              <w:rPr>
                <w:sz w:val="21"/>
              </w:rPr>
            </w:pPr>
            <w:r>
              <w:rPr>
                <w:sz w:val="21"/>
              </w:rPr>
              <w:t>深度昏迷 </w:t>
            </w:r>
            <w:r>
              <w:rPr>
                <w:rFonts w:ascii="Times New Roman" w:eastAsia="Times New Roman"/>
                <w:sz w:val="21"/>
              </w:rPr>
              <w:t>72 </w:t>
            </w:r>
            <w:r>
              <w:rPr>
                <w:sz w:val="21"/>
              </w:rPr>
              <w:t>小时</w:t>
            </w:r>
          </w:p>
        </w:tc>
        <w:tc>
          <w:tcPr>
            <w:tcW w:w="7125" w:type="dxa"/>
          </w:tcPr>
          <w:p>
            <w:pPr>
              <w:pStyle w:val="TableParagraph"/>
              <w:spacing w:line="257" w:lineRule="exact"/>
              <w:ind w:left="248"/>
              <w:rPr>
                <w:sz w:val="21"/>
              </w:rPr>
            </w:pPr>
            <w:r>
              <w:rPr>
                <w:sz w:val="21"/>
              </w:rPr>
              <w:t>指因疾病或意外伤害导致意识丧失，对外界刺激和体内需求均无反应，</w:t>
            </w:r>
          </w:p>
          <w:p>
            <w:pPr>
              <w:pStyle w:val="TableParagraph"/>
              <w:spacing w:line="256" w:lineRule="auto" w:before="37"/>
              <w:ind w:left="248" w:right="304"/>
              <w:jc w:val="both"/>
              <w:rPr>
                <w:sz w:val="21"/>
              </w:rPr>
            </w:pPr>
            <w:r>
              <w:rPr>
                <w:spacing w:val="-8"/>
                <w:sz w:val="21"/>
              </w:rPr>
              <w:t>昏迷程度按照格拉斯哥昏迷分级</w:t>
            </w:r>
            <w:r>
              <w:rPr>
                <w:sz w:val="21"/>
              </w:rPr>
              <w:t>（</w:t>
            </w:r>
            <w:r>
              <w:rPr>
                <w:rFonts w:ascii="Times New Roman" w:hAnsi="Times New Roman" w:eastAsia="Times New Roman"/>
                <w:sz w:val="21"/>
              </w:rPr>
              <w:t>Glasgow coma scale)</w:t>
            </w:r>
            <w:r>
              <w:rPr>
                <w:spacing w:val="-14"/>
                <w:sz w:val="21"/>
              </w:rPr>
              <w:t>结果为 </w:t>
            </w:r>
            <w:r>
              <w:rPr>
                <w:rFonts w:ascii="Times New Roman" w:hAnsi="Times New Roman" w:eastAsia="Times New Roman"/>
                <w:sz w:val="21"/>
              </w:rPr>
              <w:t>5 </w:t>
            </w:r>
            <w:r>
              <w:rPr>
                <w:spacing w:val="-18"/>
                <w:sz w:val="21"/>
              </w:rPr>
              <w:t>分或 </w:t>
            </w:r>
            <w:r>
              <w:rPr>
                <w:rFonts w:ascii="Times New Roman" w:hAnsi="Times New Roman" w:eastAsia="Times New Roman"/>
                <w:sz w:val="21"/>
              </w:rPr>
              <w:t>5 </w:t>
            </w:r>
            <w:r>
              <w:rPr>
                <w:sz w:val="21"/>
              </w:rPr>
              <w:t>分</w:t>
            </w:r>
            <w:r>
              <w:rPr>
                <w:spacing w:val="-8"/>
                <w:sz w:val="21"/>
              </w:rPr>
              <w:t>以下，且已经持续使用呼吸机及其他生命维持系统达到 </w:t>
            </w:r>
            <w:r>
              <w:rPr>
                <w:rFonts w:ascii="Times New Roman" w:hAnsi="Times New Roman" w:eastAsia="Times New Roman"/>
                <w:sz w:val="21"/>
              </w:rPr>
              <w:t>72 </w:t>
            </w:r>
            <w:r>
              <w:rPr>
                <w:spacing w:val="-10"/>
                <w:sz w:val="21"/>
              </w:rPr>
              <w:t>小时，但未达</w:t>
            </w:r>
            <w:r>
              <w:rPr>
                <w:spacing w:val="-3"/>
                <w:sz w:val="21"/>
              </w:rPr>
              <w:t>到本合同所指重大疾病“深度昏迷”的标准。</w:t>
            </w:r>
          </w:p>
          <w:p>
            <w:pPr>
              <w:pStyle w:val="TableParagraph"/>
              <w:spacing w:before="22"/>
              <w:ind w:left="248"/>
              <w:jc w:val="both"/>
              <w:rPr>
                <w:b/>
                <w:sz w:val="21"/>
              </w:rPr>
            </w:pPr>
            <w:r>
              <w:rPr>
                <w:b/>
                <w:sz w:val="21"/>
              </w:rPr>
              <w:t>因酗酒或药物滥用导致的深度昏迷不在保障范围内。</w:t>
            </w:r>
          </w:p>
        </w:tc>
      </w:tr>
      <w:tr>
        <w:trPr>
          <w:trHeight w:val="906" w:hRule="atLeast"/>
        </w:trPr>
        <w:tc>
          <w:tcPr>
            <w:tcW w:w="599" w:type="dxa"/>
          </w:tcPr>
          <w:p>
            <w:pPr>
              <w:pStyle w:val="TableParagraph"/>
              <w:spacing w:before="29"/>
              <w:ind w:right="134"/>
              <w:jc w:val="right"/>
              <w:rPr>
                <w:rFonts w:ascii="Times New Roman"/>
                <w:sz w:val="21"/>
              </w:rPr>
            </w:pPr>
            <w:r>
              <w:rPr>
                <w:rFonts w:ascii="Times New Roman"/>
                <w:sz w:val="21"/>
              </w:rPr>
              <w:t>38.</w:t>
            </w:r>
          </w:p>
        </w:tc>
        <w:tc>
          <w:tcPr>
            <w:tcW w:w="2471" w:type="dxa"/>
          </w:tcPr>
          <w:p>
            <w:pPr>
              <w:pStyle w:val="TableParagraph"/>
              <w:spacing w:line="257" w:lineRule="exact"/>
              <w:ind w:left="134"/>
              <w:rPr>
                <w:sz w:val="21"/>
              </w:rPr>
            </w:pPr>
            <w:r>
              <w:rPr>
                <w:sz w:val="21"/>
              </w:rPr>
              <w:t>单耳失聪</w:t>
            </w:r>
          </w:p>
        </w:tc>
        <w:tc>
          <w:tcPr>
            <w:tcW w:w="7125" w:type="dxa"/>
          </w:tcPr>
          <w:p>
            <w:pPr>
              <w:pStyle w:val="TableParagraph"/>
              <w:spacing w:line="257" w:lineRule="exact"/>
              <w:ind w:left="248"/>
              <w:rPr>
                <w:sz w:val="21"/>
              </w:rPr>
            </w:pPr>
            <w:r>
              <w:rPr>
                <w:sz w:val="21"/>
              </w:rPr>
              <w:t>指因疾病或者意外伤害导致单耳听力永久不可逆性丧失，未达到本合同</w:t>
            </w:r>
          </w:p>
          <w:p>
            <w:pPr>
              <w:pStyle w:val="TableParagraph"/>
              <w:spacing w:line="312" w:lineRule="exact" w:before="33"/>
              <w:ind w:left="248" w:right="304"/>
              <w:rPr>
                <w:rFonts w:ascii="Times New Roman" w:hAnsi="Times New Roman" w:eastAsia="Times New Roman"/>
                <w:sz w:val="21"/>
              </w:rPr>
            </w:pPr>
            <w:r>
              <w:rPr>
                <w:sz w:val="21"/>
              </w:rPr>
              <w:t>所指重大疾病“双耳失聪－</w:t>
            </w:r>
            <w:r>
              <w:rPr>
                <w:b/>
                <w:sz w:val="21"/>
              </w:rPr>
              <w:t>三周岁始理赔</w:t>
            </w:r>
            <w:r>
              <w:rPr>
                <w:sz w:val="21"/>
              </w:rPr>
              <w:t>”的给付标准，但满足以下条</w:t>
            </w:r>
            <w:r>
              <w:rPr>
                <w:spacing w:val="-12"/>
                <w:sz w:val="21"/>
              </w:rPr>
              <w:t>件：在 </w:t>
            </w:r>
            <w:r>
              <w:rPr>
                <w:rFonts w:ascii="Times New Roman" w:hAnsi="Times New Roman" w:eastAsia="Times New Roman"/>
                <w:sz w:val="21"/>
              </w:rPr>
              <w:t>500 </w:t>
            </w:r>
            <w:r>
              <w:rPr>
                <w:spacing w:val="-3"/>
                <w:sz w:val="21"/>
              </w:rPr>
              <w:t>赫兹、</w:t>
            </w:r>
            <w:r>
              <w:rPr>
                <w:rFonts w:ascii="Times New Roman" w:hAnsi="Times New Roman" w:eastAsia="Times New Roman"/>
                <w:sz w:val="21"/>
              </w:rPr>
              <w:t>1000 </w:t>
            </w:r>
            <w:r>
              <w:rPr>
                <w:spacing w:val="-12"/>
                <w:sz w:val="21"/>
              </w:rPr>
              <w:t>赫兹和 </w:t>
            </w:r>
            <w:r>
              <w:rPr>
                <w:rFonts w:ascii="Times New Roman" w:hAnsi="Times New Roman" w:eastAsia="Times New Roman"/>
                <w:sz w:val="21"/>
              </w:rPr>
              <w:t>2000 </w:t>
            </w:r>
            <w:r>
              <w:rPr>
                <w:spacing w:val="-6"/>
                <w:sz w:val="21"/>
              </w:rPr>
              <w:t>赫兹语音频率下，平均听阈大于 </w:t>
            </w:r>
            <w:r>
              <w:rPr>
                <w:rFonts w:ascii="Times New Roman" w:hAnsi="Times New Roman" w:eastAsia="Times New Roman"/>
                <w:sz w:val="21"/>
              </w:rPr>
              <w:t>90</w:t>
            </w:r>
          </w:p>
        </w:tc>
      </w:tr>
    </w:tbl>
    <w:p>
      <w:pPr>
        <w:spacing w:after="0" w:line="312" w:lineRule="exact"/>
        <w:rPr>
          <w:rFonts w:ascii="Times New Roman" w:hAnsi="Times New Roman" w:eastAsia="Times New Roman"/>
          <w:sz w:val="21"/>
        </w:rPr>
        <w:sectPr>
          <w:pgSz w:w="11910" w:h="16160"/>
          <w:pgMar w:header="0" w:footer="631" w:top="1440" w:bottom="820" w:left="7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71"/>
        <w:gridCol w:w="7123"/>
      </w:tblGrid>
      <w:tr>
        <w:trPr>
          <w:trHeight w:val="1505" w:hRule="atLeast"/>
        </w:trPr>
        <w:tc>
          <w:tcPr>
            <w:tcW w:w="599" w:type="dxa"/>
          </w:tcPr>
          <w:p>
            <w:pPr>
              <w:pStyle w:val="TableParagraph"/>
              <w:rPr>
                <w:rFonts w:ascii="Times New Roman"/>
                <w:sz w:val="20"/>
              </w:rPr>
            </w:pPr>
          </w:p>
        </w:tc>
        <w:tc>
          <w:tcPr>
            <w:tcW w:w="2471" w:type="dxa"/>
          </w:tcPr>
          <w:p>
            <w:pPr>
              <w:pStyle w:val="TableParagraph"/>
              <w:rPr>
                <w:rFonts w:ascii="Times New Roman"/>
                <w:sz w:val="20"/>
              </w:rPr>
            </w:pPr>
          </w:p>
        </w:tc>
        <w:tc>
          <w:tcPr>
            <w:tcW w:w="7123" w:type="dxa"/>
          </w:tcPr>
          <w:p>
            <w:pPr>
              <w:pStyle w:val="TableParagraph"/>
              <w:spacing w:line="202" w:lineRule="exact"/>
              <w:ind w:left="248"/>
              <w:rPr>
                <w:sz w:val="21"/>
              </w:rPr>
            </w:pPr>
            <w:r>
              <w:rPr>
                <w:sz w:val="21"/>
              </w:rPr>
              <w:t>分贝，且经纯音听力测试、声导抗检测或者听觉诱发电位检测等证实。</w:t>
            </w:r>
          </w:p>
          <w:p>
            <w:pPr>
              <w:pStyle w:val="TableParagraph"/>
              <w:spacing w:before="37"/>
              <w:ind w:left="248"/>
              <w:rPr>
                <w:b/>
                <w:sz w:val="21"/>
              </w:rPr>
            </w:pPr>
            <w:r>
              <w:rPr>
                <w:b/>
                <w:sz w:val="21"/>
              </w:rPr>
              <w:t>被保险人在三周岁之前因疾病导致的单耳失聪不在保障范围内。</w:t>
            </w:r>
          </w:p>
          <w:p>
            <w:pPr>
              <w:pStyle w:val="TableParagraph"/>
              <w:spacing w:line="273" w:lineRule="auto" w:before="36"/>
              <w:ind w:left="248" w:right="305"/>
              <w:jc w:val="both"/>
              <w:rPr>
                <w:b/>
                <w:sz w:val="21"/>
              </w:rPr>
            </w:pPr>
            <w:r>
              <w:rPr>
                <w:b/>
                <w:spacing w:val="-15"/>
                <w:sz w:val="21"/>
              </w:rPr>
              <w:t>我们对“单耳失聪”、“听力严重受损”和“人工耳蜗植入术”三项中的其中一项承担保险责任，给付其中一项保险金后，对其它两项特定疾病保险责任同时终止。</w:t>
            </w:r>
          </w:p>
        </w:tc>
      </w:tr>
      <w:tr>
        <w:trPr>
          <w:trHeight w:val="2496" w:hRule="atLeast"/>
        </w:trPr>
        <w:tc>
          <w:tcPr>
            <w:tcW w:w="599" w:type="dxa"/>
          </w:tcPr>
          <w:p>
            <w:pPr>
              <w:pStyle w:val="TableParagraph"/>
              <w:spacing w:before="29"/>
              <w:ind w:right="132"/>
              <w:jc w:val="right"/>
              <w:rPr>
                <w:rFonts w:ascii="Times New Roman"/>
                <w:sz w:val="21"/>
              </w:rPr>
            </w:pPr>
            <w:r>
              <w:rPr>
                <w:rFonts w:ascii="Times New Roman"/>
                <w:sz w:val="21"/>
              </w:rPr>
              <w:t>39.</w:t>
            </w:r>
          </w:p>
        </w:tc>
        <w:tc>
          <w:tcPr>
            <w:tcW w:w="2471" w:type="dxa"/>
          </w:tcPr>
          <w:p>
            <w:pPr>
              <w:pStyle w:val="TableParagraph"/>
              <w:spacing w:line="257" w:lineRule="exact"/>
              <w:ind w:left="134"/>
              <w:rPr>
                <w:b/>
                <w:sz w:val="21"/>
              </w:rPr>
            </w:pPr>
            <w:r>
              <w:rPr>
                <w:sz w:val="21"/>
              </w:rPr>
              <w:t>听力严重受损－ </w:t>
            </w:r>
            <w:r>
              <w:rPr>
                <w:b/>
                <w:sz w:val="21"/>
              </w:rPr>
              <w:t>三周</w:t>
            </w:r>
          </w:p>
          <w:p>
            <w:pPr>
              <w:pStyle w:val="TableParagraph"/>
              <w:spacing w:before="37"/>
              <w:ind w:left="134"/>
              <w:rPr>
                <w:b/>
                <w:sz w:val="21"/>
              </w:rPr>
            </w:pPr>
            <w:r>
              <w:rPr>
                <w:b/>
                <w:sz w:val="21"/>
              </w:rPr>
              <w:t>岁始理赔</w:t>
            </w:r>
          </w:p>
        </w:tc>
        <w:tc>
          <w:tcPr>
            <w:tcW w:w="7123" w:type="dxa"/>
          </w:tcPr>
          <w:p>
            <w:pPr>
              <w:pStyle w:val="TableParagraph"/>
              <w:spacing w:line="273" w:lineRule="exact"/>
              <w:ind w:left="248"/>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248" w:right="199"/>
              <w:rPr>
                <w:sz w:val="21"/>
              </w:rPr>
            </w:pPr>
            <w:r>
              <w:rPr>
                <w:spacing w:val="-14"/>
                <w:sz w:val="21"/>
              </w:rPr>
              <w:t>赫兹和 </w:t>
            </w:r>
            <w:r>
              <w:rPr>
                <w:rFonts w:ascii="Times New Roman" w:eastAsia="Times New Roman"/>
                <w:sz w:val="21"/>
              </w:rPr>
              <w:t>2000 </w:t>
            </w:r>
            <w:r>
              <w:rPr>
                <w:spacing w:val="-14"/>
                <w:sz w:val="21"/>
              </w:rPr>
              <w:t>赫兹语音频率下，平均听阈大于 </w:t>
            </w:r>
            <w:r>
              <w:rPr>
                <w:rFonts w:ascii="Times New Roman" w:eastAsia="Times New Roman"/>
                <w:sz w:val="21"/>
              </w:rPr>
              <w:t>70 </w:t>
            </w:r>
            <w:r>
              <w:rPr>
                <w:spacing w:val="-19"/>
                <w:sz w:val="21"/>
              </w:rPr>
              <w:t>分贝，但未超过 </w:t>
            </w:r>
            <w:r>
              <w:rPr>
                <w:rFonts w:ascii="Times New Roman" w:eastAsia="Times New Roman"/>
                <w:sz w:val="21"/>
              </w:rPr>
              <w:t>90 </w:t>
            </w:r>
            <w:r>
              <w:rPr>
                <w:spacing w:val="-2"/>
                <w:sz w:val="21"/>
              </w:rPr>
              <w:t>分贝， </w:t>
            </w:r>
            <w:r>
              <w:rPr>
                <w:spacing w:val="-3"/>
                <w:sz w:val="21"/>
              </w:rPr>
              <w:t>且经纯音听力测试、声导抗检测或听觉诱发电位检测等证实。</w:t>
            </w:r>
          </w:p>
          <w:p>
            <w:pPr>
              <w:pStyle w:val="TableParagraph"/>
              <w:spacing w:line="273" w:lineRule="auto" w:before="22"/>
              <w:ind w:left="248" w:right="308"/>
              <w:jc w:val="both"/>
              <w:rPr>
                <w:b/>
                <w:sz w:val="21"/>
              </w:rPr>
            </w:pPr>
            <w:r>
              <w:rPr>
                <w:b/>
                <w:sz w:val="21"/>
              </w:rPr>
              <w:t>被保险人申请理赔时年龄必须在三周岁以上，并且提供理赔当时的听力丧失诊断及检查证据。</w:t>
            </w:r>
          </w:p>
          <w:p>
            <w:pPr>
              <w:pStyle w:val="TableParagraph"/>
              <w:spacing w:line="273" w:lineRule="auto" w:before="7"/>
              <w:ind w:left="248" w:right="306"/>
              <w:jc w:val="both"/>
              <w:rPr>
                <w:b/>
                <w:sz w:val="21"/>
              </w:rPr>
            </w:pPr>
            <w:r>
              <w:rPr>
                <w:b/>
                <w:spacing w:val="-15"/>
                <w:sz w:val="21"/>
              </w:rPr>
              <w:t>我们对“单耳失聪”、“听力严重受损”和“人工耳蜗植入术”三项中的其中一项承担保险责任，给付其中一项保险金后，对其它两项特定疾病保险责任同时终止。</w:t>
            </w:r>
          </w:p>
        </w:tc>
      </w:tr>
      <w:tr>
        <w:trPr>
          <w:trHeight w:val="2184" w:hRule="atLeast"/>
        </w:trPr>
        <w:tc>
          <w:tcPr>
            <w:tcW w:w="599" w:type="dxa"/>
          </w:tcPr>
          <w:p>
            <w:pPr>
              <w:pStyle w:val="TableParagraph"/>
              <w:spacing w:before="29"/>
              <w:ind w:right="134"/>
              <w:jc w:val="right"/>
              <w:rPr>
                <w:rFonts w:ascii="Times New Roman"/>
                <w:sz w:val="21"/>
              </w:rPr>
            </w:pPr>
            <w:r>
              <w:rPr>
                <w:rFonts w:ascii="Times New Roman"/>
                <w:sz w:val="21"/>
              </w:rPr>
              <w:t>40.</w:t>
            </w:r>
          </w:p>
        </w:tc>
        <w:tc>
          <w:tcPr>
            <w:tcW w:w="2471" w:type="dxa"/>
          </w:tcPr>
          <w:p>
            <w:pPr>
              <w:pStyle w:val="TableParagraph"/>
              <w:spacing w:line="257" w:lineRule="exact"/>
              <w:ind w:left="134"/>
              <w:rPr>
                <w:sz w:val="21"/>
              </w:rPr>
            </w:pPr>
            <w:r>
              <w:rPr>
                <w:sz w:val="21"/>
              </w:rPr>
              <w:t>人工耳蜗植入术</w:t>
            </w:r>
          </w:p>
        </w:tc>
        <w:tc>
          <w:tcPr>
            <w:tcW w:w="7123" w:type="dxa"/>
          </w:tcPr>
          <w:p>
            <w:pPr>
              <w:pStyle w:val="TableParagraph"/>
              <w:spacing w:line="257" w:lineRule="exact"/>
              <w:ind w:left="248"/>
              <w:jc w:val="both"/>
              <w:rPr>
                <w:sz w:val="21"/>
              </w:rPr>
            </w:pPr>
            <w:r>
              <w:rPr>
                <w:sz w:val="21"/>
              </w:rPr>
              <w:t>指由于耳蜗的永久损害而实际实施了人工耳蜗植入手术。诊断须经专科</w:t>
            </w:r>
          </w:p>
          <w:p>
            <w:pPr>
              <w:pStyle w:val="TableParagraph"/>
              <w:spacing w:before="37"/>
              <w:ind w:left="248"/>
              <w:jc w:val="both"/>
              <w:rPr>
                <w:sz w:val="21"/>
              </w:rPr>
            </w:pPr>
            <w:r>
              <w:rPr>
                <w:sz w:val="21"/>
              </w:rPr>
              <w:t>医生确认在医学上是必要的，且在植入手术之前已经符合下列全部条件：</w:t>
            </w:r>
          </w:p>
          <w:p>
            <w:pPr>
              <w:pStyle w:val="TableParagraph"/>
              <w:spacing w:before="37"/>
              <w:ind w:left="248"/>
              <w:jc w:val="both"/>
              <w:rPr>
                <w:sz w:val="21"/>
              </w:rPr>
            </w:pP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21"/>
              <w:ind w:left="248"/>
              <w:jc w:val="both"/>
              <w:rPr>
                <w:sz w:val="21"/>
              </w:rPr>
            </w:pPr>
            <w:r>
              <w:rPr>
                <w:rFonts w:ascii="Times New Roman" w:eastAsia="Times New Roman"/>
                <w:sz w:val="21"/>
              </w:rPr>
              <w:t>2</w:t>
            </w:r>
            <w:r>
              <w:rPr>
                <w:sz w:val="21"/>
              </w:rPr>
              <w:t>．使用相应的听力辅助设备效果不佳。</w:t>
            </w:r>
          </w:p>
          <w:p>
            <w:pPr>
              <w:pStyle w:val="TableParagraph"/>
              <w:spacing w:line="273" w:lineRule="auto" w:before="21"/>
              <w:ind w:left="248" w:right="308"/>
              <w:jc w:val="both"/>
              <w:rPr>
                <w:b/>
                <w:sz w:val="21"/>
              </w:rPr>
            </w:pPr>
            <w:r>
              <w:rPr>
                <w:b/>
                <w:spacing w:val="-15"/>
                <w:sz w:val="21"/>
              </w:rPr>
              <w:t>我们对“单耳失聪”、“听力严重受损”和“人工耳蜗植入术”三项中的其中一项承担保险责任，给付其中一项保险金后，对其它两项特定疾病保险责任同时终止。</w:t>
            </w:r>
          </w:p>
        </w:tc>
      </w:tr>
      <w:tr>
        <w:trPr>
          <w:trHeight w:val="1248" w:hRule="atLeast"/>
        </w:trPr>
        <w:tc>
          <w:tcPr>
            <w:tcW w:w="599" w:type="dxa"/>
          </w:tcPr>
          <w:p>
            <w:pPr>
              <w:pStyle w:val="TableParagraph"/>
              <w:spacing w:before="29"/>
              <w:ind w:right="134"/>
              <w:jc w:val="right"/>
              <w:rPr>
                <w:rFonts w:ascii="Times New Roman"/>
                <w:sz w:val="21"/>
              </w:rPr>
            </w:pPr>
            <w:r>
              <w:rPr>
                <w:rFonts w:ascii="Times New Roman"/>
                <w:sz w:val="21"/>
              </w:rPr>
              <w:t>41.</w:t>
            </w:r>
          </w:p>
        </w:tc>
        <w:tc>
          <w:tcPr>
            <w:tcW w:w="2471" w:type="dxa"/>
          </w:tcPr>
          <w:p>
            <w:pPr>
              <w:pStyle w:val="TableParagraph"/>
              <w:spacing w:line="257" w:lineRule="exact"/>
              <w:ind w:left="134"/>
              <w:rPr>
                <w:sz w:val="21"/>
              </w:rPr>
            </w:pPr>
            <w:r>
              <w:rPr>
                <w:sz w:val="21"/>
              </w:rPr>
              <w:t>全身较小面积Ⅲ 度烧</w:t>
            </w:r>
          </w:p>
          <w:p>
            <w:pPr>
              <w:pStyle w:val="TableParagraph"/>
              <w:spacing w:before="37"/>
              <w:ind w:left="134"/>
              <w:rPr>
                <w:sz w:val="21"/>
              </w:rPr>
            </w:pPr>
            <w:r>
              <w:rPr>
                <w:w w:val="100"/>
                <w:sz w:val="21"/>
              </w:rPr>
              <w:t>伤</w:t>
            </w:r>
          </w:p>
        </w:tc>
        <w:tc>
          <w:tcPr>
            <w:tcW w:w="7123" w:type="dxa"/>
          </w:tcPr>
          <w:p>
            <w:pPr>
              <w:pStyle w:val="TableParagraph"/>
              <w:spacing w:line="273" w:lineRule="exact"/>
              <w:ind w:left="248"/>
              <w:rPr>
                <w:sz w:val="21"/>
              </w:rPr>
            </w:pPr>
            <w:r>
              <w:rPr>
                <w:sz w:val="21"/>
              </w:rPr>
              <w:t>指烧伤程度为Ⅲ度，且Ⅲ度烧伤面积为全身体表面积的 </w:t>
            </w:r>
            <w:r>
              <w:rPr>
                <w:rFonts w:ascii="Times New Roman" w:hAnsi="Times New Roman" w:eastAsia="Times New Roman"/>
                <w:sz w:val="21"/>
              </w:rPr>
              <w:t>10%</w:t>
            </w:r>
            <w:r>
              <w:rPr>
                <w:sz w:val="21"/>
              </w:rPr>
              <w:t>或者 </w:t>
            </w:r>
            <w:r>
              <w:rPr>
                <w:rFonts w:ascii="Times New Roman" w:hAnsi="Times New Roman" w:eastAsia="Times New Roman"/>
                <w:sz w:val="21"/>
              </w:rPr>
              <w:t>10%</w:t>
            </w:r>
            <w:r>
              <w:rPr>
                <w:sz w:val="21"/>
              </w:rPr>
              <w:t>以</w:t>
            </w:r>
          </w:p>
          <w:p>
            <w:pPr>
              <w:pStyle w:val="TableParagraph"/>
              <w:spacing w:before="21"/>
              <w:ind w:left="248"/>
              <w:rPr>
                <w:sz w:val="21"/>
              </w:rPr>
            </w:pPr>
            <w:r>
              <w:rPr>
                <w:sz w:val="21"/>
              </w:rPr>
              <w:t>上，但尚未达到 </w:t>
            </w:r>
            <w:r>
              <w:rPr>
                <w:rFonts w:ascii="Times New Roman" w:eastAsia="Times New Roman"/>
                <w:sz w:val="21"/>
              </w:rPr>
              <w:t>20%</w:t>
            </w:r>
            <w:r>
              <w:rPr>
                <w:sz w:val="21"/>
              </w:rPr>
              <w:t>。体表面积根据《中国新九分法》计算。</w:t>
            </w:r>
          </w:p>
          <w:p>
            <w:pPr>
              <w:pStyle w:val="TableParagraph"/>
              <w:spacing w:line="273" w:lineRule="auto" w:before="21"/>
              <w:ind w:left="248" w:right="308"/>
              <w:rPr>
                <w:b/>
                <w:sz w:val="21"/>
              </w:rPr>
            </w:pPr>
            <w:r>
              <w:rPr>
                <w:b/>
                <w:spacing w:val="-8"/>
                <w:sz w:val="21"/>
              </w:rPr>
              <w:t>若被保险人因同一原因导致其同时满足“全身较小面积Ⅲ度烧伤”、“轻度面部烧伤”的，仅按其中一项给付。</w:t>
            </w:r>
          </w:p>
        </w:tc>
      </w:tr>
      <w:tr>
        <w:trPr>
          <w:trHeight w:val="1248" w:hRule="atLeast"/>
        </w:trPr>
        <w:tc>
          <w:tcPr>
            <w:tcW w:w="599" w:type="dxa"/>
          </w:tcPr>
          <w:p>
            <w:pPr>
              <w:pStyle w:val="TableParagraph"/>
              <w:spacing w:before="29"/>
              <w:ind w:right="134"/>
              <w:jc w:val="right"/>
              <w:rPr>
                <w:rFonts w:ascii="Times New Roman"/>
                <w:sz w:val="21"/>
              </w:rPr>
            </w:pPr>
            <w:r>
              <w:rPr>
                <w:rFonts w:ascii="Times New Roman"/>
                <w:sz w:val="21"/>
              </w:rPr>
              <w:t>42.</w:t>
            </w:r>
          </w:p>
        </w:tc>
        <w:tc>
          <w:tcPr>
            <w:tcW w:w="2471" w:type="dxa"/>
          </w:tcPr>
          <w:p>
            <w:pPr>
              <w:pStyle w:val="TableParagraph"/>
              <w:spacing w:line="257" w:lineRule="exact"/>
              <w:ind w:left="134"/>
              <w:rPr>
                <w:sz w:val="21"/>
              </w:rPr>
            </w:pPr>
            <w:r>
              <w:rPr>
                <w:sz w:val="21"/>
              </w:rPr>
              <w:t>轻度面部烧伤</w:t>
            </w:r>
          </w:p>
        </w:tc>
        <w:tc>
          <w:tcPr>
            <w:tcW w:w="7123" w:type="dxa"/>
          </w:tcPr>
          <w:p>
            <w:pPr>
              <w:pStyle w:val="TableParagraph"/>
              <w:spacing w:line="273" w:lineRule="exact"/>
              <w:ind w:left="248"/>
              <w:rPr>
                <w:sz w:val="21"/>
              </w:rPr>
            </w:pPr>
            <w:r>
              <w:rPr>
                <w:sz w:val="21"/>
              </w:rPr>
              <w:t>指烧伤程度为Ⅲ度，且Ⅲ度烧伤的面积达到面部表面积的 </w:t>
            </w:r>
            <w:r>
              <w:rPr>
                <w:rFonts w:ascii="Times New Roman" w:hAnsi="Times New Roman" w:eastAsia="Times New Roman"/>
                <w:sz w:val="21"/>
              </w:rPr>
              <w:t>30</w:t>
            </w:r>
            <w:r>
              <w:rPr>
                <w:sz w:val="21"/>
              </w:rPr>
              <w:t>％或者 </w:t>
            </w:r>
            <w:r>
              <w:rPr>
                <w:rFonts w:ascii="Times New Roman" w:hAnsi="Times New Roman" w:eastAsia="Times New Roman"/>
                <w:sz w:val="21"/>
              </w:rPr>
              <w:t>30</w:t>
            </w:r>
            <w:r>
              <w:rPr>
                <w:sz w:val="21"/>
              </w:rPr>
              <w:t>％</w:t>
            </w:r>
          </w:p>
          <w:p>
            <w:pPr>
              <w:pStyle w:val="TableParagraph"/>
              <w:spacing w:before="21"/>
              <w:ind w:left="248"/>
              <w:rPr>
                <w:sz w:val="21"/>
              </w:rPr>
            </w:pPr>
            <w:r>
              <w:rPr>
                <w:sz w:val="21"/>
              </w:rPr>
              <w:t>以上，但未达到面部表面积的 </w:t>
            </w:r>
            <w:r>
              <w:rPr>
                <w:rFonts w:ascii="Times New Roman" w:eastAsia="Times New Roman"/>
                <w:sz w:val="21"/>
              </w:rPr>
              <w:t>80%</w:t>
            </w:r>
            <w:r>
              <w:rPr>
                <w:sz w:val="21"/>
              </w:rPr>
              <w:t>。</w:t>
            </w:r>
          </w:p>
          <w:p>
            <w:pPr>
              <w:pStyle w:val="TableParagraph"/>
              <w:spacing w:line="273" w:lineRule="auto" w:before="21"/>
              <w:ind w:left="248" w:right="308"/>
              <w:rPr>
                <w:b/>
                <w:sz w:val="21"/>
              </w:rPr>
            </w:pPr>
            <w:r>
              <w:rPr>
                <w:b/>
                <w:spacing w:val="-8"/>
                <w:sz w:val="21"/>
              </w:rPr>
              <w:t>若被保险人因同一原因导致其同时满足“全身较小面积Ⅲ度烧伤”、“轻度面部烧伤”的，仅按其中一项给付。</w:t>
            </w:r>
          </w:p>
        </w:tc>
      </w:tr>
      <w:tr>
        <w:trPr>
          <w:trHeight w:val="2496" w:hRule="atLeast"/>
        </w:trPr>
        <w:tc>
          <w:tcPr>
            <w:tcW w:w="599" w:type="dxa"/>
          </w:tcPr>
          <w:p>
            <w:pPr>
              <w:pStyle w:val="TableParagraph"/>
              <w:spacing w:before="29"/>
              <w:ind w:right="134"/>
              <w:jc w:val="right"/>
              <w:rPr>
                <w:rFonts w:ascii="Times New Roman"/>
                <w:sz w:val="21"/>
              </w:rPr>
            </w:pPr>
            <w:r>
              <w:rPr>
                <w:rFonts w:ascii="Times New Roman"/>
                <w:sz w:val="21"/>
              </w:rPr>
              <w:t>43.</w:t>
            </w:r>
          </w:p>
        </w:tc>
        <w:tc>
          <w:tcPr>
            <w:tcW w:w="2471" w:type="dxa"/>
          </w:tcPr>
          <w:p>
            <w:pPr>
              <w:pStyle w:val="TableParagraph"/>
              <w:spacing w:line="257" w:lineRule="exact"/>
              <w:ind w:left="134"/>
              <w:rPr>
                <w:sz w:val="21"/>
              </w:rPr>
            </w:pPr>
            <w:r>
              <w:rPr>
                <w:sz w:val="21"/>
              </w:rPr>
              <w:t>面部重建手术</w:t>
            </w:r>
          </w:p>
        </w:tc>
        <w:tc>
          <w:tcPr>
            <w:tcW w:w="7123" w:type="dxa"/>
          </w:tcPr>
          <w:p>
            <w:pPr>
              <w:pStyle w:val="TableParagraph"/>
              <w:spacing w:line="257" w:lineRule="exact"/>
              <w:ind w:left="248"/>
              <w:rPr>
                <w:sz w:val="21"/>
              </w:rPr>
            </w:pPr>
            <w:r>
              <w:rPr>
                <w:sz w:val="21"/>
              </w:rPr>
              <w:t>因疾病或意外事故导致的需要整形或者重建手术（颈部以上的面部构造</w:t>
            </w:r>
          </w:p>
          <w:p>
            <w:pPr>
              <w:pStyle w:val="TableParagraph"/>
              <w:spacing w:line="273" w:lineRule="auto" w:before="37"/>
              <w:ind w:left="248" w:right="302"/>
              <w:jc w:val="both"/>
              <w:rPr>
                <w:sz w:val="21"/>
              </w:rPr>
            </w:pPr>
            <w:r>
              <w:rPr>
                <w:spacing w:val="-6"/>
                <w:sz w:val="21"/>
              </w:rPr>
              <w:t>不完整、缺失或者受损而对其形态及外观进行修复或者重建</w:t>
            </w:r>
            <w:r>
              <w:rPr>
                <w:spacing w:val="-68"/>
                <w:sz w:val="21"/>
              </w:rPr>
              <w:t>）</w:t>
            </w:r>
            <w:r>
              <w:rPr>
                <w:spacing w:val="-15"/>
                <w:sz w:val="21"/>
              </w:rPr>
              <w:t>，同时必须由专科医生认为该面部毁容是需要接受住院治疗，及其后接受该手术， </w:t>
            </w:r>
            <w:r>
              <w:rPr>
                <w:spacing w:val="-7"/>
                <w:sz w:val="21"/>
              </w:rPr>
              <w:t>而对该面部毁容所进行的治疗亦是医疗所需。</w:t>
            </w:r>
          </w:p>
          <w:p>
            <w:pPr>
              <w:pStyle w:val="TableParagraph"/>
              <w:spacing w:line="218" w:lineRule="auto" w:before="32"/>
              <w:ind w:left="248" w:right="308"/>
              <w:jc w:val="both"/>
              <w:rPr>
                <w:b/>
                <w:sz w:val="21"/>
              </w:rPr>
            </w:pPr>
            <w:r>
              <w:rPr>
                <w:b/>
                <w:sz w:val="21"/>
              </w:rPr>
              <w:t>因纯粹整容原因、独立的牙齿修复、独立的鼻骨骨折或者独立的皮肤伤口所进行的手术均</w:t>
            </w:r>
            <w:r>
              <w:rPr>
                <w:rFonts w:ascii="Malgun Gothic" w:eastAsia="Malgun Gothic" w:hint="eastAsia"/>
                <w:b/>
                <w:sz w:val="21"/>
              </w:rPr>
              <w:t>不</w:t>
            </w:r>
            <w:r>
              <w:rPr>
                <w:b/>
                <w:sz w:val="21"/>
              </w:rPr>
              <w:t>受此保障。</w:t>
            </w:r>
          </w:p>
          <w:p>
            <w:pPr>
              <w:pStyle w:val="TableParagraph"/>
              <w:spacing w:line="273" w:lineRule="auto" w:before="16"/>
              <w:ind w:left="248" w:right="308"/>
              <w:jc w:val="both"/>
              <w:rPr>
                <w:b/>
                <w:sz w:val="21"/>
              </w:rPr>
            </w:pPr>
            <w:r>
              <w:rPr>
                <w:b/>
                <w:spacing w:val="-9"/>
                <w:sz w:val="21"/>
              </w:rPr>
              <w:t>若被保险人因同一原因导致其同时满足“面部重建手术”、“轻度面部烧伤”的，仅按其中一项给付。</w:t>
            </w:r>
          </w:p>
        </w:tc>
      </w:tr>
      <w:tr>
        <w:trPr>
          <w:trHeight w:val="2183" w:hRule="atLeast"/>
        </w:trPr>
        <w:tc>
          <w:tcPr>
            <w:tcW w:w="599" w:type="dxa"/>
          </w:tcPr>
          <w:p>
            <w:pPr>
              <w:pStyle w:val="TableParagraph"/>
              <w:spacing w:before="29"/>
              <w:ind w:right="134"/>
              <w:jc w:val="right"/>
              <w:rPr>
                <w:rFonts w:ascii="Times New Roman"/>
                <w:sz w:val="21"/>
              </w:rPr>
            </w:pPr>
            <w:r>
              <w:rPr>
                <w:rFonts w:ascii="Times New Roman"/>
                <w:sz w:val="21"/>
              </w:rPr>
              <w:t>44.</w:t>
            </w:r>
          </w:p>
        </w:tc>
        <w:tc>
          <w:tcPr>
            <w:tcW w:w="2471" w:type="dxa"/>
          </w:tcPr>
          <w:p>
            <w:pPr>
              <w:pStyle w:val="TableParagraph"/>
              <w:spacing w:line="257" w:lineRule="exact"/>
              <w:ind w:left="134"/>
              <w:rPr>
                <w:sz w:val="21"/>
              </w:rPr>
            </w:pPr>
            <w:r>
              <w:rPr>
                <w:sz w:val="21"/>
              </w:rPr>
              <w:t>中度类风湿性关节炎</w:t>
            </w:r>
          </w:p>
        </w:tc>
        <w:tc>
          <w:tcPr>
            <w:tcW w:w="7123" w:type="dxa"/>
          </w:tcPr>
          <w:p>
            <w:pPr>
              <w:pStyle w:val="TableParagraph"/>
              <w:spacing w:line="257" w:lineRule="exact"/>
              <w:ind w:left="248"/>
              <w:rPr>
                <w:sz w:val="21"/>
              </w:rPr>
            </w:pPr>
            <w:r>
              <w:rPr>
                <w:sz w:val="21"/>
              </w:rPr>
              <w:t>根据美国风湿病学院的诊断标准，由风湿科专科医生明确诊断并符合下</w:t>
            </w:r>
          </w:p>
          <w:p>
            <w:pPr>
              <w:pStyle w:val="TableParagraph"/>
              <w:spacing w:line="273" w:lineRule="auto" w:before="37"/>
              <w:ind w:left="248" w:right="199"/>
              <w:rPr>
                <w:sz w:val="21"/>
              </w:rPr>
            </w:pPr>
            <w:r>
              <w:rPr>
                <w:spacing w:val="-7"/>
                <w:sz w:val="21"/>
              </w:rPr>
              <w:t>列所有理赔条件，但未达到本合同所指重大疾病“严重类风湿性关节炎” </w:t>
            </w:r>
            <w:r>
              <w:rPr>
                <w:spacing w:val="-3"/>
                <w:sz w:val="21"/>
              </w:rPr>
              <w:t>或“严重幼年型类风湿性关节炎”的标准：</w:t>
            </w:r>
          </w:p>
          <w:p>
            <w:pPr>
              <w:pStyle w:val="TableParagraph"/>
              <w:spacing w:line="256" w:lineRule="auto" w:before="7"/>
              <w:ind w:left="248" w:right="202"/>
              <w:rPr>
                <w:sz w:val="21"/>
              </w:rPr>
            </w:pPr>
            <w:r>
              <w:rPr>
                <w:rFonts w:ascii="Times New Roman" w:eastAsia="Times New Roman"/>
                <w:sz w:val="21"/>
              </w:rPr>
              <w:t>1</w:t>
            </w:r>
            <w:r>
              <w:rPr>
                <w:sz w:val="21"/>
              </w:rPr>
              <w:t>．关节广泛受损，并经临床证实出现最少 </w:t>
            </w:r>
            <w:r>
              <w:rPr>
                <w:rFonts w:ascii="Times New Roman" w:eastAsia="Times New Roman"/>
                <w:sz w:val="21"/>
              </w:rPr>
              <w:t>2 </w:t>
            </w:r>
            <w:r>
              <w:rPr>
                <w:sz w:val="21"/>
              </w:rPr>
              <w:t>个下列关节位置严重变形： 手部、手腕、肘部、膝部、髋部、踝部、颈椎或脚部；</w:t>
            </w:r>
          </w:p>
          <w:p>
            <w:pPr>
              <w:pStyle w:val="TableParagraph"/>
              <w:spacing w:line="256" w:lineRule="auto" w:before="22"/>
              <w:ind w:left="248" w:right="306"/>
              <w:rPr>
                <w:sz w:val="21"/>
              </w:rPr>
            </w:pPr>
            <w:r>
              <w:rPr>
                <w:rFonts w:ascii="Times New Roman" w:eastAsia="Times New Roman"/>
                <w:sz w:val="21"/>
              </w:rPr>
              <w:t>2</w:t>
            </w:r>
            <w:r>
              <w:rPr>
                <w:sz w:val="21"/>
              </w:rPr>
              <w:t>．至少 </w:t>
            </w:r>
            <w:r>
              <w:rPr>
                <w:rFonts w:ascii="Times New Roman" w:eastAsia="Times New Roman"/>
                <w:sz w:val="21"/>
              </w:rPr>
              <w:t>180 </w:t>
            </w:r>
            <w:r>
              <w:rPr>
                <w:sz w:val="21"/>
              </w:rPr>
              <w:t>天无法独立完成六项基本日常生活活动中的两项或两项以上。</w:t>
            </w:r>
          </w:p>
        </w:tc>
      </w:tr>
      <w:tr>
        <w:trPr>
          <w:trHeight w:val="279" w:hRule="atLeast"/>
        </w:trPr>
        <w:tc>
          <w:tcPr>
            <w:tcW w:w="599" w:type="dxa"/>
          </w:tcPr>
          <w:p>
            <w:pPr>
              <w:pStyle w:val="TableParagraph"/>
              <w:spacing w:line="230" w:lineRule="exact" w:before="29"/>
              <w:ind w:right="134"/>
              <w:jc w:val="right"/>
              <w:rPr>
                <w:rFonts w:ascii="Times New Roman"/>
                <w:sz w:val="21"/>
              </w:rPr>
            </w:pPr>
            <w:r>
              <w:rPr>
                <w:rFonts w:ascii="Times New Roman"/>
                <w:sz w:val="21"/>
              </w:rPr>
              <w:t>45.</w:t>
            </w:r>
          </w:p>
        </w:tc>
        <w:tc>
          <w:tcPr>
            <w:tcW w:w="2471" w:type="dxa"/>
          </w:tcPr>
          <w:p>
            <w:pPr>
              <w:pStyle w:val="TableParagraph"/>
              <w:spacing w:line="257" w:lineRule="exact"/>
              <w:ind w:left="134"/>
              <w:rPr>
                <w:sz w:val="21"/>
              </w:rPr>
            </w:pPr>
            <w:r>
              <w:rPr>
                <w:sz w:val="21"/>
              </w:rPr>
              <w:t>坏死性筋膜炎组织肌</w:t>
            </w:r>
          </w:p>
        </w:tc>
        <w:tc>
          <w:tcPr>
            <w:tcW w:w="7123" w:type="dxa"/>
          </w:tcPr>
          <w:p>
            <w:pPr>
              <w:pStyle w:val="TableParagraph"/>
              <w:spacing w:line="257" w:lineRule="exact"/>
              <w:ind w:left="248"/>
              <w:rPr>
                <w:sz w:val="21"/>
              </w:rPr>
            </w:pPr>
            <w:r>
              <w:rPr>
                <w:sz w:val="21"/>
              </w:rPr>
              <w:t>是一种由细菌侵入皮下组织和筋膜引起的急性坏死性软组织感染，可伴</w:t>
            </w:r>
          </w:p>
        </w:tc>
      </w:tr>
    </w:tbl>
    <w:p>
      <w:pPr>
        <w:spacing w:after="0" w:line="257" w:lineRule="exact"/>
        <w:rPr>
          <w:sz w:val="21"/>
        </w:rPr>
        <w:sectPr>
          <w:pgSz w:w="11910" w:h="16160"/>
          <w:pgMar w:header="0" w:footer="631" w:top="1440" w:bottom="820" w:left="7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71"/>
        <w:gridCol w:w="7125"/>
      </w:tblGrid>
      <w:tr>
        <w:trPr>
          <w:trHeight w:val="2129" w:hRule="atLeast"/>
        </w:trPr>
        <w:tc>
          <w:tcPr>
            <w:tcW w:w="599" w:type="dxa"/>
          </w:tcPr>
          <w:p>
            <w:pPr>
              <w:pStyle w:val="TableParagraph"/>
              <w:rPr>
                <w:rFonts w:ascii="Times New Roman"/>
                <w:sz w:val="20"/>
              </w:rPr>
            </w:pPr>
          </w:p>
        </w:tc>
        <w:tc>
          <w:tcPr>
            <w:tcW w:w="2471" w:type="dxa"/>
          </w:tcPr>
          <w:p>
            <w:pPr>
              <w:pStyle w:val="TableParagraph"/>
              <w:spacing w:line="202" w:lineRule="exact"/>
              <w:ind w:left="134"/>
              <w:rPr>
                <w:sz w:val="21"/>
              </w:rPr>
            </w:pPr>
            <w:r>
              <w:rPr>
                <w:sz w:val="21"/>
              </w:rPr>
              <w:t>肉切除术</w:t>
            </w:r>
          </w:p>
        </w:tc>
        <w:tc>
          <w:tcPr>
            <w:tcW w:w="7125" w:type="dxa"/>
          </w:tcPr>
          <w:p>
            <w:pPr>
              <w:pStyle w:val="TableParagraph"/>
              <w:spacing w:line="202" w:lineRule="exact"/>
              <w:ind w:left="248"/>
              <w:rPr>
                <w:sz w:val="21"/>
              </w:rPr>
            </w:pPr>
            <w:r>
              <w:rPr>
                <w:sz w:val="21"/>
              </w:rPr>
              <w:t>有毒血症、败血症、中毒性休克、弥漫性血管内凝血及多器官衰竭，但</w:t>
            </w:r>
          </w:p>
          <w:p>
            <w:pPr>
              <w:pStyle w:val="TableParagraph"/>
              <w:spacing w:line="273" w:lineRule="auto" w:before="37"/>
              <w:ind w:left="248" w:right="307"/>
              <w:rPr>
                <w:sz w:val="21"/>
              </w:rPr>
            </w:pPr>
            <w:r>
              <w:rPr>
                <w:sz w:val="21"/>
              </w:rPr>
              <w:t>未达到本合同所指重大疾病“重症急性坏死性筋膜炎”标准，必须满足下列所有条件：</w:t>
            </w:r>
          </w:p>
          <w:p>
            <w:pPr>
              <w:pStyle w:val="TableParagraph"/>
              <w:spacing w:before="7"/>
              <w:ind w:left="248"/>
              <w:rPr>
                <w:sz w:val="21"/>
              </w:rPr>
            </w:pPr>
            <w:r>
              <w:rPr>
                <w:rFonts w:ascii="Times New Roman" w:eastAsia="Times New Roman"/>
                <w:sz w:val="21"/>
              </w:rPr>
              <w:t>1</w:t>
            </w:r>
            <w:r>
              <w:rPr>
                <w:sz w:val="21"/>
              </w:rPr>
              <w:t>．细菌培养和临床表现符合坏死性筋膜炎诊断标准；</w:t>
            </w:r>
          </w:p>
          <w:p>
            <w:pPr>
              <w:pStyle w:val="TableParagraph"/>
              <w:spacing w:before="21"/>
              <w:ind w:left="248"/>
              <w:rPr>
                <w:sz w:val="21"/>
              </w:rPr>
            </w:pPr>
            <w:r>
              <w:rPr>
                <w:rFonts w:ascii="Times New Roman" w:eastAsia="Times New Roman"/>
                <w:sz w:val="21"/>
              </w:rPr>
              <w:t>2</w:t>
            </w:r>
            <w:r>
              <w:rPr>
                <w:sz w:val="21"/>
              </w:rPr>
              <w:t>．病情迅速恶化，有脓毒血症表现；</w:t>
            </w:r>
          </w:p>
          <w:p>
            <w:pPr>
              <w:pStyle w:val="TableParagraph"/>
              <w:spacing w:line="256" w:lineRule="auto" w:before="21"/>
              <w:ind w:left="248" w:right="304"/>
              <w:rPr>
                <w:sz w:val="21"/>
              </w:rPr>
            </w:pPr>
            <w:r>
              <w:rPr>
                <w:rFonts w:ascii="Times New Roman" w:eastAsia="Times New Roman"/>
                <w:spacing w:val="-9"/>
                <w:sz w:val="21"/>
              </w:rPr>
              <w:t>3</w:t>
            </w:r>
            <w:r>
              <w:rPr>
                <w:spacing w:val="-7"/>
                <w:sz w:val="21"/>
              </w:rPr>
              <w:t>．出现广泛肌肉及软组织坏死，实际接受了坏死组织、筋膜及肌肉的广</w:t>
            </w:r>
            <w:r>
              <w:rPr>
                <w:spacing w:val="-5"/>
                <w:sz w:val="21"/>
              </w:rPr>
              <w:t>泛切除手术。</w:t>
            </w:r>
          </w:p>
        </w:tc>
      </w:tr>
      <w:tr>
        <w:trPr>
          <w:trHeight w:val="1880" w:hRule="atLeast"/>
        </w:trPr>
        <w:tc>
          <w:tcPr>
            <w:tcW w:w="599" w:type="dxa"/>
          </w:tcPr>
          <w:p>
            <w:pPr>
              <w:pStyle w:val="TableParagraph"/>
              <w:spacing w:before="29"/>
              <w:ind w:right="134"/>
              <w:jc w:val="right"/>
              <w:rPr>
                <w:rFonts w:ascii="Times New Roman"/>
                <w:sz w:val="21"/>
              </w:rPr>
            </w:pPr>
            <w:r>
              <w:rPr>
                <w:rFonts w:ascii="Times New Roman"/>
                <w:sz w:val="21"/>
              </w:rPr>
              <w:t>46.</w:t>
            </w:r>
          </w:p>
        </w:tc>
        <w:tc>
          <w:tcPr>
            <w:tcW w:w="2471" w:type="dxa"/>
          </w:tcPr>
          <w:p>
            <w:pPr>
              <w:pStyle w:val="TableParagraph"/>
              <w:spacing w:line="257" w:lineRule="exact"/>
              <w:ind w:left="134"/>
              <w:rPr>
                <w:sz w:val="21"/>
              </w:rPr>
            </w:pPr>
            <w:r>
              <w:rPr>
                <w:sz w:val="21"/>
              </w:rPr>
              <w:t>骨质疏松骨折髋关节</w:t>
            </w:r>
          </w:p>
          <w:p>
            <w:pPr>
              <w:pStyle w:val="TableParagraph"/>
              <w:spacing w:before="37"/>
              <w:ind w:left="134"/>
              <w:rPr>
                <w:sz w:val="21"/>
              </w:rPr>
            </w:pPr>
            <w:r>
              <w:rPr>
                <w:sz w:val="21"/>
              </w:rPr>
              <w:t>置换手术</w:t>
            </w:r>
          </w:p>
        </w:tc>
        <w:tc>
          <w:tcPr>
            <w:tcW w:w="7125" w:type="dxa"/>
          </w:tcPr>
          <w:p>
            <w:pPr>
              <w:pStyle w:val="TableParagraph"/>
              <w:spacing w:line="257" w:lineRule="exact"/>
              <w:ind w:left="248"/>
              <w:rPr>
                <w:sz w:val="21"/>
              </w:rPr>
            </w:pPr>
            <w:r>
              <w:rPr>
                <w:sz w:val="21"/>
              </w:rPr>
              <w:t>骨质疏松是一种系统性疾病。其特征为骨质量减少，骨小梁数目减少、</w:t>
            </w:r>
          </w:p>
          <w:p>
            <w:pPr>
              <w:pStyle w:val="TableParagraph"/>
              <w:spacing w:line="264" w:lineRule="auto" w:before="37"/>
              <w:ind w:left="248" w:right="304"/>
              <w:jc w:val="both"/>
              <w:rPr>
                <w:sz w:val="21"/>
              </w:rPr>
            </w:pPr>
            <w:r>
              <w:rPr>
                <w:sz w:val="21"/>
              </w:rPr>
              <w:t>变细和骨皮质变薄，导致骨脆性增加，骨折危险增加。根据世界卫生组</w:t>
            </w:r>
            <w:r>
              <w:rPr>
                <w:spacing w:val="-8"/>
                <w:sz w:val="21"/>
              </w:rPr>
              <w:t>织</w:t>
            </w:r>
            <w:r>
              <w:rPr>
                <w:spacing w:val="-3"/>
                <w:sz w:val="21"/>
              </w:rPr>
              <w:t>（</w:t>
            </w:r>
            <w:r>
              <w:rPr>
                <w:rFonts w:ascii="Times New Roman" w:eastAsia="Times New Roman"/>
                <w:spacing w:val="-3"/>
                <w:sz w:val="21"/>
              </w:rPr>
              <w:t>WHO</w:t>
            </w:r>
            <w:r>
              <w:rPr>
                <w:spacing w:val="-3"/>
                <w:sz w:val="21"/>
              </w:rPr>
              <w:t>）</w:t>
            </w:r>
            <w:r>
              <w:rPr>
                <w:spacing w:val="-5"/>
                <w:sz w:val="21"/>
              </w:rPr>
              <w:t>建议，骨密度</w:t>
            </w:r>
            <w:r>
              <w:rPr>
                <w:spacing w:val="-3"/>
                <w:sz w:val="21"/>
              </w:rPr>
              <w:t>（</w:t>
            </w:r>
            <w:r>
              <w:rPr>
                <w:rFonts w:ascii="Times New Roman" w:eastAsia="Times New Roman"/>
                <w:spacing w:val="-3"/>
                <w:sz w:val="21"/>
              </w:rPr>
              <w:t>BMD</w:t>
            </w:r>
            <w:r>
              <w:rPr>
                <w:spacing w:val="-3"/>
                <w:sz w:val="21"/>
              </w:rPr>
              <w:t>）</w:t>
            </w:r>
            <w:r>
              <w:rPr>
                <w:spacing w:val="-6"/>
                <w:sz w:val="21"/>
              </w:rPr>
              <w:t>较正常成人骨密度平均值降低 </w:t>
            </w:r>
            <w:r>
              <w:rPr>
                <w:rFonts w:ascii="Times New Roman" w:eastAsia="Times New Roman"/>
                <w:sz w:val="21"/>
              </w:rPr>
              <w:t>2.5 </w:t>
            </w:r>
            <w:r>
              <w:rPr>
                <w:sz w:val="21"/>
              </w:rPr>
              <w:t>个</w:t>
            </w:r>
            <w:r>
              <w:rPr>
                <w:spacing w:val="-3"/>
                <w:sz w:val="21"/>
              </w:rPr>
              <w:t>标准差为骨质疏松症。必须满足下列所有条件：</w:t>
            </w:r>
          </w:p>
          <w:p>
            <w:pPr>
              <w:pStyle w:val="TableParagraph"/>
              <w:spacing w:before="16"/>
              <w:ind w:left="248"/>
              <w:jc w:val="both"/>
              <w:rPr>
                <w:sz w:val="21"/>
              </w:rPr>
            </w:pPr>
            <w:r>
              <w:rPr>
                <w:rFonts w:ascii="Times New Roman" w:eastAsia="Times New Roman"/>
                <w:sz w:val="21"/>
              </w:rPr>
              <w:t>1</w:t>
            </w:r>
            <w:r>
              <w:rPr>
                <w:sz w:val="21"/>
              </w:rPr>
              <w:t>．依照诊断标准确诊为骨质疏松症；</w:t>
            </w:r>
          </w:p>
          <w:p>
            <w:pPr>
              <w:pStyle w:val="TableParagraph"/>
              <w:spacing w:before="22"/>
              <w:ind w:left="248"/>
              <w:jc w:val="both"/>
              <w:rPr>
                <w:sz w:val="21"/>
              </w:rPr>
            </w:pPr>
            <w:r>
              <w:rPr>
                <w:rFonts w:ascii="Times New Roman" w:eastAsia="Times New Roman"/>
                <w:sz w:val="21"/>
              </w:rPr>
              <w:t>2</w:t>
            </w:r>
            <w:r>
              <w:rPr>
                <w:sz w:val="21"/>
              </w:rPr>
              <w:t>．实际发生了股骨颈骨折并接受了髋关节置换手术。</w:t>
            </w:r>
          </w:p>
        </w:tc>
      </w:tr>
      <w:tr>
        <w:trPr>
          <w:trHeight w:val="1240" w:hRule="atLeast"/>
        </w:trPr>
        <w:tc>
          <w:tcPr>
            <w:tcW w:w="599" w:type="dxa"/>
          </w:tcPr>
          <w:p>
            <w:pPr>
              <w:pStyle w:val="TableParagraph"/>
              <w:spacing w:before="21"/>
              <w:ind w:right="134"/>
              <w:jc w:val="right"/>
              <w:rPr>
                <w:rFonts w:ascii="Times New Roman"/>
                <w:sz w:val="21"/>
              </w:rPr>
            </w:pPr>
            <w:r>
              <w:rPr>
                <w:rFonts w:ascii="Times New Roman"/>
                <w:sz w:val="21"/>
              </w:rPr>
              <w:t>47.</w:t>
            </w:r>
          </w:p>
        </w:tc>
        <w:tc>
          <w:tcPr>
            <w:tcW w:w="2471" w:type="dxa"/>
          </w:tcPr>
          <w:p>
            <w:pPr>
              <w:pStyle w:val="TableParagraph"/>
              <w:spacing w:line="249" w:lineRule="exact"/>
              <w:ind w:left="134"/>
              <w:rPr>
                <w:sz w:val="21"/>
              </w:rPr>
            </w:pPr>
            <w:r>
              <w:rPr>
                <w:sz w:val="21"/>
              </w:rPr>
              <w:t>中度脑炎或脑膜炎后</w:t>
            </w:r>
          </w:p>
          <w:p>
            <w:pPr>
              <w:pStyle w:val="TableParagraph"/>
              <w:spacing w:before="37"/>
              <w:ind w:left="134"/>
              <w:rPr>
                <w:sz w:val="21"/>
              </w:rPr>
            </w:pPr>
            <w:r>
              <w:rPr>
                <w:sz w:val="21"/>
              </w:rPr>
              <w:t>遗症</w:t>
            </w:r>
          </w:p>
        </w:tc>
        <w:tc>
          <w:tcPr>
            <w:tcW w:w="7125" w:type="dxa"/>
          </w:tcPr>
          <w:p>
            <w:pPr>
              <w:pStyle w:val="TableParagraph"/>
              <w:spacing w:line="249" w:lineRule="exact"/>
              <w:ind w:left="248"/>
              <w:rPr>
                <w:sz w:val="21"/>
              </w:rPr>
            </w:pPr>
            <w:r>
              <w:rPr>
                <w:sz w:val="21"/>
              </w:rPr>
              <w:t>指因患脑炎或脑膜炎导致的神经系统的功能障碍。神经系统的功能障碍，</w:t>
            </w:r>
          </w:p>
          <w:p>
            <w:pPr>
              <w:pStyle w:val="TableParagraph"/>
              <w:spacing w:line="264" w:lineRule="auto" w:before="37"/>
              <w:ind w:left="248" w:right="304"/>
              <w:jc w:val="both"/>
              <w:rPr>
                <w:b/>
                <w:sz w:val="21"/>
              </w:rPr>
            </w:pPr>
            <w:r>
              <w:rPr>
                <w:sz w:val="21"/>
              </w:rPr>
              <w:t>指疾病确诊 </w:t>
            </w:r>
            <w:r>
              <w:rPr>
                <w:rFonts w:ascii="Times New Roman" w:hAnsi="Times New Roman" w:eastAsia="Times New Roman"/>
                <w:sz w:val="21"/>
              </w:rPr>
              <w:t>180 </w:t>
            </w:r>
            <w:r>
              <w:rPr>
                <w:sz w:val="21"/>
              </w:rPr>
              <w:t>天后，仍存在自主活动能力完全丧失，无法独立完成六项基本日常生活活动中的两项。</w:t>
            </w:r>
            <w:r>
              <w:rPr>
                <w:b/>
                <w:sz w:val="21"/>
              </w:rPr>
              <w:t>若被保险人已符合本合同所指的重大疾病“脑炎后遗症或脑膜炎后遗症”给付标准的，则不在保障范围内。</w:t>
            </w:r>
          </w:p>
        </w:tc>
      </w:tr>
      <w:tr>
        <w:trPr>
          <w:trHeight w:val="1567" w:hRule="atLeast"/>
        </w:trPr>
        <w:tc>
          <w:tcPr>
            <w:tcW w:w="599" w:type="dxa"/>
          </w:tcPr>
          <w:p>
            <w:pPr>
              <w:pStyle w:val="TableParagraph"/>
              <w:spacing w:before="29"/>
              <w:ind w:right="134"/>
              <w:jc w:val="right"/>
              <w:rPr>
                <w:rFonts w:ascii="Times New Roman"/>
                <w:sz w:val="21"/>
              </w:rPr>
            </w:pPr>
            <w:r>
              <w:rPr>
                <w:rFonts w:ascii="Times New Roman"/>
                <w:sz w:val="21"/>
              </w:rPr>
              <w:t>48.</w:t>
            </w:r>
          </w:p>
        </w:tc>
        <w:tc>
          <w:tcPr>
            <w:tcW w:w="2471" w:type="dxa"/>
          </w:tcPr>
          <w:p>
            <w:pPr>
              <w:pStyle w:val="TableParagraph"/>
              <w:spacing w:line="257" w:lineRule="exact"/>
              <w:ind w:left="134"/>
              <w:rPr>
                <w:sz w:val="21"/>
              </w:rPr>
            </w:pPr>
            <w:r>
              <w:rPr>
                <w:sz w:val="21"/>
              </w:rPr>
              <w:t>严重阻塞性睡眠窒息</w:t>
            </w:r>
          </w:p>
          <w:p>
            <w:pPr>
              <w:pStyle w:val="TableParagraph"/>
              <w:spacing w:before="37"/>
              <w:ind w:left="134"/>
              <w:rPr>
                <w:sz w:val="21"/>
              </w:rPr>
            </w:pPr>
            <w:r>
              <w:rPr>
                <w:w w:val="100"/>
                <w:sz w:val="21"/>
              </w:rPr>
              <w:t>症</w:t>
            </w:r>
          </w:p>
        </w:tc>
        <w:tc>
          <w:tcPr>
            <w:tcW w:w="7125" w:type="dxa"/>
          </w:tcPr>
          <w:p>
            <w:pPr>
              <w:pStyle w:val="TableParagraph"/>
              <w:spacing w:line="257" w:lineRule="exact"/>
              <w:ind w:left="248"/>
              <w:rPr>
                <w:sz w:val="21"/>
              </w:rPr>
            </w:pPr>
            <w:r>
              <w:rPr>
                <w:sz w:val="21"/>
              </w:rPr>
              <w:t>须有相关医学范畴的注册专科医生，经多导睡眠监测仪监测明确诊断为</w:t>
            </w:r>
          </w:p>
          <w:p>
            <w:pPr>
              <w:pStyle w:val="TableParagraph"/>
              <w:spacing w:before="37"/>
              <w:ind w:left="248"/>
              <w:rPr>
                <w:sz w:val="21"/>
              </w:rPr>
            </w:pPr>
            <w:r>
              <w:rPr>
                <w:spacing w:val="-3"/>
                <w:w w:val="100"/>
                <w:sz w:val="21"/>
              </w:rPr>
              <w:t>严重阻塞性睡眠呼吸暂停综合征（</w:t>
            </w:r>
            <w:r>
              <w:rPr>
                <w:rFonts w:ascii="Times New Roman" w:eastAsia="Times New Roman"/>
                <w:w w:val="100"/>
                <w:sz w:val="21"/>
              </w:rPr>
              <w:t>O</w:t>
            </w:r>
            <w:r>
              <w:rPr>
                <w:rFonts w:ascii="Times New Roman" w:eastAsia="Times New Roman"/>
                <w:spacing w:val="-3"/>
                <w:w w:val="100"/>
                <w:sz w:val="21"/>
              </w:rPr>
              <w:t>S</w:t>
            </w:r>
            <w:r>
              <w:rPr>
                <w:rFonts w:ascii="Times New Roman" w:eastAsia="Times New Roman"/>
                <w:spacing w:val="0"/>
                <w:w w:val="100"/>
                <w:sz w:val="21"/>
              </w:rPr>
              <w:t>A</w:t>
            </w:r>
            <w:r>
              <w:rPr>
                <w:spacing w:val="-108"/>
                <w:w w:val="100"/>
                <w:sz w:val="21"/>
              </w:rPr>
              <w:t>）</w:t>
            </w:r>
            <w:r>
              <w:rPr>
                <w:spacing w:val="-3"/>
                <w:w w:val="100"/>
                <w:sz w:val="21"/>
              </w:rPr>
              <w:t>，并必须符合以下两项条件：</w:t>
            </w:r>
          </w:p>
          <w:p>
            <w:pPr>
              <w:pStyle w:val="TableParagraph"/>
              <w:spacing w:before="21"/>
              <w:ind w:left="248"/>
              <w:rPr>
                <w:sz w:val="21"/>
              </w:rPr>
            </w:pPr>
            <w:r>
              <w:rPr>
                <w:rFonts w:ascii="Times New Roman" w:eastAsia="Times New Roman"/>
                <w:sz w:val="21"/>
              </w:rPr>
              <w:t>1</w:t>
            </w:r>
            <w:r>
              <w:rPr>
                <w:sz w:val="21"/>
              </w:rPr>
              <w:t>．被保险人必须现正接受持续气道正压呼吸器（</w:t>
            </w:r>
            <w:r>
              <w:rPr>
                <w:rFonts w:ascii="Times New Roman" w:eastAsia="Times New Roman"/>
                <w:sz w:val="21"/>
              </w:rPr>
              <w:t>CPAP</w:t>
            </w:r>
            <w:r>
              <w:rPr>
                <w:sz w:val="21"/>
              </w:rPr>
              <w:t>）之夜间治疗；</w:t>
            </w:r>
          </w:p>
          <w:p>
            <w:pPr>
              <w:pStyle w:val="TableParagraph"/>
              <w:spacing w:before="21"/>
              <w:ind w:left="248"/>
              <w:rPr>
                <w:sz w:val="21"/>
              </w:rPr>
            </w:pPr>
            <w:r>
              <w:rPr>
                <w:rFonts w:ascii="Times New Roman" w:hAnsi="Times New Roman" w:eastAsia="Times New Roman"/>
                <w:sz w:val="21"/>
              </w:rPr>
              <w:t>2</w:t>
            </w:r>
            <w:r>
              <w:rPr>
                <w:sz w:val="21"/>
              </w:rPr>
              <w:t>．必须提供睡眠测试的文件证明，显示 </w:t>
            </w:r>
            <w:r>
              <w:rPr>
                <w:rFonts w:ascii="Times New Roman" w:hAnsi="Times New Roman" w:eastAsia="Times New Roman"/>
                <w:sz w:val="21"/>
              </w:rPr>
              <w:t>AHI˃30 </w:t>
            </w:r>
            <w:r>
              <w:rPr>
                <w:sz w:val="21"/>
              </w:rPr>
              <w:t>及夜间血氧饱和平均值</w:t>
            </w:r>
          </w:p>
          <w:p>
            <w:pPr>
              <w:pStyle w:val="TableParagraph"/>
              <w:spacing w:before="21"/>
              <w:ind w:left="248"/>
              <w:rPr>
                <w:sz w:val="21"/>
              </w:rPr>
            </w:pPr>
            <w:r>
              <w:rPr>
                <w:rFonts w:ascii="Times New Roman" w:hAnsi="Times New Roman" w:eastAsia="Times New Roman"/>
                <w:sz w:val="21"/>
              </w:rPr>
              <w:t>˂85</w:t>
            </w:r>
            <w:r>
              <w:rPr>
                <w:sz w:val="21"/>
              </w:rPr>
              <w:t>。</w:t>
            </w:r>
          </w:p>
        </w:tc>
      </w:tr>
      <w:tr>
        <w:trPr>
          <w:trHeight w:val="928" w:hRule="atLeast"/>
        </w:trPr>
        <w:tc>
          <w:tcPr>
            <w:tcW w:w="599" w:type="dxa"/>
          </w:tcPr>
          <w:p>
            <w:pPr>
              <w:pStyle w:val="TableParagraph"/>
              <w:spacing w:before="21"/>
              <w:ind w:right="134"/>
              <w:jc w:val="right"/>
              <w:rPr>
                <w:rFonts w:ascii="Times New Roman"/>
                <w:sz w:val="21"/>
              </w:rPr>
            </w:pPr>
            <w:r>
              <w:rPr>
                <w:rFonts w:ascii="Times New Roman"/>
                <w:sz w:val="21"/>
              </w:rPr>
              <w:t>49.</w:t>
            </w:r>
          </w:p>
        </w:tc>
        <w:tc>
          <w:tcPr>
            <w:tcW w:w="2471" w:type="dxa"/>
          </w:tcPr>
          <w:p>
            <w:pPr>
              <w:pStyle w:val="TableParagraph"/>
              <w:spacing w:line="249" w:lineRule="exact"/>
              <w:ind w:left="134"/>
              <w:rPr>
                <w:sz w:val="21"/>
              </w:rPr>
            </w:pPr>
            <w:r>
              <w:rPr>
                <w:sz w:val="21"/>
              </w:rPr>
              <w:t>肝叶切除</w:t>
            </w:r>
          </w:p>
        </w:tc>
        <w:tc>
          <w:tcPr>
            <w:tcW w:w="7125" w:type="dxa"/>
          </w:tcPr>
          <w:p>
            <w:pPr>
              <w:pStyle w:val="TableParagraph"/>
              <w:spacing w:line="249" w:lineRule="exact"/>
              <w:ind w:left="248"/>
              <w:rPr>
                <w:sz w:val="21"/>
              </w:rPr>
            </w:pPr>
            <w:r>
              <w:rPr>
                <w:sz w:val="21"/>
              </w:rPr>
              <w:t>因疾病或者意外伤害导致至少一整叶肝脏切除。</w:t>
            </w:r>
          </w:p>
          <w:p>
            <w:pPr>
              <w:pStyle w:val="TableParagraph"/>
              <w:spacing w:line="273" w:lineRule="auto" w:before="37"/>
              <w:ind w:left="248" w:right="310"/>
              <w:rPr>
                <w:b/>
                <w:sz w:val="21"/>
              </w:rPr>
            </w:pPr>
            <w:r>
              <w:rPr>
                <w:b/>
                <w:sz w:val="21"/>
              </w:rPr>
              <w:t>因酒精或者滥用药物引致的疾病或者紊乱及因捐赠肝脏、恶性肿瘤所需的肝脏手术均不在保障范围内。</w:t>
            </w:r>
          </w:p>
        </w:tc>
      </w:tr>
      <w:tr>
        <w:trPr>
          <w:trHeight w:val="1842" w:hRule="atLeast"/>
        </w:trPr>
        <w:tc>
          <w:tcPr>
            <w:tcW w:w="599" w:type="dxa"/>
          </w:tcPr>
          <w:p>
            <w:pPr>
              <w:pStyle w:val="TableParagraph"/>
              <w:spacing w:before="29"/>
              <w:ind w:right="134"/>
              <w:jc w:val="right"/>
              <w:rPr>
                <w:rFonts w:ascii="Times New Roman"/>
                <w:sz w:val="21"/>
              </w:rPr>
            </w:pPr>
            <w:r>
              <w:rPr>
                <w:rFonts w:ascii="Times New Roman"/>
                <w:sz w:val="21"/>
              </w:rPr>
              <w:t>50.</w:t>
            </w:r>
          </w:p>
        </w:tc>
        <w:tc>
          <w:tcPr>
            <w:tcW w:w="2471" w:type="dxa"/>
          </w:tcPr>
          <w:p>
            <w:pPr>
              <w:pStyle w:val="TableParagraph"/>
              <w:spacing w:line="257" w:lineRule="exact"/>
              <w:ind w:left="134"/>
              <w:rPr>
                <w:sz w:val="21"/>
              </w:rPr>
            </w:pPr>
            <w:r>
              <w:rPr>
                <w:sz w:val="21"/>
              </w:rPr>
              <w:t>可逆性再生障碍性贫</w:t>
            </w:r>
          </w:p>
          <w:p>
            <w:pPr>
              <w:pStyle w:val="TableParagraph"/>
              <w:spacing w:before="37"/>
              <w:ind w:left="134"/>
              <w:rPr>
                <w:sz w:val="21"/>
              </w:rPr>
            </w:pPr>
            <w:r>
              <w:rPr>
                <w:w w:val="100"/>
                <w:sz w:val="21"/>
              </w:rPr>
              <w:t>血</w:t>
            </w:r>
          </w:p>
        </w:tc>
        <w:tc>
          <w:tcPr>
            <w:tcW w:w="7125" w:type="dxa"/>
          </w:tcPr>
          <w:p>
            <w:pPr>
              <w:pStyle w:val="TableParagraph"/>
              <w:spacing w:line="257" w:lineRule="exact"/>
              <w:ind w:left="248"/>
              <w:rPr>
                <w:sz w:val="21"/>
              </w:rPr>
            </w:pPr>
            <w:r>
              <w:rPr>
                <w:sz w:val="21"/>
              </w:rPr>
              <w:t>指因急性可逆性的骨髓造血功能衰竭而导致贫血、中性粒细胞减少和血</w:t>
            </w:r>
          </w:p>
          <w:p>
            <w:pPr>
              <w:pStyle w:val="TableParagraph"/>
              <w:spacing w:line="273" w:lineRule="auto" w:before="37"/>
              <w:ind w:left="248" w:right="308"/>
              <w:rPr>
                <w:sz w:val="21"/>
              </w:rPr>
            </w:pPr>
            <w:r>
              <w:rPr>
                <w:sz w:val="21"/>
              </w:rPr>
              <w:t>小板减少，必须由血液科医生的诊断，且病历资料显示接受了下列任一治疗：</w:t>
            </w:r>
          </w:p>
          <w:p>
            <w:pPr>
              <w:pStyle w:val="TableParagraph"/>
              <w:spacing w:before="7"/>
              <w:ind w:left="248"/>
              <w:rPr>
                <w:sz w:val="21"/>
              </w:rPr>
            </w:pPr>
            <w:r>
              <w:rPr>
                <w:rFonts w:ascii="Times New Roman" w:eastAsia="Times New Roman"/>
                <w:sz w:val="21"/>
              </w:rPr>
              <w:t>1</w:t>
            </w:r>
            <w:r>
              <w:rPr>
                <w:sz w:val="21"/>
              </w:rPr>
              <w:t>．骨髓刺激疗法至少一个月；</w:t>
            </w:r>
          </w:p>
          <w:p>
            <w:pPr>
              <w:pStyle w:val="TableParagraph"/>
              <w:spacing w:before="20"/>
              <w:ind w:left="248"/>
              <w:rPr>
                <w:sz w:val="21"/>
              </w:rPr>
            </w:pPr>
            <w:r>
              <w:rPr>
                <w:rFonts w:ascii="Times New Roman" w:eastAsia="Times New Roman"/>
                <w:sz w:val="21"/>
              </w:rPr>
              <w:t>2</w:t>
            </w:r>
            <w:r>
              <w:rPr>
                <w:sz w:val="21"/>
              </w:rPr>
              <w:t>．免疫抑制剂治疗至少一个月；</w:t>
            </w:r>
          </w:p>
          <w:p>
            <w:pPr>
              <w:pStyle w:val="TableParagraph"/>
              <w:spacing w:line="280" w:lineRule="exact" w:before="20"/>
              <w:ind w:left="248"/>
              <w:rPr>
                <w:sz w:val="21"/>
              </w:rPr>
            </w:pPr>
            <w:r>
              <w:rPr>
                <w:rFonts w:ascii="Times New Roman" w:eastAsia="Times New Roman"/>
                <w:sz w:val="21"/>
              </w:rPr>
              <w:t>3</w:t>
            </w:r>
            <w:r>
              <w:rPr>
                <w:sz w:val="21"/>
              </w:rPr>
              <w:t>．接受了骨髓移植。</w:t>
            </w:r>
          </w:p>
        </w:tc>
      </w:tr>
    </w:tbl>
    <w:p>
      <w:pPr>
        <w:pStyle w:val="BodyText"/>
        <w:ind w:left="0"/>
        <w:rPr>
          <w:rFonts w:ascii="楷体"/>
          <w:sz w:val="22"/>
        </w:rPr>
      </w:pPr>
    </w:p>
    <w:p>
      <w:pPr>
        <w:tabs>
          <w:tab w:pos="1594" w:val="left" w:leader="none"/>
        </w:tabs>
        <w:spacing w:line="273" w:lineRule="auto" w:before="36"/>
        <w:ind w:left="738" w:right="5725" w:hanging="421"/>
        <w:jc w:val="left"/>
        <w:rPr>
          <w:sz w:val="21"/>
        </w:rPr>
      </w:pPr>
      <w:bookmarkStart w:name="_bookmark38" w:id="39"/>
      <w:bookmarkEnd w:id="39"/>
      <w:r>
        <w:rPr/>
      </w:r>
      <w:r>
        <w:rPr>
          <w:b/>
          <w:sz w:val="21"/>
        </w:rPr>
        <w:t>第三十三条</w:t>
        <w:tab/>
        <w:t>重大疾病的种类、</w:t>
      </w:r>
      <w:r>
        <w:rPr>
          <w:b/>
          <w:spacing w:val="-3"/>
          <w:sz w:val="21"/>
        </w:rPr>
        <w:t>定</w:t>
      </w:r>
      <w:r>
        <w:rPr>
          <w:b/>
          <w:sz w:val="21"/>
        </w:rPr>
        <w:t>义</w:t>
      </w:r>
      <w:r>
        <w:rPr>
          <w:b/>
          <w:spacing w:val="-3"/>
          <w:sz w:val="21"/>
        </w:rPr>
        <w:t>及</w:t>
      </w:r>
      <w:r>
        <w:rPr>
          <w:b/>
          <w:sz w:val="21"/>
        </w:rPr>
        <w:t>所属组别 </w:t>
      </w:r>
      <w:r>
        <w:rPr>
          <w:sz w:val="21"/>
        </w:rPr>
        <w:t>一、</w:t>
      </w:r>
      <w:r>
        <w:rPr>
          <w:spacing w:val="-3"/>
          <w:sz w:val="21"/>
        </w:rPr>
        <w:t>重</w:t>
      </w:r>
      <w:r>
        <w:rPr>
          <w:sz w:val="21"/>
        </w:rPr>
        <w:t>大</w:t>
      </w:r>
      <w:r>
        <w:rPr>
          <w:spacing w:val="-3"/>
          <w:sz w:val="21"/>
        </w:rPr>
        <w:t>疾</w:t>
      </w:r>
      <w:r>
        <w:rPr>
          <w:sz w:val="21"/>
        </w:rPr>
        <w:t>病</w:t>
      </w:r>
      <w:r>
        <w:rPr>
          <w:spacing w:val="-3"/>
          <w:sz w:val="21"/>
        </w:rPr>
        <w:t>的</w:t>
      </w:r>
      <w:r>
        <w:rPr>
          <w:sz w:val="21"/>
        </w:rPr>
        <w:t>种</w:t>
      </w:r>
      <w:r>
        <w:rPr>
          <w:spacing w:val="-3"/>
          <w:sz w:val="21"/>
        </w:rPr>
        <w:t>类</w:t>
      </w:r>
      <w:r>
        <w:rPr>
          <w:sz w:val="21"/>
        </w:rPr>
        <w:t>、</w:t>
      </w:r>
      <w:r>
        <w:rPr>
          <w:spacing w:val="-3"/>
          <w:sz w:val="21"/>
        </w:rPr>
        <w:t>定</w:t>
      </w:r>
      <w:r>
        <w:rPr>
          <w:sz w:val="21"/>
        </w:rPr>
        <w:t>义</w:t>
      </w:r>
    </w:p>
    <w:p>
      <w:pPr>
        <w:pStyle w:val="BodyText"/>
        <w:spacing w:line="273" w:lineRule="auto" w:before="8"/>
        <w:ind w:left="317" w:right="260" w:firstLine="420"/>
      </w:pPr>
      <w:r>
        <w:rPr/>
        <w:t>本合同所保障的重大疾病，是指被保险人经专科医生明确诊断初次发生下列疾病或初次达到下列疾病状态或在医院初次接受下列手术。</w:t>
      </w:r>
    </w:p>
    <w:p>
      <w:pPr>
        <w:pStyle w:val="BodyText"/>
        <w:spacing w:line="256" w:lineRule="auto" w:before="8"/>
        <w:ind w:left="317" w:right="252" w:firstLine="420"/>
      </w:pPr>
      <w:r>
        <w:rPr>
          <w:spacing w:val="-6"/>
        </w:rPr>
        <w:t>本合同所保障的重大疾病共 </w:t>
      </w:r>
      <w:r>
        <w:rPr>
          <w:rFonts w:ascii="Times New Roman" w:eastAsia="Times New Roman"/>
        </w:rPr>
        <w:t>100 </w:t>
      </w:r>
      <w:r>
        <w:rPr>
          <w:spacing w:val="-11"/>
        </w:rPr>
        <w:t>种，其中 </w:t>
      </w:r>
      <w:r>
        <w:rPr>
          <w:rFonts w:ascii="Times New Roman" w:eastAsia="Times New Roman"/>
        </w:rPr>
        <w:t>1-25 </w:t>
      </w:r>
      <w:r>
        <w:rPr>
          <w:spacing w:val="-15"/>
        </w:rPr>
        <w:t>种为 </w:t>
      </w:r>
      <w:r>
        <w:rPr>
          <w:rFonts w:ascii="Times New Roman" w:eastAsia="Times New Roman"/>
        </w:rPr>
        <w:t>2007 </w:t>
      </w:r>
      <w:r>
        <w:rPr>
          <w:spacing w:val="-23"/>
        </w:rPr>
        <w:t>年 </w:t>
      </w:r>
      <w:r>
        <w:rPr>
          <w:rFonts w:ascii="Times New Roman" w:eastAsia="Times New Roman"/>
        </w:rPr>
        <w:t>4 </w:t>
      </w:r>
      <w:r>
        <w:rPr>
          <w:spacing w:val="-21"/>
        </w:rPr>
        <w:t>月 </w:t>
      </w:r>
      <w:r>
        <w:rPr>
          <w:rFonts w:ascii="Times New Roman" w:eastAsia="Times New Roman"/>
        </w:rPr>
        <w:t>3 </w:t>
      </w:r>
      <w:r>
        <w:rPr>
          <w:spacing w:val="-3"/>
        </w:rPr>
        <w:t>日启用的《重大疾病保险的疾病定义使用规范》中列明的重大疾病，该规范由中国保险行业协会制定，其他为我们增加的重大疾病。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1983"/>
        <w:gridCol w:w="7816"/>
      </w:tblGrid>
      <w:tr>
        <w:trPr>
          <w:trHeight w:val="1796" w:hRule="atLeast"/>
        </w:trPr>
        <w:tc>
          <w:tcPr>
            <w:tcW w:w="463" w:type="dxa"/>
          </w:tcPr>
          <w:p>
            <w:pPr>
              <w:pStyle w:val="TableParagraph"/>
              <w:spacing w:line="234" w:lineRule="exact"/>
              <w:ind w:left="200"/>
              <w:rPr>
                <w:rFonts w:ascii="Times New Roman"/>
                <w:sz w:val="21"/>
              </w:rPr>
            </w:pPr>
            <w:r>
              <w:rPr>
                <w:rFonts w:ascii="Times New Roman"/>
                <w:sz w:val="21"/>
              </w:rPr>
              <w:t>1.</w:t>
            </w:r>
          </w:p>
        </w:tc>
        <w:tc>
          <w:tcPr>
            <w:tcW w:w="1983" w:type="dxa"/>
          </w:tcPr>
          <w:p>
            <w:pPr>
              <w:pStyle w:val="TableParagraph"/>
              <w:spacing w:line="220" w:lineRule="exact"/>
              <w:ind w:left="104"/>
              <w:rPr>
                <w:sz w:val="21"/>
              </w:rPr>
            </w:pPr>
            <w:r>
              <w:rPr>
                <w:sz w:val="21"/>
              </w:rPr>
              <w:t>恶性肿瘤</w:t>
            </w:r>
          </w:p>
        </w:tc>
        <w:tc>
          <w:tcPr>
            <w:tcW w:w="7816" w:type="dxa"/>
          </w:tcPr>
          <w:p>
            <w:pPr>
              <w:pStyle w:val="TableParagraph"/>
              <w:spacing w:line="220" w:lineRule="exact"/>
              <w:ind w:left="1035"/>
              <w:rPr>
                <w:sz w:val="21"/>
              </w:rPr>
            </w:pPr>
            <w:r>
              <w:rPr>
                <w:sz w:val="21"/>
              </w:rPr>
              <w:t>指恶性细胞不受控制的进行性增长和扩散，浸润和破坏周围正常组织，</w:t>
            </w:r>
          </w:p>
          <w:p>
            <w:pPr>
              <w:pStyle w:val="TableParagraph"/>
              <w:spacing w:line="273" w:lineRule="auto" w:before="37"/>
              <w:ind w:left="1035" w:right="198"/>
              <w:jc w:val="both"/>
              <w:rPr>
                <w:sz w:val="21"/>
              </w:rPr>
            </w:pPr>
            <w:r>
              <w:rPr>
                <w:sz w:val="21"/>
              </w:rPr>
              <w:t>可以经血管、淋巴管和体腔扩散转移到身体其他部位的疾病。经病理学检查结果明确诊断，临床诊断属于世界卫生组织《疾病和有关健康问题的国际统计分类》（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1035"/>
              <w:jc w:val="both"/>
              <w:rPr>
                <w:b/>
                <w:sz w:val="21"/>
              </w:rPr>
            </w:pPr>
            <w:r>
              <w:rPr>
                <w:b/>
                <w:sz w:val="21"/>
              </w:rPr>
              <w:t>下列疾病不在保障范围内：</w:t>
            </w:r>
          </w:p>
          <w:p>
            <w:pPr>
              <w:pStyle w:val="TableParagraph"/>
              <w:spacing w:line="271" w:lineRule="exact" w:before="37"/>
              <w:ind w:left="1035"/>
              <w:jc w:val="both"/>
              <w:rPr>
                <w:b/>
                <w:sz w:val="21"/>
              </w:rPr>
            </w:pPr>
            <w:r>
              <w:rPr>
                <w:b/>
                <w:sz w:val="21"/>
              </w:rPr>
              <w:t>（</w:t>
            </w:r>
            <w:r>
              <w:rPr>
                <w:rFonts w:ascii="Times New Roman" w:eastAsia="Times New Roman"/>
                <w:b/>
                <w:sz w:val="21"/>
              </w:rPr>
              <w:t>1</w:t>
            </w:r>
            <w:r>
              <w:rPr>
                <w:b/>
                <w:sz w:val="21"/>
              </w:rPr>
              <w:t>）原位癌；</w:t>
            </w:r>
          </w:p>
        </w:tc>
      </w:tr>
    </w:tbl>
    <w:p>
      <w:pPr>
        <w:spacing w:after="0" w:line="271" w:lineRule="exact"/>
        <w:jc w:val="both"/>
        <w:rPr>
          <w:sz w:val="21"/>
        </w:rPr>
        <w:sectPr>
          <w:pgSz w:w="11910" w:h="16160"/>
          <w:pgMar w:header="0" w:footer="631" w:top="1440" w:bottom="820" w:left="760" w:right="6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809"/>
        <w:gridCol w:w="7098"/>
      </w:tblGrid>
      <w:tr>
        <w:trPr>
          <w:trHeight w:val="1832" w:hRule="atLeast"/>
        </w:trPr>
        <w:tc>
          <w:tcPr>
            <w:tcW w:w="463" w:type="dxa"/>
          </w:tcPr>
          <w:p>
            <w:pPr>
              <w:pStyle w:val="TableParagraph"/>
              <w:rPr>
                <w:rFonts w:ascii="Times New Roman"/>
                <w:sz w:val="20"/>
              </w:rPr>
            </w:pPr>
          </w:p>
        </w:tc>
        <w:tc>
          <w:tcPr>
            <w:tcW w:w="2809" w:type="dxa"/>
          </w:tcPr>
          <w:p>
            <w:pPr>
              <w:pStyle w:val="TableParagraph"/>
              <w:rPr>
                <w:rFonts w:ascii="Times New Roman"/>
                <w:sz w:val="20"/>
              </w:rPr>
            </w:pPr>
          </w:p>
        </w:tc>
        <w:tc>
          <w:tcPr>
            <w:tcW w:w="7098" w:type="dxa"/>
          </w:tcPr>
          <w:p>
            <w:pPr>
              <w:pStyle w:val="TableParagraph"/>
              <w:spacing w:line="234" w:lineRule="exact"/>
              <w:ind w:left="209"/>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209"/>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ind w:left="209"/>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left="209" w:right="302"/>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5"/>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1"/>
                <w:sz w:val="21"/>
                <w:vertAlign w:val="baseline"/>
              </w:rPr>
              <w:t>期或更轻分期的前列腺癌</w:t>
            </w:r>
            <w:r>
              <w:rPr>
                <w:b/>
                <w:sz w:val="21"/>
                <w:vertAlign w:val="baseline"/>
              </w:rPr>
              <w:t>（注：如果为女性</w:t>
            </w:r>
            <w:r>
              <w:rPr>
                <w:b/>
                <w:spacing w:val="-2"/>
                <w:w w:val="100"/>
                <w:sz w:val="21"/>
                <w:vertAlign w:val="baseline"/>
              </w:rPr>
              <w:t>重大疾病保险，则不包括此项</w:t>
            </w:r>
            <w:r>
              <w:rPr>
                <w:b/>
                <w:spacing w:val="-106"/>
                <w:w w:val="100"/>
                <w:sz w:val="21"/>
                <w:vertAlign w:val="baseline"/>
              </w:rPr>
              <w:t>）</w:t>
            </w:r>
            <w:r>
              <w:rPr>
                <w:b/>
                <w:w w:val="100"/>
                <w:sz w:val="21"/>
                <w:vertAlign w:val="baseline"/>
              </w:rPr>
              <w:t>；</w:t>
            </w:r>
          </w:p>
          <w:p>
            <w:pPr>
              <w:pStyle w:val="TableParagraph"/>
              <w:spacing w:before="21"/>
              <w:ind w:left="209"/>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63" w:type="dxa"/>
          </w:tcPr>
          <w:p>
            <w:pPr>
              <w:pStyle w:val="TableParagraph"/>
              <w:spacing w:before="30"/>
              <w:ind w:left="180" w:right="85"/>
              <w:jc w:val="center"/>
              <w:rPr>
                <w:rFonts w:ascii="Times New Roman"/>
                <w:sz w:val="21"/>
              </w:rPr>
            </w:pPr>
            <w:r>
              <w:rPr>
                <w:rFonts w:ascii="Times New Roman"/>
                <w:sz w:val="21"/>
              </w:rPr>
              <w:t>2.</w:t>
            </w:r>
          </w:p>
        </w:tc>
        <w:tc>
          <w:tcPr>
            <w:tcW w:w="2809" w:type="dxa"/>
          </w:tcPr>
          <w:p>
            <w:pPr>
              <w:pStyle w:val="TableParagraph"/>
              <w:spacing w:line="258" w:lineRule="exact"/>
              <w:ind w:left="104"/>
              <w:rPr>
                <w:sz w:val="21"/>
              </w:rPr>
            </w:pPr>
            <w:r>
              <w:rPr>
                <w:sz w:val="21"/>
              </w:rPr>
              <w:t>急性心肌梗塞</w:t>
            </w:r>
          </w:p>
        </w:tc>
        <w:tc>
          <w:tcPr>
            <w:tcW w:w="7098" w:type="dxa"/>
          </w:tcPr>
          <w:p>
            <w:pPr>
              <w:pStyle w:val="TableParagraph"/>
              <w:spacing w:line="258" w:lineRule="exact"/>
              <w:ind w:left="209"/>
              <w:rPr>
                <w:sz w:val="21"/>
              </w:rPr>
            </w:pPr>
            <w:r>
              <w:rPr>
                <w:sz w:val="21"/>
              </w:rPr>
              <w:t>指因冠状动脉阻塞导致的相应区域供血不足造成部分心肌坏死。须满足</w:t>
            </w:r>
          </w:p>
          <w:p>
            <w:pPr>
              <w:pStyle w:val="TableParagraph"/>
              <w:spacing w:before="37"/>
              <w:ind w:left="209"/>
              <w:rPr>
                <w:sz w:val="21"/>
              </w:rPr>
            </w:pPr>
            <w:r>
              <w:rPr>
                <w:sz w:val="21"/>
              </w:rPr>
              <w:t>下列至少三项条件：</w:t>
            </w:r>
          </w:p>
          <w:p>
            <w:pPr>
              <w:pStyle w:val="TableParagraph"/>
              <w:spacing w:before="37"/>
              <w:ind w:left="209"/>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209"/>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209" w:right="247"/>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3"/>
              <w:ind w:left="209" w:right="302"/>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176" w:hRule="atLeast"/>
        </w:trPr>
        <w:tc>
          <w:tcPr>
            <w:tcW w:w="463" w:type="dxa"/>
          </w:tcPr>
          <w:p>
            <w:pPr>
              <w:pStyle w:val="TableParagraph"/>
              <w:spacing w:before="30"/>
              <w:ind w:left="180" w:right="85"/>
              <w:jc w:val="center"/>
              <w:rPr>
                <w:rFonts w:ascii="Times New Roman"/>
                <w:sz w:val="21"/>
              </w:rPr>
            </w:pPr>
            <w:r>
              <w:rPr>
                <w:rFonts w:ascii="Times New Roman"/>
                <w:sz w:val="21"/>
              </w:rPr>
              <w:t>3.</w:t>
            </w:r>
          </w:p>
        </w:tc>
        <w:tc>
          <w:tcPr>
            <w:tcW w:w="2809" w:type="dxa"/>
          </w:tcPr>
          <w:p>
            <w:pPr>
              <w:pStyle w:val="TableParagraph"/>
              <w:spacing w:line="258" w:lineRule="exact"/>
              <w:ind w:left="104"/>
              <w:rPr>
                <w:sz w:val="21"/>
              </w:rPr>
            </w:pPr>
            <w:r>
              <w:rPr>
                <w:sz w:val="21"/>
              </w:rPr>
              <w:t>脑中风后遗症</w:t>
            </w:r>
          </w:p>
        </w:tc>
        <w:tc>
          <w:tcPr>
            <w:tcW w:w="7098" w:type="dxa"/>
          </w:tcPr>
          <w:p>
            <w:pPr>
              <w:pStyle w:val="TableParagraph"/>
              <w:spacing w:line="258" w:lineRule="exact"/>
              <w:ind w:left="209"/>
              <w:rPr>
                <w:sz w:val="21"/>
              </w:rPr>
            </w:pPr>
            <w:r>
              <w:rPr>
                <w:sz w:val="21"/>
              </w:rPr>
              <w:t>指因脑血管的突发病变引起脑血管出血、栓塞或梗塞，并导致神经系统</w:t>
            </w:r>
          </w:p>
          <w:p>
            <w:pPr>
              <w:pStyle w:val="TableParagraph"/>
              <w:spacing w:line="256" w:lineRule="auto" w:before="37"/>
              <w:ind w:left="209" w:right="198"/>
              <w:rPr>
                <w:sz w:val="21"/>
              </w:rPr>
            </w:pPr>
            <w:r>
              <w:rPr>
                <w:spacing w:val="-8"/>
                <w:sz w:val="21"/>
              </w:rPr>
              <w:t>永久性的功能障碍。神经系统永久性的功能障碍，指疾病确诊 </w:t>
            </w:r>
            <w:r>
              <w:rPr>
                <w:rFonts w:ascii="Times New Roman" w:eastAsia="Times New Roman"/>
                <w:sz w:val="21"/>
              </w:rPr>
              <w:t>180 </w:t>
            </w:r>
            <w:r>
              <w:rPr>
                <w:spacing w:val="-2"/>
                <w:sz w:val="21"/>
              </w:rPr>
              <w:t>天后， </w:t>
            </w:r>
            <w:r>
              <w:rPr>
                <w:spacing w:val="-3"/>
                <w:sz w:val="21"/>
              </w:rPr>
              <w:t>仍遗留下列一种或一种以上障碍：</w:t>
            </w:r>
          </w:p>
          <w:p>
            <w:pPr>
              <w:pStyle w:val="TableParagraph"/>
              <w:spacing w:before="22"/>
              <w:ind w:left="209"/>
              <w:rPr>
                <w:sz w:val="21"/>
              </w:rPr>
            </w:pPr>
            <w:r>
              <w:rPr>
                <w:w w:val="100"/>
                <w:sz w:val="21"/>
              </w:rPr>
              <w:t>（</w:t>
            </w:r>
            <w:r>
              <w:rPr>
                <w:rFonts w:ascii="Times New Roman" w:eastAsia="Times New Roman"/>
                <w:w w:val="100"/>
                <w:sz w:val="21"/>
              </w:rPr>
              <w:t>1</w:t>
            </w:r>
            <w:r>
              <w:rPr>
                <w:spacing w:val="-3"/>
                <w:w w:val="100"/>
                <w:sz w:val="21"/>
              </w:rPr>
              <w:t>）一肢或一肢以上</w:t>
            </w:r>
            <w:r>
              <w:rPr>
                <w:b/>
                <w:spacing w:val="-1"/>
                <w:w w:val="100"/>
                <w:sz w:val="21"/>
              </w:rPr>
              <w:t>肢体机能完全丧失</w:t>
            </w:r>
            <w:r>
              <w:rPr>
                <w:rFonts w:ascii="Times New Roman" w:eastAsia="Times New Roman"/>
                <w:b/>
                <w:w w:val="97"/>
                <w:sz w:val="21"/>
                <w:vertAlign w:val="superscript"/>
              </w:rPr>
              <w:t>31</w:t>
            </w:r>
            <w:r>
              <w:rPr>
                <w:rFonts w:ascii="Times New Roman" w:eastAsia="Times New Roman"/>
                <w:b/>
                <w:w w:val="97"/>
                <w:sz w:val="21"/>
                <w:vertAlign w:val="baseline"/>
              </w:rPr>
            </w:r>
            <w:r>
              <w:rPr>
                <w:spacing w:val="-53"/>
                <w:w w:val="100"/>
                <w:sz w:val="21"/>
                <w:vertAlign w:val="baseline"/>
              </w:rPr>
              <w:t>；；</w:t>
            </w:r>
          </w:p>
          <w:p>
            <w:pPr>
              <w:pStyle w:val="TableParagraph"/>
              <w:spacing w:before="21"/>
              <w:ind w:left="209"/>
              <w:rPr>
                <w:sz w:val="21"/>
              </w:rPr>
            </w:pPr>
            <w:r>
              <w:rPr>
                <w:w w:val="100"/>
                <w:sz w:val="21"/>
              </w:rPr>
              <w:t>（</w:t>
            </w:r>
            <w:r>
              <w:rPr>
                <w:rFonts w:ascii="Times New Roman" w:eastAsia="Times New Roman"/>
                <w:w w:val="100"/>
                <w:sz w:val="21"/>
              </w:rPr>
              <w:t>2</w:t>
            </w:r>
            <w:r>
              <w:rPr>
                <w:spacing w:val="-3"/>
                <w:w w:val="100"/>
                <w:sz w:val="21"/>
              </w:rPr>
              <w:t>）</w:t>
            </w:r>
            <w:r>
              <w:rPr>
                <w:b/>
                <w:spacing w:val="-3"/>
                <w:w w:val="100"/>
                <w:sz w:val="21"/>
              </w:rPr>
              <w:t>语言能力或咀嚼吞咽能力完全丧失</w:t>
            </w:r>
            <w:r>
              <w:rPr>
                <w:rFonts w:ascii="Times New Roman" w:eastAsia="Times New Roman"/>
                <w:b/>
                <w:w w:val="97"/>
                <w:sz w:val="21"/>
                <w:vertAlign w:val="superscript"/>
              </w:rPr>
              <w:t>32</w:t>
            </w:r>
            <w:r>
              <w:rPr>
                <w:rFonts w:ascii="Times New Roman" w:eastAsia="Times New Roman"/>
                <w:b/>
                <w:w w:val="97"/>
                <w:sz w:val="21"/>
                <w:vertAlign w:val="baseline"/>
              </w:rPr>
            </w:r>
            <w:r>
              <w:rPr>
                <w:spacing w:val="-53"/>
                <w:w w:val="100"/>
                <w:sz w:val="21"/>
                <w:vertAlign w:val="baseline"/>
              </w:rPr>
              <w:t>；；</w:t>
            </w:r>
          </w:p>
          <w:p>
            <w:pPr>
              <w:pStyle w:val="TableParagraph"/>
              <w:spacing w:line="256" w:lineRule="auto" w:before="21"/>
              <w:ind w:left="209" w:right="248"/>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60" w:hRule="atLeast"/>
        </w:trPr>
        <w:tc>
          <w:tcPr>
            <w:tcW w:w="463" w:type="dxa"/>
          </w:tcPr>
          <w:p>
            <w:pPr>
              <w:pStyle w:val="TableParagraph"/>
              <w:spacing w:before="38"/>
              <w:ind w:left="180" w:right="85"/>
              <w:jc w:val="center"/>
              <w:rPr>
                <w:rFonts w:ascii="Times New Roman"/>
                <w:sz w:val="21"/>
              </w:rPr>
            </w:pPr>
            <w:r>
              <w:rPr>
                <w:rFonts w:ascii="Times New Roman"/>
                <w:sz w:val="21"/>
              </w:rPr>
              <w:t>4.</w:t>
            </w:r>
          </w:p>
        </w:tc>
        <w:tc>
          <w:tcPr>
            <w:tcW w:w="2809" w:type="dxa"/>
          </w:tcPr>
          <w:p>
            <w:pPr>
              <w:pStyle w:val="TableParagraph"/>
              <w:spacing w:line="273" w:lineRule="auto"/>
              <w:ind w:left="104" w:right="209"/>
              <w:rPr>
                <w:sz w:val="21"/>
              </w:rPr>
            </w:pPr>
            <w:r>
              <w:rPr>
                <w:sz w:val="21"/>
              </w:rPr>
              <w:t>重大器官移植术或造血干细胞移植术</w:t>
            </w:r>
          </w:p>
        </w:tc>
        <w:tc>
          <w:tcPr>
            <w:tcW w:w="7098" w:type="dxa"/>
          </w:tcPr>
          <w:p>
            <w:pPr>
              <w:pStyle w:val="TableParagraph"/>
              <w:spacing w:line="273" w:lineRule="auto"/>
              <w:ind w:left="209" w:right="309"/>
              <w:jc w:val="both"/>
              <w:rPr>
                <w:sz w:val="21"/>
              </w:rPr>
            </w:pPr>
            <w:r>
              <w:rPr>
                <w:sz w:val="21"/>
              </w:rPr>
              <w:t>重大器官移植术，指因相应器官功能衰竭，已经实施了肾脏、肝脏、心脏或肺脏的异体移植手术。</w:t>
            </w:r>
          </w:p>
          <w:p>
            <w:pPr>
              <w:pStyle w:val="TableParagraph"/>
              <w:spacing w:line="312" w:lineRule="exact" w:before="12"/>
              <w:ind w:left="209" w:right="30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7" w:hRule="atLeast"/>
        </w:trPr>
        <w:tc>
          <w:tcPr>
            <w:tcW w:w="463" w:type="dxa"/>
          </w:tcPr>
          <w:p>
            <w:pPr>
              <w:pStyle w:val="TableParagraph"/>
              <w:spacing w:before="38"/>
              <w:ind w:left="180" w:right="85"/>
              <w:jc w:val="center"/>
              <w:rPr>
                <w:rFonts w:ascii="Times New Roman"/>
                <w:sz w:val="21"/>
              </w:rPr>
            </w:pPr>
            <w:r>
              <w:rPr>
                <w:rFonts w:ascii="Times New Roman"/>
                <w:sz w:val="21"/>
              </w:rPr>
              <w:t>5.</w:t>
            </w:r>
          </w:p>
        </w:tc>
        <w:tc>
          <w:tcPr>
            <w:tcW w:w="2809" w:type="dxa"/>
          </w:tcPr>
          <w:p>
            <w:pPr>
              <w:pStyle w:val="TableParagraph"/>
              <w:spacing w:line="273" w:lineRule="auto"/>
              <w:ind w:left="104" w:right="156"/>
              <w:rPr>
                <w:sz w:val="21"/>
              </w:rPr>
            </w:pPr>
            <w:r>
              <w:rPr>
                <w:sz w:val="21"/>
              </w:rPr>
              <w:t>冠状动脉搭桥术（或称冠状动脉旁路移植术）</w:t>
            </w:r>
          </w:p>
        </w:tc>
        <w:tc>
          <w:tcPr>
            <w:tcW w:w="7098" w:type="dxa"/>
          </w:tcPr>
          <w:p>
            <w:pPr>
              <w:pStyle w:val="TableParagraph"/>
              <w:spacing w:line="273" w:lineRule="auto"/>
              <w:ind w:left="209" w:right="309"/>
              <w:rPr>
                <w:sz w:val="21"/>
              </w:rPr>
            </w:pPr>
            <w:r>
              <w:rPr>
                <w:sz w:val="21"/>
              </w:rPr>
              <w:t>指为治疗严重的冠心病，实际实施了开胸进行的冠状动脉血管旁路移植的手术。</w:t>
            </w:r>
          </w:p>
          <w:p>
            <w:pPr>
              <w:pStyle w:val="TableParagraph"/>
              <w:spacing w:line="312" w:lineRule="exact" w:before="12"/>
              <w:ind w:left="209" w:right="309"/>
              <w:rPr>
                <w:b/>
                <w:sz w:val="21"/>
              </w:rPr>
            </w:pPr>
            <w:r>
              <w:rPr>
                <w:b/>
                <w:sz w:val="21"/>
              </w:rPr>
              <w:t>冠状动脉支架植入术、心导管球囊扩张术、激光射频技术及其他非开胸的介入手术、腔镜手术不在保障范围内。</w:t>
            </w:r>
          </w:p>
        </w:tc>
      </w:tr>
      <w:tr>
        <w:trPr>
          <w:trHeight w:val="631" w:hRule="atLeast"/>
        </w:trPr>
        <w:tc>
          <w:tcPr>
            <w:tcW w:w="463" w:type="dxa"/>
          </w:tcPr>
          <w:p>
            <w:pPr>
              <w:pStyle w:val="TableParagraph"/>
              <w:spacing w:before="38"/>
              <w:ind w:left="180" w:right="85"/>
              <w:jc w:val="center"/>
              <w:rPr>
                <w:rFonts w:ascii="Times New Roman"/>
                <w:sz w:val="21"/>
              </w:rPr>
            </w:pPr>
            <w:r>
              <w:rPr>
                <w:rFonts w:ascii="Times New Roman"/>
                <w:sz w:val="21"/>
              </w:rPr>
              <w:t>6.</w:t>
            </w:r>
          </w:p>
        </w:tc>
        <w:tc>
          <w:tcPr>
            <w:tcW w:w="2809" w:type="dxa"/>
          </w:tcPr>
          <w:p>
            <w:pPr>
              <w:pStyle w:val="TableParagraph"/>
              <w:spacing w:line="273" w:lineRule="auto"/>
              <w:ind w:left="104" w:right="156"/>
              <w:rPr>
                <w:sz w:val="21"/>
              </w:rPr>
            </w:pPr>
            <w:r>
              <w:rPr>
                <w:sz w:val="21"/>
              </w:rPr>
              <w:t>终末期肾病（或称慢性肾功能衰竭尿毒症期）</w:t>
            </w:r>
          </w:p>
        </w:tc>
        <w:tc>
          <w:tcPr>
            <w:tcW w:w="7098" w:type="dxa"/>
          </w:tcPr>
          <w:p>
            <w:pPr>
              <w:pStyle w:val="TableParagraph"/>
              <w:spacing w:line="266" w:lineRule="exact"/>
              <w:ind w:left="209"/>
              <w:rPr>
                <w:sz w:val="21"/>
              </w:rPr>
            </w:pPr>
            <w:r>
              <w:rPr>
                <w:sz w:val="21"/>
              </w:rPr>
              <w:t>指双肾功能慢性不可逆性衰竭，达到尿毒症期，经诊断后已经进行了至</w:t>
            </w:r>
          </w:p>
          <w:p>
            <w:pPr>
              <w:pStyle w:val="TableParagraph"/>
              <w:spacing w:before="37"/>
              <w:ind w:left="209"/>
              <w:rPr>
                <w:sz w:val="21"/>
              </w:rPr>
            </w:pPr>
            <w:r>
              <w:rPr>
                <w:sz w:val="21"/>
              </w:rPr>
              <w:t>少 </w:t>
            </w:r>
            <w:r>
              <w:rPr>
                <w:rFonts w:ascii="Times New Roman" w:eastAsia="Times New Roman"/>
                <w:sz w:val="21"/>
              </w:rPr>
              <w:t>90 </w:t>
            </w:r>
            <w:r>
              <w:rPr>
                <w:sz w:val="21"/>
              </w:rPr>
              <w:t>天的规律性透析治疗或实施了肾脏移植手术。</w:t>
            </w:r>
          </w:p>
        </w:tc>
      </w:tr>
      <w:tr>
        <w:trPr>
          <w:trHeight w:val="616" w:hRule="atLeast"/>
        </w:trPr>
        <w:tc>
          <w:tcPr>
            <w:tcW w:w="463" w:type="dxa"/>
          </w:tcPr>
          <w:p>
            <w:pPr>
              <w:pStyle w:val="TableParagraph"/>
              <w:spacing w:before="30"/>
              <w:ind w:left="180" w:right="85"/>
              <w:jc w:val="center"/>
              <w:rPr>
                <w:rFonts w:ascii="Times New Roman"/>
                <w:sz w:val="21"/>
              </w:rPr>
            </w:pPr>
            <w:r>
              <w:rPr>
                <w:rFonts w:ascii="Times New Roman"/>
                <w:sz w:val="21"/>
              </w:rPr>
              <w:t>7.</w:t>
            </w:r>
          </w:p>
        </w:tc>
        <w:tc>
          <w:tcPr>
            <w:tcW w:w="2809" w:type="dxa"/>
          </w:tcPr>
          <w:p>
            <w:pPr>
              <w:pStyle w:val="TableParagraph"/>
              <w:spacing w:line="258" w:lineRule="exact"/>
              <w:ind w:left="104"/>
              <w:rPr>
                <w:sz w:val="21"/>
              </w:rPr>
            </w:pPr>
            <w:r>
              <w:rPr>
                <w:sz w:val="21"/>
              </w:rPr>
              <w:t>多个肢体缺失</w:t>
            </w:r>
          </w:p>
        </w:tc>
        <w:tc>
          <w:tcPr>
            <w:tcW w:w="7098" w:type="dxa"/>
          </w:tcPr>
          <w:p>
            <w:pPr>
              <w:pStyle w:val="TableParagraph"/>
              <w:spacing w:line="258" w:lineRule="exact"/>
              <w:ind w:left="209"/>
              <w:rPr>
                <w:sz w:val="21"/>
              </w:rPr>
            </w:pPr>
            <w:r>
              <w:rPr>
                <w:sz w:val="21"/>
              </w:rPr>
              <w:t>指因疾病或意外伤害导致两个或两个以上肢体自腕关节或踝关节近端</w:t>
            </w:r>
          </w:p>
          <w:p>
            <w:pPr>
              <w:pStyle w:val="TableParagraph"/>
              <w:spacing w:before="37"/>
              <w:ind w:left="209"/>
              <w:rPr>
                <w:sz w:val="21"/>
              </w:rPr>
            </w:pPr>
            <w:r>
              <w:rPr>
                <w:sz w:val="21"/>
              </w:rPr>
              <w:t>（靠近躯干端）以上完全性断离。</w:t>
            </w:r>
          </w:p>
        </w:tc>
      </w:tr>
      <w:tr>
        <w:trPr>
          <w:trHeight w:val="1218" w:hRule="atLeast"/>
        </w:trPr>
        <w:tc>
          <w:tcPr>
            <w:tcW w:w="463" w:type="dxa"/>
          </w:tcPr>
          <w:p>
            <w:pPr>
              <w:pStyle w:val="TableParagraph"/>
              <w:spacing w:before="38"/>
              <w:ind w:left="180" w:right="85"/>
              <w:jc w:val="center"/>
              <w:rPr>
                <w:rFonts w:ascii="Times New Roman"/>
                <w:sz w:val="21"/>
              </w:rPr>
            </w:pPr>
            <w:r>
              <w:rPr>
                <w:rFonts w:ascii="Times New Roman"/>
                <w:sz w:val="21"/>
              </w:rPr>
              <w:t>8.</w:t>
            </w:r>
          </w:p>
        </w:tc>
        <w:tc>
          <w:tcPr>
            <w:tcW w:w="2809" w:type="dxa"/>
          </w:tcPr>
          <w:p>
            <w:pPr>
              <w:pStyle w:val="TableParagraph"/>
              <w:spacing w:line="266" w:lineRule="exact"/>
              <w:ind w:left="104"/>
              <w:rPr>
                <w:sz w:val="21"/>
              </w:rPr>
            </w:pPr>
            <w:r>
              <w:rPr>
                <w:sz w:val="21"/>
              </w:rPr>
              <w:t>急性或亚急性重症肝炎</w:t>
            </w:r>
          </w:p>
        </w:tc>
        <w:tc>
          <w:tcPr>
            <w:tcW w:w="7098" w:type="dxa"/>
          </w:tcPr>
          <w:p>
            <w:pPr>
              <w:pStyle w:val="TableParagraph"/>
              <w:spacing w:line="273" w:lineRule="auto"/>
              <w:ind w:left="209" w:right="309"/>
              <w:rPr>
                <w:sz w:val="21"/>
              </w:rPr>
            </w:pPr>
            <w:r>
              <w:rPr>
                <w:sz w:val="21"/>
              </w:rPr>
              <w:t>指因肝炎病毒感染引起肝脏组织弥漫性坏死，导致急性肝功能衰竭，且经血清学或病毒学检查证实，并须满足下列全部条件：</w:t>
            </w:r>
          </w:p>
          <w:p>
            <w:pPr>
              <w:pStyle w:val="TableParagraph"/>
              <w:spacing w:before="16"/>
              <w:ind w:left="209"/>
              <w:rPr>
                <w:sz w:val="21"/>
              </w:rPr>
            </w:pPr>
            <w:r>
              <w:rPr>
                <w:sz w:val="21"/>
              </w:rPr>
              <w:t>（</w:t>
            </w:r>
            <w:r>
              <w:rPr>
                <w:rFonts w:ascii="Times New Roman" w:eastAsia="Times New Roman"/>
                <w:sz w:val="21"/>
              </w:rPr>
              <w:t>1</w:t>
            </w:r>
            <w:r>
              <w:rPr>
                <w:sz w:val="21"/>
              </w:rPr>
              <w:t>）重度黄疸或黄疸迅速加重；</w:t>
            </w:r>
          </w:p>
          <w:p>
            <w:pPr>
              <w:pStyle w:val="TableParagraph"/>
              <w:spacing w:line="271" w:lineRule="exact" w:before="21"/>
              <w:ind w:left="209"/>
              <w:rPr>
                <w:sz w:val="21"/>
              </w:rPr>
            </w:pPr>
            <w:r>
              <w:rPr>
                <w:sz w:val="21"/>
              </w:rPr>
              <w:t>（</w:t>
            </w:r>
            <w:r>
              <w:rPr>
                <w:rFonts w:ascii="Times New Roman" w:eastAsia="Times New Roman"/>
                <w:sz w:val="21"/>
              </w:rPr>
              <w:t>2</w:t>
            </w:r>
            <w:r>
              <w:rPr>
                <w:sz w:val="21"/>
              </w:rPr>
              <w:t>）肝性脑病；</w:t>
            </w:r>
          </w:p>
        </w:tc>
      </w:tr>
    </w:tbl>
    <w:p>
      <w:pPr>
        <w:pStyle w:val="BodyText"/>
        <w:spacing w:before="2"/>
        <w:ind w:left="0"/>
        <w:rPr>
          <w:sz w:val="17"/>
        </w:rPr>
      </w:pPr>
      <w:r>
        <w:rPr/>
        <w:pict>
          <v:line style="position:absolute;mso-position-horizontal-relative:page;mso-position-vertical-relative:paragraph;z-index:1312;mso-wrap-distance-left:0;mso-wrap-distance-right:0" from="53.880001pt,13.425635pt" to="197.930001pt,13.425635pt" stroked="true" strokeweight=".47998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31</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32</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7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631"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55"/>
        <w:gridCol w:w="7098"/>
      </w:tblGrid>
      <w:tr>
        <w:trPr>
          <w:trHeight w:val="584" w:hRule="atLeast"/>
        </w:trPr>
        <w:tc>
          <w:tcPr>
            <w:tcW w:w="516" w:type="dxa"/>
          </w:tcPr>
          <w:p>
            <w:pPr>
              <w:pStyle w:val="TableParagraph"/>
              <w:rPr>
                <w:rFonts w:ascii="Times New Roman"/>
                <w:sz w:val="20"/>
              </w:rPr>
            </w:pPr>
          </w:p>
        </w:tc>
        <w:tc>
          <w:tcPr>
            <w:tcW w:w="2755" w:type="dxa"/>
          </w:tcPr>
          <w:p>
            <w:pPr>
              <w:pStyle w:val="TableParagraph"/>
              <w:rPr>
                <w:rFonts w:ascii="Times New Roman"/>
                <w:sz w:val="20"/>
              </w:rPr>
            </w:pPr>
          </w:p>
        </w:tc>
        <w:tc>
          <w:tcPr>
            <w:tcW w:w="7098" w:type="dxa"/>
          </w:tcPr>
          <w:p>
            <w:pPr>
              <w:pStyle w:val="TableParagraph"/>
              <w:spacing w:line="234" w:lineRule="exact"/>
              <w:ind w:left="21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210"/>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16" w:type="dxa"/>
          </w:tcPr>
          <w:p>
            <w:pPr>
              <w:pStyle w:val="TableParagraph"/>
              <w:spacing w:before="30"/>
              <w:ind w:left="200"/>
              <w:rPr>
                <w:rFonts w:ascii="Times New Roman"/>
                <w:sz w:val="21"/>
              </w:rPr>
            </w:pPr>
            <w:r>
              <w:rPr>
                <w:rFonts w:ascii="Times New Roman"/>
                <w:sz w:val="21"/>
              </w:rPr>
              <w:t>9.</w:t>
            </w:r>
          </w:p>
        </w:tc>
        <w:tc>
          <w:tcPr>
            <w:tcW w:w="2755" w:type="dxa"/>
          </w:tcPr>
          <w:p>
            <w:pPr>
              <w:pStyle w:val="TableParagraph"/>
              <w:spacing w:line="258" w:lineRule="exact"/>
              <w:ind w:left="51"/>
              <w:rPr>
                <w:sz w:val="21"/>
              </w:rPr>
            </w:pPr>
            <w:r>
              <w:rPr>
                <w:sz w:val="21"/>
              </w:rPr>
              <w:t>良性脑肿瘤</w:t>
            </w:r>
          </w:p>
        </w:tc>
        <w:tc>
          <w:tcPr>
            <w:tcW w:w="7098" w:type="dxa"/>
          </w:tcPr>
          <w:p>
            <w:pPr>
              <w:pStyle w:val="TableParagraph"/>
              <w:spacing w:line="258" w:lineRule="exact"/>
              <w:ind w:left="210"/>
              <w:rPr>
                <w:sz w:val="21"/>
              </w:rPr>
            </w:pPr>
            <w:r>
              <w:rPr>
                <w:sz w:val="21"/>
              </w:rPr>
              <w:t>指脑的良性肿瘤，已经引起颅内压增高，临床表现为视神经乳头水肿、</w:t>
            </w:r>
          </w:p>
          <w:p>
            <w:pPr>
              <w:pStyle w:val="TableParagraph"/>
              <w:spacing w:line="256" w:lineRule="auto" w:before="37"/>
              <w:ind w:left="210" w:right="300"/>
              <w:jc w:val="both"/>
              <w:rPr>
                <w:sz w:val="21"/>
              </w:rPr>
            </w:pPr>
            <w:r>
              <w:rPr>
                <w:spacing w:val="-4"/>
                <w:sz w:val="21"/>
              </w:rPr>
              <w:t>精神症状、癫痫及运动感觉障碍等，并危及生命。须由头颅 </w:t>
            </w:r>
            <w:r>
              <w:rPr>
                <w:rFonts w:ascii="Times New Roman" w:eastAsia="Times New Roman"/>
                <w:sz w:val="21"/>
              </w:rPr>
              <w:t>X </w:t>
            </w:r>
            <w:r>
              <w:rPr>
                <w:spacing w:val="-3"/>
                <w:sz w:val="21"/>
              </w:rPr>
              <w:t>线断层扫</w:t>
            </w:r>
            <w:r>
              <w:rPr>
                <w:spacing w:val="-5"/>
                <w:w w:val="100"/>
                <w:sz w:val="21"/>
              </w:rPr>
              <w:t>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4"/>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5"/>
                <w:w w:val="100"/>
                <w:sz w:val="21"/>
              </w:rPr>
              <w:t>）</w:t>
            </w:r>
            <w:r>
              <w:rPr>
                <w:spacing w:val="-4"/>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w w:val="100"/>
                <w:sz w:val="21"/>
              </w:rPr>
              <w:t>T</w:t>
            </w:r>
            <w:r>
              <w:rPr>
                <w:spacing w:val="-8"/>
                <w:w w:val="100"/>
                <w:sz w:val="21"/>
              </w:rPr>
              <w:t>）</w:t>
            </w:r>
            <w:r>
              <w:rPr>
                <w:spacing w:val="-2"/>
                <w:w w:val="100"/>
                <w:sz w:val="21"/>
              </w:rPr>
              <w:t>等影像</w:t>
            </w:r>
            <w:r>
              <w:rPr>
                <w:spacing w:val="-3"/>
                <w:sz w:val="21"/>
              </w:rPr>
              <w:t>学检查证实，并须满足下列至少一项条件：</w:t>
            </w:r>
          </w:p>
          <w:p>
            <w:pPr>
              <w:pStyle w:val="TableParagraph"/>
              <w:spacing w:before="22"/>
              <w:ind w:left="210"/>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210"/>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210"/>
              <w:jc w:val="both"/>
              <w:rPr>
                <w:b/>
                <w:sz w:val="21"/>
              </w:rPr>
            </w:pPr>
            <w:r>
              <w:rPr>
                <w:b/>
                <w:sz w:val="21"/>
              </w:rPr>
              <w:t>脑垂体瘤、脑囊肿、脑血管性疾病不在保障范围内。</w:t>
            </w:r>
          </w:p>
        </w:tc>
      </w:tr>
      <w:tr>
        <w:trPr>
          <w:trHeight w:val="1872" w:hRule="atLeast"/>
        </w:trPr>
        <w:tc>
          <w:tcPr>
            <w:tcW w:w="516" w:type="dxa"/>
          </w:tcPr>
          <w:p>
            <w:pPr>
              <w:pStyle w:val="TableParagraph"/>
              <w:spacing w:before="38"/>
              <w:ind w:left="200"/>
              <w:rPr>
                <w:rFonts w:ascii="Times New Roman"/>
                <w:sz w:val="21"/>
              </w:rPr>
            </w:pPr>
            <w:r>
              <w:rPr>
                <w:rFonts w:ascii="Times New Roman"/>
                <w:sz w:val="21"/>
              </w:rPr>
              <w:t>10.</w:t>
            </w:r>
          </w:p>
        </w:tc>
        <w:tc>
          <w:tcPr>
            <w:tcW w:w="2755" w:type="dxa"/>
          </w:tcPr>
          <w:p>
            <w:pPr>
              <w:pStyle w:val="TableParagraph"/>
              <w:spacing w:line="266" w:lineRule="exact"/>
              <w:ind w:left="51"/>
              <w:rPr>
                <w:sz w:val="21"/>
              </w:rPr>
            </w:pPr>
            <w:r>
              <w:rPr>
                <w:sz w:val="21"/>
              </w:rPr>
              <w:t>慢性肝功能衰竭失代偿期</w:t>
            </w:r>
          </w:p>
        </w:tc>
        <w:tc>
          <w:tcPr>
            <w:tcW w:w="7098" w:type="dxa"/>
          </w:tcPr>
          <w:p>
            <w:pPr>
              <w:pStyle w:val="TableParagraph"/>
              <w:spacing w:line="266" w:lineRule="exact"/>
              <w:ind w:left="210"/>
              <w:rPr>
                <w:sz w:val="21"/>
              </w:rPr>
            </w:pPr>
            <w:r>
              <w:rPr>
                <w:sz w:val="21"/>
              </w:rPr>
              <w:t>指因慢性肝脏疾病导致肝功能衰竭。须满足下列全部条件：</w:t>
            </w:r>
          </w:p>
          <w:p>
            <w:pPr>
              <w:pStyle w:val="TableParagraph"/>
              <w:spacing w:before="37"/>
              <w:ind w:left="210"/>
              <w:rPr>
                <w:sz w:val="21"/>
              </w:rPr>
            </w:pPr>
            <w:r>
              <w:rPr>
                <w:sz w:val="21"/>
              </w:rPr>
              <w:t>（</w:t>
            </w:r>
            <w:r>
              <w:rPr>
                <w:rFonts w:ascii="Times New Roman" w:eastAsia="Times New Roman"/>
                <w:sz w:val="21"/>
              </w:rPr>
              <w:t>1</w:t>
            </w:r>
            <w:r>
              <w:rPr>
                <w:sz w:val="21"/>
              </w:rPr>
              <w:t>）持续性黄疸；</w:t>
            </w:r>
          </w:p>
          <w:p>
            <w:pPr>
              <w:pStyle w:val="TableParagraph"/>
              <w:spacing w:before="21"/>
              <w:ind w:left="210"/>
              <w:rPr>
                <w:sz w:val="21"/>
              </w:rPr>
            </w:pPr>
            <w:r>
              <w:rPr>
                <w:sz w:val="21"/>
              </w:rPr>
              <w:t>（</w:t>
            </w:r>
            <w:r>
              <w:rPr>
                <w:rFonts w:ascii="Times New Roman" w:eastAsia="Times New Roman"/>
                <w:sz w:val="21"/>
              </w:rPr>
              <w:t>2</w:t>
            </w:r>
            <w:r>
              <w:rPr>
                <w:sz w:val="21"/>
              </w:rPr>
              <w:t>）腹水；</w:t>
            </w:r>
          </w:p>
          <w:p>
            <w:pPr>
              <w:pStyle w:val="TableParagraph"/>
              <w:spacing w:before="21"/>
              <w:ind w:left="210"/>
              <w:rPr>
                <w:sz w:val="21"/>
              </w:rPr>
            </w:pPr>
            <w:r>
              <w:rPr>
                <w:sz w:val="21"/>
              </w:rPr>
              <w:t>（</w:t>
            </w:r>
            <w:r>
              <w:rPr>
                <w:rFonts w:ascii="Times New Roman" w:eastAsia="Times New Roman"/>
                <w:sz w:val="21"/>
              </w:rPr>
              <w:t>3</w:t>
            </w:r>
            <w:r>
              <w:rPr>
                <w:sz w:val="21"/>
              </w:rPr>
              <w:t>）肝性脑病；</w:t>
            </w:r>
          </w:p>
          <w:p>
            <w:pPr>
              <w:pStyle w:val="TableParagraph"/>
              <w:spacing w:line="256" w:lineRule="auto" w:before="20"/>
              <w:ind w:left="210" w:right="1736"/>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516" w:type="dxa"/>
          </w:tcPr>
          <w:p>
            <w:pPr>
              <w:pStyle w:val="TableParagraph"/>
              <w:spacing w:before="38"/>
              <w:ind w:left="200"/>
              <w:rPr>
                <w:rFonts w:ascii="Times New Roman"/>
                <w:sz w:val="21"/>
              </w:rPr>
            </w:pPr>
            <w:r>
              <w:rPr>
                <w:rFonts w:ascii="Times New Roman"/>
                <w:sz w:val="21"/>
              </w:rPr>
              <w:t>11.</w:t>
            </w:r>
          </w:p>
        </w:tc>
        <w:tc>
          <w:tcPr>
            <w:tcW w:w="2755" w:type="dxa"/>
          </w:tcPr>
          <w:p>
            <w:pPr>
              <w:pStyle w:val="TableParagraph"/>
              <w:spacing w:line="273" w:lineRule="auto"/>
              <w:ind w:left="51" w:right="208"/>
              <w:rPr>
                <w:sz w:val="21"/>
              </w:rPr>
            </w:pPr>
            <w:r>
              <w:rPr>
                <w:sz w:val="21"/>
              </w:rPr>
              <w:t>脑炎后遗症或脑膜炎后遗症</w:t>
            </w:r>
          </w:p>
        </w:tc>
        <w:tc>
          <w:tcPr>
            <w:tcW w:w="7098" w:type="dxa"/>
          </w:tcPr>
          <w:p>
            <w:pPr>
              <w:pStyle w:val="TableParagraph"/>
              <w:spacing w:line="273" w:lineRule="auto"/>
              <w:ind w:left="210" w:right="197"/>
              <w:rPr>
                <w:sz w:val="21"/>
              </w:rPr>
            </w:pPr>
            <w:r>
              <w:rPr>
                <w:sz w:val="21"/>
              </w:rPr>
              <w:t>指因患脑炎或脑膜炎导致的神经系统永久性的功能障碍。神经系统永久</w:t>
            </w:r>
            <w:r>
              <w:rPr>
                <w:spacing w:val="-8"/>
                <w:sz w:val="21"/>
              </w:rPr>
              <w:t>性的功能障碍，指疾病确诊 </w:t>
            </w:r>
            <w:r>
              <w:rPr>
                <w:rFonts w:ascii="Times New Roman" w:eastAsia="Times New Roman"/>
                <w:sz w:val="21"/>
              </w:rPr>
              <w:t>180 </w:t>
            </w:r>
            <w:r>
              <w:rPr>
                <w:spacing w:val="-5"/>
                <w:sz w:val="21"/>
              </w:rPr>
              <w:t>天后，仍遗留下列一种或一种以上障碍：</w:t>
            </w:r>
          </w:p>
          <w:p>
            <w:pPr>
              <w:pStyle w:val="TableParagraph"/>
              <w:spacing w:line="279" w:lineRule="exact" w:before="9"/>
              <w:ind w:left="21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1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10" w:right="252"/>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8" w:hRule="atLeast"/>
        </w:trPr>
        <w:tc>
          <w:tcPr>
            <w:tcW w:w="516" w:type="dxa"/>
          </w:tcPr>
          <w:p>
            <w:pPr>
              <w:pStyle w:val="TableParagraph"/>
              <w:spacing w:before="38"/>
              <w:ind w:left="200"/>
              <w:rPr>
                <w:rFonts w:ascii="Times New Roman"/>
                <w:sz w:val="21"/>
              </w:rPr>
            </w:pPr>
            <w:r>
              <w:rPr>
                <w:rFonts w:ascii="Times New Roman"/>
                <w:sz w:val="21"/>
              </w:rPr>
              <w:t>12.</w:t>
            </w:r>
          </w:p>
        </w:tc>
        <w:tc>
          <w:tcPr>
            <w:tcW w:w="2755" w:type="dxa"/>
          </w:tcPr>
          <w:p>
            <w:pPr>
              <w:pStyle w:val="TableParagraph"/>
              <w:spacing w:line="266" w:lineRule="exact"/>
              <w:ind w:left="51"/>
              <w:rPr>
                <w:sz w:val="21"/>
              </w:rPr>
            </w:pPr>
            <w:r>
              <w:rPr>
                <w:sz w:val="21"/>
              </w:rPr>
              <w:t>深度昏迷</w:t>
            </w:r>
          </w:p>
        </w:tc>
        <w:tc>
          <w:tcPr>
            <w:tcW w:w="7098" w:type="dxa"/>
          </w:tcPr>
          <w:p>
            <w:pPr>
              <w:pStyle w:val="TableParagraph"/>
              <w:spacing w:line="273" w:lineRule="auto"/>
              <w:ind w:left="210" w:right="249"/>
              <w:rPr>
                <w:rFonts w:ascii="Times New Roman" w:eastAsia="Times New Roman"/>
                <w:sz w:val="21"/>
              </w:rPr>
            </w:pPr>
            <w:r>
              <w:rPr>
                <w:sz w:val="21"/>
              </w:rPr>
              <w:t>指因疾病或意外伤害导致意识丧失，对外界刺激和体内需求均无反应， 昏迷程度按照格拉斯哥昏迷分级（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w:t>
            </w:r>
          </w:p>
          <w:p>
            <w:pPr>
              <w:pStyle w:val="TableParagraph"/>
              <w:spacing w:line="256" w:lineRule="auto"/>
              <w:ind w:left="210" w:right="621"/>
              <w:rPr>
                <w:b/>
                <w:sz w:val="21"/>
              </w:rPr>
            </w:pPr>
            <w:r>
              <w:rPr>
                <w:sz w:val="21"/>
              </w:rPr>
              <w:t>分以下，且已经持续使用呼吸机及其他生命维持系统 </w:t>
            </w:r>
            <w:r>
              <w:rPr>
                <w:rFonts w:ascii="Times New Roman" w:eastAsia="Times New Roman"/>
                <w:sz w:val="21"/>
              </w:rPr>
              <w:t>96 </w:t>
            </w:r>
            <w:r>
              <w:rPr>
                <w:sz w:val="21"/>
              </w:rPr>
              <w:t>小时以上。</w:t>
            </w:r>
            <w:r>
              <w:rPr>
                <w:b/>
                <w:sz w:val="21"/>
              </w:rPr>
              <w:t>因酗酒或药物滥用导致的深度昏迷不在保障范围内。</w:t>
            </w:r>
          </w:p>
        </w:tc>
      </w:tr>
      <w:tr>
        <w:trPr>
          <w:trHeight w:val="1560" w:hRule="atLeast"/>
        </w:trPr>
        <w:tc>
          <w:tcPr>
            <w:tcW w:w="516" w:type="dxa"/>
          </w:tcPr>
          <w:p>
            <w:pPr>
              <w:pStyle w:val="TableParagraph"/>
              <w:spacing w:before="38"/>
              <w:ind w:left="200"/>
              <w:rPr>
                <w:rFonts w:ascii="Times New Roman"/>
                <w:sz w:val="21"/>
              </w:rPr>
            </w:pPr>
            <w:r>
              <w:rPr>
                <w:rFonts w:ascii="Times New Roman"/>
                <w:sz w:val="21"/>
              </w:rPr>
              <w:t>13.</w:t>
            </w:r>
          </w:p>
        </w:tc>
        <w:tc>
          <w:tcPr>
            <w:tcW w:w="2755" w:type="dxa"/>
          </w:tcPr>
          <w:p>
            <w:pPr>
              <w:pStyle w:val="TableParagraph"/>
              <w:spacing w:line="266" w:lineRule="exact"/>
              <w:ind w:left="51"/>
              <w:rPr>
                <w:b/>
                <w:sz w:val="21"/>
              </w:rPr>
            </w:pPr>
            <w:r>
              <w:rPr>
                <w:sz w:val="21"/>
              </w:rPr>
              <w:t>双耳失聪－</w:t>
            </w:r>
            <w:r>
              <w:rPr>
                <w:b/>
                <w:sz w:val="21"/>
              </w:rPr>
              <w:t>三周岁始理赔</w:t>
            </w:r>
          </w:p>
        </w:tc>
        <w:tc>
          <w:tcPr>
            <w:tcW w:w="7098" w:type="dxa"/>
          </w:tcPr>
          <w:p>
            <w:pPr>
              <w:pStyle w:val="TableParagraph"/>
              <w:spacing w:line="282" w:lineRule="exact"/>
              <w:ind w:left="210"/>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210" w:right="245"/>
              <w:rPr>
                <w:sz w:val="21"/>
              </w:rPr>
            </w:pP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312" w:lineRule="exact" w:before="18"/>
              <w:ind w:left="210" w:right="308"/>
              <w:rPr>
                <w:b/>
                <w:sz w:val="21"/>
              </w:rPr>
            </w:pPr>
            <w:r>
              <w:rPr>
                <w:b/>
                <w:sz w:val="21"/>
              </w:rPr>
              <w:t>被保险人申请理赔时年龄必须在三周岁以上，并且提供理赔当时的听力丧失诊断及检查证据。</w:t>
            </w:r>
          </w:p>
        </w:tc>
      </w:tr>
      <w:tr>
        <w:trPr>
          <w:trHeight w:val="2496" w:hRule="atLeast"/>
        </w:trPr>
        <w:tc>
          <w:tcPr>
            <w:tcW w:w="516" w:type="dxa"/>
          </w:tcPr>
          <w:p>
            <w:pPr>
              <w:pStyle w:val="TableParagraph"/>
              <w:spacing w:before="38"/>
              <w:ind w:left="200"/>
              <w:rPr>
                <w:rFonts w:ascii="Times New Roman"/>
                <w:sz w:val="21"/>
              </w:rPr>
            </w:pPr>
            <w:r>
              <w:rPr>
                <w:rFonts w:ascii="Times New Roman"/>
                <w:sz w:val="21"/>
              </w:rPr>
              <w:t>14.</w:t>
            </w:r>
          </w:p>
        </w:tc>
        <w:tc>
          <w:tcPr>
            <w:tcW w:w="2755" w:type="dxa"/>
          </w:tcPr>
          <w:p>
            <w:pPr>
              <w:pStyle w:val="TableParagraph"/>
              <w:spacing w:line="266" w:lineRule="exact"/>
              <w:ind w:left="51"/>
              <w:rPr>
                <w:b/>
                <w:sz w:val="21"/>
              </w:rPr>
            </w:pPr>
            <w:r>
              <w:rPr>
                <w:sz w:val="21"/>
              </w:rPr>
              <w:t>双目失明－</w:t>
            </w:r>
            <w:r>
              <w:rPr>
                <w:b/>
                <w:sz w:val="21"/>
              </w:rPr>
              <w:t>三周岁始理赔</w:t>
            </w:r>
          </w:p>
        </w:tc>
        <w:tc>
          <w:tcPr>
            <w:tcW w:w="7098" w:type="dxa"/>
          </w:tcPr>
          <w:p>
            <w:pPr>
              <w:pStyle w:val="TableParagraph"/>
              <w:spacing w:line="273" w:lineRule="auto"/>
              <w:ind w:left="210" w:right="308"/>
              <w:rPr>
                <w:sz w:val="21"/>
              </w:rPr>
            </w:pPr>
            <w:r>
              <w:rPr>
                <w:sz w:val="21"/>
              </w:rPr>
              <w:t>指因疾病或意外伤害导致双眼视力永久不可逆性丧失，双眼中较好眼须满足下列至少一项条件：</w:t>
            </w:r>
          </w:p>
          <w:p>
            <w:pPr>
              <w:pStyle w:val="TableParagraph"/>
              <w:spacing w:before="16"/>
              <w:ind w:left="210"/>
              <w:rPr>
                <w:sz w:val="21"/>
              </w:rPr>
            </w:pPr>
            <w:r>
              <w:rPr>
                <w:sz w:val="21"/>
              </w:rPr>
              <w:t>（</w:t>
            </w:r>
            <w:r>
              <w:rPr>
                <w:rFonts w:ascii="Times New Roman" w:eastAsia="Times New Roman"/>
                <w:sz w:val="21"/>
              </w:rPr>
              <w:t>1</w:t>
            </w:r>
            <w:r>
              <w:rPr>
                <w:sz w:val="21"/>
              </w:rPr>
              <w:t>）眼球缺失或摘除；</w:t>
            </w:r>
          </w:p>
          <w:p>
            <w:pPr>
              <w:pStyle w:val="TableParagraph"/>
              <w:spacing w:line="259" w:lineRule="auto" w:before="20"/>
              <w:ind w:left="210" w:right="300"/>
              <w:rPr>
                <w:sz w:val="21"/>
              </w:rPr>
            </w:pPr>
            <w:r>
              <w:rPr>
                <w:spacing w:val="-5"/>
                <w:sz w:val="21"/>
              </w:rPr>
              <w:t>（</w:t>
            </w:r>
            <w:r>
              <w:rPr>
                <w:rFonts w:ascii="Times New Roman" w:eastAsia="Times New Roman"/>
                <w:spacing w:val="-5"/>
                <w:sz w:val="21"/>
              </w:rPr>
              <w:t>2</w:t>
            </w:r>
            <w:r>
              <w:rPr>
                <w:spacing w:val="-5"/>
                <w:sz w:val="21"/>
              </w:rPr>
              <w:t>）</w:t>
            </w:r>
            <w:r>
              <w:rPr>
                <w:spacing w:val="-6"/>
                <w:sz w:val="21"/>
              </w:rPr>
              <w:t>矫正视力低于 </w:t>
            </w:r>
            <w:r>
              <w:rPr>
                <w:rFonts w:ascii="Times New Roman" w:eastAsia="Times New Roman"/>
                <w:spacing w:val="-4"/>
                <w:sz w:val="21"/>
              </w:rPr>
              <w:t>0.02</w:t>
            </w:r>
            <w:r>
              <w:rPr>
                <w:spacing w:val="-4"/>
                <w:sz w:val="21"/>
              </w:rPr>
              <w:t>（采用国际标准视力表，如果使用其他视力表应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19"/>
              <w:ind w:left="21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left="210" w:right="308"/>
              <w:rPr>
                <w:b/>
                <w:sz w:val="21"/>
              </w:rPr>
            </w:pPr>
            <w:r>
              <w:rPr>
                <w:b/>
                <w:sz w:val="21"/>
              </w:rPr>
              <w:t>被保险人申请理赔时年龄必须在三周岁以上，并且提供理赔当时的视力丧失诊断及检查证据。</w:t>
            </w:r>
          </w:p>
        </w:tc>
      </w:tr>
      <w:tr>
        <w:trPr>
          <w:trHeight w:val="935" w:hRule="atLeast"/>
        </w:trPr>
        <w:tc>
          <w:tcPr>
            <w:tcW w:w="516" w:type="dxa"/>
          </w:tcPr>
          <w:p>
            <w:pPr>
              <w:pStyle w:val="TableParagraph"/>
              <w:spacing w:before="38"/>
              <w:ind w:left="200"/>
              <w:rPr>
                <w:rFonts w:ascii="Times New Roman"/>
                <w:sz w:val="21"/>
              </w:rPr>
            </w:pPr>
            <w:r>
              <w:rPr>
                <w:rFonts w:ascii="Times New Roman"/>
                <w:sz w:val="21"/>
              </w:rPr>
              <w:t>15.</w:t>
            </w:r>
          </w:p>
        </w:tc>
        <w:tc>
          <w:tcPr>
            <w:tcW w:w="2755" w:type="dxa"/>
          </w:tcPr>
          <w:p>
            <w:pPr>
              <w:pStyle w:val="TableParagraph"/>
              <w:spacing w:line="266" w:lineRule="exact"/>
              <w:ind w:left="51"/>
              <w:rPr>
                <w:sz w:val="21"/>
              </w:rPr>
            </w:pPr>
            <w:r>
              <w:rPr>
                <w:sz w:val="21"/>
              </w:rPr>
              <w:t>瘫痪</w:t>
            </w:r>
          </w:p>
        </w:tc>
        <w:tc>
          <w:tcPr>
            <w:tcW w:w="7098" w:type="dxa"/>
          </w:tcPr>
          <w:p>
            <w:pPr>
              <w:pStyle w:val="TableParagraph"/>
              <w:spacing w:line="264" w:lineRule="auto"/>
              <w:ind w:left="210" w:right="300"/>
              <w:jc w:val="both"/>
              <w:rPr>
                <w:sz w:val="21"/>
              </w:rPr>
            </w:pPr>
            <w:r>
              <w:rPr>
                <w:sz w:val="21"/>
              </w:rPr>
              <w:t>指因疾病或意外伤害导致两肢或两肢以上肢体机能永久完全丧失。肢体</w:t>
            </w:r>
            <w:r>
              <w:rPr>
                <w:spacing w:val="-5"/>
                <w:sz w:val="21"/>
              </w:rPr>
              <w:t>机能永久完全丧失，指疾病确诊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2"/>
                <w:sz w:val="21"/>
              </w:rPr>
              <w:t>天后，每</w:t>
            </w:r>
            <w:r>
              <w:rPr>
                <w:spacing w:val="-3"/>
                <w:sz w:val="21"/>
              </w:rPr>
              <w:t>肢三大关节中的两大关节仍然完全僵硬，或不能随意识活动。</w:t>
            </w:r>
          </w:p>
        </w:tc>
      </w:tr>
      <w:tr>
        <w:trPr>
          <w:trHeight w:val="623" w:hRule="atLeast"/>
        </w:trPr>
        <w:tc>
          <w:tcPr>
            <w:tcW w:w="516" w:type="dxa"/>
          </w:tcPr>
          <w:p>
            <w:pPr>
              <w:pStyle w:val="TableParagraph"/>
              <w:spacing w:before="38"/>
              <w:ind w:left="200"/>
              <w:rPr>
                <w:rFonts w:ascii="Times New Roman"/>
                <w:sz w:val="21"/>
              </w:rPr>
            </w:pPr>
            <w:r>
              <w:rPr>
                <w:rFonts w:ascii="Times New Roman"/>
                <w:sz w:val="21"/>
              </w:rPr>
              <w:t>16.</w:t>
            </w:r>
          </w:p>
        </w:tc>
        <w:tc>
          <w:tcPr>
            <w:tcW w:w="2755" w:type="dxa"/>
          </w:tcPr>
          <w:p>
            <w:pPr>
              <w:pStyle w:val="TableParagraph"/>
              <w:spacing w:line="266" w:lineRule="exact"/>
              <w:ind w:left="51"/>
              <w:rPr>
                <w:sz w:val="21"/>
              </w:rPr>
            </w:pPr>
            <w:r>
              <w:rPr>
                <w:sz w:val="21"/>
              </w:rPr>
              <w:t>心脏瓣膜手术</w:t>
            </w:r>
          </w:p>
        </w:tc>
        <w:tc>
          <w:tcPr>
            <w:tcW w:w="7098" w:type="dxa"/>
          </w:tcPr>
          <w:p>
            <w:pPr>
              <w:pStyle w:val="TableParagraph"/>
              <w:spacing w:line="266" w:lineRule="exact"/>
              <w:ind w:left="210"/>
              <w:rPr>
                <w:sz w:val="21"/>
              </w:rPr>
            </w:pPr>
            <w:r>
              <w:rPr>
                <w:sz w:val="21"/>
              </w:rPr>
              <w:t>指为治疗心脏瓣膜疾病，实际实施了开胸进行的心脏瓣膜置换或修复的</w:t>
            </w:r>
          </w:p>
          <w:p>
            <w:pPr>
              <w:pStyle w:val="TableParagraph"/>
              <w:spacing w:before="37"/>
              <w:ind w:left="210"/>
              <w:rPr>
                <w:sz w:val="21"/>
              </w:rPr>
            </w:pPr>
            <w:r>
              <w:rPr>
                <w:sz w:val="21"/>
              </w:rPr>
              <w:t>手术。</w:t>
            </w:r>
          </w:p>
        </w:tc>
      </w:tr>
      <w:tr>
        <w:trPr>
          <w:trHeight w:val="279" w:hRule="atLeast"/>
        </w:trPr>
        <w:tc>
          <w:tcPr>
            <w:tcW w:w="516" w:type="dxa"/>
          </w:tcPr>
          <w:p>
            <w:pPr>
              <w:pStyle w:val="TableParagraph"/>
              <w:spacing w:line="222" w:lineRule="exact" w:before="38"/>
              <w:ind w:left="200"/>
              <w:rPr>
                <w:rFonts w:ascii="Times New Roman"/>
                <w:sz w:val="21"/>
              </w:rPr>
            </w:pPr>
            <w:r>
              <w:rPr>
                <w:rFonts w:ascii="Times New Roman"/>
                <w:sz w:val="21"/>
              </w:rPr>
              <w:t>17.</w:t>
            </w:r>
          </w:p>
        </w:tc>
        <w:tc>
          <w:tcPr>
            <w:tcW w:w="2755" w:type="dxa"/>
          </w:tcPr>
          <w:p>
            <w:pPr>
              <w:pStyle w:val="TableParagraph"/>
              <w:spacing w:line="260" w:lineRule="exact"/>
              <w:ind w:left="51"/>
              <w:rPr>
                <w:sz w:val="21"/>
              </w:rPr>
            </w:pPr>
            <w:r>
              <w:rPr>
                <w:sz w:val="21"/>
              </w:rPr>
              <w:t>严重阿尔茨海默病</w:t>
            </w:r>
          </w:p>
        </w:tc>
        <w:tc>
          <w:tcPr>
            <w:tcW w:w="7098" w:type="dxa"/>
          </w:tcPr>
          <w:p>
            <w:pPr>
              <w:pStyle w:val="TableParagraph"/>
              <w:spacing w:line="260" w:lineRule="exact"/>
              <w:ind w:left="210"/>
              <w:rPr>
                <w:sz w:val="21"/>
              </w:rPr>
            </w:pPr>
            <w:r>
              <w:rPr>
                <w:sz w:val="21"/>
              </w:rPr>
              <w:t>指因大脑进行性、不可逆性改变导致智能严重衰退或丧失，临床表现为</w:t>
            </w:r>
          </w:p>
        </w:tc>
      </w:tr>
    </w:tbl>
    <w:p>
      <w:pPr>
        <w:spacing w:after="0" w:line="260" w:lineRule="exact"/>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64"/>
        <w:gridCol w:w="7092"/>
      </w:tblGrid>
      <w:tr>
        <w:trPr>
          <w:trHeight w:val="1505" w:hRule="atLeast"/>
        </w:trPr>
        <w:tc>
          <w:tcPr>
            <w:tcW w:w="516" w:type="dxa"/>
          </w:tcPr>
          <w:p>
            <w:pPr>
              <w:pStyle w:val="TableParagraph"/>
              <w:rPr>
                <w:rFonts w:ascii="Times New Roman"/>
                <w:sz w:val="20"/>
              </w:rPr>
            </w:pPr>
          </w:p>
        </w:tc>
        <w:tc>
          <w:tcPr>
            <w:tcW w:w="2764" w:type="dxa"/>
          </w:tcPr>
          <w:p>
            <w:pPr>
              <w:pStyle w:val="TableParagraph"/>
              <w:rPr>
                <w:rFonts w:ascii="Times New Roman"/>
                <w:sz w:val="20"/>
              </w:rPr>
            </w:pPr>
          </w:p>
        </w:tc>
        <w:tc>
          <w:tcPr>
            <w:tcW w:w="7092" w:type="dxa"/>
          </w:tcPr>
          <w:p>
            <w:pPr>
              <w:pStyle w:val="TableParagraph"/>
              <w:spacing w:line="202" w:lineRule="exact"/>
              <w:ind w:left="201"/>
              <w:rPr>
                <w:sz w:val="21"/>
              </w:rPr>
            </w:pPr>
            <w:r>
              <w:rPr>
                <w:sz w:val="21"/>
              </w:rPr>
              <w:t>明显的认知能力障碍、行为异常和社交能力减退，其日常生活必须持续</w:t>
            </w:r>
          </w:p>
          <w:p>
            <w:pPr>
              <w:pStyle w:val="TableParagraph"/>
              <w:spacing w:line="256" w:lineRule="auto" w:before="37"/>
              <w:ind w:left="201" w:right="304"/>
              <w:jc w:val="both"/>
              <w:rPr>
                <w:sz w:val="21"/>
              </w:rPr>
            </w:pPr>
            <w:r>
              <w:rPr>
                <w:spacing w:val="-3"/>
                <w:w w:val="100"/>
                <w:sz w:val="21"/>
              </w:rPr>
              <w:t>受到他人监护。须由头颅</w:t>
            </w:r>
            <w:r>
              <w:rPr>
                <w:spacing w:val="-3"/>
                <w:sz w:val="21"/>
              </w:rPr>
              <w:t> </w:t>
            </w:r>
            <w:r>
              <w:rPr>
                <w:rFonts w:ascii="Times New Roman" w:eastAsia="Times New Roman"/>
                <w:w w:val="100"/>
                <w:sz w:val="21"/>
              </w:rPr>
              <w:t>X</w:t>
            </w:r>
            <w:r>
              <w:rPr>
                <w:rFonts w:ascii="Times New Roman" w:eastAsia="Times New Roman"/>
                <w:spacing w:val="-3"/>
                <w:sz w:val="21"/>
              </w:rPr>
              <w:t>  </w:t>
            </w:r>
            <w:r>
              <w:rPr>
                <w:spacing w:val="-3"/>
                <w:w w:val="100"/>
                <w:sz w:val="21"/>
              </w:rPr>
              <w:t>线断层扫描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7"/>
                <w:sz w:val="21"/>
              </w:rPr>
              <w:t>或正电子发射断层扫描</w:t>
            </w:r>
            <w:r>
              <w:rPr>
                <w:spacing w:val="-8"/>
                <w:sz w:val="21"/>
              </w:rPr>
              <w:t>（</w:t>
            </w:r>
            <w:r>
              <w:rPr>
                <w:rFonts w:ascii="Times New Roman" w:eastAsia="Times New Roman"/>
                <w:spacing w:val="-8"/>
                <w:sz w:val="21"/>
              </w:rPr>
              <w:t>PET</w:t>
            </w:r>
            <w:r>
              <w:rPr>
                <w:spacing w:val="-8"/>
                <w:sz w:val="21"/>
              </w:rPr>
              <w:t>）</w:t>
            </w:r>
            <w:r>
              <w:rPr>
                <w:spacing w:val="-7"/>
                <w:sz w:val="21"/>
              </w:rPr>
              <w:t>等影像学检查证实，且自主生活能力完全</w:t>
            </w:r>
            <w:r>
              <w:rPr>
                <w:spacing w:val="-5"/>
                <w:sz w:val="21"/>
              </w:rPr>
              <w:t>丧失，无法独立完成六项基本日常生活活动中的三项或三项以上。</w:t>
            </w:r>
          </w:p>
          <w:p>
            <w:pPr>
              <w:pStyle w:val="TableParagraph"/>
              <w:spacing w:before="22"/>
              <w:ind w:left="201"/>
              <w:jc w:val="both"/>
              <w:rPr>
                <w:b/>
                <w:sz w:val="21"/>
              </w:rPr>
            </w:pPr>
            <w:r>
              <w:rPr>
                <w:b/>
                <w:sz w:val="21"/>
              </w:rPr>
              <w:t>神经官能症和精神疾病不在保障范围内。</w:t>
            </w:r>
          </w:p>
        </w:tc>
      </w:tr>
      <w:tr>
        <w:trPr>
          <w:trHeight w:val="2496" w:hRule="atLeast"/>
        </w:trPr>
        <w:tc>
          <w:tcPr>
            <w:tcW w:w="516" w:type="dxa"/>
          </w:tcPr>
          <w:p>
            <w:pPr>
              <w:pStyle w:val="TableParagraph"/>
              <w:spacing w:before="29"/>
              <w:ind w:right="51"/>
              <w:jc w:val="right"/>
              <w:rPr>
                <w:rFonts w:ascii="Times New Roman"/>
                <w:sz w:val="21"/>
              </w:rPr>
            </w:pPr>
            <w:r>
              <w:rPr>
                <w:rFonts w:ascii="Times New Roman"/>
                <w:sz w:val="21"/>
              </w:rPr>
              <w:t>18.</w:t>
            </w:r>
          </w:p>
        </w:tc>
        <w:tc>
          <w:tcPr>
            <w:tcW w:w="2764" w:type="dxa"/>
          </w:tcPr>
          <w:p>
            <w:pPr>
              <w:pStyle w:val="TableParagraph"/>
              <w:spacing w:line="257" w:lineRule="exact"/>
              <w:ind w:left="51"/>
              <w:rPr>
                <w:sz w:val="21"/>
              </w:rPr>
            </w:pPr>
            <w:r>
              <w:rPr>
                <w:sz w:val="21"/>
              </w:rPr>
              <w:t>严重脑损伤</w:t>
            </w:r>
          </w:p>
        </w:tc>
        <w:tc>
          <w:tcPr>
            <w:tcW w:w="7092" w:type="dxa"/>
          </w:tcPr>
          <w:p>
            <w:pPr>
              <w:pStyle w:val="TableParagraph"/>
              <w:spacing w:line="257" w:lineRule="exact"/>
              <w:ind w:left="201"/>
              <w:rPr>
                <w:sz w:val="21"/>
              </w:rPr>
            </w:pPr>
            <w:r>
              <w:rPr>
                <w:sz w:val="21"/>
              </w:rPr>
              <w:t>指因头部遭受机械性外力，引起脑重要部位损伤，导致神经系统永久性</w:t>
            </w:r>
          </w:p>
          <w:p>
            <w:pPr>
              <w:pStyle w:val="TableParagraph"/>
              <w:spacing w:line="256" w:lineRule="auto" w:before="37"/>
              <w:ind w:left="201" w:right="304"/>
              <w:jc w:val="both"/>
              <w:rPr>
                <w:sz w:val="21"/>
              </w:rPr>
            </w:pPr>
            <w:r>
              <w:rPr>
                <w:spacing w:val="-3"/>
                <w:w w:val="100"/>
                <w:sz w:val="21"/>
              </w:rPr>
              <w:t>的功能障碍。须由头颅</w:t>
            </w:r>
            <w:r>
              <w:rPr>
                <w:spacing w:val="-3"/>
                <w:sz w:val="21"/>
              </w:rPr>
              <w:t> </w:t>
            </w:r>
            <w:r>
              <w:rPr>
                <w:rFonts w:ascii="Times New Roman" w:eastAsia="Times New Roman"/>
                <w:w w:val="100"/>
                <w:sz w:val="21"/>
              </w:rPr>
              <w:t>X</w:t>
            </w:r>
            <w:r>
              <w:rPr>
                <w:rFonts w:ascii="Times New Roman" w:eastAsia="Times New Roman"/>
                <w:spacing w:val="-4"/>
                <w:sz w:val="21"/>
              </w:rPr>
              <w:t>  </w:t>
            </w:r>
            <w:r>
              <w:rPr>
                <w:spacing w:val="-2"/>
                <w:w w:val="100"/>
                <w:sz w:val="21"/>
              </w:rPr>
              <w:t>线断层扫描</w:t>
            </w:r>
            <w:r>
              <w:rPr>
                <w:spacing w:val="-3"/>
                <w:w w:val="100"/>
                <w:sz w:val="21"/>
              </w:rPr>
              <w:t>（</w:t>
            </w:r>
            <w:r>
              <w:rPr>
                <w:rFonts w:ascii="Times New Roman" w:eastAsia="Times New Roman"/>
                <w:w w:val="100"/>
                <w:sz w:val="21"/>
              </w:rPr>
              <w:t>CT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）或</w:t>
            </w:r>
            <w:r>
              <w:rPr>
                <w:spacing w:val="-7"/>
                <w:sz w:val="21"/>
              </w:rPr>
              <w:t>正电子发射断层扫描</w:t>
            </w:r>
            <w:r>
              <w:rPr>
                <w:spacing w:val="-8"/>
                <w:sz w:val="21"/>
              </w:rPr>
              <w:t>（</w:t>
            </w:r>
            <w:r>
              <w:rPr>
                <w:rFonts w:ascii="Times New Roman" w:eastAsia="Times New Roman"/>
                <w:spacing w:val="-8"/>
                <w:sz w:val="21"/>
              </w:rPr>
              <w:t>PET</w:t>
            </w:r>
            <w:r>
              <w:rPr>
                <w:spacing w:val="-8"/>
                <w:sz w:val="21"/>
              </w:rPr>
              <w:t>）</w:t>
            </w:r>
            <w:r>
              <w:rPr>
                <w:spacing w:val="-7"/>
                <w:sz w:val="21"/>
              </w:rPr>
              <w:t>等影像学检查证实。神经系统永久性的功能</w:t>
            </w:r>
            <w:r>
              <w:rPr>
                <w:spacing w:val="-9"/>
                <w:sz w:val="21"/>
              </w:rPr>
              <w:t>障碍，指脑损伤 </w:t>
            </w:r>
            <w:r>
              <w:rPr>
                <w:rFonts w:ascii="Times New Roman" w:eastAsia="Times New Roman"/>
                <w:sz w:val="21"/>
              </w:rPr>
              <w:t>180 </w:t>
            </w:r>
            <w:r>
              <w:rPr>
                <w:spacing w:val="-3"/>
                <w:sz w:val="21"/>
              </w:rPr>
              <w:t>天后，仍遗留下列一种或一种以上障碍：</w:t>
            </w:r>
          </w:p>
          <w:p>
            <w:pPr>
              <w:pStyle w:val="TableParagraph"/>
              <w:spacing w:before="5"/>
              <w:ind w:left="20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01"/>
              <w:rPr>
                <w:sz w:val="21"/>
              </w:rPr>
            </w:pPr>
            <w:r>
              <w:rPr>
                <w:sz w:val="21"/>
              </w:rPr>
              <w:t>（</w:t>
            </w:r>
            <w:r>
              <w:rPr>
                <w:rFonts w:ascii="Times New Roman" w:eastAsia="Times New Roman"/>
                <w:sz w:val="21"/>
              </w:rPr>
              <w:t>2</w:t>
            </w:r>
            <w:r>
              <w:rPr>
                <w:sz w:val="21"/>
              </w:rPr>
              <w:t>）语言能力或咀嚼吞咽能力完全丧失；</w:t>
            </w:r>
          </w:p>
          <w:p>
            <w:pPr>
              <w:pStyle w:val="TableParagraph"/>
              <w:spacing w:line="259" w:lineRule="auto" w:before="21"/>
              <w:ind w:left="201" w:right="25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516" w:type="dxa"/>
          </w:tcPr>
          <w:p>
            <w:pPr>
              <w:pStyle w:val="TableParagraph"/>
              <w:spacing w:before="29"/>
              <w:ind w:right="51"/>
              <w:jc w:val="right"/>
              <w:rPr>
                <w:rFonts w:ascii="Times New Roman"/>
                <w:sz w:val="21"/>
              </w:rPr>
            </w:pPr>
            <w:r>
              <w:rPr>
                <w:rFonts w:ascii="Times New Roman"/>
                <w:sz w:val="21"/>
              </w:rPr>
              <w:t>19.</w:t>
            </w:r>
          </w:p>
        </w:tc>
        <w:tc>
          <w:tcPr>
            <w:tcW w:w="2764" w:type="dxa"/>
          </w:tcPr>
          <w:p>
            <w:pPr>
              <w:pStyle w:val="TableParagraph"/>
              <w:spacing w:line="257" w:lineRule="exact"/>
              <w:ind w:left="51"/>
              <w:rPr>
                <w:sz w:val="21"/>
              </w:rPr>
            </w:pPr>
            <w:r>
              <w:rPr>
                <w:sz w:val="21"/>
              </w:rPr>
              <w:t>严重帕金森病</w:t>
            </w:r>
          </w:p>
        </w:tc>
        <w:tc>
          <w:tcPr>
            <w:tcW w:w="7092" w:type="dxa"/>
          </w:tcPr>
          <w:p>
            <w:pPr>
              <w:pStyle w:val="TableParagraph"/>
              <w:spacing w:line="257" w:lineRule="exact"/>
              <w:ind w:left="201"/>
              <w:rPr>
                <w:sz w:val="21"/>
              </w:rPr>
            </w:pPr>
            <w:r>
              <w:rPr>
                <w:sz w:val="21"/>
              </w:rPr>
              <w:t>是一种中枢神经系统的退行性疾病，临床表现为震颤麻痹、共济失调等。</w:t>
            </w:r>
          </w:p>
          <w:p>
            <w:pPr>
              <w:pStyle w:val="TableParagraph"/>
              <w:spacing w:before="37"/>
              <w:ind w:left="201"/>
              <w:rPr>
                <w:sz w:val="21"/>
              </w:rPr>
            </w:pPr>
            <w:r>
              <w:rPr>
                <w:sz w:val="21"/>
              </w:rPr>
              <w:t>须满足下列全部条件：</w:t>
            </w:r>
          </w:p>
          <w:p>
            <w:pPr>
              <w:pStyle w:val="TableParagraph"/>
              <w:spacing w:before="37"/>
              <w:ind w:left="201"/>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201" w:right="255"/>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201"/>
              <w:rPr>
                <w:b/>
                <w:sz w:val="21"/>
              </w:rPr>
            </w:pPr>
            <w:r>
              <w:rPr>
                <w:b/>
                <w:sz w:val="21"/>
              </w:rPr>
              <w:t>继发性帕金森综合征不在保障范围内。</w:t>
            </w:r>
          </w:p>
        </w:tc>
      </w:tr>
      <w:tr>
        <w:trPr>
          <w:trHeight w:val="623" w:hRule="atLeast"/>
        </w:trPr>
        <w:tc>
          <w:tcPr>
            <w:tcW w:w="516" w:type="dxa"/>
          </w:tcPr>
          <w:p>
            <w:pPr>
              <w:pStyle w:val="TableParagraph"/>
              <w:spacing w:before="29"/>
              <w:ind w:right="51"/>
              <w:jc w:val="right"/>
              <w:rPr>
                <w:rFonts w:ascii="Times New Roman"/>
                <w:sz w:val="21"/>
              </w:rPr>
            </w:pPr>
            <w:r>
              <w:rPr>
                <w:rFonts w:ascii="Times New Roman"/>
                <w:sz w:val="21"/>
              </w:rPr>
              <w:t>20.</w:t>
            </w:r>
          </w:p>
        </w:tc>
        <w:tc>
          <w:tcPr>
            <w:tcW w:w="2764" w:type="dxa"/>
          </w:tcPr>
          <w:p>
            <w:pPr>
              <w:pStyle w:val="TableParagraph"/>
              <w:spacing w:line="257" w:lineRule="exact"/>
              <w:ind w:left="51"/>
              <w:rPr>
                <w:sz w:val="21"/>
              </w:rPr>
            </w:pPr>
            <w:r>
              <w:rPr>
                <w:sz w:val="21"/>
              </w:rPr>
              <w:t>严重Ⅲ度烧伤</w:t>
            </w:r>
          </w:p>
        </w:tc>
        <w:tc>
          <w:tcPr>
            <w:tcW w:w="7092" w:type="dxa"/>
          </w:tcPr>
          <w:p>
            <w:pPr>
              <w:pStyle w:val="TableParagraph"/>
              <w:spacing w:line="273" w:lineRule="exact"/>
              <w:ind w:left="201"/>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w:t>
            </w:r>
          </w:p>
          <w:p>
            <w:pPr>
              <w:pStyle w:val="TableParagraph"/>
              <w:spacing w:before="21"/>
              <w:ind w:left="201"/>
              <w:rPr>
                <w:sz w:val="21"/>
              </w:rPr>
            </w:pPr>
            <w:r>
              <w:rPr>
                <w:sz w:val="21"/>
              </w:rPr>
              <w:t>以上。体表面积根据《中国新九分法》计算。</w:t>
            </w:r>
          </w:p>
        </w:tc>
      </w:tr>
      <w:tr>
        <w:trPr>
          <w:trHeight w:val="944" w:hRule="atLeast"/>
        </w:trPr>
        <w:tc>
          <w:tcPr>
            <w:tcW w:w="516" w:type="dxa"/>
          </w:tcPr>
          <w:p>
            <w:pPr>
              <w:pStyle w:val="TableParagraph"/>
              <w:spacing w:before="29"/>
              <w:ind w:right="51"/>
              <w:jc w:val="right"/>
              <w:rPr>
                <w:rFonts w:ascii="Times New Roman"/>
                <w:sz w:val="21"/>
              </w:rPr>
            </w:pPr>
            <w:r>
              <w:rPr>
                <w:rFonts w:ascii="Times New Roman"/>
                <w:sz w:val="21"/>
              </w:rPr>
              <w:t>21.</w:t>
            </w:r>
          </w:p>
        </w:tc>
        <w:tc>
          <w:tcPr>
            <w:tcW w:w="2764" w:type="dxa"/>
          </w:tcPr>
          <w:p>
            <w:pPr>
              <w:pStyle w:val="TableParagraph"/>
              <w:spacing w:line="257" w:lineRule="exact"/>
              <w:ind w:left="51"/>
              <w:rPr>
                <w:sz w:val="21"/>
              </w:rPr>
            </w:pPr>
            <w:r>
              <w:rPr>
                <w:sz w:val="21"/>
              </w:rPr>
              <w:t>严重原发性肺动脉高压</w:t>
            </w:r>
          </w:p>
        </w:tc>
        <w:tc>
          <w:tcPr>
            <w:tcW w:w="7092" w:type="dxa"/>
          </w:tcPr>
          <w:p>
            <w:pPr>
              <w:pStyle w:val="TableParagraph"/>
              <w:spacing w:line="257" w:lineRule="exact"/>
              <w:ind w:left="201"/>
              <w:rPr>
                <w:sz w:val="21"/>
              </w:rPr>
            </w:pPr>
            <w:r>
              <w:rPr>
                <w:sz w:val="21"/>
              </w:rPr>
              <w:t>指不明原因的肺动脉压力持续性增高，进行性发展而导致的慢性疾病，</w:t>
            </w:r>
          </w:p>
          <w:p>
            <w:pPr>
              <w:pStyle w:val="TableParagraph"/>
              <w:spacing w:line="273" w:lineRule="auto" w:before="37"/>
              <w:ind w:left="201" w:right="311"/>
              <w:rPr>
                <w:sz w:val="21"/>
              </w:rPr>
            </w:pPr>
            <w:r>
              <w:rPr>
                <w:sz w:val="21"/>
              </w:rPr>
              <w:t>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864" w:hRule="atLeast"/>
        </w:trPr>
        <w:tc>
          <w:tcPr>
            <w:tcW w:w="516" w:type="dxa"/>
          </w:tcPr>
          <w:p>
            <w:pPr>
              <w:pStyle w:val="TableParagraph"/>
              <w:spacing w:before="21"/>
              <w:ind w:right="51"/>
              <w:jc w:val="right"/>
              <w:rPr>
                <w:rFonts w:ascii="Times New Roman"/>
                <w:sz w:val="21"/>
              </w:rPr>
            </w:pPr>
            <w:r>
              <w:rPr>
                <w:rFonts w:ascii="Times New Roman"/>
                <w:sz w:val="21"/>
              </w:rPr>
              <w:t>22.</w:t>
            </w:r>
          </w:p>
        </w:tc>
        <w:tc>
          <w:tcPr>
            <w:tcW w:w="2764" w:type="dxa"/>
          </w:tcPr>
          <w:p>
            <w:pPr>
              <w:pStyle w:val="TableParagraph"/>
              <w:spacing w:line="249" w:lineRule="exact"/>
              <w:ind w:left="51"/>
              <w:rPr>
                <w:sz w:val="21"/>
              </w:rPr>
            </w:pPr>
            <w:r>
              <w:rPr>
                <w:sz w:val="21"/>
              </w:rPr>
              <w:t>严重运动神经元病</w:t>
            </w:r>
          </w:p>
        </w:tc>
        <w:tc>
          <w:tcPr>
            <w:tcW w:w="7092" w:type="dxa"/>
          </w:tcPr>
          <w:p>
            <w:pPr>
              <w:pStyle w:val="TableParagraph"/>
              <w:spacing w:line="249" w:lineRule="exact"/>
              <w:ind w:left="201"/>
              <w:rPr>
                <w:sz w:val="21"/>
              </w:rPr>
            </w:pPr>
            <w:r>
              <w:rPr>
                <w:sz w:val="21"/>
              </w:rPr>
              <w:t>是一组中枢神经系统运动神经元的进行性变性疾病，包括进行性脊肌萎</w:t>
            </w:r>
          </w:p>
          <w:p>
            <w:pPr>
              <w:pStyle w:val="TableParagraph"/>
              <w:spacing w:line="273" w:lineRule="auto" w:before="37"/>
              <w:ind w:left="201" w:right="311"/>
              <w:jc w:val="both"/>
              <w:rPr>
                <w:sz w:val="21"/>
              </w:rPr>
            </w:pPr>
            <w:r>
              <w:rPr>
                <w:sz w:val="21"/>
              </w:rPr>
              <w:t>缩症、进行性延髓麻痹症、原发性侧索硬化症、肌萎缩性侧索硬化症。须满足自主生活能力完全丧失，无法独立完成六项基本日常生活活动中的三项或三项以上的条件。</w:t>
            </w:r>
          </w:p>
          <w:p>
            <w:pPr>
              <w:pStyle w:val="TableParagraph"/>
              <w:spacing w:line="273" w:lineRule="auto" w:before="7"/>
              <w:ind w:left="201" w:right="311"/>
              <w:jc w:val="both"/>
              <w:rPr>
                <w:sz w:val="21"/>
              </w:rPr>
            </w:pPr>
            <w:r>
              <w:rPr>
                <w:sz w:val="21"/>
              </w:rPr>
              <w:t>我们承担本项疾病责任不受本合同“责任免除”中“遗传性疾病，先天性畸形、变形或染色体异常”的限制。</w:t>
            </w:r>
          </w:p>
        </w:tc>
      </w:tr>
      <w:tr>
        <w:trPr>
          <w:trHeight w:val="1560" w:hRule="atLeast"/>
        </w:trPr>
        <w:tc>
          <w:tcPr>
            <w:tcW w:w="516" w:type="dxa"/>
          </w:tcPr>
          <w:p>
            <w:pPr>
              <w:pStyle w:val="TableParagraph"/>
              <w:spacing w:before="29"/>
              <w:ind w:right="51"/>
              <w:jc w:val="right"/>
              <w:rPr>
                <w:rFonts w:ascii="Times New Roman"/>
                <w:sz w:val="21"/>
              </w:rPr>
            </w:pPr>
            <w:r>
              <w:rPr>
                <w:rFonts w:ascii="Times New Roman"/>
                <w:sz w:val="21"/>
              </w:rPr>
              <w:t>23.</w:t>
            </w:r>
          </w:p>
        </w:tc>
        <w:tc>
          <w:tcPr>
            <w:tcW w:w="2764" w:type="dxa"/>
          </w:tcPr>
          <w:p>
            <w:pPr>
              <w:pStyle w:val="TableParagraph"/>
              <w:spacing w:line="257" w:lineRule="exact"/>
              <w:ind w:left="51"/>
              <w:rPr>
                <w:b/>
                <w:sz w:val="21"/>
              </w:rPr>
            </w:pPr>
            <w:r>
              <w:rPr>
                <w:sz w:val="21"/>
              </w:rPr>
              <w:t>语言能力丧失－</w:t>
            </w:r>
            <w:r>
              <w:rPr>
                <w:b/>
                <w:sz w:val="21"/>
              </w:rPr>
              <w:t>三周岁始</w:t>
            </w:r>
          </w:p>
          <w:p>
            <w:pPr>
              <w:pStyle w:val="TableParagraph"/>
              <w:spacing w:before="37"/>
              <w:ind w:left="51"/>
              <w:rPr>
                <w:b/>
                <w:sz w:val="21"/>
              </w:rPr>
            </w:pPr>
            <w:r>
              <w:rPr>
                <w:b/>
                <w:sz w:val="21"/>
              </w:rPr>
              <w:t>理赔</w:t>
            </w:r>
          </w:p>
        </w:tc>
        <w:tc>
          <w:tcPr>
            <w:tcW w:w="7092" w:type="dxa"/>
          </w:tcPr>
          <w:p>
            <w:pPr>
              <w:pStyle w:val="TableParagraph"/>
              <w:spacing w:line="273" w:lineRule="exact"/>
              <w:ind w:left="201"/>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73" w:lineRule="auto" w:before="21"/>
              <w:ind w:left="201" w:right="688"/>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7"/>
              <w:ind w:left="201" w:right="311"/>
              <w:rPr>
                <w:b/>
                <w:sz w:val="21"/>
              </w:rPr>
            </w:pPr>
            <w:r>
              <w:rPr>
                <w:b/>
                <w:sz w:val="21"/>
              </w:rPr>
              <w:t>被保险人申请理赔时年龄必须在三周岁以上，并且提供理赔当时的语言能力丧失诊断及检查证据。</w:t>
            </w:r>
          </w:p>
        </w:tc>
      </w:tr>
      <w:tr>
        <w:trPr>
          <w:trHeight w:val="2191" w:hRule="atLeast"/>
        </w:trPr>
        <w:tc>
          <w:tcPr>
            <w:tcW w:w="516" w:type="dxa"/>
          </w:tcPr>
          <w:p>
            <w:pPr>
              <w:pStyle w:val="TableParagraph"/>
              <w:spacing w:before="29"/>
              <w:ind w:right="51"/>
              <w:jc w:val="right"/>
              <w:rPr>
                <w:rFonts w:ascii="Times New Roman"/>
                <w:sz w:val="21"/>
              </w:rPr>
            </w:pPr>
            <w:r>
              <w:rPr>
                <w:rFonts w:ascii="Times New Roman"/>
                <w:sz w:val="21"/>
              </w:rPr>
              <w:t>24.</w:t>
            </w:r>
          </w:p>
        </w:tc>
        <w:tc>
          <w:tcPr>
            <w:tcW w:w="2764" w:type="dxa"/>
          </w:tcPr>
          <w:p>
            <w:pPr>
              <w:pStyle w:val="TableParagraph"/>
              <w:spacing w:line="257" w:lineRule="exact"/>
              <w:ind w:left="51"/>
              <w:rPr>
                <w:sz w:val="21"/>
              </w:rPr>
            </w:pPr>
            <w:r>
              <w:rPr>
                <w:sz w:val="21"/>
              </w:rPr>
              <w:t>重型再生障碍性贫血</w:t>
            </w:r>
          </w:p>
        </w:tc>
        <w:tc>
          <w:tcPr>
            <w:tcW w:w="7092" w:type="dxa"/>
          </w:tcPr>
          <w:p>
            <w:pPr>
              <w:pStyle w:val="TableParagraph"/>
              <w:spacing w:line="257" w:lineRule="exact"/>
              <w:ind w:left="201"/>
              <w:rPr>
                <w:sz w:val="21"/>
              </w:rPr>
            </w:pPr>
            <w:r>
              <w:rPr>
                <w:sz w:val="21"/>
              </w:rPr>
              <w:t>指因骨髓造血功能慢性持续性衰竭导致的贫血、中性粒细胞减少及血小</w:t>
            </w:r>
          </w:p>
          <w:p>
            <w:pPr>
              <w:pStyle w:val="TableParagraph"/>
              <w:spacing w:before="37"/>
              <w:ind w:left="201"/>
              <w:rPr>
                <w:sz w:val="21"/>
              </w:rPr>
            </w:pPr>
            <w:r>
              <w:rPr>
                <w:sz w:val="21"/>
              </w:rPr>
              <w:t>板减少。须满足下列全部条件：</w:t>
            </w:r>
          </w:p>
          <w:p>
            <w:pPr>
              <w:pStyle w:val="TableParagraph"/>
              <w:spacing w:before="37"/>
              <w:ind w:left="201"/>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201"/>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727"/>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727"/>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727"/>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570" w:hRule="atLeast"/>
        </w:trPr>
        <w:tc>
          <w:tcPr>
            <w:tcW w:w="516" w:type="dxa"/>
          </w:tcPr>
          <w:p>
            <w:pPr>
              <w:pStyle w:val="TableParagraph"/>
              <w:spacing w:before="21"/>
              <w:ind w:right="51"/>
              <w:jc w:val="right"/>
              <w:rPr>
                <w:rFonts w:ascii="Times New Roman"/>
                <w:sz w:val="21"/>
              </w:rPr>
            </w:pPr>
            <w:r>
              <w:rPr>
                <w:rFonts w:ascii="Times New Roman"/>
                <w:sz w:val="21"/>
              </w:rPr>
              <w:t>25.</w:t>
            </w:r>
          </w:p>
        </w:tc>
        <w:tc>
          <w:tcPr>
            <w:tcW w:w="2764" w:type="dxa"/>
          </w:tcPr>
          <w:p>
            <w:pPr>
              <w:pStyle w:val="TableParagraph"/>
              <w:spacing w:line="249" w:lineRule="exact"/>
              <w:ind w:left="51"/>
              <w:rPr>
                <w:sz w:val="21"/>
              </w:rPr>
            </w:pPr>
            <w:r>
              <w:rPr>
                <w:sz w:val="21"/>
              </w:rPr>
              <w:t>主动脉手术</w:t>
            </w:r>
          </w:p>
        </w:tc>
        <w:tc>
          <w:tcPr>
            <w:tcW w:w="7092" w:type="dxa"/>
          </w:tcPr>
          <w:p>
            <w:pPr>
              <w:pStyle w:val="TableParagraph"/>
              <w:spacing w:line="249" w:lineRule="exact"/>
              <w:ind w:left="201"/>
              <w:rPr>
                <w:sz w:val="21"/>
              </w:rPr>
            </w:pPr>
            <w:r>
              <w:rPr>
                <w:sz w:val="21"/>
              </w:rPr>
              <w:t>指为治疗主动脉疾病，实际实施了开胸或开腹进行的切除、置换、修补</w:t>
            </w:r>
          </w:p>
          <w:p>
            <w:pPr>
              <w:pStyle w:val="TableParagraph"/>
              <w:spacing w:line="264" w:lineRule="exact" w:before="37"/>
              <w:ind w:left="201"/>
              <w:rPr>
                <w:b/>
                <w:sz w:val="21"/>
              </w:rPr>
            </w:pPr>
            <w:r>
              <w:rPr>
                <w:sz w:val="21"/>
              </w:rPr>
              <w:t>病损主动脉血管的手术。主动脉指胸主动脉和腹主动脉，</w:t>
            </w:r>
            <w:r>
              <w:rPr>
                <w:b/>
                <w:sz w:val="21"/>
              </w:rPr>
              <w:t>不包括胸主动</w:t>
            </w:r>
          </w:p>
        </w:tc>
      </w:tr>
    </w:tbl>
    <w:p>
      <w:pPr>
        <w:spacing w:after="0" w:line="264" w:lineRule="exact"/>
        <w:rPr>
          <w:sz w:val="21"/>
        </w:rPr>
        <w:sectPr>
          <w:pgSz w:w="11910" w:h="16160"/>
          <w:pgMar w:header="0" w:footer="631" w:top="1440" w:bottom="820" w:left="760" w:right="540"/>
        </w:sectPr>
      </w:pPr>
    </w:p>
    <w:p>
      <w:pPr>
        <w:pStyle w:val="Heading2"/>
        <w:spacing w:before="7"/>
        <w:ind w:left="3399"/>
      </w:pPr>
      <w:r>
        <w:rPr/>
        <w:t>脉和腹主动脉的分支血管。</w:t>
      </w:r>
    </w:p>
    <w:p>
      <w:pPr>
        <w:spacing w:before="37"/>
        <w:ind w:left="3399" w:right="0" w:firstLine="0"/>
        <w:jc w:val="left"/>
        <w:rPr>
          <w:b/>
          <w:sz w:val="21"/>
        </w:rPr>
      </w:pPr>
      <w:r>
        <w:rPr>
          <w:b/>
          <w:sz w:val="21"/>
        </w:rPr>
        <w:t>动脉内血管成形术不在保障范围内。</w:t>
      </w:r>
    </w:p>
    <w:p>
      <w:pPr>
        <w:pStyle w:val="ListParagraph"/>
        <w:numPr>
          <w:ilvl w:val="0"/>
          <w:numId w:val="9"/>
        </w:numPr>
        <w:tabs>
          <w:tab w:pos="486" w:val="left" w:leader="none"/>
          <w:tab w:pos="3399" w:val="left" w:leader="none"/>
        </w:tabs>
        <w:spacing w:line="240" w:lineRule="auto" w:before="37" w:after="0"/>
        <w:ind w:left="485" w:right="0" w:hanging="368"/>
        <w:jc w:val="left"/>
        <w:rPr>
          <w:sz w:val="21"/>
        </w:rPr>
      </w:pPr>
      <w:r>
        <w:rPr>
          <w:sz w:val="21"/>
        </w:rPr>
        <w:t>严重</w:t>
      </w:r>
      <w:r>
        <w:rPr>
          <w:spacing w:val="-3"/>
          <w:sz w:val="21"/>
        </w:rPr>
        <w:t>多</w:t>
      </w:r>
      <w:r>
        <w:rPr>
          <w:sz w:val="21"/>
        </w:rPr>
        <w:t>发</w:t>
      </w:r>
      <w:r>
        <w:rPr>
          <w:spacing w:val="-3"/>
          <w:sz w:val="21"/>
        </w:rPr>
        <w:t>性</w:t>
      </w:r>
      <w:r>
        <w:rPr>
          <w:sz w:val="21"/>
        </w:rPr>
        <w:t>硬化</w:t>
        <w:tab/>
        <w:t>多发</w:t>
      </w:r>
      <w:r>
        <w:rPr>
          <w:spacing w:val="-3"/>
          <w:sz w:val="21"/>
        </w:rPr>
        <w:t>性</w:t>
      </w:r>
      <w:r>
        <w:rPr>
          <w:sz w:val="21"/>
        </w:rPr>
        <w:t>硬</w:t>
      </w:r>
      <w:r>
        <w:rPr>
          <w:spacing w:val="-3"/>
          <w:sz w:val="21"/>
        </w:rPr>
        <w:t>化</w:t>
      </w:r>
      <w:r>
        <w:rPr>
          <w:sz w:val="21"/>
        </w:rPr>
        <w:t>为</w:t>
      </w:r>
      <w:r>
        <w:rPr>
          <w:spacing w:val="-3"/>
          <w:sz w:val="21"/>
        </w:rPr>
        <w:t>中</w:t>
      </w:r>
      <w:r>
        <w:rPr>
          <w:sz w:val="21"/>
        </w:rPr>
        <w:t>枢</w:t>
      </w:r>
      <w:r>
        <w:rPr>
          <w:spacing w:val="-3"/>
          <w:sz w:val="21"/>
        </w:rPr>
        <w:t>神</w:t>
      </w:r>
      <w:r>
        <w:rPr>
          <w:sz w:val="21"/>
        </w:rPr>
        <w:t>经</w:t>
      </w:r>
      <w:r>
        <w:rPr>
          <w:spacing w:val="-3"/>
          <w:sz w:val="21"/>
        </w:rPr>
        <w:t>系</w:t>
      </w:r>
      <w:r>
        <w:rPr>
          <w:sz w:val="21"/>
        </w:rPr>
        <w:t>统白</w:t>
      </w:r>
      <w:r>
        <w:rPr>
          <w:spacing w:val="-3"/>
          <w:sz w:val="21"/>
        </w:rPr>
        <w:t>质</w:t>
      </w:r>
      <w:r>
        <w:rPr>
          <w:sz w:val="21"/>
        </w:rPr>
        <w:t>多</w:t>
      </w:r>
      <w:r>
        <w:rPr>
          <w:spacing w:val="-3"/>
          <w:sz w:val="21"/>
        </w:rPr>
        <w:t>灶</w:t>
      </w:r>
      <w:r>
        <w:rPr>
          <w:sz w:val="21"/>
        </w:rPr>
        <w:t>性</w:t>
      </w:r>
      <w:r>
        <w:rPr>
          <w:spacing w:val="-3"/>
          <w:sz w:val="21"/>
        </w:rPr>
        <w:t>脱</w:t>
      </w:r>
      <w:r>
        <w:rPr>
          <w:sz w:val="21"/>
        </w:rPr>
        <w:t>髓</w:t>
      </w:r>
      <w:r>
        <w:rPr>
          <w:spacing w:val="-3"/>
          <w:sz w:val="21"/>
        </w:rPr>
        <w:t>鞘</w:t>
      </w:r>
      <w:r>
        <w:rPr>
          <w:sz w:val="21"/>
        </w:rPr>
        <w:t>病</w:t>
      </w:r>
      <w:r>
        <w:rPr>
          <w:spacing w:val="-3"/>
          <w:sz w:val="21"/>
        </w:rPr>
        <w:t>变</w:t>
      </w:r>
      <w:r>
        <w:rPr>
          <w:spacing w:val="-36"/>
          <w:sz w:val="21"/>
        </w:rPr>
        <w:t>，</w:t>
      </w:r>
      <w:r>
        <w:rPr>
          <w:sz w:val="21"/>
        </w:rPr>
        <w:t>病</w:t>
      </w:r>
      <w:r>
        <w:rPr>
          <w:spacing w:val="-3"/>
          <w:sz w:val="21"/>
        </w:rPr>
        <w:t>变</w:t>
      </w:r>
      <w:r>
        <w:rPr>
          <w:sz w:val="21"/>
        </w:rPr>
        <w:t>有</w:t>
      </w:r>
      <w:r>
        <w:rPr>
          <w:spacing w:val="-3"/>
          <w:sz w:val="21"/>
        </w:rPr>
        <w:t>时</w:t>
      </w:r>
      <w:r>
        <w:rPr>
          <w:sz w:val="21"/>
        </w:rPr>
        <w:t>累</w:t>
      </w:r>
      <w:r>
        <w:rPr>
          <w:spacing w:val="-3"/>
          <w:sz w:val="21"/>
        </w:rPr>
        <w:t>及</w:t>
      </w:r>
      <w:r>
        <w:rPr>
          <w:sz w:val="21"/>
        </w:rPr>
        <w:t>灰</w:t>
      </w:r>
      <w:r>
        <w:rPr>
          <w:spacing w:val="-3"/>
          <w:sz w:val="21"/>
        </w:rPr>
        <w:t>质</w:t>
      </w:r>
      <w:r>
        <w:rPr>
          <w:sz w:val="21"/>
        </w:rPr>
        <w:t>。</w:t>
      </w:r>
    </w:p>
    <w:p>
      <w:pPr>
        <w:pStyle w:val="BodyText"/>
        <w:spacing w:line="261" w:lineRule="auto" w:before="21"/>
        <w:ind w:left="3399" w:right="220"/>
        <w:jc w:val="both"/>
      </w:pPr>
      <w:r>
        <w:rPr/>
        <w:t>多发性硬化须由核磁共振检查（</w:t>
      </w:r>
      <w:r>
        <w:rPr>
          <w:rFonts w:ascii="Times New Roman" w:eastAsia="Times New Roman"/>
        </w:rPr>
        <w:t>MRI</w:t>
      </w:r>
      <w:r>
        <w:rPr/>
        <w:t>）等影像学检查证实，经三级医院神经科专科医生明确诊断，并且已经造成永久不可逆的神经系统功能损</w:t>
      </w:r>
      <w:r>
        <w:rPr>
          <w:spacing w:val="-4"/>
        </w:rPr>
        <w:t>害。永久不可逆神经系统功能损害指被保险人持续 </w:t>
      </w:r>
      <w:r>
        <w:rPr>
          <w:rFonts w:ascii="Times New Roman" w:eastAsia="Times New Roman"/>
        </w:rPr>
        <w:t>180 </w:t>
      </w:r>
      <w:r>
        <w:rPr>
          <w:spacing w:val="-3"/>
        </w:rPr>
        <w:t>天无法独立完成下列基本日常生活活动：</w:t>
      </w:r>
    </w:p>
    <w:p>
      <w:pPr>
        <w:pStyle w:val="BodyText"/>
        <w:spacing w:before="18"/>
        <w:ind w:left="3401"/>
        <w:jc w:val="both"/>
      </w:pPr>
      <w:r>
        <w:rPr/>
        <w:t>（</w:t>
      </w:r>
      <w:r>
        <w:rPr>
          <w:rFonts w:ascii="Times New Roman" w:eastAsia="Times New Roman"/>
        </w:rPr>
        <w:t>1</w:t>
      </w:r>
      <w:r>
        <w:rPr/>
        <w:t>）移动：自己从一个房间移动到另一个房间；或者</w:t>
      </w:r>
    </w:p>
    <w:p>
      <w:pPr>
        <w:pStyle w:val="BodyText"/>
        <w:spacing w:before="21"/>
        <w:ind w:left="3401"/>
        <w:jc w:val="both"/>
      </w:pPr>
      <w:r>
        <w:rPr/>
        <w:t>（</w:t>
      </w:r>
      <w:r>
        <w:rPr>
          <w:rFonts w:ascii="Times New Roman" w:eastAsia="Times New Roman"/>
        </w:rPr>
        <w:t>2</w:t>
      </w:r>
      <w:r>
        <w:rPr/>
        <w:t>）进食：自己从已准备好的碗或碟中取食物放入口中。</w:t>
      </w:r>
    </w:p>
    <w:p>
      <w:pPr>
        <w:spacing w:after="0"/>
        <w:jc w:val="both"/>
        <w:sectPr>
          <w:pgSz w:w="11910" w:h="16160"/>
          <w:pgMar w:header="0" w:footer="631" w:top="1360" w:bottom="820" w:left="960" w:right="740"/>
        </w:sectPr>
      </w:pPr>
    </w:p>
    <w:p>
      <w:pPr>
        <w:pStyle w:val="ListParagraph"/>
        <w:numPr>
          <w:ilvl w:val="0"/>
          <w:numId w:val="9"/>
        </w:numPr>
        <w:tabs>
          <w:tab w:pos="486" w:val="left" w:leader="none"/>
        </w:tabs>
        <w:spacing w:line="256" w:lineRule="auto" w:before="21" w:after="0"/>
        <w:ind w:left="485" w:right="0" w:hanging="368"/>
        <w:jc w:val="left"/>
        <w:rPr>
          <w:sz w:val="21"/>
        </w:rPr>
      </w:pPr>
      <w:r>
        <w:rPr>
          <w:sz w:val="21"/>
        </w:rPr>
        <w:t>因职业关系导致的 </w:t>
      </w:r>
      <w:r>
        <w:rPr>
          <w:rFonts w:ascii="Times New Roman" w:eastAsia="Times New Roman"/>
          <w:sz w:val="21"/>
        </w:rPr>
        <w:t>HIV</w:t>
      </w:r>
      <w:r>
        <w:rPr>
          <w:rFonts w:ascii="Times New Roman" w:eastAsia="Times New Roman"/>
          <w:spacing w:val="8"/>
          <w:sz w:val="21"/>
        </w:rPr>
        <w:t> </w:t>
      </w:r>
      <w:r>
        <w:rPr>
          <w:sz w:val="21"/>
        </w:rPr>
        <w:t>感染</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pPr>
    </w:p>
    <w:p>
      <w:pPr>
        <w:pStyle w:val="ListParagraph"/>
        <w:numPr>
          <w:ilvl w:val="0"/>
          <w:numId w:val="9"/>
        </w:numPr>
        <w:tabs>
          <w:tab w:pos="486" w:val="left" w:leader="none"/>
        </w:tabs>
        <w:spacing w:line="256" w:lineRule="auto" w:before="0" w:after="0"/>
        <w:ind w:left="485" w:right="1" w:hanging="368"/>
        <w:jc w:val="left"/>
        <w:rPr>
          <w:sz w:val="21"/>
        </w:rPr>
      </w:pPr>
      <w:r>
        <w:rPr>
          <w:spacing w:val="12"/>
          <w:sz w:val="21"/>
        </w:rPr>
        <w:t>特发性慢性肾上腺皮质功能减退</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0"/>
        </w:rPr>
      </w:pPr>
    </w:p>
    <w:p>
      <w:pPr>
        <w:pStyle w:val="ListParagraph"/>
        <w:numPr>
          <w:ilvl w:val="0"/>
          <w:numId w:val="9"/>
        </w:numPr>
        <w:tabs>
          <w:tab w:pos="486" w:val="left" w:leader="none"/>
        </w:tabs>
        <w:spacing w:line="256" w:lineRule="auto" w:before="0" w:after="0"/>
        <w:ind w:left="485" w:right="1" w:hanging="368"/>
        <w:jc w:val="left"/>
        <w:rPr>
          <w:sz w:val="21"/>
        </w:rPr>
      </w:pPr>
      <w:r>
        <w:rPr>
          <w:spacing w:val="12"/>
          <w:sz w:val="21"/>
        </w:rPr>
        <w:t>严重冠状动脉粥样硬化性心脏病</w:t>
      </w:r>
    </w:p>
    <w:p>
      <w:pPr>
        <w:pStyle w:val="BodyText"/>
        <w:spacing w:line="273" w:lineRule="auto" w:before="21"/>
        <w:ind w:right="228"/>
      </w:pPr>
      <w:r>
        <w:rPr/>
        <w:br w:type="column"/>
      </w:r>
      <w:r>
        <w:rPr/>
        <w:t>被保险人在其常规职业工作过程中遭遇外伤，或者职业需要处理血液或</w:t>
      </w:r>
      <w:r>
        <w:rPr>
          <w:spacing w:val="-3"/>
          <w:w w:val="100"/>
        </w:rPr>
        <w:t>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p>
    <w:p>
      <w:pPr>
        <w:pStyle w:val="BodyText"/>
        <w:spacing w:line="264" w:lineRule="exact"/>
      </w:pPr>
      <w:r>
        <w:rPr/>
        <w:t>理赔必须符合下列所有条件：</w:t>
      </w:r>
    </w:p>
    <w:p>
      <w:pPr>
        <w:pStyle w:val="BodyText"/>
        <w:spacing w:line="256" w:lineRule="auto" w:before="38"/>
        <w:ind w:right="168"/>
      </w:pPr>
      <w:r>
        <w:rPr/>
        <w:t>（</w:t>
      </w:r>
      <w:r>
        <w:rPr>
          <w:rFonts w:ascii="Times New Roman" w:eastAsia="Times New Roman"/>
        </w:rPr>
        <w:t>1</w:t>
      </w:r>
      <w:r>
        <w:rPr/>
        <w:t>）感染必须是在被保险人正在从事其职业工作中发生，该职业必须属于以下列表内的职业：</w:t>
      </w:r>
    </w:p>
    <w:p>
      <w:pPr>
        <w:pStyle w:val="BodyText"/>
        <w:ind w:left="0"/>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70" w:lineRule="exact"/>
              <w:ind w:left="71"/>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70" w:lineRule="exact"/>
              <w:ind w:left="66"/>
              <w:rPr>
                <w:sz w:val="21"/>
              </w:rPr>
            </w:pPr>
            <w:r>
              <w:rPr>
                <w:sz w:val="21"/>
              </w:rPr>
              <w:t>护士</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73" w:lineRule="exact"/>
              <w:ind w:left="71"/>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73"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71"/>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70" w:lineRule="exact"/>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71"/>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70" w:lineRule="exact"/>
              <w:ind w:left="66"/>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70" w:lineRule="exact"/>
              <w:ind w:left="71"/>
              <w:rPr>
                <w:sz w:val="21"/>
              </w:rPr>
            </w:pPr>
            <w:r>
              <w:rPr>
                <w:sz w:val="21"/>
              </w:rPr>
              <w:t>警察</w:t>
            </w:r>
          </w:p>
        </w:tc>
        <w:tc>
          <w:tcPr>
            <w:tcW w:w="2835" w:type="dxa"/>
            <w:tcBorders>
              <w:top w:val="single" w:sz="6" w:space="0" w:color="000000"/>
              <w:left w:val="single" w:sz="6" w:space="0" w:color="000000"/>
            </w:tcBorders>
          </w:tcPr>
          <w:p>
            <w:pPr>
              <w:pStyle w:val="TableParagraph"/>
              <w:spacing w:line="270" w:lineRule="exact"/>
              <w:ind w:left="66"/>
              <w:rPr>
                <w:sz w:val="21"/>
              </w:rPr>
            </w:pPr>
            <w:r>
              <w:rPr>
                <w:sz w:val="21"/>
              </w:rPr>
              <w:t>狱警</w:t>
            </w:r>
          </w:p>
        </w:tc>
      </w:tr>
    </w:tbl>
    <w:p>
      <w:pPr>
        <w:pStyle w:val="BodyText"/>
        <w:spacing w:line="256" w:lineRule="auto"/>
        <w:ind w:right="124"/>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 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5"/>
      </w:pPr>
      <w:r>
        <w:rPr>
          <w:w w:val="100"/>
        </w:rPr>
        <w:t>（</w:t>
      </w:r>
      <w:r>
        <w:rPr>
          <w:rFonts w:ascii="Times New Roman" w:eastAsia="Times New Roman"/>
          <w:spacing w:val="-3"/>
          <w:w w:val="100"/>
        </w:rPr>
        <w:t>3</w:t>
      </w:r>
      <w:r>
        <w:rPr>
          <w:spacing w:val="-94"/>
          <w:w w:val="100"/>
        </w:rPr>
        <w:t>）</w:t>
      </w:r>
      <w:r>
        <w:rPr>
          <w:spacing w:val="-3"/>
          <w:w w:val="100"/>
        </w:rPr>
        <w:t>必须在事故发生后的</w:t>
      </w:r>
      <w:r>
        <w:rPr>
          <w:spacing w:val="-55"/>
        </w:rPr>
        <w:t> </w:t>
      </w:r>
      <w:r>
        <w:rPr>
          <w:rFonts w:ascii="Times New Roman" w:eastAsia="Times New Roman"/>
          <w:w w:val="100"/>
        </w:rPr>
        <w:t>6</w:t>
      </w:r>
      <w:r>
        <w:rPr>
          <w:rFonts w:ascii="Times New Roman" w:eastAsia="Times New Roman"/>
        </w:rPr>
        <w:t> </w:t>
      </w:r>
      <w:r>
        <w:rPr>
          <w:spacing w:val="-3"/>
          <w:w w:val="100"/>
        </w:rPr>
        <w:t>个月内证实被保险人体内存在</w:t>
      </w:r>
      <w:r>
        <w:rPr>
          <w:spacing w:val="-53"/>
        </w:rPr>
        <w:t> </w:t>
      </w:r>
      <w:r>
        <w:rPr>
          <w:rFonts w:ascii="Times New Roman" w:eastAsia="Times New Roman"/>
          <w:w w:val="100"/>
        </w:rPr>
        <w:t>H</w:t>
      </w:r>
      <w:r>
        <w:rPr>
          <w:rFonts w:ascii="Times New Roman" w:eastAsia="Times New Roman"/>
          <w:spacing w:val="-4"/>
          <w:w w:val="100"/>
        </w:rPr>
        <w:t>I</w:t>
      </w:r>
      <w:r>
        <w:rPr>
          <w:rFonts w:ascii="Times New Roman" w:eastAsia="Times New Roman"/>
          <w:w w:val="100"/>
        </w:rPr>
        <w:t>V</w:t>
      </w:r>
      <w:r>
        <w:rPr>
          <w:rFonts w:ascii="Times New Roman" w:eastAsia="Times New Roman"/>
          <w:spacing w:val="-1"/>
        </w:rPr>
        <w:t> </w:t>
      </w:r>
      <w:r>
        <w:rPr>
          <w:spacing w:val="-2"/>
          <w:w w:val="100"/>
        </w:rPr>
        <w:t>病毒或者</w:t>
      </w:r>
    </w:p>
    <w:p>
      <w:pPr>
        <w:pStyle w:val="BodyText"/>
        <w:spacing w:before="21"/>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0"/>
        <w:ind w:right="288"/>
      </w:pPr>
      <w:r>
        <w:rPr/>
        <w:t>我们承担本项疾病责任不受本合同“责任免除”中“被保险人感染艾滋病病毒或患艾滋病”的限制。</w:t>
      </w:r>
    </w:p>
    <w:p>
      <w:pPr>
        <w:pStyle w:val="BodyText"/>
        <w:spacing w:line="273" w:lineRule="auto" w:before="7"/>
        <w:ind w:right="226"/>
      </w:pPr>
      <w:r>
        <w:rPr/>
        <w:t>指自身免疫性肾上腺炎（既往称：特发性肾上腺皮质萎缩）导致肾上腺萎缩和慢性肾上腺皮质功能减退。必须满足所有以下条件：</w:t>
      </w:r>
    </w:p>
    <w:p>
      <w:pPr>
        <w:pStyle w:val="BodyText"/>
        <w:spacing w:before="7"/>
      </w:pPr>
      <w:r>
        <w:rPr/>
        <w:t>（</w:t>
      </w:r>
      <w:r>
        <w:rPr>
          <w:rFonts w:ascii="Times New Roman" w:eastAsia="Times New Roman"/>
        </w:rPr>
        <w:t>1</w:t>
      </w:r>
      <w:r>
        <w:rPr/>
        <w:t>）明确诊断，符合所有以下诊断标准；</w:t>
      </w:r>
    </w:p>
    <w:p>
      <w:pPr>
        <w:pStyle w:val="BodyText"/>
        <w:spacing w:before="20"/>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before="20"/>
        <w:ind w:right="222" w:firstLine="525"/>
        <w:jc w:val="both"/>
      </w:pPr>
      <w:r>
        <w:rPr>
          <w:spacing w:val="-7"/>
        </w:rPr>
        <w:t>② 血浆和尿游离皮质醇及尿 </w:t>
      </w:r>
      <w:r>
        <w:rPr>
          <w:rFonts w:ascii="Times New Roman" w:hAnsi="Times New Roman" w:eastAsia="Times New Roman"/>
        </w:rPr>
        <w:t>17 </w:t>
      </w:r>
      <w:r>
        <w:rPr>
          <w:spacing w:val="-16"/>
        </w:rPr>
        <w:t>羟皮质类固醇、</w:t>
      </w:r>
      <w:r>
        <w:rPr>
          <w:rFonts w:ascii="Times New Roman" w:hAnsi="Times New Roman" w:eastAsia="Times New Roman"/>
        </w:rPr>
        <w:t>17 </w:t>
      </w:r>
      <w:r>
        <w:rPr>
          <w:spacing w:val="-3"/>
        </w:rPr>
        <w:t>酮皮质类固醇测</w:t>
      </w:r>
      <w:r>
        <w:rPr>
          <w:spacing w:val="-6"/>
        </w:rPr>
        <w:t>定、血浆肾素活性、血管紧张素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9" w:lineRule="auto" w:before="22"/>
        <w:ind w:right="417" w:firstLine="525"/>
      </w:pPr>
      <w:r>
        <w:rPr/>
        <w:t>③ 血浆促肾上腺皮质激素</w:t>
      </w:r>
      <w:r>
        <w:rPr>
          <w:rFonts w:ascii="Times New Roman" w:hAnsi="Times New Roman" w:eastAsia="Times New Roman"/>
        </w:rPr>
        <w:t>(ACTH)</w:t>
      </w:r>
      <w:r>
        <w:rPr/>
        <w:t>刺激试验显示为原发性肾上腺皮质功能减退症。</w:t>
      </w:r>
    </w:p>
    <w:p>
      <w:pPr>
        <w:pStyle w:val="BodyText"/>
        <w:spacing w:before="20"/>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0"/>
        <w:ind w:left="117" w:right="223"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BodyText"/>
        <w:spacing w:line="273" w:lineRule="auto" w:before="21"/>
        <w:ind w:right="223"/>
      </w:pPr>
      <w:r>
        <w:rPr/>
        <w:t>指经心脏科专科医生根据冠状动脉造影检查结果确诊为主要血管严重狭窄性病变，须满足下列至少一项条件：</w:t>
      </w:r>
    </w:p>
    <w:p>
      <w:pPr>
        <w:pStyle w:val="BodyText"/>
        <w:spacing w:line="256" w:lineRule="auto" w:before="7"/>
        <w:ind w:right="223"/>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5"/>
        <w:ind w:right="115"/>
      </w:pPr>
      <w:r>
        <w:rPr>
          <w:spacing w:val="-12"/>
        </w:rPr>
        <w:t>（</w:t>
      </w:r>
      <w:r>
        <w:rPr>
          <w:rFonts w:ascii="Times New Roman" w:eastAsia="Times New Roman"/>
          <w:spacing w:val="-12"/>
        </w:rPr>
        <w:t>2</w:t>
      </w:r>
      <w:r>
        <w:rPr>
          <w:spacing w:val="-12"/>
        </w:rPr>
        <w:t>）</w:t>
      </w:r>
      <w:r>
        <w:rPr>
          <w:spacing w:val="-10"/>
        </w:rPr>
        <w:t>前降支、回旋支和右冠状动脉中，至少一支血管管腔堵塞</w:t>
      </w:r>
      <w:r>
        <w:rPr>
          <w:rFonts w:ascii="Times New Roman" w:eastAsia="Times New Roman"/>
        </w:rPr>
        <w:t>75%</w:t>
      </w:r>
      <w:r>
        <w:rPr/>
        <w:t>以上， </w:t>
      </w:r>
      <w:r>
        <w:rPr>
          <w:spacing w:val="-3"/>
        </w:rPr>
        <w:t>其他两支血管管腔堵塞</w:t>
      </w:r>
      <w:r>
        <w:rPr>
          <w:rFonts w:ascii="Times New Roman" w:eastAsia="Times New Roman"/>
        </w:rPr>
        <w:t>60%</w:t>
      </w:r>
      <w:r>
        <w:rPr>
          <w:spacing w:val="-2"/>
        </w:rPr>
        <w:t>以上。</w:t>
      </w:r>
    </w:p>
    <w:p>
      <w:pPr>
        <w:spacing w:before="5"/>
        <w:ind w:left="117" w:right="0" w:firstLine="0"/>
        <w:jc w:val="left"/>
        <w:rPr>
          <w:b/>
          <w:sz w:val="21"/>
        </w:rPr>
      </w:pPr>
      <w:r>
        <w:rPr>
          <w:b/>
          <w:sz w:val="21"/>
        </w:rPr>
        <w:t>前降支的分支血管、左旋支的分支血管及右冠状动脉的分支血管的狭窄</w:t>
      </w:r>
    </w:p>
    <w:p>
      <w:pPr>
        <w:spacing w:after="0"/>
        <w:jc w:val="left"/>
        <w:rPr>
          <w:sz w:val="21"/>
        </w:rPr>
        <w:sectPr>
          <w:type w:val="continuous"/>
          <w:pgSz w:w="11910" w:h="16160"/>
          <w:pgMar w:top="560" w:bottom="280" w:left="960" w:right="740"/>
          <w:cols w:num="2" w:equalWidth="0">
            <w:col w:w="2979" w:space="302"/>
            <w:col w:w="6929"/>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7"/>
        <w:gridCol w:w="7046"/>
      </w:tblGrid>
      <w:tr>
        <w:trPr>
          <w:trHeight w:val="263" w:hRule="atLeast"/>
        </w:trPr>
        <w:tc>
          <w:tcPr>
            <w:tcW w:w="516" w:type="dxa"/>
          </w:tcPr>
          <w:p>
            <w:pPr>
              <w:pStyle w:val="TableParagraph"/>
              <w:rPr>
                <w:rFonts w:ascii="Times New Roman"/>
                <w:sz w:val="18"/>
              </w:rPr>
            </w:pPr>
          </w:p>
        </w:tc>
        <w:tc>
          <w:tcPr>
            <w:tcW w:w="2807" w:type="dxa"/>
          </w:tcPr>
          <w:p>
            <w:pPr>
              <w:pStyle w:val="TableParagraph"/>
              <w:rPr>
                <w:rFonts w:ascii="Times New Roman"/>
                <w:sz w:val="18"/>
              </w:rPr>
            </w:pPr>
          </w:p>
        </w:tc>
        <w:tc>
          <w:tcPr>
            <w:tcW w:w="7046" w:type="dxa"/>
          </w:tcPr>
          <w:p>
            <w:pPr>
              <w:pStyle w:val="TableParagraph"/>
              <w:spacing w:line="202" w:lineRule="exact"/>
              <w:ind w:left="158"/>
              <w:rPr>
                <w:b/>
                <w:sz w:val="21"/>
              </w:rPr>
            </w:pPr>
            <w:r>
              <w:rPr>
                <w:b/>
                <w:sz w:val="21"/>
              </w:rPr>
              <w:t>不作为本保障的衡量指标。</w:t>
            </w:r>
          </w:p>
        </w:tc>
      </w:tr>
      <w:tr>
        <w:trPr>
          <w:trHeight w:val="1566" w:hRule="atLeast"/>
        </w:trPr>
        <w:tc>
          <w:tcPr>
            <w:tcW w:w="516" w:type="dxa"/>
          </w:tcPr>
          <w:p>
            <w:pPr>
              <w:pStyle w:val="TableParagraph"/>
              <w:spacing w:before="35"/>
              <w:ind w:right="51"/>
              <w:jc w:val="right"/>
              <w:rPr>
                <w:rFonts w:ascii="Times New Roman"/>
                <w:sz w:val="21"/>
              </w:rPr>
            </w:pPr>
            <w:r>
              <w:rPr>
                <w:rFonts w:ascii="Times New Roman"/>
                <w:sz w:val="21"/>
              </w:rPr>
              <w:t>30.</w:t>
            </w:r>
          </w:p>
        </w:tc>
        <w:tc>
          <w:tcPr>
            <w:tcW w:w="2807" w:type="dxa"/>
          </w:tcPr>
          <w:p>
            <w:pPr>
              <w:pStyle w:val="TableParagraph"/>
              <w:spacing w:line="263" w:lineRule="exact"/>
              <w:ind w:left="51"/>
              <w:rPr>
                <w:sz w:val="21"/>
              </w:rPr>
            </w:pPr>
            <w:r>
              <w:rPr>
                <w:sz w:val="21"/>
              </w:rPr>
              <w:t>脊髓灰质炎</w:t>
            </w:r>
          </w:p>
        </w:tc>
        <w:tc>
          <w:tcPr>
            <w:tcW w:w="7046" w:type="dxa"/>
          </w:tcPr>
          <w:p>
            <w:pPr>
              <w:pStyle w:val="TableParagraph"/>
              <w:spacing w:line="268" w:lineRule="auto"/>
              <w:ind w:left="158" w:right="300"/>
              <w:jc w:val="both"/>
              <w:rPr>
                <w:sz w:val="21"/>
              </w:rPr>
            </w:pPr>
            <w:r>
              <w:rPr>
                <w:sz w:val="21"/>
              </w:rPr>
              <w:t>指由于脊髓灰质炎病毒感染所致的瘫痪性疾病，临床表现为运动功能损害或呼吸无力。脊髓灰质炎必须明确诊断。</w:t>
            </w:r>
            <w:r>
              <w:rPr>
                <w:b/>
                <w:sz w:val="21"/>
              </w:rPr>
              <w:t>本合同仅对脊髓灰质炎造成的神经系统功能损害导致被保险人一肢或一肢以上肢体机能永久完全丧</w:t>
            </w:r>
            <w:r>
              <w:rPr>
                <w:b/>
                <w:spacing w:val="-3"/>
                <w:sz w:val="21"/>
              </w:rPr>
              <w:t>失的情况予以理赔。</w:t>
            </w:r>
            <w:r>
              <w:rPr>
                <w:spacing w:val="-5"/>
                <w:sz w:val="21"/>
              </w:rPr>
              <w:t>肢体机能永久完全丧失，指疾病确诊</w:t>
            </w:r>
            <w:r>
              <w:rPr>
                <w:rFonts w:ascii="Times New Roman" w:eastAsia="Times New Roman"/>
                <w:sz w:val="21"/>
              </w:rPr>
              <w:t>180</w:t>
            </w:r>
            <w:r>
              <w:rPr>
                <w:spacing w:val="-5"/>
                <w:sz w:val="21"/>
              </w:rPr>
              <w:t>天后，每肢</w:t>
            </w:r>
            <w:r>
              <w:rPr>
                <w:spacing w:val="-4"/>
                <w:sz w:val="21"/>
              </w:rPr>
              <w:t>三大关节中的两大关节仍然完全僵硬，或不能随意识活动。</w:t>
            </w:r>
          </w:p>
        </w:tc>
      </w:tr>
      <w:tr>
        <w:trPr>
          <w:trHeight w:val="3744" w:hRule="atLeast"/>
        </w:trPr>
        <w:tc>
          <w:tcPr>
            <w:tcW w:w="516" w:type="dxa"/>
          </w:tcPr>
          <w:p>
            <w:pPr>
              <w:pStyle w:val="TableParagraph"/>
              <w:spacing w:before="29"/>
              <w:ind w:right="51"/>
              <w:jc w:val="right"/>
              <w:rPr>
                <w:rFonts w:ascii="Times New Roman"/>
                <w:sz w:val="21"/>
              </w:rPr>
            </w:pPr>
            <w:r>
              <w:rPr>
                <w:rFonts w:ascii="Times New Roman"/>
                <w:sz w:val="21"/>
              </w:rPr>
              <w:t>31.</w:t>
            </w:r>
          </w:p>
        </w:tc>
        <w:tc>
          <w:tcPr>
            <w:tcW w:w="2807" w:type="dxa"/>
          </w:tcPr>
          <w:p>
            <w:pPr>
              <w:pStyle w:val="TableParagraph"/>
              <w:spacing w:line="257" w:lineRule="exact"/>
              <w:ind w:left="51"/>
              <w:rPr>
                <w:sz w:val="21"/>
              </w:rPr>
            </w:pPr>
            <w:r>
              <w:rPr>
                <w:sz w:val="21"/>
              </w:rPr>
              <w:t>全身性（型）重症肌无力</w:t>
            </w:r>
          </w:p>
        </w:tc>
        <w:tc>
          <w:tcPr>
            <w:tcW w:w="7046" w:type="dxa"/>
          </w:tcPr>
          <w:p>
            <w:pPr>
              <w:pStyle w:val="TableParagraph"/>
              <w:spacing w:line="257" w:lineRule="exact"/>
              <w:ind w:left="158"/>
              <w:rPr>
                <w:sz w:val="21"/>
              </w:rPr>
            </w:pPr>
            <w:r>
              <w:rPr>
                <w:sz w:val="21"/>
              </w:rPr>
              <w:t>指一种神经与肌肉接头部位传递障碍的自身免疫性疾病，临床特征是局</w:t>
            </w:r>
          </w:p>
          <w:p>
            <w:pPr>
              <w:pStyle w:val="TableParagraph"/>
              <w:spacing w:line="273" w:lineRule="auto" w:before="37"/>
              <w:ind w:left="158" w:right="306"/>
              <w:jc w:val="both"/>
              <w:rPr>
                <w:sz w:val="21"/>
              </w:rPr>
            </w:pPr>
            <w:r>
              <w:rPr>
                <w:sz w:val="21"/>
              </w:rPr>
              <w:t>部或全身横纹肌于活动时易于疲劳无力，颅神经眼外肌最易累及，也可涉及呼吸肌、下肢近端肌群乃至全身肌肉。其诊断必须同时满足下列全部条件：</w:t>
            </w:r>
          </w:p>
          <w:p>
            <w:pPr>
              <w:pStyle w:val="TableParagraph"/>
              <w:spacing w:before="7"/>
              <w:ind w:left="158"/>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73" w:lineRule="auto" w:before="20"/>
              <w:ind w:left="158" w:right="308"/>
              <w:jc w:val="both"/>
              <w:rPr>
                <w:sz w:val="21"/>
              </w:rPr>
            </w:pPr>
            <w:r>
              <w:rPr>
                <w:sz w:val="21"/>
              </w:rPr>
              <w:t>（为维持生命必要的日常生活活动，全需他人扶助，系指食物摄取、大小便始末、穿脱衣服、起居、步行、入浴等，皆不能自己为之，需要他人帮助。）；</w:t>
            </w:r>
          </w:p>
          <w:p>
            <w:pPr>
              <w:pStyle w:val="TableParagraph"/>
              <w:spacing w:line="256" w:lineRule="auto" w:before="7"/>
              <w:ind w:left="158" w:right="301"/>
              <w:jc w:val="both"/>
              <w:rPr>
                <w:sz w:val="21"/>
              </w:rPr>
            </w:pPr>
            <w:r>
              <w:rPr>
                <w:spacing w:val="-5"/>
                <w:sz w:val="21"/>
              </w:rPr>
              <w:t>（</w:t>
            </w:r>
            <w:r>
              <w:rPr>
                <w:rFonts w:ascii="Times New Roman" w:eastAsia="Times New Roman"/>
                <w:spacing w:val="-5"/>
                <w:sz w:val="21"/>
              </w:rPr>
              <w:t>2</w:t>
            </w:r>
            <w:r>
              <w:rPr>
                <w:spacing w:val="-5"/>
                <w:sz w:val="21"/>
              </w:rPr>
              <w:t>）出现因延髓肌受累引起的构音困难、进食呛咳；或由于肌无力累及</w:t>
            </w:r>
            <w:r>
              <w:rPr>
                <w:spacing w:val="-4"/>
                <w:sz w:val="21"/>
              </w:rPr>
              <w:t>延髓肌、呼吸肌而致机体呼吸功能不正常的危急状态即肌无力危象；</w:t>
            </w:r>
          </w:p>
          <w:p>
            <w:pPr>
              <w:pStyle w:val="TableParagraph"/>
              <w:spacing w:line="256" w:lineRule="auto" w:before="22"/>
              <w:ind w:left="158" w:right="301"/>
              <w:jc w:val="both"/>
              <w:rPr>
                <w:sz w:val="21"/>
              </w:rPr>
            </w:pPr>
            <w:r>
              <w:rPr>
                <w:spacing w:val="-5"/>
                <w:sz w:val="21"/>
              </w:rPr>
              <w:t>（</w:t>
            </w:r>
            <w:r>
              <w:rPr>
                <w:rFonts w:ascii="Times New Roman" w:eastAsia="Times New Roman"/>
                <w:spacing w:val="-5"/>
                <w:sz w:val="21"/>
              </w:rPr>
              <w:t>3</w:t>
            </w:r>
            <w:r>
              <w:rPr>
                <w:spacing w:val="-5"/>
                <w:sz w:val="21"/>
              </w:rPr>
              <w:t>）</w:t>
            </w:r>
            <w:r>
              <w:rPr>
                <w:spacing w:val="-6"/>
                <w:sz w:val="21"/>
              </w:rPr>
              <w:t>症状缓解、复发及恶化交替出现，临床接受新斯的明等抗胆碱酯酶</w:t>
            </w:r>
            <w:r>
              <w:rPr>
                <w:spacing w:val="-4"/>
                <w:sz w:val="21"/>
              </w:rPr>
              <w:t>药物治疗的病史。</w:t>
            </w:r>
          </w:p>
        </w:tc>
      </w:tr>
      <w:tr>
        <w:trPr>
          <w:trHeight w:val="1247" w:hRule="atLeast"/>
        </w:trPr>
        <w:tc>
          <w:tcPr>
            <w:tcW w:w="516" w:type="dxa"/>
          </w:tcPr>
          <w:p>
            <w:pPr>
              <w:pStyle w:val="TableParagraph"/>
              <w:spacing w:before="29"/>
              <w:ind w:right="51"/>
              <w:jc w:val="right"/>
              <w:rPr>
                <w:rFonts w:ascii="Times New Roman"/>
                <w:sz w:val="21"/>
              </w:rPr>
            </w:pPr>
            <w:r>
              <w:rPr>
                <w:rFonts w:ascii="Times New Roman"/>
                <w:sz w:val="21"/>
              </w:rPr>
              <w:t>32.</w:t>
            </w:r>
          </w:p>
        </w:tc>
        <w:tc>
          <w:tcPr>
            <w:tcW w:w="2807" w:type="dxa"/>
          </w:tcPr>
          <w:p>
            <w:pPr>
              <w:pStyle w:val="TableParagraph"/>
              <w:spacing w:line="257" w:lineRule="exact"/>
              <w:ind w:left="51"/>
              <w:rPr>
                <w:sz w:val="21"/>
              </w:rPr>
            </w:pPr>
            <w:r>
              <w:rPr>
                <w:sz w:val="21"/>
              </w:rPr>
              <w:t>严重心肌病</w:t>
            </w:r>
          </w:p>
        </w:tc>
        <w:tc>
          <w:tcPr>
            <w:tcW w:w="7046" w:type="dxa"/>
          </w:tcPr>
          <w:p>
            <w:pPr>
              <w:pStyle w:val="TableParagraph"/>
              <w:spacing w:line="257" w:lineRule="exact"/>
              <w:ind w:left="158"/>
              <w:rPr>
                <w:sz w:val="21"/>
              </w:rPr>
            </w:pPr>
            <w:r>
              <w:rPr>
                <w:sz w:val="21"/>
              </w:rPr>
              <w:t>指被保人因心肌病导致慢性心功能损害造成永久不可逆性的心功能衰</w:t>
            </w:r>
          </w:p>
          <w:p>
            <w:pPr>
              <w:pStyle w:val="TableParagraph"/>
              <w:spacing w:line="256" w:lineRule="auto" w:before="37"/>
              <w:ind w:left="158" w:right="301"/>
              <w:jc w:val="both"/>
              <w:rPr>
                <w:sz w:val="21"/>
              </w:rPr>
            </w:pPr>
            <w:r>
              <w:rPr>
                <w:sz w:val="21"/>
              </w:rPr>
              <w:t>竭。心功能衰竭程度达到纽约心脏病学会的心功能分级标准之心功能</w:t>
            </w:r>
            <w:r>
              <w:rPr>
                <w:rFonts w:ascii="Times New Roman" w:eastAsia="Times New Roman"/>
                <w:spacing w:val="-4"/>
                <w:sz w:val="21"/>
              </w:rPr>
              <w:t>IV </w:t>
            </w:r>
            <w:r>
              <w:rPr>
                <w:spacing w:val="-5"/>
                <w:sz w:val="21"/>
              </w:rPr>
              <w:t>级，且心功能衰竭状态持续至少</w:t>
            </w:r>
            <w:r>
              <w:rPr>
                <w:rFonts w:ascii="Times New Roman" w:eastAsia="Times New Roman"/>
                <w:sz w:val="21"/>
              </w:rPr>
              <w:t>180</w:t>
            </w:r>
            <w:r>
              <w:rPr>
                <w:spacing w:val="-5"/>
                <w:sz w:val="21"/>
              </w:rPr>
              <w:t>天。被保险人永久不可逆性的体力活</w:t>
            </w:r>
            <w:r>
              <w:rPr>
                <w:spacing w:val="-3"/>
                <w:sz w:val="21"/>
              </w:rPr>
              <w:t>动能力受限，且不能从事任何体力活动。</w:t>
            </w:r>
          </w:p>
        </w:tc>
      </w:tr>
      <w:tr>
        <w:trPr>
          <w:trHeight w:val="936" w:hRule="atLeast"/>
        </w:trPr>
        <w:tc>
          <w:tcPr>
            <w:tcW w:w="516" w:type="dxa"/>
          </w:tcPr>
          <w:p>
            <w:pPr>
              <w:pStyle w:val="TableParagraph"/>
              <w:spacing w:before="29"/>
              <w:ind w:right="51"/>
              <w:jc w:val="right"/>
              <w:rPr>
                <w:rFonts w:ascii="Times New Roman"/>
                <w:sz w:val="21"/>
              </w:rPr>
            </w:pPr>
            <w:r>
              <w:rPr>
                <w:rFonts w:ascii="Times New Roman"/>
                <w:sz w:val="21"/>
              </w:rPr>
              <w:t>33.</w:t>
            </w:r>
          </w:p>
        </w:tc>
        <w:tc>
          <w:tcPr>
            <w:tcW w:w="2807" w:type="dxa"/>
          </w:tcPr>
          <w:p>
            <w:pPr>
              <w:pStyle w:val="TableParagraph"/>
              <w:spacing w:line="273" w:lineRule="exact"/>
              <w:ind w:left="51"/>
              <w:rPr>
                <w:sz w:val="21"/>
              </w:rPr>
            </w:pPr>
            <w:r>
              <w:rPr>
                <w:sz w:val="21"/>
              </w:rPr>
              <w:t>严重克罗恩病（</w:t>
            </w:r>
            <w:r>
              <w:rPr>
                <w:rFonts w:ascii="Times New Roman" w:hAnsi="Times New Roman" w:eastAsia="Times New Roman"/>
                <w:sz w:val="21"/>
              </w:rPr>
              <w:t>Crohn’s </w:t>
            </w:r>
            <w:r>
              <w:rPr>
                <w:sz w:val="21"/>
              </w:rPr>
              <w:t>病）</w:t>
            </w:r>
          </w:p>
        </w:tc>
        <w:tc>
          <w:tcPr>
            <w:tcW w:w="7046" w:type="dxa"/>
          </w:tcPr>
          <w:p>
            <w:pPr>
              <w:pStyle w:val="TableParagraph"/>
              <w:spacing w:line="257" w:lineRule="exact"/>
              <w:ind w:left="158"/>
              <w:rPr>
                <w:sz w:val="21"/>
              </w:rPr>
            </w:pPr>
            <w:r>
              <w:rPr>
                <w:sz w:val="21"/>
              </w:rPr>
              <w:t>克罗恩病是一种慢性肉芽肿性肠炎，具有特征性的克罗恩病病理组织学</w:t>
            </w:r>
          </w:p>
          <w:p>
            <w:pPr>
              <w:pStyle w:val="TableParagraph"/>
              <w:spacing w:line="273" w:lineRule="auto" w:before="37"/>
              <w:ind w:left="158" w:right="308"/>
              <w:rPr>
                <w:sz w:val="21"/>
              </w:rPr>
            </w:pPr>
            <w:r>
              <w:rPr>
                <w:sz w:val="21"/>
              </w:rPr>
              <w:t>变化。诊断必须由病理检查结果证实。被保险人所患的克罗恩病必须已经造成瘘管形成并伴有肠梗阻或肠穿孔。</w:t>
            </w:r>
          </w:p>
        </w:tc>
      </w:tr>
      <w:tr>
        <w:trPr>
          <w:trHeight w:val="1247" w:hRule="atLeast"/>
        </w:trPr>
        <w:tc>
          <w:tcPr>
            <w:tcW w:w="516" w:type="dxa"/>
          </w:tcPr>
          <w:p>
            <w:pPr>
              <w:pStyle w:val="TableParagraph"/>
              <w:spacing w:before="29"/>
              <w:ind w:right="51"/>
              <w:jc w:val="right"/>
              <w:rPr>
                <w:rFonts w:ascii="Times New Roman"/>
                <w:sz w:val="21"/>
              </w:rPr>
            </w:pPr>
            <w:r>
              <w:rPr>
                <w:rFonts w:ascii="Times New Roman"/>
                <w:sz w:val="21"/>
              </w:rPr>
              <w:t>34.</w:t>
            </w:r>
          </w:p>
        </w:tc>
        <w:tc>
          <w:tcPr>
            <w:tcW w:w="2807" w:type="dxa"/>
          </w:tcPr>
          <w:p>
            <w:pPr>
              <w:pStyle w:val="TableParagraph"/>
              <w:spacing w:line="257" w:lineRule="exact"/>
              <w:ind w:left="51"/>
              <w:rPr>
                <w:sz w:val="21"/>
              </w:rPr>
            </w:pPr>
            <w:r>
              <w:rPr>
                <w:sz w:val="21"/>
              </w:rPr>
              <w:t>严重溃疡性结肠炎</w:t>
            </w:r>
          </w:p>
        </w:tc>
        <w:tc>
          <w:tcPr>
            <w:tcW w:w="7046" w:type="dxa"/>
          </w:tcPr>
          <w:p>
            <w:pPr>
              <w:pStyle w:val="TableParagraph"/>
              <w:spacing w:line="257" w:lineRule="exact"/>
              <w:ind w:left="158"/>
              <w:rPr>
                <w:sz w:val="21"/>
              </w:rPr>
            </w:pPr>
            <w:r>
              <w:rPr>
                <w:sz w:val="21"/>
              </w:rPr>
              <w:t>本合同所保障的溃疡性结肠炎是指伴有致命性电解质紊乱的急性暴发性</w:t>
            </w:r>
          </w:p>
          <w:p>
            <w:pPr>
              <w:pStyle w:val="TableParagraph"/>
              <w:spacing w:line="273" w:lineRule="auto" w:before="37"/>
              <w:ind w:left="158" w:right="161"/>
              <w:rPr>
                <w:sz w:val="21"/>
              </w:rPr>
            </w:pPr>
            <w:r>
              <w:rPr>
                <w:sz w:val="21"/>
              </w:rPr>
              <w:t>溃疡性结肠炎，病变累及全结肠，表现为严重的血便和系统性症状体征。溃疡性结肠炎必须根据组织病理学特点诊断，并且被保险人已经接受了结肠切除或回肠造瘘术。</w:t>
            </w:r>
          </w:p>
        </w:tc>
      </w:tr>
      <w:tr>
        <w:trPr>
          <w:trHeight w:val="1560" w:hRule="atLeast"/>
        </w:trPr>
        <w:tc>
          <w:tcPr>
            <w:tcW w:w="516" w:type="dxa"/>
          </w:tcPr>
          <w:p>
            <w:pPr>
              <w:pStyle w:val="TableParagraph"/>
              <w:spacing w:before="29"/>
              <w:ind w:right="51"/>
              <w:jc w:val="right"/>
              <w:rPr>
                <w:rFonts w:ascii="Times New Roman"/>
                <w:sz w:val="21"/>
              </w:rPr>
            </w:pPr>
            <w:r>
              <w:rPr>
                <w:rFonts w:ascii="Times New Roman"/>
                <w:sz w:val="21"/>
              </w:rPr>
              <w:t>35.</w:t>
            </w:r>
          </w:p>
        </w:tc>
        <w:tc>
          <w:tcPr>
            <w:tcW w:w="2807" w:type="dxa"/>
          </w:tcPr>
          <w:p>
            <w:pPr>
              <w:pStyle w:val="TableParagraph"/>
              <w:spacing w:line="257" w:lineRule="exact"/>
              <w:ind w:left="51"/>
              <w:rPr>
                <w:sz w:val="21"/>
              </w:rPr>
            </w:pPr>
            <w:r>
              <w:rPr>
                <w:sz w:val="21"/>
              </w:rPr>
              <w:t>植物人状态</w:t>
            </w:r>
          </w:p>
        </w:tc>
        <w:tc>
          <w:tcPr>
            <w:tcW w:w="7046" w:type="dxa"/>
          </w:tcPr>
          <w:p>
            <w:pPr>
              <w:pStyle w:val="TableParagraph"/>
              <w:spacing w:line="273" w:lineRule="exact"/>
              <w:ind w:left="158"/>
              <w:rPr>
                <w:sz w:val="21"/>
              </w:rPr>
            </w:pPr>
            <w:r>
              <w:rPr>
                <w:sz w:val="21"/>
              </w:rPr>
              <w:t>植物人状态是指由于严重颅脑外伤造成大脑和</w:t>
            </w:r>
            <w:r>
              <w:rPr>
                <w:rFonts w:ascii="Times New Roman" w:eastAsia="Times New Roman"/>
                <w:sz w:val="21"/>
              </w:rPr>
              <w:t>/</w:t>
            </w:r>
            <w:r>
              <w:rPr>
                <w:sz w:val="21"/>
              </w:rPr>
              <w:t>或脑干严重损害导致完全</w:t>
            </w:r>
          </w:p>
          <w:p>
            <w:pPr>
              <w:pStyle w:val="TableParagraph"/>
              <w:spacing w:line="266" w:lineRule="auto" w:before="21"/>
              <w:ind w:left="158" w:right="304"/>
              <w:jc w:val="both"/>
              <w:rPr>
                <w:sz w:val="21"/>
              </w:rPr>
            </w:pPr>
            <w:r>
              <w:rPr>
                <w:sz w:val="21"/>
              </w:rPr>
              <w:t>永久性的对自身和环境的意识丧失和中枢神经系统功能丧失，仅残存植物神经功能的疾病状态。对自身和环境的意识丧失的完全永久性指严重颅脑外伤后对自身和环境的意识丧失持续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sz w:val="21"/>
              </w:rPr>
              <w:t>12</w:t>
            </w:r>
            <w:r>
              <w:rPr>
                <w:sz w:val="21"/>
              </w:rPr>
              <w:t>个月以上。诊断必须明确并且具有严重颅脑外伤和脑损害的证据。</w:t>
            </w:r>
          </w:p>
        </w:tc>
      </w:tr>
      <w:tr>
        <w:trPr>
          <w:trHeight w:val="1560" w:hRule="atLeast"/>
        </w:trPr>
        <w:tc>
          <w:tcPr>
            <w:tcW w:w="516" w:type="dxa"/>
          </w:tcPr>
          <w:p>
            <w:pPr>
              <w:pStyle w:val="TableParagraph"/>
              <w:spacing w:before="29"/>
              <w:ind w:right="51"/>
              <w:jc w:val="right"/>
              <w:rPr>
                <w:rFonts w:ascii="Times New Roman"/>
                <w:sz w:val="21"/>
              </w:rPr>
            </w:pPr>
            <w:r>
              <w:rPr>
                <w:rFonts w:ascii="Times New Roman"/>
                <w:sz w:val="21"/>
              </w:rPr>
              <w:t>36.</w:t>
            </w:r>
          </w:p>
        </w:tc>
        <w:tc>
          <w:tcPr>
            <w:tcW w:w="2807" w:type="dxa"/>
          </w:tcPr>
          <w:p>
            <w:pPr>
              <w:pStyle w:val="TableParagraph"/>
              <w:spacing w:line="273" w:lineRule="exact"/>
              <w:ind w:left="51"/>
              <w:rPr>
                <w:sz w:val="21"/>
              </w:rPr>
            </w:pPr>
            <w:r>
              <w:rPr>
                <w:sz w:val="21"/>
              </w:rPr>
              <w:t>严重 </w:t>
            </w:r>
            <w:r>
              <w:rPr>
                <w:rFonts w:ascii="Times New Roman" w:eastAsia="Times New Roman"/>
                <w:sz w:val="21"/>
              </w:rPr>
              <w:t>1 </w:t>
            </w:r>
            <w:r>
              <w:rPr>
                <w:sz w:val="21"/>
              </w:rPr>
              <w:t>型糖尿病</w:t>
            </w:r>
          </w:p>
        </w:tc>
        <w:tc>
          <w:tcPr>
            <w:tcW w:w="7046" w:type="dxa"/>
          </w:tcPr>
          <w:p>
            <w:pPr>
              <w:pStyle w:val="TableParagraph"/>
              <w:spacing w:line="257" w:lineRule="exact"/>
              <w:ind w:left="158"/>
              <w:rPr>
                <w:sz w:val="21"/>
              </w:rPr>
            </w:pPr>
            <w:r>
              <w:rPr>
                <w:sz w:val="21"/>
              </w:rPr>
              <w:t>指由于胰岛素分泌绝对不足引起的慢性血糖升高，且已经持续性地依赖</w:t>
            </w:r>
          </w:p>
          <w:p>
            <w:pPr>
              <w:pStyle w:val="TableParagraph"/>
              <w:spacing w:line="266" w:lineRule="auto" w:before="37"/>
              <w:ind w:left="158" w:right="303"/>
              <w:jc w:val="both"/>
              <w:rPr>
                <w:sz w:val="21"/>
              </w:rPr>
            </w:pPr>
            <w:r>
              <w:rPr>
                <w:sz w:val="21"/>
              </w:rPr>
              <w:t>外源性胰岛素维持</w:t>
            </w:r>
            <w:r>
              <w:rPr>
                <w:rFonts w:ascii="Times New Roman" w:eastAsia="Times New Roman"/>
                <w:sz w:val="21"/>
              </w:rPr>
              <w:t>180</w:t>
            </w:r>
            <w:r>
              <w:rPr>
                <w:sz w:val="21"/>
              </w:rPr>
              <w:t>天以上。须经血胰岛素测定、血</w:t>
            </w:r>
            <w:r>
              <w:rPr>
                <w:rFonts w:ascii="Times New Roman" w:eastAsia="Times New Roman"/>
                <w:sz w:val="21"/>
              </w:rPr>
              <w:t>C</w:t>
            </w:r>
            <w:r>
              <w:rPr>
                <w:sz w:val="21"/>
              </w:rPr>
              <w:t>肽测定或尿</w:t>
            </w:r>
            <w:r>
              <w:rPr>
                <w:rFonts w:ascii="Times New Roman" w:eastAsia="Times New Roman"/>
                <w:sz w:val="21"/>
              </w:rPr>
              <w:t>C</w:t>
            </w:r>
            <w:r>
              <w:rPr>
                <w:sz w:val="21"/>
              </w:rPr>
              <w:t>肽测定，结果异常，并由内分泌科专科医生明确诊断。并须在本合同有效期内，且已经接受下列治疗：因严重心律失常已经植入了心脏起搏器， 或因坏疽需切除至少一个脚趾。</w:t>
            </w:r>
          </w:p>
        </w:tc>
      </w:tr>
      <w:tr>
        <w:trPr>
          <w:trHeight w:val="1514" w:hRule="atLeast"/>
        </w:trPr>
        <w:tc>
          <w:tcPr>
            <w:tcW w:w="516" w:type="dxa"/>
          </w:tcPr>
          <w:p>
            <w:pPr>
              <w:pStyle w:val="TableParagraph"/>
              <w:spacing w:before="29"/>
              <w:ind w:right="51"/>
              <w:jc w:val="right"/>
              <w:rPr>
                <w:rFonts w:ascii="Times New Roman"/>
                <w:sz w:val="21"/>
              </w:rPr>
            </w:pPr>
            <w:r>
              <w:rPr>
                <w:rFonts w:ascii="Times New Roman"/>
                <w:sz w:val="21"/>
              </w:rPr>
              <w:t>37.</w:t>
            </w:r>
          </w:p>
        </w:tc>
        <w:tc>
          <w:tcPr>
            <w:tcW w:w="2807" w:type="dxa"/>
          </w:tcPr>
          <w:p>
            <w:pPr>
              <w:pStyle w:val="TableParagraph"/>
              <w:spacing w:line="257" w:lineRule="exact"/>
              <w:ind w:left="51"/>
              <w:rPr>
                <w:sz w:val="21"/>
              </w:rPr>
            </w:pPr>
            <w:r>
              <w:rPr>
                <w:sz w:val="21"/>
              </w:rPr>
              <w:t>系统性红斑狼疮－（并发）</w:t>
            </w:r>
          </w:p>
          <w:p>
            <w:pPr>
              <w:pStyle w:val="TableParagraph"/>
              <w:spacing w:before="37"/>
              <w:ind w:left="51"/>
              <w:rPr>
                <w:sz w:val="21"/>
              </w:rPr>
            </w:pPr>
            <w:r>
              <w:rPr>
                <w:rFonts w:ascii="Times New Roman" w:eastAsia="Times New Roman"/>
                <w:sz w:val="21"/>
              </w:rPr>
              <w:t>III </w:t>
            </w:r>
            <w:r>
              <w:rPr>
                <w:sz w:val="21"/>
              </w:rPr>
              <w:t>型或以上狼疮性肾炎</w:t>
            </w:r>
          </w:p>
        </w:tc>
        <w:tc>
          <w:tcPr>
            <w:tcW w:w="7046" w:type="dxa"/>
          </w:tcPr>
          <w:p>
            <w:pPr>
              <w:pStyle w:val="TableParagraph"/>
              <w:spacing w:line="257" w:lineRule="exact"/>
              <w:ind w:left="158"/>
              <w:rPr>
                <w:sz w:val="21"/>
              </w:rPr>
            </w:pPr>
            <w:r>
              <w:rPr>
                <w:sz w:val="21"/>
              </w:rPr>
              <w:t>系统性红斑狼疮是由多种因素引起，累及多系统的自身免疫性疾病。其</w:t>
            </w:r>
          </w:p>
          <w:p>
            <w:pPr>
              <w:pStyle w:val="TableParagraph"/>
              <w:spacing w:before="37"/>
              <w:ind w:left="158"/>
              <w:rPr>
                <w:sz w:val="21"/>
              </w:rPr>
            </w:pPr>
            <w:r>
              <w:rPr>
                <w:sz w:val="21"/>
              </w:rPr>
              <w:t>特点是生成自身抗体对抗多种自身抗原。多见于育龄妇女。</w:t>
            </w:r>
          </w:p>
          <w:p>
            <w:pPr>
              <w:pStyle w:val="TableParagraph"/>
              <w:spacing w:line="312" w:lineRule="exact" w:before="32"/>
              <w:ind w:left="158" w:right="303"/>
              <w:jc w:val="both"/>
              <w:rPr>
                <w:b/>
                <w:sz w:val="21"/>
              </w:rPr>
            </w:pPr>
            <w:r>
              <w:rPr>
                <w:sz w:val="21"/>
              </w:rPr>
              <w:t>本合同所指的系统性红斑狼疮仅限于累及肾脏（经肾脏活检确认的，符</w:t>
            </w:r>
            <w:r>
              <w:rPr>
                <w:spacing w:val="-17"/>
                <w:sz w:val="21"/>
              </w:rPr>
              <w:t>合 </w:t>
            </w:r>
            <w:r>
              <w:rPr>
                <w:rFonts w:ascii="Times New Roman" w:eastAsia="Times New Roman"/>
                <w:sz w:val="21"/>
              </w:rPr>
              <w:t>WHO </w:t>
            </w:r>
            <w:r>
              <w:rPr>
                <w:spacing w:val="-8"/>
                <w:sz w:val="21"/>
              </w:rPr>
              <w:t>诊断标准定义 </w:t>
            </w:r>
            <w:r>
              <w:rPr>
                <w:rFonts w:ascii="Times New Roman" w:eastAsia="Times New Roman"/>
                <w:sz w:val="21"/>
              </w:rPr>
              <w:t>III </w:t>
            </w:r>
            <w:r>
              <w:rPr>
                <w:spacing w:val="-12"/>
                <w:sz w:val="21"/>
              </w:rPr>
              <w:t>型或 </w:t>
            </w:r>
            <w:r>
              <w:rPr>
                <w:rFonts w:ascii="Times New Roman" w:eastAsia="Times New Roman"/>
                <w:sz w:val="21"/>
              </w:rPr>
              <w:t>III </w:t>
            </w:r>
            <w:r>
              <w:rPr>
                <w:spacing w:val="-3"/>
                <w:sz w:val="21"/>
              </w:rPr>
              <w:t>型以上狼疮性肾炎</w:t>
            </w:r>
            <w:r>
              <w:rPr>
                <w:sz w:val="21"/>
              </w:rPr>
              <w:t>）</w:t>
            </w:r>
            <w:r>
              <w:rPr>
                <w:spacing w:val="-3"/>
                <w:sz w:val="21"/>
              </w:rPr>
              <w:t>的系统性红斑狼疮。</w:t>
            </w:r>
            <w:r>
              <w:rPr>
                <w:b/>
                <w:spacing w:val="-3"/>
                <w:sz w:val="21"/>
              </w:rPr>
              <w:t>其他类型的红斑性狼疮，如盘状狼疮、仅累及血液及关节的狼疮不</w:t>
            </w:r>
          </w:p>
        </w:tc>
      </w:tr>
    </w:tbl>
    <w:p>
      <w:pPr>
        <w:spacing w:after="0" w:line="312" w:lineRule="exact"/>
        <w:jc w:val="both"/>
        <w:rPr>
          <w:sz w:val="21"/>
        </w:rPr>
        <w:sectPr>
          <w:pgSz w:w="11910" w:h="16160"/>
          <w:pgMar w:header="0" w:footer="631" w:top="144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969"/>
        <w:gridCol w:w="6888"/>
      </w:tblGrid>
      <w:tr>
        <w:trPr>
          <w:trHeight w:val="2816" w:hRule="atLeast"/>
        </w:trPr>
        <w:tc>
          <w:tcPr>
            <w:tcW w:w="516" w:type="dxa"/>
          </w:tcPr>
          <w:p>
            <w:pPr>
              <w:pStyle w:val="TableParagraph"/>
              <w:rPr>
                <w:rFonts w:ascii="Times New Roman"/>
                <w:sz w:val="20"/>
              </w:rPr>
            </w:pPr>
          </w:p>
        </w:tc>
        <w:tc>
          <w:tcPr>
            <w:tcW w:w="2969" w:type="dxa"/>
            <w:tcBorders>
              <w:right w:val="single" w:sz="4" w:space="0" w:color="000000"/>
            </w:tcBorders>
          </w:tcPr>
          <w:p>
            <w:pPr>
              <w:pStyle w:val="TableParagraph"/>
              <w:rPr>
                <w:rFonts w:ascii="Times New Roman"/>
                <w:sz w:val="20"/>
              </w:rPr>
            </w:pPr>
          </w:p>
        </w:tc>
        <w:tc>
          <w:tcPr>
            <w:tcW w:w="6888" w:type="dxa"/>
            <w:tcBorders>
              <w:left w:val="single" w:sz="4" w:space="0" w:color="000000"/>
              <w:bottom w:val="single" w:sz="4" w:space="0" w:color="000000"/>
            </w:tcBorders>
          </w:tcPr>
          <w:p>
            <w:pPr>
              <w:pStyle w:val="TableParagraph"/>
              <w:spacing w:line="202" w:lineRule="exact"/>
              <w:ind w:left="-9"/>
              <w:rPr>
                <w:b/>
                <w:sz w:val="21"/>
              </w:rPr>
            </w:pPr>
            <w:r>
              <w:rPr>
                <w:b/>
                <w:sz w:val="21"/>
              </w:rPr>
              <w:t>在保障范围內。</w:t>
            </w:r>
          </w:p>
          <w:p>
            <w:pPr>
              <w:pStyle w:val="TableParagraph"/>
              <w:spacing w:before="37"/>
              <w:ind w:left="-9"/>
              <w:rPr>
                <w:sz w:val="21"/>
              </w:rPr>
            </w:pPr>
            <w:r>
              <w:rPr>
                <w:sz w:val="21"/>
              </w:rPr>
              <w:t>世界卫生组织（</w:t>
            </w:r>
            <w:r>
              <w:rPr>
                <w:rFonts w:ascii="Times New Roman" w:eastAsia="Times New Roman"/>
                <w:sz w:val="21"/>
              </w:rPr>
              <w:t>WHO</w:t>
            </w:r>
            <w:r>
              <w:rPr>
                <w:sz w:val="21"/>
              </w:rPr>
              <w:t>）狼疮性肾炎分型：</w:t>
            </w:r>
          </w:p>
          <w:p>
            <w:pPr>
              <w:pStyle w:val="TableParagraph"/>
              <w:numPr>
                <w:ilvl w:val="0"/>
                <w:numId w:val="10"/>
              </w:numPr>
              <w:tabs>
                <w:tab w:pos="225" w:val="left" w:leader="none"/>
                <w:tab w:pos="2226" w:val="left" w:leader="none"/>
              </w:tabs>
              <w:spacing w:line="240" w:lineRule="auto" w:before="30" w:after="0"/>
              <w:ind w:left="2226" w:right="0" w:hanging="2122"/>
              <w:jc w:val="left"/>
              <w:rPr>
                <w:sz w:val="21"/>
              </w:rPr>
            </w:pPr>
            <w:r>
              <w:rPr>
                <w:sz w:val="21"/>
              </w:rPr>
              <w:t>型</w:t>
              <w:tab/>
              <w:t>微小</w:t>
            </w:r>
            <w:r>
              <w:rPr>
                <w:spacing w:val="-3"/>
                <w:sz w:val="21"/>
              </w:rPr>
              <w:t>病</w:t>
            </w:r>
            <w:r>
              <w:rPr>
                <w:sz w:val="21"/>
              </w:rPr>
              <w:t>变型</w:t>
            </w:r>
          </w:p>
          <w:p>
            <w:pPr>
              <w:pStyle w:val="TableParagraph"/>
              <w:numPr>
                <w:ilvl w:val="0"/>
                <w:numId w:val="10"/>
              </w:numPr>
              <w:tabs>
                <w:tab w:pos="295" w:val="left" w:leader="none"/>
                <w:tab w:pos="2226" w:val="left" w:leader="none"/>
              </w:tabs>
              <w:spacing w:line="240" w:lineRule="auto" w:before="33" w:after="0"/>
              <w:ind w:left="294" w:right="0" w:hanging="190"/>
              <w:jc w:val="left"/>
              <w:rPr>
                <w:sz w:val="21"/>
              </w:rPr>
            </w:pPr>
            <w:r>
              <w:rPr>
                <w:sz w:val="21"/>
              </w:rPr>
              <w:t>型</w:t>
              <w:tab/>
              <w:t>系膜</w:t>
            </w:r>
            <w:r>
              <w:rPr>
                <w:spacing w:val="-3"/>
                <w:sz w:val="21"/>
              </w:rPr>
              <w:t>病</w:t>
            </w:r>
            <w:r>
              <w:rPr>
                <w:sz w:val="21"/>
              </w:rPr>
              <w:t>变型</w:t>
            </w:r>
          </w:p>
          <w:p>
            <w:pPr>
              <w:pStyle w:val="TableParagraph"/>
              <w:numPr>
                <w:ilvl w:val="0"/>
                <w:numId w:val="10"/>
              </w:numPr>
              <w:tabs>
                <w:tab w:pos="364" w:val="left" w:leader="none"/>
                <w:tab w:pos="2226" w:val="left" w:leader="none"/>
              </w:tabs>
              <w:spacing w:line="256" w:lineRule="auto" w:before="31" w:after="0"/>
              <w:ind w:left="2226" w:right="2957" w:hanging="2122"/>
              <w:jc w:val="left"/>
              <w:rPr>
                <w:sz w:val="21"/>
              </w:rPr>
            </w:pPr>
            <w:r>
              <w:rPr>
                <w:sz w:val="21"/>
              </w:rPr>
              <w:t>型</w:t>
              <w:tab/>
            </w:r>
            <w:r>
              <w:rPr>
                <w:spacing w:val="30"/>
                <w:sz w:val="21"/>
              </w:rPr>
              <w:t>局灶及节段增生 </w:t>
            </w:r>
            <w:r>
              <w:rPr>
                <w:sz w:val="21"/>
              </w:rPr>
              <w:t>型</w:t>
            </w:r>
          </w:p>
          <w:p>
            <w:pPr>
              <w:pStyle w:val="TableParagraph"/>
              <w:numPr>
                <w:ilvl w:val="0"/>
                <w:numId w:val="10"/>
              </w:numPr>
              <w:tabs>
                <w:tab w:pos="379" w:val="left" w:leader="none"/>
                <w:tab w:pos="2226" w:val="left" w:leader="none"/>
              </w:tabs>
              <w:spacing w:line="240" w:lineRule="auto" w:before="32" w:after="0"/>
              <w:ind w:left="378" w:right="0" w:hanging="274"/>
              <w:jc w:val="left"/>
              <w:rPr>
                <w:sz w:val="21"/>
              </w:rPr>
            </w:pPr>
            <w:r>
              <w:rPr>
                <w:sz w:val="21"/>
              </w:rPr>
              <w:t>型</w:t>
              <w:tab/>
              <w:t>弥漫</w:t>
            </w:r>
            <w:r>
              <w:rPr>
                <w:spacing w:val="-3"/>
                <w:sz w:val="21"/>
              </w:rPr>
              <w:t>增</w:t>
            </w:r>
            <w:r>
              <w:rPr>
                <w:sz w:val="21"/>
              </w:rPr>
              <w:t>生型</w:t>
            </w:r>
          </w:p>
          <w:p>
            <w:pPr>
              <w:pStyle w:val="TableParagraph"/>
              <w:numPr>
                <w:ilvl w:val="0"/>
                <w:numId w:val="10"/>
              </w:numPr>
              <w:tabs>
                <w:tab w:pos="311" w:val="left" w:leader="none"/>
                <w:tab w:pos="2226" w:val="left" w:leader="none"/>
              </w:tabs>
              <w:spacing w:line="240" w:lineRule="auto" w:before="30" w:after="0"/>
              <w:ind w:left="311" w:right="0" w:hanging="207"/>
              <w:jc w:val="left"/>
              <w:rPr>
                <w:sz w:val="21"/>
              </w:rPr>
            </w:pPr>
            <w:r>
              <w:rPr>
                <w:sz w:val="21"/>
              </w:rPr>
              <w:t>型</w:t>
              <w:tab/>
              <w:t>膜型</w:t>
            </w:r>
          </w:p>
          <w:p>
            <w:pPr>
              <w:pStyle w:val="TableParagraph"/>
              <w:numPr>
                <w:ilvl w:val="0"/>
                <w:numId w:val="10"/>
              </w:numPr>
              <w:tabs>
                <w:tab w:pos="379" w:val="left" w:leader="none"/>
                <w:tab w:pos="2226" w:val="left" w:leader="none"/>
              </w:tabs>
              <w:spacing w:line="240" w:lineRule="auto" w:before="30" w:after="0"/>
              <w:ind w:left="378" w:right="0" w:hanging="274"/>
              <w:jc w:val="left"/>
              <w:rPr>
                <w:sz w:val="21"/>
              </w:rPr>
            </w:pPr>
            <w:r>
              <w:rPr>
                <w:sz w:val="21"/>
              </w:rPr>
              <w:t>型</w:t>
              <w:tab/>
              <w:t>肾小</w:t>
            </w:r>
            <w:r>
              <w:rPr>
                <w:spacing w:val="-3"/>
                <w:sz w:val="21"/>
              </w:rPr>
              <w:t>球</w:t>
            </w:r>
            <w:r>
              <w:rPr>
                <w:sz w:val="21"/>
              </w:rPr>
              <w:t>硬</w:t>
            </w:r>
            <w:r>
              <w:rPr>
                <w:spacing w:val="-3"/>
                <w:sz w:val="21"/>
              </w:rPr>
              <w:t>化</w:t>
            </w:r>
            <w:r>
              <w:rPr>
                <w:sz w:val="21"/>
              </w:rPr>
              <w:t>型</w:t>
            </w:r>
          </w:p>
        </w:tc>
      </w:tr>
      <w:tr>
        <w:trPr>
          <w:trHeight w:val="2180" w:hRule="atLeast"/>
        </w:trPr>
        <w:tc>
          <w:tcPr>
            <w:tcW w:w="516" w:type="dxa"/>
          </w:tcPr>
          <w:p>
            <w:pPr>
              <w:pStyle w:val="TableParagraph"/>
              <w:spacing w:before="25"/>
              <w:ind w:right="51"/>
              <w:jc w:val="right"/>
              <w:rPr>
                <w:rFonts w:ascii="Times New Roman"/>
                <w:sz w:val="21"/>
              </w:rPr>
            </w:pPr>
            <w:r>
              <w:rPr>
                <w:rFonts w:ascii="Times New Roman"/>
                <w:sz w:val="21"/>
              </w:rPr>
              <w:t>38.</w:t>
            </w:r>
          </w:p>
        </w:tc>
        <w:tc>
          <w:tcPr>
            <w:tcW w:w="2969" w:type="dxa"/>
          </w:tcPr>
          <w:p>
            <w:pPr>
              <w:pStyle w:val="TableParagraph"/>
              <w:spacing w:line="253" w:lineRule="exact"/>
              <w:ind w:left="51"/>
              <w:rPr>
                <w:sz w:val="21"/>
              </w:rPr>
            </w:pPr>
            <w:r>
              <w:rPr>
                <w:sz w:val="21"/>
              </w:rPr>
              <w:t>非阿尔茨海默病所致严重</w:t>
            </w:r>
          </w:p>
          <w:p>
            <w:pPr>
              <w:pStyle w:val="TableParagraph"/>
              <w:spacing w:before="37"/>
              <w:ind w:left="51"/>
              <w:rPr>
                <w:sz w:val="21"/>
              </w:rPr>
            </w:pPr>
            <w:r>
              <w:rPr>
                <w:sz w:val="21"/>
              </w:rPr>
              <w:t>痴呆</w:t>
            </w:r>
          </w:p>
        </w:tc>
        <w:tc>
          <w:tcPr>
            <w:tcW w:w="6888" w:type="dxa"/>
            <w:tcBorders>
              <w:top w:val="single" w:sz="4" w:space="0" w:color="000000"/>
            </w:tcBorders>
          </w:tcPr>
          <w:p>
            <w:pPr>
              <w:pStyle w:val="TableParagraph"/>
              <w:spacing w:line="253" w:lineRule="exact"/>
              <w:ind w:left="-4"/>
              <w:rPr>
                <w:sz w:val="21"/>
              </w:rPr>
            </w:pPr>
            <w:r>
              <w:rPr>
                <w:sz w:val="21"/>
              </w:rPr>
              <w:t>指因阿尔茨海默病以外的脑的器质性疾病造成脑功能衰竭导致永久不可</w:t>
            </w:r>
          </w:p>
          <w:p>
            <w:pPr>
              <w:pStyle w:val="TableParagraph"/>
              <w:spacing w:line="273" w:lineRule="auto" w:before="37"/>
              <w:ind w:left="-4" w:right="372"/>
              <w:jc w:val="both"/>
              <w:rPr>
                <w:sz w:val="21"/>
              </w:rPr>
            </w:pPr>
            <w:r>
              <w:rPr>
                <w:sz w:val="21"/>
              </w:rPr>
              <w:t>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before="7"/>
              <w:ind w:left="-4"/>
              <w:jc w:val="both"/>
              <w:rPr>
                <w:b/>
                <w:sz w:val="21"/>
              </w:rPr>
            </w:pPr>
            <w:r>
              <w:rPr>
                <w:b/>
                <w:sz w:val="21"/>
              </w:rPr>
              <w:t>神经官能症,精神疾病及酒精中毒所致脑损害不在保障范围内。</w:t>
            </w:r>
          </w:p>
        </w:tc>
      </w:tr>
      <w:tr>
        <w:trPr>
          <w:trHeight w:val="4680" w:hRule="atLeast"/>
        </w:trPr>
        <w:tc>
          <w:tcPr>
            <w:tcW w:w="516" w:type="dxa"/>
          </w:tcPr>
          <w:p>
            <w:pPr>
              <w:pStyle w:val="TableParagraph"/>
              <w:spacing w:before="29"/>
              <w:ind w:right="51"/>
              <w:jc w:val="right"/>
              <w:rPr>
                <w:rFonts w:ascii="Times New Roman"/>
                <w:sz w:val="21"/>
              </w:rPr>
            </w:pPr>
            <w:r>
              <w:rPr>
                <w:rFonts w:ascii="Times New Roman"/>
                <w:sz w:val="21"/>
              </w:rPr>
              <w:t>39.</w:t>
            </w:r>
          </w:p>
        </w:tc>
        <w:tc>
          <w:tcPr>
            <w:tcW w:w="2969" w:type="dxa"/>
          </w:tcPr>
          <w:p>
            <w:pPr>
              <w:pStyle w:val="TableParagraph"/>
              <w:spacing w:line="257" w:lineRule="exact"/>
              <w:ind w:left="51"/>
              <w:rPr>
                <w:sz w:val="21"/>
              </w:rPr>
            </w:pPr>
            <w:r>
              <w:rPr>
                <w:sz w:val="21"/>
              </w:rPr>
              <w:t>严重类风湿性关节炎</w:t>
            </w:r>
          </w:p>
        </w:tc>
        <w:tc>
          <w:tcPr>
            <w:tcW w:w="6888" w:type="dxa"/>
          </w:tcPr>
          <w:p>
            <w:pPr>
              <w:pStyle w:val="TableParagraph"/>
              <w:spacing w:line="257" w:lineRule="exact"/>
              <w:ind w:left="-4"/>
              <w:rPr>
                <w:sz w:val="21"/>
              </w:rPr>
            </w:pPr>
            <w:r>
              <w:rPr>
                <w:sz w:val="21"/>
              </w:rPr>
              <w:t>指广泛分布的慢性进行性多关节病变，表现为关节严重变形，侵犯至少</w:t>
            </w:r>
          </w:p>
          <w:p>
            <w:pPr>
              <w:pStyle w:val="TableParagraph"/>
              <w:spacing w:line="273" w:lineRule="auto" w:before="37"/>
              <w:ind w:left="-4" w:right="268"/>
              <w:rPr>
                <w:sz w:val="21"/>
              </w:rPr>
            </w:pPr>
            <w:r>
              <w:rPr>
                <w:spacing w:val="-2"/>
                <w:sz w:val="21"/>
              </w:rPr>
              <w:t>三个主要关节</w:t>
            </w:r>
            <w:r>
              <w:rPr>
                <w:spacing w:val="-3"/>
                <w:sz w:val="21"/>
              </w:rPr>
              <w:t>（腕关节、肘关节、肩关节、踝关节、膝关节、髋关节</w:t>
            </w:r>
            <w:r>
              <w:rPr>
                <w:sz w:val="21"/>
              </w:rPr>
              <w:t>） </w:t>
            </w:r>
            <w:r>
              <w:rPr>
                <w:spacing w:val="-1"/>
                <w:sz w:val="21"/>
              </w:rPr>
              <w:t>或关节组</w:t>
            </w:r>
            <w:r>
              <w:rPr>
                <w:spacing w:val="-3"/>
                <w:sz w:val="21"/>
              </w:rPr>
              <w:t>（如手的多个指间、掌指关节，足的多个足趾、跖趾关节等</w:t>
            </w:r>
            <w:r>
              <w:rPr>
                <w:spacing w:val="-108"/>
                <w:sz w:val="21"/>
              </w:rPr>
              <w:t>）</w:t>
            </w:r>
            <w:r>
              <w:rPr>
                <w:sz w:val="21"/>
              </w:rPr>
              <w:t>。</w:t>
            </w:r>
            <w:r>
              <w:rPr>
                <w:spacing w:val="-3"/>
                <w:sz w:val="21"/>
              </w:rPr>
              <w:t>类风湿性关节炎须明确诊断，并已达到类风湿性关节炎功能活动分级</w:t>
            </w:r>
          </w:p>
          <w:p>
            <w:pPr>
              <w:pStyle w:val="TableParagraph"/>
              <w:spacing w:before="7"/>
              <w:ind w:left="-4"/>
              <w:rPr>
                <w:sz w:val="21"/>
              </w:rPr>
            </w:pPr>
            <w:r>
              <w:rPr>
                <w:sz w:val="21"/>
              </w:rPr>
              <w:t>（注）</w:t>
            </w:r>
            <w:r>
              <w:rPr>
                <w:rFonts w:ascii="Times New Roman" w:eastAsia="Times New Roman"/>
                <w:sz w:val="21"/>
              </w:rPr>
              <w:t>IV  </w:t>
            </w:r>
            <w:r>
              <w:rPr>
                <w:sz w:val="21"/>
              </w:rPr>
              <w:t>级的永久不可逆性关节功能障碍，且须满足下列全部条件：</w:t>
            </w:r>
          </w:p>
          <w:p>
            <w:pPr>
              <w:pStyle w:val="TableParagraph"/>
              <w:spacing w:before="20"/>
              <w:ind w:left="-4"/>
              <w:rPr>
                <w:sz w:val="21"/>
              </w:rPr>
            </w:pPr>
            <w:r>
              <w:rPr>
                <w:sz w:val="21"/>
              </w:rPr>
              <w:t>（</w:t>
            </w:r>
            <w:r>
              <w:rPr>
                <w:rFonts w:ascii="Times New Roman" w:eastAsia="Times New Roman"/>
                <w:sz w:val="21"/>
              </w:rPr>
              <w:t>1</w:t>
            </w:r>
            <w:r>
              <w:rPr>
                <w:sz w:val="21"/>
              </w:rPr>
              <w:t>）晨僵；</w:t>
            </w:r>
          </w:p>
          <w:p>
            <w:pPr>
              <w:pStyle w:val="TableParagraph"/>
              <w:spacing w:before="21"/>
              <w:ind w:left="-4"/>
              <w:rPr>
                <w:sz w:val="21"/>
              </w:rPr>
            </w:pPr>
            <w:r>
              <w:rPr>
                <w:sz w:val="21"/>
              </w:rPr>
              <w:t>（</w:t>
            </w:r>
            <w:r>
              <w:rPr>
                <w:rFonts w:ascii="Times New Roman" w:eastAsia="Times New Roman"/>
                <w:sz w:val="21"/>
              </w:rPr>
              <w:t>2</w:t>
            </w:r>
            <w:r>
              <w:rPr>
                <w:sz w:val="21"/>
              </w:rPr>
              <w:t>）对称性关节炎；</w:t>
            </w:r>
          </w:p>
          <w:p>
            <w:pPr>
              <w:pStyle w:val="TableParagraph"/>
              <w:spacing w:before="21"/>
              <w:ind w:left="-4"/>
              <w:rPr>
                <w:sz w:val="21"/>
              </w:rPr>
            </w:pPr>
            <w:r>
              <w:rPr>
                <w:sz w:val="21"/>
              </w:rPr>
              <w:t>（</w:t>
            </w:r>
            <w:r>
              <w:rPr>
                <w:rFonts w:ascii="Times New Roman" w:eastAsia="Times New Roman"/>
                <w:sz w:val="21"/>
              </w:rPr>
              <w:t>3</w:t>
            </w:r>
            <w:r>
              <w:rPr>
                <w:sz w:val="21"/>
              </w:rPr>
              <w:t>）类风湿性皮下结节；</w:t>
            </w:r>
          </w:p>
          <w:p>
            <w:pPr>
              <w:pStyle w:val="TableParagraph"/>
              <w:spacing w:before="21"/>
              <w:ind w:left="-4"/>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1"/>
              <w:ind w:left="-4" w:right="1586"/>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402"/>
              <w:rPr>
                <w:sz w:val="21"/>
              </w:rPr>
            </w:pPr>
            <w:r>
              <w:rPr>
                <w:sz w:val="21"/>
              </w:rPr>
              <w:t>Ⅰ级：关节功能完整，一般活动无障碍。</w:t>
            </w:r>
          </w:p>
          <w:p>
            <w:pPr>
              <w:pStyle w:val="TableParagraph"/>
              <w:spacing w:before="37"/>
              <w:ind w:left="402"/>
              <w:rPr>
                <w:sz w:val="21"/>
              </w:rPr>
            </w:pPr>
            <w:r>
              <w:rPr>
                <w:sz w:val="21"/>
              </w:rPr>
              <w:t>Ⅱ级：有关节不适或障碍，但尚能完成一半活动。</w:t>
            </w:r>
          </w:p>
          <w:p>
            <w:pPr>
              <w:pStyle w:val="TableParagraph"/>
              <w:spacing w:before="37"/>
              <w:ind w:left="402"/>
              <w:rPr>
                <w:sz w:val="21"/>
              </w:rPr>
            </w:pPr>
            <w:r>
              <w:rPr>
                <w:sz w:val="21"/>
              </w:rPr>
              <w:t>Ⅲ级：功能活动明显受限，但大部分生活可自理。</w:t>
            </w:r>
          </w:p>
          <w:p>
            <w:pPr>
              <w:pStyle w:val="TableParagraph"/>
              <w:spacing w:before="37"/>
              <w:ind w:left="402"/>
              <w:rPr>
                <w:sz w:val="21"/>
              </w:rPr>
            </w:pPr>
            <w:r>
              <w:rPr>
                <w:sz w:val="21"/>
              </w:rPr>
              <w:t>Ⅳ级：生活不能自理或卧床。</w:t>
            </w:r>
          </w:p>
        </w:tc>
      </w:tr>
      <w:tr>
        <w:trPr>
          <w:trHeight w:val="2184" w:hRule="atLeast"/>
        </w:trPr>
        <w:tc>
          <w:tcPr>
            <w:tcW w:w="516" w:type="dxa"/>
          </w:tcPr>
          <w:p>
            <w:pPr>
              <w:pStyle w:val="TableParagraph"/>
              <w:spacing w:before="29"/>
              <w:ind w:right="51"/>
              <w:jc w:val="right"/>
              <w:rPr>
                <w:rFonts w:ascii="Times New Roman"/>
                <w:sz w:val="21"/>
              </w:rPr>
            </w:pPr>
            <w:r>
              <w:rPr>
                <w:rFonts w:ascii="Times New Roman"/>
                <w:sz w:val="21"/>
              </w:rPr>
              <w:t>40.</w:t>
            </w:r>
          </w:p>
        </w:tc>
        <w:tc>
          <w:tcPr>
            <w:tcW w:w="2969" w:type="dxa"/>
          </w:tcPr>
          <w:p>
            <w:pPr>
              <w:pStyle w:val="TableParagraph"/>
              <w:spacing w:line="257" w:lineRule="exact"/>
              <w:ind w:left="51"/>
              <w:rPr>
                <w:b/>
                <w:sz w:val="21"/>
              </w:rPr>
            </w:pPr>
            <w:r>
              <w:rPr>
                <w:sz w:val="21"/>
              </w:rPr>
              <w:t>严重哮喘－</w:t>
            </w:r>
            <w:r>
              <w:rPr>
                <w:b/>
                <w:sz w:val="21"/>
              </w:rPr>
              <w:t>二十五周岁前</w:t>
            </w:r>
          </w:p>
          <w:p>
            <w:pPr>
              <w:pStyle w:val="TableParagraph"/>
              <w:spacing w:before="37"/>
              <w:ind w:left="51"/>
              <w:rPr>
                <w:b/>
                <w:sz w:val="21"/>
              </w:rPr>
            </w:pPr>
            <w:r>
              <w:rPr>
                <w:b/>
                <w:sz w:val="21"/>
              </w:rPr>
              <w:t>理赔</w:t>
            </w:r>
          </w:p>
        </w:tc>
        <w:tc>
          <w:tcPr>
            <w:tcW w:w="6888" w:type="dxa"/>
          </w:tcPr>
          <w:p>
            <w:pPr>
              <w:pStyle w:val="TableParagraph"/>
              <w:spacing w:line="257" w:lineRule="exact"/>
              <w:ind w:left="-4"/>
              <w:rPr>
                <w:sz w:val="21"/>
              </w:rPr>
            </w:pPr>
            <w:r>
              <w:rPr>
                <w:sz w:val="21"/>
              </w:rPr>
              <w:t>指一种反复发作的严重支气管阻塞性疾病，经我们认可的专科医生确诊，</w:t>
            </w:r>
          </w:p>
          <w:p>
            <w:pPr>
              <w:pStyle w:val="TableParagraph"/>
              <w:spacing w:before="37"/>
              <w:ind w:left="-4"/>
              <w:rPr>
                <w:sz w:val="21"/>
              </w:rPr>
            </w:pPr>
            <w:r>
              <w:rPr>
                <w:sz w:val="21"/>
              </w:rPr>
              <w:t>且必须同时符合下列标准：</w:t>
            </w:r>
          </w:p>
          <w:p>
            <w:pPr>
              <w:pStyle w:val="TableParagraph"/>
              <w:spacing w:before="37"/>
              <w:ind w:left="-4"/>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0"/>
              <w:ind w:left="-4"/>
              <w:rPr>
                <w:sz w:val="21"/>
              </w:rPr>
            </w:pPr>
            <w:r>
              <w:rPr>
                <w:sz w:val="21"/>
              </w:rPr>
              <w:t>（</w:t>
            </w:r>
            <w:r>
              <w:rPr>
                <w:rFonts w:ascii="Times New Roman" w:eastAsia="Times New Roman"/>
                <w:sz w:val="21"/>
              </w:rPr>
              <w:t>2</w:t>
            </w:r>
            <w:r>
              <w:rPr>
                <w:sz w:val="21"/>
              </w:rPr>
              <w:t>）因慢性过度换气导致胸廓畸形；</w:t>
            </w:r>
          </w:p>
          <w:p>
            <w:pPr>
              <w:pStyle w:val="TableParagraph"/>
              <w:spacing w:before="20"/>
              <w:ind w:left="-4"/>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0"/>
              <w:ind w:left="-4" w:right="1529"/>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tc>
      </w:tr>
      <w:tr>
        <w:trPr>
          <w:trHeight w:val="1826" w:hRule="atLeast"/>
        </w:trPr>
        <w:tc>
          <w:tcPr>
            <w:tcW w:w="516" w:type="dxa"/>
          </w:tcPr>
          <w:p>
            <w:pPr>
              <w:pStyle w:val="TableParagraph"/>
              <w:spacing w:before="29"/>
              <w:ind w:right="51"/>
              <w:jc w:val="right"/>
              <w:rPr>
                <w:rFonts w:ascii="Times New Roman"/>
                <w:sz w:val="21"/>
              </w:rPr>
            </w:pPr>
            <w:r>
              <w:rPr>
                <w:rFonts w:ascii="Times New Roman"/>
                <w:sz w:val="21"/>
              </w:rPr>
              <w:t>41.</w:t>
            </w:r>
          </w:p>
        </w:tc>
        <w:tc>
          <w:tcPr>
            <w:tcW w:w="2969" w:type="dxa"/>
          </w:tcPr>
          <w:p>
            <w:pPr>
              <w:pStyle w:val="TableParagraph"/>
              <w:spacing w:line="257" w:lineRule="exact"/>
              <w:ind w:left="51"/>
              <w:rPr>
                <w:sz w:val="21"/>
              </w:rPr>
            </w:pPr>
            <w:r>
              <w:rPr>
                <w:sz w:val="21"/>
              </w:rPr>
              <w:t>肾髓质囊性病</w:t>
            </w:r>
          </w:p>
        </w:tc>
        <w:tc>
          <w:tcPr>
            <w:tcW w:w="6888" w:type="dxa"/>
          </w:tcPr>
          <w:p>
            <w:pPr>
              <w:pStyle w:val="TableParagraph"/>
              <w:spacing w:line="257" w:lineRule="exact"/>
              <w:ind w:left="-4"/>
              <w:rPr>
                <w:sz w:val="21"/>
              </w:rPr>
            </w:pPr>
            <w:r>
              <w:rPr>
                <w:sz w:val="21"/>
              </w:rPr>
              <w:t>肾髓质囊性病的诊断须同时符合下列要求：</w:t>
            </w:r>
          </w:p>
          <w:p>
            <w:pPr>
              <w:pStyle w:val="TableParagraph"/>
              <w:spacing w:before="37"/>
              <w:ind w:left="-4"/>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4"/>
              <w:rPr>
                <w:sz w:val="21"/>
              </w:rPr>
            </w:pPr>
            <w:r>
              <w:rPr>
                <w:sz w:val="21"/>
              </w:rPr>
              <w:t>（</w:t>
            </w:r>
            <w:r>
              <w:rPr>
                <w:rFonts w:ascii="Times New Roman" w:eastAsia="Times New Roman"/>
                <w:sz w:val="21"/>
              </w:rPr>
              <w:t>2</w:t>
            </w:r>
            <w:r>
              <w:rPr>
                <w:sz w:val="21"/>
              </w:rPr>
              <w:t>）肾功能衰竭；</w:t>
            </w:r>
          </w:p>
          <w:p>
            <w:pPr>
              <w:pStyle w:val="TableParagraph"/>
              <w:spacing w:before="21"/>
              <w:ind w:left="-4"/>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4" w:right="312"/>
              <w:rPr>
                <w:sz w:val="21"/>
              </w:rPr>
            </w:pPr>
            <w:r>
              <w:rPr>
                <w:sz w:val="21"/>
              </w:rPr>
              <w:t>我们承担本项疾病责任不受本合同“责任免除”中“遗传性疾病，先天性畸形、变形或染色体异常”的限制。</w:t>
            </w:r>
          </w:p>
        </w:tc>
      </w:tr>
    </w:tbl>
    <w:p>
      <w:pPr>
        <w:rPr>
          <w:sz w:val="2"/>
          <w:szCs w:val="2"/>
        </w:rPr>
      </w:pPr>
      <w:r>
        <w:rPr/>
        <w:pict>
          <v:group style="position:absolute;margin-left:218.449997pt;margin-top:101.180023pt;width:205.35pt;height:112.7pt;mso-position-horizontal-relative:page;mso-position-vertical-relative:page;z-index:-67840" coordorigin="4369,2024" coordsize="4107,2254">
            <v:line style="position:absolute" from="4369,2028" to="6481,2028" stroked="true" strokeweight=".48pt" strokecolor="#000000">
              <v:stroke dashstyle="solid"/>
            </v:line>
            <v:line style="position:absolute" from="6491,2028" to="8466,2028" stroked="true" strokeweight=".48pt" strokecolor="#000000">
              <v:stroke dashstyle="solid"/>
            </v:line>
            <v:line style="position:absolute" from="4369,2350" to="6481,2350" stroked="true" strokeweight=".48pt" strokecolor="#000000">
              <v:stroke dashstyle="solid"/>
            </v:line>
            <v:line style="position:absolute" from="6491,2350" to="8466,2350" stroked="true" strokeweight=".48pt" strokecolor="#000000">
              <v:stroke dashstyle="solid"/>
            </v:line>
            <v:line style="position:absolute" from="4369,2674" to="6481,2674" stroked="true" strokeweight=".48001pt" strokecolor="#000000">
              <v:stroke dashstyle="solid"/>
            </v:line>
            <v:line style="position:absolute" from="6491,2674" to="8466,2674" stroked="true" strokeweight=".48001pt" strokecolor="#000000">
              <v:stroke dashstyle="solid"/>
            </v:line>
            <v:line style="position:absolute" from="4369,3308" to="6481,3308" stroked="true" strokeweight=".48pt" strokecolor="#000000">
              <v:stroke dashstyle="solid"/>
            </v:line>
            <v:line style="position:absolute" from="6491,3308" to="8466,3308" stroked="true" strokeweight=".48pt" strokecolor="#000000">
              <v:stroke dashstyle="solid"/>
            </v:line>
            <v:line style="position:absolute" from="4369,3629" to="6481,3629" stroked="true" strokeweight=".48pt" strokecolor="#000000">
              <v:stroke dashstyle="solid"/>
            </v:line>
            <v:line style="position:absolute" from="6491,3629" to="8466,3629" stroked="true" strokeweight=".48pt" strokecolor="#000000">
              <v:stroke dashstyle="solid"/>
            </v:line>
            <v:line style="position:absolute" from="4369,3951" to="6481,3951" stroked="true" strokeweight=".48pt" strokecolor="#000000">
              <v:stroke dashstyle="solid"/>
            </v:line>
            <v:line style="position:absolute" from="6491,3951" to="8466,3951" stroked="true" strokeweight=".48pt" strokecolor="#000000">
              <v:stroke dashstyle="solid"/>
            </v:line>
            <v:line style="position:absolute" from="6486,2024" to="6486,4277" stroked="true" strokeweight=".48001pt" strokecolor="#000000">
              <v:stroke dashstyle="solid"/>
            </v:line>
            <v:line style="position:absolute" from="8471,2024" to="8471,4277" stroked="true" strokeweight=".48001pt" strokecolor="#000000">
              <v:stroke dashstyle="solid"/>
            </v:line>
            <w10:wrap type="none"/>
          </v:group>
        </w:pict>
      </w:r>
    </w:p>
    <w:p>
      <w:pPr>
        <w:spacing w:after="0"/>
        <w:rPr>
          <w:sz w:val="2"/>
          <w:szCs w:val="2"/>
        </w:rPr>
        <w:sectPr>
          <w:pgSz w:w="11910" w:h="16160"/>
          <w:pgMar w:header="0" w:footer="631" w:top="144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55"/>
        <w:gridCol w:w="7098"/>
      </w:tblGrid>
      <w:tr>
        <w:trPr>
          <w:trHeight w:val="1834" w:hRule="atLeast"/>
        </w:trPr>
        <w:tc>
          <w:tcPr>
            <w:tcW w:w="516" w:type="dxa"/>
          </w:tcPr>
          <w:p>
            <w:pPr>
              <w:pStyle w:val="TableParagraph"/>
              <w:spacing w:line="234" w:lineRule="exact"/>
              <w:ind w:right="51"/>
              <w:jc w:val="right"/>
              <w:rPr>
                <w:rFonts w:ascii="Times New Roman"/>
                <w:sz w:val="21"/>
              </w:rPr>
            </w:pPr>
            <w:r>
              <w:rPr>
                <w:rFonts w:ascii="Times New Roman"/>
                <w:sz w:val="21"/>
              </w:rPr>
              <w:t>42.</w:t>
            </w:r>
          </w:p>
        </w:tc>
        <w:tc>
          <w:tcPr>
            <w:tcW w:w="2755" w:type="dxa"/>
          </w:tcPr>
          <w:p>
            <w:pPr>
              <w:pStyle w:val="TableParagraph"/>
              <w:spacing w:line="220" w:lineRule="exact"/>
              <w:ind w:left="51"/>
              <w:rPr>
                <w:sz w:val="21"/>
              </w:rPr>
            </w:pPr>
            <w:r>
              <w:rPr>
                <w:sz w:val="21"/>
              </w:rPr>
              <w:t>重症急性坏死性筋膜炎</w:t>
            </w:r>
          </w:p>
        </w:tc>
        <w:tc>
          <w:tcPr>
            <w:tcW w:w="7098" w:type="dxa"/>
          </w:tcPr>
          <w:p>
            <w:pPr>
              <w:pStyle w:val="TableParagraph"/>
              <w:spacing w:line="220" w:lineRule="exact"/>
              <w:ind w:left="210"/>
              <w:rPr>
                <w:sz w:val="21"/>
              </w:rPr>
            </w:pPr>
            <w:r>
              <w:rPr>
                <w:sz w:val="21"/>
              </w:rPr>
              <w:t>是一种由细菌侵入皮下组织和筋膜引起的急性坏死性软组织感染，可伴</w:t>
            </w:r>
          </w:p>
          <w:p>
            <w:pPr>
              <w:pStyle w:val="TableParagraph"/>
              <w:spacing w:line="273" w:lineRule="auto" w:before="37"/>
              <w:ind w:left="210" w:right="308"/>
              <w:rPr>
                <w:sz w:val="21"/>
              </w:rPr>
            </w:pPr>
            <w:r>
              <w:rPr>
                <w:sz w:val="21"/>
              </w:rPr>
              <w:t>有毒血症、败血症、中毒性休克、弥漫性血管内凝血及多器官衰竭。必须满足以下所有条件：</w:t>
            </w:r>
          </w:p>
          <w:p>
            <w:pPr>
              <w:pStyle w:val="TableParagraph"/>
              <w:spacing w:before="7"/>
              <w:ind w:left="210"/>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1"/>
              <w:ind w:left="210"/>
              <w:rPr>
                <w:sz w:val="21"/>
              </w:rPr>
            </w:pPr>
            <w:r>
              <w:rPr>
                <w:sz w:val="21"/>
              </w:rPr>
              <w:t>（</w:t>
            </w:r>
            <w:r>
              <w:rPr>
                <w:rFonts w:ascii="Times New Roman" w:eastAsia="Times New Roman"/>
                <w:sz w:val="21"/>
              </w:rPr>
              <w:t>2</w:t>
            </w:r>
            <w:r>
              <w:rPr>
                <w:sz w:val="21"/>
              </w:rPr>
              <w:t>）病情迅速恶化，有脓毒血症表现；</w:t>
            </w:r>
          </w:p>
          <w:p>
            <w:pPr>
              <w:pStyle w:val="TableParagraph"/>
              <w:spacing w:before="21"/>
              <w:ind w:left="210"/>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16" w:type="dxa"/>
          </w:tcPr>
          <w:p>
            <w:pPr>
              <w:pStyle w:val="TableParagraph"/>
              <w:spacing w:before="30"/>
              <w:ind w:right="51"/>
              <w:jc w:val="right"/>
              <w:rPr>
                <w:rFonts w:ascii="Times New Roman"/>
                <w:sz w:val="21"/>
              </w:rPr>
            </w:pPr>
            <w:r>
              <w:rPr>
                <w:rFonts w:ascii="Times New Roman"/>
                <w:sz w:val="21"/>
              </w:rPr>
              <w:t>43.</w:t>
            </w:r>
          </w:p>
        </w:tc>
        <w:tc>
          <w:tcPr>
            <w:tcW w:w="2755" w:type="dxa"/>
          </w:tcPr>
          <w:p>
            <w:pPr>
              <w:pStyle w:val="TableParagraph"/>
              <w:spacing w:line="258" w:lineRule="exact"/>
              <w:ind w:left="51"/>
              <w:rPr>
                <w:sz w:val="21"/>
              </w:rPr>
            </w:pPr>
            <w:r>
              <w:rPr>
                <w:sz w:val="21"/>
              </w:rPr>
              <w:t>慢性呼吸功能衰竭终末期</w:t>
            </w:r>
          </w:p>
          <w:p>
            <w:pPr>
              <w:pStyle w:val="TableParagraph"/>
              <w:spacing w:before="37"/>
              <w:ind w:left="51"/>
              <w:rPr>
                <w:sz w:val="21"/>
              </w:rPr>
            </w:pPr>
            <w:r>
              <w:rPr>
                <w:sz w:val="21"/>
              </w:rPr>
              <w:t>肺病</w:t>
            </w:r>
          </w:p>
        </w:tc>
        <w:tc>
          <w:tcPr>
            <w:tcW w:w="7098" w:type="dxa"/>
          </w:tcPr>
          <w:p>
            <w:pPr>
              <w:pStyle w:val="TableParagraph"/>
              <w:spacing w:line="258" w:lineRule="exact"/>
              <w:ind w:left="210"/>
              <w:rPr>
                <w:sz w:val="21"/>
              </w:rPr>
            </w:pPr>
            <w:r>
              <w:rPr>
                <w:sz w:val="21"/>
              </w:rPr>
              <w:t>指慢性肺部疾病导致永久不可逆性的慢性呼吸功能衰竭，必须由呼吸专</w:t>
            </w:r>
          </w:p>
          <w:p>
            <w:pPr>
              <w:pStyle w:val="TableParagraph"/>
              <w:spacing w:before="37"/>
              <w:ind w:left="210"/>
              <w:rPr>
                <w:sz w:val="21"/>
              </w:rPr>
            </w:pPr>
            <w:r>
              <w:rPr>
                <w:sz w:val="21"/>
              </w:rPr>
              <w:t>科医生确认并符合下列所有条件：</w:t>
            </w:r>
          </w:p>
          <w:p>
            <w:pPr>
              <w:pStyle w:val="TableParagraph"/>
              <w:spacing w:before="37"/>
              <w:ind w:left="210"/>
              <w:rPr>
                <w:sz w:val="21"/>
              </w:rPr>
            </w:pPr>
            <w:r>
              <w:rPr>
                <w:sz w:val="21"/>
              </w:rPr>
              <w:t>（</w:t>
            </w:r>
            <w:r>
              <w:rPr>
                <w:rFonts w:ascii="Times New Roman" w:eastAsia="Times New Roman"/>
                <w:sz w:val="21"/>
              </w:rPr>
              <w:t>1</w:t>
            </w:r>
            <w:r>
              <w:rPr>
                <w:sz w:val="21"/>
              </w:rPr>
              <w:t>）休息时出现呼吸困难；</w:t>
            </w:r>
          </w:p>
          <w:p>
            <w:pPr>
              <w:pStyle w:val="TableParagraph"/>
              <w:spacing w:before="21"/>
              <w:ind w:left="210"/>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ind w:left="210"/>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210"/>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16" w:type="dxa"/>
          </w:tcPr>
          <w:p>
            <w:pPr>
              <w:pStyle w:val="TableParagraph"/>
              <w:spacing w:before="30"/>
              <w:ind w:right="51"/>
              <w:jc w:val="right"/>
              <w:rPr>
                <w:rFonts w:ascii="Times New Roman"/>
                <w:sz w:val="21"/>
              </w:rPr>
            </w:pPr>
            <w:r>
              <w:rPr>
                <w:rFonts w:ascii="Times New Roman"/>
                <w:sz w:val="21"/>
              </w:rPr>
              <w:t>44.</w:t>
            </w:r>
          </w:p>
        </w:tc>
        <w:tc>
          <w:tcPr>
            <w:tcW w:w="2755" w:type="dxa"/>
          </w:tcPr>
          <w:p>
            <w:pPr>
              <w:pStyle w:val="TableParagraph"/>
              <w:spacing w:line="258" w:lineRule="exact"/>
              <w:ind w:left="51"/>
              <w:rPr>
                <w:sz w:val="21"/>
              </w:rPr>
            </w:pPr>
            <w:r>
              <w:rPr>
                <w:sz w:val="21"/>
              </w:rPr>
              <w:t>胰腺移植</w:t>
            </w:r>
          </w:p>
        </w:tc>
        <w:tc>
          <w:tcPr>
            <w:tcW w:w="7098" w:type="dxa"/>
          </w:tcPr>
          <w:p>
            <w:pPr>
              <w:pStyle w:val="TableParagraph"/>
              <w:spacing w:line="258" w:lineRule="exact"/>
              <w:ind w:left="210"/>
              <w:rPr>
                <w:sz w:val="21"/>
              </w:rPr>
            </w:pPr>
            <w:r>
              <w:rPr>
                <w:sz w:val="21"/>
              </w:rPr>
              <w:t>指因胰腺功能衰竭，已经实施了在全身麻醉下进行的胰腺的异体器官移</w:t>
            </w:r>
          </w:p>
          <w:p>
            <w:pPr>
              <w:pStyle w:val="TableParagraph"/>
              <w:spacing w:before="37"/>
              <w:ind w:left="210"/>
              <w:rPr>
                <w:sz w:val="21"/>
              </w:rPr>
            </w:pPr>
            <w:r>
              <w:rPr>
                <w:spacing w:val="-1"/>
                <w:sz w:val="21"/>
              </w:rPr>
              <w:t>植手术</w:t>
            </w:r>
            <w:r>
              <w:rPr>
                <w:sz w:val="21"/>
              </w:rPr>
              <w:t>（</w:t>
            </w:r>
            <w:r>
              <w:rPr>
                <w:spacing w:val="-3"/>
                <w:sz w:val="21"/>
              </w:rPr>
              <w:t>供体必须是人体器官</w:t>
            </w:r>
            <w:r>
              <w:rPr>
                <w:spacing w:val="-108"/>
                <w:sz w:val="21"/>
              </w:rPr>
              <w:t>）</w:t>
            </w:r>
            <w:r>
              <w:rPr>
                <w:sz w:val="21"/>
              </w:rPr>
              <w:t>。</w:t>
            </w:r>
          </w:p>
          <w:p>
            <w:pPr>
              <w:pStyle w:val="TableParagraph"/>
              <w:spacing w:before="37"/>
              <w:ind w:left="210"/>
              <w:rPr>
                <w:b/>
                <w:sz w:val="21"/>
              </w:rPr>
            </w:pPr>
            <w:r>
              <w:rPr>
                <w:b/>
                <w:sz w:val="21"/>
              </w:rPr>
              <w:t>单纯胰岛移植、部分胰腺组织或细胞的移植不在保障范围内。</w:t>
            </w:r>
          </w:p>
        </w:tc>
      </w:tr>
      <w:tr>
        <w:trPr>
          <w:trHeight w:val="943" w:hRule="atLeast"/>
        </w:trPr>
        <w:tc>
          <w:tcPr>
            <w:tcW w:w="516" w:type="dxa"/>
          </w:tcPr>
          <w:p>
            <w:pPr>
              <w:pStyle w:val="TableParagraph"/>
              <w:spacing w:before="38"/>
              <w:ind w:right="51"/>
              <w:jc w:val="right"/>
              <w:rPr>
                <w:rFonts w:ascii="Times New Roman"/>
                <w:sz w:val="21"/>
              </w:rPr>
            </w:pPr>
            <w:r>
              <w:rPr>
                <w:rFonts w:ascii="Times New Roman"/>
                <w:sz w:val="21"/>
              </w:rPr>
              <w:t>45.</w:t>
            </w:r>
          </w:p>
        </w:tc>
        <w:tc>
          <w:tcPr>
            <w:tcW w:w="2755" w:type="dxa"/>
          </w:tcPr>
          <w:p>
            <w:pPr>
              <w:pStyle w:val="TableParagraph"/>
              <w:spacing w:line="266" w:lineRule="exact"/>
              <w:ind w:left="51"/>
              <w:rPr>
                <w:sz w:val="21"/>
              </w:rPr>
            </w:pPr>
            <w:r>
              <w:rPr>
                <w:sz w:val="21"/>
              </w:rPr>
              <w:t>埃博拉病毒感染</w:t>
            </w:r>
          </w:p>
        </w:tc>
        <w:tc>
          <w:tcPr>
            <w:tcW w:w="7098" w:type="dxa"/>
          </w:tcPr>
          <w:p>
            <w:pPr>
              <w:pStyle w:val="TableParagraph"/>
              <w:spacing w:line="273" w:lineRule="auto"/>
              <w:ind w:left="210" w:right="308"/>
              <w:rPr>
                <w:sz w:val="21"/>
              </w:rPr>
            </w:pPr>
            <w:r>
              <w:rPr>
                <w:sz w:val="21"/>
              </w:rPr>
              <w:t>指受埃博拉病毒感染导致出血性发热。埃博拉病必须经国家机关认可的有合法资质的传染病专家确诊，并且埃博拉病毒的存在必须经过实验室</w:t>
            </w:r>
          </w:p>
          <w:p>
            <w:pPr>
              <w:pStyle w:val="TableParagraph"/>
              <w:spacing w:before="16"/>
              <w:ind w:left="210"/>
              <w:rPr>
                <w:sz w:val="21"/>
              </w:rPr>
            </w:pPr>
            <w:r>
              <w:rPr>
                <w:sz w:val="21"/>
              </w:rPr>
              <w:t>检查证实。该病必须从症状开始后</w:t>
            </w:r>
            <w:r>
              <w:rPr>
                <w:rFonts w:ascii="Times New Roman" w:eastAsia="Times New Roman"/>
                <w:sz w:val="21"/>
              </w:rPr>
              <w:t>30</w:t>
            </w:r>
            <w:r>
              <w:rPr>
                <w:sz w:val="21"/>
              </w:rPr>
              <w:t>天后持续出现并发症。</w:t>
            </w:r>
          </w:p>
        </w:tc>
      </w:tr>
      <w:tr>
        <w:trPr>
          <w:trHeight w:val="1240" w:hRule="atLeast"/>
        </w:trPr>
        <w:tc>
          <w:tcPr>
            <w:tcW w:w="516" w:type="dxa"/>
          </w:tcPr>
          <w:p>
            <w:pPr>
              <w:pStyle w:val="TableParagraph"/>
              <w:spacing w:before="30"/>
              <w:ind w:right="51"/>
              <w:jc w:val="right"/>
              <w:rPr>
                <w:rFonts w:ascii="Times New Roman"/>
                <w:sz w:val="21"/>
              </w:rPr>
            </w:pPr>
            <w:r>
              <w:rPr>
                <w:rFonts w:ascii="Times New Roman"/>
                <w:sz w:val="21"/>
              </w:rPr>
              <w:t>46.</w:t>
            </w:r>
          </w:p>
        </w:tc>
        <w:tc>
          <w:tcPr>
            <w:tcW w:w="2755" w:type="dxa"/>
          </w:tcPr>
          <w:p>
            <w:pPr>
              <w:pStyle w:val="TableParagraph"/>
              <w:spacing w:line="258" w:lineRule="exact"/>
              <w:ind w:left="51"/>
              <w:rPr>
                <w:sz w:val="21"/>
              </w:rPr>
            </w:pPr>
            <w:r>
              <w:rPr>
                <w:sz w:val="21"/>
              </w:rPr>
              <w:t>破裂脑动脉瘤夹闭手术</w:t>
            </w:r>
          </w:p>
        </w:tc>
        <w:tc>
          <w:tcPr>
            <w:tcW w:w="7098" w:type="dxa"/>
          </w:tcPr>
          <w:p>
            <w:pPr>
              <w:pStyle w:val="TableParagraph"/>
              <w:spacing w:line="258" w:lineRule="exact"/>
              <w:ind w:left="210"/>
              <w:rPr>
                <w:sz w:val="21"/>
              </w:rPr>
            </w:pPr>
            <w:r>
              <w:rPr>
                <w:sz w:val="21"/>
              </w:rPr>
              <w:t>指因脑动脉瘤破裂造成蛛网膜下腔出血，被保险人实际接受了在全麻下</w:t>
            </w:r>
          </w:p>
          <w:p>
            <w:pPr>
              <w:pStyle w:val="TableParagraph"/>
              <w:spacing w:before="37"/>
              <w:ind w:left="210"/>
              <w:rPr>
                <w:sz w:val="21"/>
              </w:rPr>
            </w:pPr>
            <w:r>
              <w:rPr>
                <w:sz w:val="21"/>
              </w:rPr>
              <w:t>进行的开颅动脉瘤夹闭手术。</w:t>
            </w:r>
          </w:p>
          <w:p>
            <w:pPr>
              <w:pStyle w:val="TableParagraph"/>
              <w:spacing w:line="310" w:lineRule="atLeast" w:before="2"/>
              <w:ind w:left="210" w:right="308"/>
              <w:rPr>
                <w:b/>
                <w:sz w:val="21"/>
              </w:rPr>
            </w:pPr>
            <w:r>
              <w:rPr>
                <w:b/>
                <w:sz w:val="21"/>
              </w:rPr>
              <w:t>脑动脉瘤（未破裂）预防性手术、颅骨打孔手术、动脉瘤栓塞手术、血管内手术及其他颅脑手术不在保障范围内。</w:t>
            </w:r>
          </w:p>
        </w:tc>
      </w:tr>
      <w:tr>
        <w:trPr>
          <w:trHeight w:val="936" w:hRule="atLeast"/>
        </w:trPr>
        <w:tc>
          <w:tcPr>
            <w:tcW w:w="516" w:type="dxa"/>
          </w:tcPr>
          <w:p>
            <w:pPr>
              <w:pStyle w:val="TableParagraph"/>
              <w:spacing w:before="38"/>
              <w:ind w:right="51"/>
              <w:jc w:val="right"/>
              <w:rPr>
                <w:rFonts w:ascii="Times New Roman"/>
                <w:sz w:val="21"/>
              </w:rPr>
            </w:pPr>
            <w:r>
              <w:rPr>
                <w:rFonts w:ascii="Times New Roman"/>
                <w:sz w:val="21"/>
              </w:rPr>
              <w:t>47.</w:t>
            </w:r>
          </w:p>
        </w:tc>
        <w:tc>
          <w:tcPr>
            <w:tcW w:w="2755" w:type="dxa"/>
          </w:tcPr>
          <w:p>
            <w:pPr>
              <w:pStyle w:val="TableParagraph"/>
              <w:spacing w:line="266" w:lineRule="exact"/>
              <w:ind w:left="51"/>
              <w:rPr>
                <w:sz w:val="21"/>
              </w:rPr>
            </w:pPr>
            <w:r>
              <w:rPr>
                <w:sz w:val="21"/>
              </w:rPr>
              <w:t>丝虫病所致象皮肿</w:t>
            </w:r>
          </w:p>
        </w:tc>
        <w:tc>
          <w:tcPr>
            <w:tcW w:w="7098" w:type="dxa"/>
          </w:tcPr>
          <w:p>
            <w:pPr>
              <w:pStyle w:val="TableParagraph"/>
              <w:spacing w:line="264" w:lineRule="auto"/>
              <w:ind w:left="210" w:right="197"/>
              <w:rPr>
                <w:sz w:val="21"/>
              </w:rPr>
            </w:pPr>
            <w:r>
              <w:rPr>
                <w:sz w:val="21"/>
              </w:rPr>
              <w:t>指因丝虫感染导致淋巴阻塞性出现严重淋巴水肿，达到国际淋巴学会淋</w:t>
            </w:r>
            <w:r>
              <w:rPr>
                <w:spacing w:val="-8"/>
                <w:sz w:val="21"/>
              </w:rPr>
              <w:t>巴水肿分期第 </w:t>
            </w:r>
            <w:r>
              <w:rPr>
                <w:rFonts w:ascii="Times New Roman" w:eastAsia="Times New Roman"/>
                <w:sz w:val="21"/>
              </w:rPr>
              <w:t>III </w:t>
            </w:r>
            <w:r>
              <w:rPr>
                <w:spacing w:val="-18"/>
                <w:sz w:val="21"/>
              </w:rPr>
              <w:t>期，临床表现为肢体象皮肿，患肢较健肢增粗 </w:t>
            </w:r>
            <w:r>
              <w:rPr>
                <w:rFonts w:ascii="Times New Roman" w:eastAsia="Times New Roman"/>
                <w:sz w:val="21"/>
              </w:rPr>
              <w:t>30%</w:t>
            </w:r>
            <w:r>
              <w:rPr>
                <w:spacing w:val="-2"/>
                <w:sz w:val="21"/>
              </w:rPr>
              <w:t>以上， </w:t>
            </w:r>
            <w:r>
              <w:rPr>
                <w:spacing w:val="-3"/>
                <w:sz w:val="21"/>
              </w:rPr>
              <w:t>日常生活不能自理。</w:t>
            </w:r>
          </w:p>
        </w:tc>
      </w:tr>
      <w:tr>
        <w:trPr>
          <w:trHeight w:val="1248" w:hRule="atLeast"/>
        </w:trPr>
        <w:tc>
          <w:tcPr>
            <w:tcW w:w="516" w:type="dxa"/>
          </w:tcPr>
          <w:p>
            <w:pPr>
              <w:pStyle w:val="TableParagraph"/>
              <w:spacing w:before="38"/>
              <w:ind w:right="51"/>
              <w:jc w:val="right"/>
              <w:rPr>
                <w:rFonts w:ascii="Times New Roman"/>
                <w:sz w:val="21"/>
              </w:rPr>
            </w:pPr>
            <w:r>
              <w:rPr>
                <w:rFonts w:ascii="Times New Roman"/>
                <w:sz w:val="21"/>
              </w:rPr>
              <w:t>48.</w:t>
            </w:r>
          </w:p>
        </w:tc>
        <w:tc>
          <w:tcPr>
            <w:tcW w:w="2755" w:type="dxa"/>
          </w:tcPr>
          <w:p>
            <w:pPr>
              <w:pStyle w:val="TableParagraph"/>
              <w:spacing w:line="273" w:lineRule="auto"/>
              <w:ind w:left="51" w:right="208"/>
              <w:rPr>
                <w:sz w:val="21"/>
              </w:rPr>
            </w:pPr>
            <w:r>
              <w:rPr>
                <w:sz w:val="21"/>
              </w:rPr>
              <w:t>急性坏死性胰腺炎开腹手术</w:t>
            </w:r>
          </w:p>
        </w:tc>
        <w:tc>
          <w:tcPr>
            <w:tcW w:w="7098" w:type="dxa"/>
          </w:tcPr>
          <w:p>
            <w:pPr>
              <w:pStyle w:val="TableParagraph"/>
              <w:spacing w:line="273" w:lineRule="auto"/>
              <w:ind w:left="210" w:right="368"/>
              <w:rPr>
                <w:sz w:val="21"/>
              </w:rPr>
            </w:pPr>
            <w:r>
              <w:rPr>
                <w:sz w:val="21"/>
              </w:rPr>
              <w:t>指为治疗急性坏死性胰腺炎，实际实施了开腹进行的坏死组织清除术、病灶切除术或胰腺部分切除术。</w:t>
            </w:r>
          </w:p>
          <w:p>
            <w:pPr>
              <w:pStyle w:val="TableParagraph"/>
              <w:spacing w:line="312" w:lineRule="exact" w:before="12"/>
              <w:ind w:left="210" w:right="307"/>
              <w:rPr>
                <w:sz w:val="21"/>
              </w:rPr>
            </w:pPr>
            <w:r>
              <w:rPr>
                <w:b/>
                <w:sz w:val="21"/>
              </w:rPr>
              <w:t>为治疗因酒精中毒引起的急性坏死性胰腺炎的开腹手术不在保障范围内</w:t>
            </w:r>
            <w:r>
              <w:rPr>
                <w:sz w:val="21"/>
              </w:rPr>
              <w:t>。</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49.</w:t>
            </w:r>
          </w:p>
        </w:tc>
        <w:tc>
          <w:tcPr>
            <w:tcW w:w="2755" w:type="dxa"/>
          </w:tcPr>
          <w:p>
            <w:pPr>
              <w:pStyle w:val="TableParagraph"/>
              <w:spacing w:line="266" w:lineRule="exact"/>
              <w:ind w:left="51"/>
              <w:rPr>
                <w:sz w:val="21"/>
              </w:rPr>
            </w:pPr>
            <w:r>
              <w:rPr>
                <w:sz w:val="21"/>
              </w:rPr>
              <w:t>主动脉夹层血肿</w:t>
            </w:r>
          </w:p>
        </w:tc>
        <w:tc>
          <w:tcPr>
            <w:tcW w:w="7098" w:type="dxa"/>
          </w:tcPr>
          <w:p>
            <w:pPr>
              <w:pStyle w:val="TableParagraph"/>
              <w:spacing w:line="273" w:lineRule="auto"/>
              <w:ind w:left="210" w:right="305"/>
              <w:jc w:val="both"/>
              <w:rPr>
                <w:sz w:val="21"/>
              </w:rPr>
            </w:pPr>
            <w:r>
              <w:rPr>
                <w:sz w:val="21"/>
              </w:rPr>
              <w:t>是指主动脉壁在受到某些病理因素的破坏后，高速、高压的主动脉血流将其内膜撕裂，以致主动脉腔内的血流通过主动脉内膜的破裂口进入主</w:t>
            </w:r>
            <w:r>
              <w:rPr>
                <w:w w:val="100"/>
                <w:sz w:val="21"/>
              </w:rPr>
              <w:t>动脉内壁而形成血肿。被保险人需通过断层扫描</w:t>
            </w:r>
            <w:r>
              <w:rPr>
                <w:spacing w:val="8"/>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4"/>
                <w:w w:val="100"/>
                <w:sz w:val="21"/>
              </w:rPr>
              <w:t>）</w:t>
            </w:r>
            <w:r>
              <w:rPr>
                <w:w w:val="100"/>
                <w:sz w:val="21"/>
              </w:rPr>
              <w:t>、核磁共振检查</w:t>
            </w:r>
          </w:p>
          <w:p>
            <w:pPr>
              <w:pStyle w:val="TableParagraph"/>
              <w:spacing w:line="256" w:lineRule="auto"/>
              <w:ind w:left="210" w:right="303"/>
              <w:jc w:val="both"/>
              <w:rPr>
                <w:sz w:val="21"/>
              </w:rPr>
            </w:pP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06"/>
                <w:w w:val="100"/>
                <w:sz w:val="21"/>
              </w:rPr>
              <w:t>）</w:t>
            </w:r>
            <w:r>
              <w:rPr>
                <w:spacing w:val="-7"/>
                <w:w w:val="100"/>
                <w:sz w:val="21"/>
              </w:rPr>
              <w:t>、磁共振血管检验法</w:t>
            </w:r>
            <w:r>
              <w:rPr>
                <w:spacing w:val="-3"/>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2"/>
                <w:w w:val="100"/>
                <w:sz w:val="21"/>
              </w:rPr>
              <w:t>A</w:t>
            </w:r>
            <w:r>
              <w:rPr>
                <w:spacing w:val="-17"/>
                <w:w w:val="100"/>
                <w:sz w:val="21"/>
              </w:rPr>
              <w:t>）</w:t>
            </w:r>
            <w:r>
              <w:rPr>
                <w:spacing w:val="-5"/>
                <w:w w:val="100"/>
                <w:sz w:val="21"/>
              </w:rPr>
              <w:t>或血管扫描等检查，并且实施了胸</w:t>
            </w:r>
            <w:r>
              <w:rPr>
                <w:spacing w:val="-4"/>
                <w:sz w:val="21"/>
              </w:rPr>
              <w:t>腹切开的直视主动脉手术。</w:t>
            </w:r>
          </w:p>
        </w:tc>
      </w:tr>
      <w:tr>
        <w:trPr>
          <w:trHeight w:val="1880" w:hRule="atLeast"/>
        </w:trPr>
        <w:tc>
          <w:tcPr>
            <w:tcW w:w="516" w:type="dxa"/>
          </w:tcPr>
          <w:p>
            <w:pPr>
              <w:pStyle w:val="TableParagraph"/>
              <w:spacing w:before="38"/>
              <w:ind w:right="51"/>
              <w:jc w:val="right"/>
              <w:rPr>
                <w:rFonts w:ascii="Times New Roman"/>
                <w:sz w:val="21"/>
              </w:rPr>
            </w:pPr>
            <w:r>
              <w:rPr>
                <w:rFonts w:ascii="Times New Roman"/>
                <w:sz w:val="21"/>
              </w:rPr>
              <w:t>50.</w:t>
            </w:r>
          </w:p>
        </w:tc>
        <w:tc>
          <w:tcPr>
            <w:tcW w:w="2755" w:type="dxa"/>
          </w:tcPr>
          <w:p>
            <w:pPr>
              <w:pStyle w:val="TableParagraph"/>
              <w:spacing w:line="266" w:lineRule="exact"/>
              <w:ind w:left="51"/>
              <w:rPr>
                <w:sz w:val="21"/>
              </w:rPr>
            </w:pPr>
            <w:r>
              <w:rPr>
                <w:sz w:val="21"/>
              </w:rPr>
              <w:t>系统性硬皮病</w:t>
            </w:r>
          </w:p>
        </w:tc>
        <w:tc>
          <w:tcPr>
            <w:tcW w:w="7098" w:type="dxa"/>
          </w:tcPr>
          <w:p>
            <w:pPr>
              <w:pStyle w:val="TableParagraph"/>
              <w:spacing w:line="273" w:lineRule="auto"/>
              <w:ind w:left="210" w:right="303"/>
              <w:jc w:val="both"/>
              <w:rPr>
                <w:sz w:val="21"/>
              </w:rPr>
            </w:pPr>
            <w:r>
              <w:rPr>
                <w:sz w:val="21"/>
              </w:rPr>
              <w:t>指一种以局限性或弥漫性皮肤增厚和皮肤、血管、内脏器官异常纤维化为特征的结缔组织病。本病须经专科医生明确诊断，并须满足下列至少一项条件：</w:t>
            </w:r>
          </w:p>
          <w:p>
            <w:pPr>
              <w:pStyle w:val="TableParagraph"/>
              <w:spacing w:before="16"/>
              <w:ind w:left="210"/>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1"/>
              <w:ind w:left="210"/>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1"/>
              <w:ind w:left="210"/>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1210" w:hRule="atLeast"/>
        </w:trPr>
        <w:tc>
          <w:tcPr>
            <w:tcW w:w="516" w:type="dxa"/>
          </w:tcPr>
          <w:p>
            <w:pPr>
              <w:pStyle w:val="TableParagraph"/>
              <w:spacing w:before="30"/>
              <w:ind w:right="51"/>
              <w:jc w:val="right"/>
              <w:rPr>
                <w:rFonts w:ascii="Times New Roman"/>
                <w:sz w:val="21"/>
              </w:rPr>
            </w:pPr>
            <w:r>
              <w:rPr>
                <w:rFonts w:ascii="Times New Roman"/>
                <w:sz w:val="21"/>
              </w:rPr>
              <w:t>51.</w:t>
            </w:r>
          </w:p>
        </w:tc>
        <w:tc>
          <w:tcPr>
            <w:tcW w:w="2755" w:type="dxa"/>
          </w:tcPr>
          <w:p>
            <w:pPr>
              <w:pStyle w:val="TableParagraph"/>
              <w:spacing w:line="258" w:lineRule="exact"/>
              <w:ind w:left="51"/>
              <w:rPr>
                <w:sz w:val="21"/>
              </w:rPr>
            </w:pPr>
            <w:r>
              <w:rPr>
                <w:sz w:val="21"/>
              </w:rPr>
              <w:t>原发性硬化性胆管炎</w:t>
            </w:r>
          </w:p>
        </w:tc>
        <w:tc>
          <w:tcPr>
            <w:tcW w:w="7098" w:type="dxa"/>
          </w:tcPr>
          <w:p>
            <w:pPr>
              <w:pStyle w:val="TableParagraph"/>
              <w:spacing w:line="258" w:lineRule="exact"/>
              <w:ind w:left="210"/>
              <w:rPr>
                <w:sz w:val="21"/>
              </w:rPr>
            </w:pPr>
            <w:r>
              <w:rPr>
                <w:sz w:val="21"/>
              </w:rPr>
              <w:t>指一种胆汁淤积综合征，其特征是肝内、肝外胆道因纤维化性炎症逐渐</w:t>
            </w:r>
          </w:p>
          <w:p>
            <w:pPr>
              <w:pStyle w:val="TableParagraph"/>
              <w:spacing w:line="273" w:lineRule="auto" w:before="37"/>
              <w:ind w:left="210" w:right="308"/>
              <w:rPr>
                <w:sz w:val="21"/>
              </w:rPr>
            </w:pPr>
            <w:r>
              <w:rPr>
                <w:sz w:val="21"/>
              </w:rPr>
              <w:t>狭窄，并最终导致完全阻塞而发展为肝硬化。本病须经内镜逆行胰胆管造影等影像学检查证实，并须满足下列全部条件：</w:t>
            </w:r>
          </w:p>
          <w:p>
            <w:pPr>
              <w:pStyle w:val="TableParagraph"/>
              <w:spacing w:line="271" w:lineRule="exact" w:before="7"/>
              <w:ind w:left="210"/>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tc>
      </w:tr>
    </w:tbl>
    <w:p>
      <w:pPr>
        <w:spacing w:after="0" w:line="271" w:lineRule="exact"/>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588"/>
        <w:gridCol w:w="7269"/>
      </w:tblGrid>
      <w:tr>
        <w:trPr>
          <w:trHeight w:val="888" w:hRule="atLeast"/>
        </w:trPr>
        <w:tc>
          <w:tcPr>
            <w:tcW w:w="516" w:type="dxa"/>
          </w:tcPr>
          <w:p>
            <w:pPr>
              <w:pStyle w:val="TableParagraph"/>
              <w:rPr>
                <w:rFonts w:ascii="Times New Roman"/>
                <w:sz w:val="20"/>
              </w:rPr>
            </w:pPr>
          </w:p>
        </w:tc>
        <w:tc>
          <w:tcPr>
            <w:tcW w:w="2588" w:type="dxa"/>
          </w:tcPr>
          <w:p>
            <w:pPr>
              <w:pStyle w:val="TableParagraph"/>
              <w:rPr>
                <w:rFonts w:ascii="Times New Roman"/>
                <w:sz w:val="20"/>
              </w:rPr>
            </w:pPr>
          </w:p>
        </w:tc>
        <w:tc>
          <w:tcPr>
            <w:tcW w:w="7269" w:type="dxa"/>
          </w:tcPr>
          <w:p>
            <w:pPr>
              <w:pStyle w:val="TableParagraph"/>
              <w:spacing w:line="234" w:lineRule="exact"/>
              <w:ind w:left="377"/>
              <w:rPr>
                <w:sz w:val="21"/>
              </w:rPr>
            </w:pPr>
            <w:r>
              <w:rPr>
                <w:sz w:val="21"/>
              </w:rPr>
              <w:t>（</w:t>
            </w:r>
            <w:r>
              <w:rPr>
                <w:rFonts w:ascii="Times New Roman" w:eastAsia="Times New Roman"/>
                <w:sz w:val="21"/>
              </w:rPr>
              <w:t>2</w:t>
            </w:r>
            <w:r>
              <w:rPr>
                <w:sz w:val="21"/>
              </w:rPr>
              <w:t>）持续性黄疸病史；</w:t>
            </w:r>
          </w:p>
          <w:p>
            <w:pPr>
              <w:pStyle w:val="TableParagraph"/>
              <w:spacing w:before="21"/>
              <w:ind w:left="377"/>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377"/>
              <w:rPr>
                <w:b/>
                <w:sz w:val="21"/>
              </w:rPr>
            </w:pPr>
            <w:r>
              <w:rPr>
                <w:b/>
                <w:sz w:val="21"/>
              </w:rPr>
              <w:t>因肿瘤或胆管损伤等继发性的硬化性胆管炎不在保障范围内。</w:t>
            </w:r>
          </w:p>
        </w:tc>
      </w:tr>
      <w:tr>
        <w:trPr>
          <w:trHeight w:val="3120" w:hRule="atLeast"/>
        </w:trPr>
        <w:tc>
          <w:tcPr>
            <w:tcW w:w="516" w:type="dxa"/>
          </w:tcPr>
          <w:p>
            <w:pPr>
              <w:pStyle w:val="TableParagraph"/>
              <w:spacing w:before="38"/>
              <w:ind w:right="51"/>
              <w:jc w:val="right"/>
              <w:rPr>
                <w:rFonts w:ascii="Times New Roman"/>
                <w:sz w:val="21"/>
              </w:rPr>
            </w:pPr>
            <w:r>
              <w:rPr>
                <w:rFonts w:ascii="Times New Roman"/>
                <w:sz w:val="21"/>
              </w:rPr>
              <w:t>52.</w:t>
            </w:r>
          </w:p>
        </w:tc>
        <w:tc>
          <w:tcPr>
            <w:tcW w:w="2588" w:type="dxa"/>
          </w:tcPr>
          <w:p>
            <w:pPr>
              <w:pStyle w:val="TableParagraph"/>
              <w:spacing w:line="282" w:lineRule="exact"/>
              <w:ind w:left="51"/>
              <w:rPr>
                <w:sz w:val="21"/>
              </w:rPr>
            </w:pPr>
            <w:r>
              <w:rPr>
                <w:sz w:val="21"/>
              </w:rPr>
              <w:t>经输血导致的 </w:t>
            </w:r>
            <w:r>
              <w:rPr>
                <w:rFonts w:ascii="Times New Roman" w:eastAsia="Times New Roman"/>
                <w:sz w:val="21"/>
              </w:rPr>
              <w:t>HIV </w:t>
            </w:r>
            <w:r>
              <w:rPr>
                <w:sz w:val="21"/>
              </w:rPr>
              <w:t>感染</w:t>
            </w:r>
          </w:p>
        </w:tc>
        <w:tc>
          <w:tcPr>
            <w:tcW w:w="7269" w:type="dxa"/>
          </w:tcPr>
          <w:p>
            <w:pPr>
              <w:pStyle w:val="TableParagraph"/>
              <w:spacing w:line="282" w:lineRule="exact"/>
              <w:ind w:left="377"/>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377"/>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377" w:right="250"/>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377"/>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377" w:right="307"/>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 并对这些样本进行独立检验。</w:t>
            </w:r>
          </w:p>
          <w:p>
            <w:pPr>
              <w:pStyle w:val="TableParagraph"/>
              <w:spacing w:line="312" w:lineRule="exact" w:before="12"/>
              <w:ind w:left="377" w:right="312"/>
              <w:rPr>
                <w:sz w:val="21"/>
              </w:rPr>
            </w:pPr>
            <w:r>
              <w:rPr>
                <w:sz w:val="21"/>
              </w:rPr>
              <w:t>我们承担本项疾病责任不受本合同“责任免除”中“被保险人感染艾滋病病毒或患艾滋病”的限制。</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53.</w:t>
            </w:r>
          </w:p>
        </w:tc>
        <w:tc>
          <w:tcPr>
            <w:tcW w:w="2588" w:type="dxa"/>
          </w:tcPr>
          <w:p>
            <w:pPr>
              <w:pStyle w:val="TableParagraph"/>
              <w:spacing w:line="266" w:lineRule="exact"/>
              <w:ind w:left="51"/>
              <w:rPr>
                <w:sz w:val="21"/>
              </w:rPr>
            </w:pPr>
            <w:r>
              <w:rPr>
                <w:sz w:val="21"/>
              </w:rPr>
              <w:t>疯牛病</w:t>
            </w:r>
          </w:p>
        </w:tc>
        <w:tc>
          <w:tcPr>
            <w:tcW w:w="7269" w:type="dxa"/>
          </w:tcPr>
          <w:p>
            <w:pPr>
              <w:pStyle w:val="TableParagraph"/>
              <w:spacing w:line="273" w:lineRule="auto"/>
              <w:ind w:left="377" w:right="312"/>
              <w:jc w:val="both"/>
              <w:rPr>
                <w:sz w:val="21"/>
              </w:rPr>
            </w:pPr>
            <w:r>
              <w:rPr>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pStyle w:val="TableParagraph"/>
              <w:spacing w:before="16"/>
              <w:ind w:left="377"/>
              <w:jc w:val="both"/>
              <w:rPr>
                <w:b/>
                <w:sz w:val="21"/>
              </w:rPr>
            </w:pPr>
            <w:r>
              <w:rPr>
                <w:b/>
                <w:sz w:val="21"/>
              </w:rPr>
              <w:t>疑似诊断不作为理赔依据。</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54.</w:t>
            </w:r>
          </w:p>
        </w:tc>
        <w:tc>
          <w:tcPr>
            <w:tcW w:w="2588" w:type="dxa"/>
          </w:tcPr>
          <w:p>
            <w:pPr>
              <w:pStyle w:val="TableParagraph"/>
              <w:spacing w:line="266" w:lineRule="exact"/>
              <w:ind w:left="51"/>
              <w:rPr>
                <w:sz w:val="21"/>
              </w:rPr>
            </w:pPr>
            <w:r>
              <w:rPr>
                <w:sz w:val="21"/>
              </w:rPr>
              <w:t>慢性复发性胰腺炎</w:t>
            </w:r>
          </w:p>
        </w:tc>
        <w:tc>
          <w:tcPr>
            <w:tcW w:w="7269" w:type="dxa"/>
          </w:tcPr>
          <w:p>
            <w:pPr>
              <w:pStyle w:val="TableParagraph"/>
              <w:spacing w:line="261" w:lineRule="auto"/>
              <w:ind w:left="377" w:right="201"/>
              <w:rPr>
                <w:sz w:val="21"/>
              </w:rPr>
            </w:pPr>
            <w:r>
              <w:rPr>
                <w:sz w:val="21"/>
              </w:rPr>
              <w:t>指有腹痛等典型症状的胰腺炎反复发作，导致胰腺进行性破坏，并导致</w:t>
            </w:r>
            <w:r>
              <w:rPr>
                <w:spacing w:val="-8"/>
                <w:sz w:val="21"/>
              </w:rPr>
              <w:t>胰腺功能紊乱而导致严重糖尿病以及营养不良、恶液质。断层扫描</w:t>
            </w:r>
            <w:r>
              <w:rPr>
                <w:sz w:val="21"/>
              </w:rPr>
              <w:t>（</w:t>
            </w:r>
            <w:r>
              <w:rPr>
                <w:rFonts w:ascii="Times New Roman" w:eastAsia="Times New Roman"/>
                <w:sz w:val="21"/>
              </w:rPr>
              <w:t>CT</w:t>
            </w:r>
            <w:r>
              <w:rPr>
                <w:sz w:val="21"/>
              </w:rPr>
              <w:t>） </w:t>
            </w:r>
            <w:r>
              <w:rPr>
                <w:spacing w:val="-7"/>
                <w:sz w:val="21"/>
              </w:rPr>
              <w:t>证实胰腺存在广泛钙化，且必须接受酶替代以及胰岛素替代治疗</w:t>
            </w:r>
            <w:r>
              <w:rPr>
                <w:rFonts w:ascii="Times New Roman" w:eastAsia="Times New Roman"/>
                <w:spacing w:val="-3"/>
                <w:sz w:val="21"/>
              </w:rPr>
              <w:t>6</w:t>
            </w:r>
            <w:r>
              <w:rPr>
                <w:spacing w:val="-2"/>
                <w:sz w:val="21"/>
              </w:rPr>
              <w:t>个月以</w:t>
            </w:r>
            <w:r>
              <w:rPr>
                <w:spacing w:val="-3"/>
                <w:sz w:val="21"/>
              </w:rPr>
              <w:t>上。诊断必须由消化科专科医生确诊。</w:t>
            </w:r>
          </w:p>
          <w:p>
            <w:pPr>
              <w:pStyle w:val="TableParagraph"/>
              <w:spacing w:before="27"/>
              <w:ind w:left="377"/>
              <w:rPr>
                <w:b/>
                <w:sz w:val="21"/>
              </w:rPr>
            </w:pPr>
            <w:r>
              <w:rPr>
                <w:b/>
                <w:sz w:val="21"/>
              </w:rPr>
              <w:t>酒精导致的慢性复发性胰腺炎不在保障范围内。</w:t>
            </w:r>
          </w:p>
        </w:tc>
      </w:tr>
      <w:tr>
        <w:trPr>
          <w:trHeight w:val="1872" w:hRule="atLeast"/>
        </w:trPr>
        <w:tc>
          <w:tcPr>
            <w:tcW w:w="516" w:type="dxa"/>
          </w:tcPr>
          <w:p>
            <w:pPr>
              <w:pStyle w:val="TableParagraph"/>
              <w:spacing w:before="38"/>
              <w:ind w:right="51"/>
              <w:jc w:val="right"/>
              <w:rPr>
                <w:rFonts w:ascii="Times New Roman"/>
                <w:sz w:val="21"/>
              </w:rPr>
            </w:pPr>
            <w:r>
              <w:rPr>
                <w:rFonts w:ascii="Times New Roman"/>
                <w:sz w:val="21"/>
              </w:rPr>
              <w:t>55.</w:t>
            </w:r>
          </w:p>
        </w:tc>
        <w:tc>
          <w:tcPr>
            <w:tcW w:w="2588" w:type="dxa"/>
          </w:tcPr>
          <w:p>
            <w:pPr>
              <w:pStyle w:val="TableParagraph"/>
              <w:spacing w:line="266" w:lineRule="exact"/>
              <w:ind w:left="51"/>
              <w:rPr>
                <w:sz w:val="21"/>
              </w:rPr>
            </w:pPr>
            <w:r>
              <w:rPr>
                <w:sz w:val="21"/>
              </w:rPr>
              <w:t>神经白塞病</w:t>
            </w:r>
          </w:p>
        </w:tc>
        <w:tc>
          <w:tcPr>
            <w:tcW w:w="7269" w:type="dxa"/>
          </w:tcPr>
          <w:p>
            <w:pPr>
              <w:pStyle w:val="TableParagraph"/>
              <w:spacing w:line="273" w:lineRule="auto"/>
              <w:ind w:left="377" w:right="149"/>
              <w:rPr>
                <w:sz w:val="21"/>
              </w:rPr>
            </w:pPr>
            <w:r>
              <w:rPr>
                <w:sz w:val="21"/>
              </w:rPr>
              <w:t>白塞病是一种慢性全身性血管炎症性疾病，主要表现为复发性口腔溃疡、生殖器溃疡、眼炎及皮肤损害，并可累及大血管、神经系统、消化道、肺、肾等等。累及神经系统损害的白塞病称为神经白塞病。神经白塞病必须明确诊断，并且已经造成永久不可逆的神经系统功能损害。须满足自主生活能力完全丧失，无法独立完成六项基本日常生活活动中的三项</w:t>
            </w:r>
          </w:p>
          <w:p>
            <w:pPr>
              <w:pStyle w:val="TableParagraph"/>
              <w:spacing w:before="16"/>
              <w:ind w:left="377"/>
              <w:rPr>
                <w:sz w:val="21"/>
              </w:rPr>
            </w:pPr>
            <w:r>
              <w:rPr>
                <w:sz w:val="21"/>
              </w:rPr>
              <w:t>或三项以上的条件。</w:t>
            </w:r>
          </w:p>
        </w:tc>
      </w:tr>
      <w:tr>
        <w:trPr>
          <w:trHeight w:val="2816" w:hRule="atLeast"/>
        </w:trPr>
        <w:tc>
          <w:tcPr>
            <w:tcW w:w="516" w:type="dxa"/>
          </w:tcPr>
          <w:p>
            <w:pPr>
              <w:pStyle w:val="TableParagraph"/>
              <w:spacing w:before="38"/>
              <w:ind w:right="51"/>
              <w:jc w:val="right"/>
              <w:rPr>
                <w:rFonts w:ascii="Times New Roman"/>
                <w:sz w:val="21"/>
              </w:rPr>
            </w:pPr>
            <w:r>
              <w:rPr>
                <w:rFonts w:ascii="Times New Roman"/>
                <w:sz w:val="21"/>
              </w:rPr>
              <w:t>56.</w:t>
            </w:r>
          </w:p>
        </w:tc>
        <w:tc>
          <w:tcPr>
            <w:tcW w:w="2588" w:type="dxa"/>
          </w:tcPr>
          <w:p>
            <w:pPr>
              <w:pStyle w:val="TableParagraph"/>
              <w:spacing w:line="266" w:lineRule="exact"/>
              <w:ind w:left="51"/>
              <w:rPr>
                <w:sz w:val="21"/>
              </w:rPr>
            </w:pPr>
            <w:r>
              <w:rPr>
                <w:sz w:val="21"/>
              </w:rPr>
              <w:t>肺源性心脏病</w:t>
            </w:r>
          </w:p>
        </w:tc>
        <w:tc>
          <w:tcPr>
            <w:tcW w:w="7269" w:type="dxa"/>
          </w:tcPr>
          <w:p>
            <w:pPr>
              <w:pStyle w:val="TableParagraph"/>
              <w:spacing w:line="273" w:lineRule="auto"/>
              <w:ind w:left="377" w:right="312"/>
              <w:jc w:val="both"/>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16"/>
              <w:ind w:left="377"/>
              <w:jc w:val="both"/>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0"/>
              <w:ind w:left="377"/>
              <w:jc w:val="both"/>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377"/>
              <w:jc w:val="both"/>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377"/>
              <w:jc w:val="both"/>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377"/>
              <w:jc w:val="both"/>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ind w:left="377"/>
              <w:jc w:val="both"/>
              <w:rPr>
                <w:sz w:val="21"/>
              </w:rPr>
            </w:pPr>
            <w:r>
              <w:rPr>
                <w:sz w:val="21"/>
              </w:rPr>
              <w:t>（</w:t>
            </w:r>
            <w:r>
              <w:rPr>
                <w:rFonts w:ascii="Times New Roman" w:eastAsia="Times New Roman"/>
                <w:sz w:val="21"/>
              </w:rPr>
              <w:t>6</w:t>
            </w:r>
            <w:r>
              <w:rPr>
                <w:sz w:val="21"/>
              </w:rPr>
              <w:t>）右心室过度肥大、扩张，出现右心衰竭和呼吸困难。</w:t>
            </w:r>
          </w:p>
        </w:tc>
      </w:tr>
      <w:tr>
        <w:trPr>
          <w:trHeight w:val="1818" w:hRule="atLeast"/>
        </w:trPr>
        <w:tc>
          <w:tcPr>
            <w:tcW w:w="516" w:type="dxa"/>
          </w:tcPr>
          <w:p>
            <w:pPr>
              <w:pStyle w:val="TableParagraph"/>
              <w:spacing w:before="30"/>
              <w:ind w:right="51"/>
              <w:jc w:val="right"/>
              <w:rPr>
                <w:rFonts w:ascii="Times New Roman"/>
                <w:sz w:val="21"/>
              </w:rPr>
            </w:pPr>
            <w:r>
              <w:rPr>
                <w:rFonts w:ascii="Times New Roman"/>
                <w:sz w:val="21"/>
              </w:rPr>
              <w:t>57.</w:t>
            </w:r>
          </w:p>
        </w:tc>
        <w:tc>
          <w:tcPr>
            <w:tcW w:w="2588" w:type="dxa"/>
          </w:tcPr>
          <w:p>
            <w:pPr>
              <w:pStyle w:val="TableParagraph"/>
              <w:spacing w:line="258" w:lineRule="exact"/>
              <w:ind w:left="51"/>
              <w:rPr>
                <w:sz w:val="21"/>
              </w:rPr>
            </w:pPr>
            <w:r>
              <w:rPr>
                <w:sz w:val="21"/>
              </w:rPr>
              <w:t>严重肌营养不良症</w:t>
            </w:r>
          </w:p>
        </w:tc>
        <w:tc>
          <w:tcPr>
            <w:tcW w:w="7269" w:type="dxa"/>
          </w:tcPr>
          <w:p>
            <w:pPr>
              <w:pStyle w:val="TableParagraph"/>
              <w:spacing w:line="258" w:lineRule="exact"/>
              <w:ind w:left="377"/>
              <w:rPr>
                <w:sz w:val="21"/>
              </w:rPr>
            </w:pPr>
            <w:r>
              <w:rPr>
                <w:sz w:val="21"/>
              </w:rPr>
              <w:t>指一组原发于肌肉的遗传性疾病，临床表现为与神经系统无关的肌肉无</w:t>
            </w:r>
          </w:p>
          <w:p>
            <w:pPr>
              <w:pStyle w:val="TableParagraph"/>
              <w:spacing w:before="37"/>
              <w:ind w:left="377"/>
              <w:rPr>
                <w:sz w:val="21"/>
              </w:rPr>
            </w:pPr>
            <w:r>
              <w:rPr>
                <w:sz w:val="21"/>
              </w:rPr>
              <w:t>力和肌肉萎缩。且须满足下列全部条件：</w:t>
            </w:r>
          </w:p>
          <w:p>
            <w:pPr>
              <w:pStyle w:val="TableParagraph"/>
              <w:spacing w:line="256" w:lineRule="auto" w:before="37"/>
              <w:ind w:left="377" w:right="250"/>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90" w:lineRule="atLeast" w:before="22"/>
              <w:ind w:left="377" w:right="25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bl>
    <w:p>
      <w:pPr>
        <w:spacing w:after="0" w:line="290" w:lineRule="atLeast"/>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56"/>
        <w:gridCol w:w="7100"/>
      </w:tblGrid>
      <w:tr>
        <w:trPr>
          <w:trHeight w:val="569" w:hRule="atLeast"/>
        </w:trPr>
        <w:tc>
          <w:tcPr>
            <w:tcW w:w="516" w:type="dxa"/>
          </w:tcPr>
          <w:p>
            <w:pPr>
              <w:pStyle w:val="TableParagraph"/>
              <w:rPr>
                <w:rFonts w:ascii="Times New Roman"/>
                <w:sz w:val="20"/>
              </w:rPr>
            </w:pPr>
          </w:p>
        </w:tc>
        <w:tc>
          <w:tcPr>
            <w:tcW w:w="2756" w:type="dxa"/>
          </w:tcPr>
          <w:p>
            <w:pPr>
              <w:pStyle w:val="TableParagraph"/>
              <w:rPr>
                <w:rFonts w:ascii="Times New Roman"/>
                <w:sz w:val="20"/>
              </w:rPr>
            </w:pPr>
          </w:p>
        </w:tc>
        <w:tc>
          <w:tcPr>
            <w:tcW w:w="7100" w:type="dxa"/>
          </w:tcPr>
          <w:p>
            <w:pPr>
              <w:pStyle w:val="TableParagraph"/>
              <w:spacing w:line="202" w:lineRule="exact"/>
              <w:ind w:left="209"/>
              <w:rPr>
                <w:sz w:val="21"/>
              </w:rPr>
            </w:pPr>
            <w:r>
              <w:rPr>
                <w:sz w:val="21"/>
              </w:rPr>
              <w:t>我们承担本项疾病责任不受本合同“责任免除”中“遗传性疾病，先天</w:t>
            </w:r>
          </w:p>
          <w:p>
            <w:pPr>
              <w:pStyle w:val="TableParagraph"/>
              <w:spacing w:before="37"/>
              <w:ind w:left="209"/>
              <w:rPr>
                <w:sz w:val="21"/>
              </w:rPr>
            </w:pPr>
            <w:r>
              <w:rPr>
                <w:sz w:val="21"/>
              </w:rPr>
              <w:t>性畸形、变形或染色体异常”的限制。</w:t>
            </w:r>
          </w:p>
        </w:tc>
      </w:tr>
      <w:tr>
        <w:trPr>
          <w:trHeight w:val="624" w:hRule="atLeast"/>
        </w:trPr>
        <w:tc>
          <w:tcPr>
            <w:tcW w:w="516" w:type="dxa"/>
          </w:tcPr>
          <w:p>
            <w:pPr>
              <w:pStyle w:val="TableParagraph"/>
              <w:spacing w:before="29"/>
              <w:ind w:right="51"/>
              <w:jc w:val="right"/>
              <w:rPr>
                <w:rFonts w:ascii="Times New Roman"/>
                <w:sz w:val="21"/>
              </w:rPr>
            </w:pPr>
            <w:r>
              <w:rPr>
                <w:rFonts w:ascii="Times New Roman"/>
                <w:sz w:val="21"/>
              </w:rPr>
              <w:t>58.</w:t>
            </w:r>
          </w:p>
        </w:tc>
        <w:tc>
          <w:tcPr>
            <w:tcW w:w="2756" w:type="dxa"/>
          </w:tcPr>
          <w:p>
            <w:pPr>
              <w:pStyle w:val="TableParagraph"/>
              <w:spacing w:line="257" w:lineRule="exact"/>
              <w:ind w:left="51"/>
              <w:rPr>
                <w:sz w:val="21"/>
              </w:rPr>
            </w:pPr>
            <w:r>
              <w:rPr>
                <w:sz w:val="21"/>
              </w:rPr>
              <w:t>严重川崎病</w:t>
            </w:r>
          </w:p>
        </w:tc>
        <w:tc>
          <w:tcPr>
            <w:tcW w:w="7100" w:type="dxa"/>
          </w:tcPr>
          <w:p>
            <w:pPr>
              <w:pStyle w:val="TableParagraph"/>
              <w:spacing w:line="257" w:lineRule="exact"/>
              <w:ind w:left="209"/>
              <w:rPr>
                <w:b/>
                <w:sz w:val="21"/>
              </w:rPr>
            </w:pPr>
            <w:r>
              <w:rPr>
                <w:sz w:val="21"/>
              </w:rPr>
              <w:t>为一种病因不明的系统性血管炎。</w:t>
            </w:r>
            <w:r>
              <w:rPr>
                <w:b/>
                <w:sz w:val="21"/>
              </w:rPr>
              <w:t>本合同仅对诊断性检查证实川崎病并</w:t>
            </w:r>
          </w:p>
          <w:p>
            <w:pPr>
              <w:pStyle w:val="TableParagraph"/>
              <w:spacing w:before="37"/>
              <w:ind w:left="209"/>
              <w:rPr>
                <w:b/>
                <w:sz w:val="21"/>
              </w:rPr>
            </w:pPr>
            <w:r>
              <w:rPr>
                <w:b/>
                <w:sz w:val="21"/>
              </w:rPr>
              <w:t>发动脉瘤或其他心血管异常并且实际接受了手术治疗的情况予以理赔。</w:t>
            </w:r>
          </w:p>
        </w:tc>
      </w:tr>
      <w:tr>
        <w:trPr>
          <w:trHeight w:val="2816" w:hRule="atLeast"/>
        </w:trPr>
        <w:tc>
          <w:tcPr>
            <w:tcW w:w="516" w:type="dxa"/>
          </w:tcPr>
          <w:p>
            <w:pPr>
              <w:pStyle w:val="TableParagraph"/>
              <w:spacing w:before="29"/>
              <w:ind w:right="51"/>
              <w:jc w:val="right"/>
              <w:rPr>
                <w:rFonts w:ascii="Times New Roman"/>
                <w:sz w:val="21"/>
              </w:rPr>
            </w:pPr>
            <w:r>
              <w:rPr>
                <w:rFonts w:ascii="Times New Roman"/>
                <w:sz w:val="21"/>
              </w:rPr>
              <w:t>59.</w:t>
            </w:r>
          </w:p>
        </w:tc>
        <w:tc>
          <w:tcPr>
            <w:tcW w:w="2756" w:type="dxa"/>
          </w:tcPr>
          <w:p>
            <w:pPr>
              <w:pStyle w:val="TableParagraph"/>
              <w:spacing w:line="257" w:lineRule="exact"/>
              <w:ind w:left="51"/>
              <w:rPr>
                <w:sz w:val="21"/>
              </w:rPr>
            </w:pPr>
            <w:r>
              <w:rPr>
                <w:sz w:val="21"/>
              </w:rPr>
              <w:t>严重自身免疫性肝炎</w:t>
            </w:r>
          </w:p>
        </w:tc>
        <w:tc>
          <w:tcPr>
            <w:tcW w:w="7100" w:type="dxa"/>
          </w:tcPr>
          <w:p>
            <w:pPr>
              <w:pStyle w:val="TableParagraph"/>
              <w:spacing w:line="257" w:lineRule="exact"/>
              <w:ind w:left="209"/>
              <w:rPr>
                <w:sz w:val="21"/>
              </w:rPr>
            </w:pPr>
            <w:r>
              <w:rPr>
                <w:sz w:val="21"/>
              </w:rPr>
              <w:t>自身免疫性肝炎是一种原因不明的慢性肝脏的坏死性炎性疾病，机体免</w:t>
            </w:r>
          </w:p>
          <w:p>
            <w:pPr>
              <w:pStyle w:val="TableParagraph"/>
              <w:spacing w:line="273" w:lineRule="auto" w:before="37"/>
              <w:ind w:left="209" w:right="311"/>
              <w:jc w:val="both"/>
              <w:rPr>
                <w:sz w:val="21"/>
              </w:rPr>
            </w:pPr>
            <w:r>
              <w:rPr>
                <w:sz w:val="21"/>
              </w:rPr>
              <w:t>疫机制被破坏，产生针对肝脏自身抗原的抗体导致自身免疫反应，从而破坏肝细胞造成肝脏炎症坏死，进而发展为肝硬化。必须满足所有以下条件：</w:t>
            </w:r>
          </w:p>
          <w:p>
            <w:pPr>
              <w:pStyle w:val="TableParagraph"/>
              <w:spacing w:before="7"/>
              <w:ind w:left="209"/>
              <w:rPr>
                <w:sz w:val="21"/>
              </w:rPr>
            </w:pPr>
            <w:r>
              <w:rPr>
                <w:sz w:val="21"/>
              </w:rPr>
              <w:t>（</w:t>
            </w:r>
            <w:r>
              <w:rPr>
                <w:rFonts w:ascii="Times New Roman" w:hAnsi="Times New Roman" w:eastAsia="Times New Roman"/>
                <w:sz w:val="21"/>
              </w:rPr>
              <w:t>1</w:t>
            </w:r>
            <w:r>
              <w:rPr>
                <w:sz w:val="21"/>
              </w:rPr>
              <w:t>）高 </w:t>
            </w:r>
            <w:r>
              <w:rPr>
                <w:rFonts w:ascii="Times New Roman" w:hAnsi="Times New Roman" w:eastAsia="Times New Roman"/>
                <w:sz w:val="21"/>
              </w:rPr>
              <w:t>γ </w:t>
            </w:r>
            <w:r>
              <w:rPr>
                <w:sz w:val="21"/>
              </w:rPr>
              <w:t>球蛋白血症；</w:t>
            </w:r>
          </w:p>
          <w:p>
            <w:pPr>
              <w:pStyle w:val="TableParagraph"/>
              <w:spacing w:line="256" w:lineRule="auto" w:before="20"/>
              <w:ind w:left="209" w:right="308"/>
              <w:rPr>
                <w:sz w:val="21"/>
              </w:rPr>
            </w:pPr>
            <w:r>
              <w:rPr>
                <w:spacing w:val="-19"/>
                <w:sz w:val="21"/>
              </w:rPr>
              <w:t>（</w:t>
            </w:r>
            <w:r>
              <w:rPr>
                <w:rFonts w:ascii="Times New Roman" w:eastAsia="Times New Roman"/>
                <w:spacing w:val="-19"/>
                <w:sz w:val="21"/>
              </w:rPr>
              <w:t>2</w:t>
            </w:r>
            <w:r>
              <w:rPr>
                <w:spacing w:val="-19"/>
                <w:sz w:val="21"/>
              </w:rPr>
              <w:t>）</w:t>
            </w:r>
            <w:r>
              <w:rPr>
                <w:spacing w:val="-8"/>
                <w:sz w:val="21"/>
              </w:rPr>
              <w:t>血液中存在高水平的自身免疫抗体，如 </w:t>
            </w:r>
            <w:r>
              <w:rPr>
                <w:rFonts w:ascii="Times New Roman" w:eastAsia="Times New Roman"/>
                <w:spacing w:val="-15"/>
                <w:sz w:val="21"/>
              </w:rPr>
              <w:t>ANA</w:t>
            </w:r>
            <w:r>
              <w:rPr>
                <w:spacing w:val="-15"/>
                <w:sz w:val="21"/>
              </w:rPr>
              <w:t>（</w:t>
            </w:r>
            <w:r>
              <w:rPr>
                <w:spacing w:val="-1"/>
                <w:sz w:val="21"/>
              </w:rPr>
              <w:t>抗核抗体</w:t>
            </w:r>
            <w:r>
              <w:rPr>
                <w:spacing w:val="-108"/>
                <w:sz w:val="21"/>
              </w:rPr>
              <w:t>）</w:t>
            </w:r>
            <w:r>
              <w:rPr>
                <w:spacing w:val="-53"/>
                <w:sz w:val="21"/>
              </w:rPr>
              <w:t>、</w:t>
            </w:r>
            <w:r>
              <w:rPr>
                <w:rFonts w:ascii="Times New Roman" w:eastAsia="Times New Roman"/>
                <w:spacing w:val="-15"/>
                <w:sz w:val="21"/>
              </w:rPr>
              <w:t>SMA</w:t>
            </w:r>
            <w:r>
              <w:rPr>
                <w:spacing w:val="-15"/>
                <w:sz w:val="21"/>
              </w:rPr>
              <w:t>（</w:t>
            </w:r>
            <w:r>
              <w:rPr>
                <w:spacing w:val="-3"/>
                <w:sz w:val="21"/>
              </w:rPr>
              <w:t>抗</w:t>
            </w:r>
            <w:r>
              <w:rPr>
                <w:spacing w:val="-2"/>
                <w:sz w:val="21"/>
              </w:rPr>
              <w:t>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4"/>
              <w:ind w:left="209"/>
              <w:jc w:val="both"/>
              <w:rPr>
                <w:sz w:val="21"/>
              </w:rPr>
            </w:pPr>
            <w:r>
              <w:rPr>
                <w:sz w:val="21"/>
              </w:rPr>
              <w:t>（</w:t>
            </w:r>
            <w:r>
              <w:rPr>
                <w:rFonts w:ascii="Times New Roman" w:eastAsia="Times New Roman"/>
                <w:sz w:val="21"/>
              </w:rPr>
              <w:t>3</w:t>
            </w:r>
            <w:r>
              <w:rPr>
                <w:sz w:val="21"/>
              </w:rPr>
              <w:t>）肝脏活检证实免疫性肝炎；</w:t>
            </w:r>
          </w:p>
          <w:p>
            <w:pPr>
              <w:pStyle w:val="TableParagraph"/>
              <w:spacing w:before="21"/>
              <w:ind w:left="209"/>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935" w:hRule="atLeast"/>
        </w:trPr>
        <w:tc>
          <w:tcPr>
            <w:tcW w:w="516" w:type="dxa"/>
          </w:tcPr>
          <w:p>
            <w:pPr>
              <w:pStyle w:val="TableParagraph"/>
              <w:spacing w:before="21"/>
              <w:ind w:right="51"/>
              <w:jc w:val="right"/>
              <w:rPr>
                <w:rFonts w:ascii="Times New Roman"/>
                <w:sz w:val="21"/>
              </w:rPr>
            </w:pPr>
            <w:r>
              <w:rPr>
                <w:rFonts w:ascii="Times New Roman"/>
                <w:sz w:val="21"/>
              </w:rPr>
              <w:t>60.</w:t>
            </w:r>
          </w:p>
        </w:tc>
        <w:tc>
          <w:tcPr>
            <w:tcW w:w="2756" w:type="dxa"/>
          </w:tcPr>
          <w:p>
            <w:pPr>
              <w:pStyle w:val="TableParagraph"/>
              <w:spacing w:line="249" w:lineRule="exact"/>
              <w:ind w:left="51"/>
              <w:rPr>
                <w:sz w:val="21"/>
              </w:rPr>
            </w:pPr>
            <w:r>
              <w:rPr>
                <w:sz w:val="21"/>
              </w:rPr>
              <w:t>严重心肌炎</w:t>
            </w:r>
          </w:p>
        </w:tc>
        <w:tc>
          <w:tcPr>
            <w:tcW w:w="7100" w:type="dxa"/>
          </w:tcPr>
          <w:p>
            <w:pPr>
              <w:pStyle w:val="TableParagraph"/>
              <w:spacing w:line="265" w:lineRule="exact"/>
              <w:ind w:left="209"/>
              <w:rPr>
                <w:sz w:val="21"/>
              </w:rPr>
            </w:pPr>
            <w:r>
              <w:rPr>
                <w:spacing w:val="-3"/>
                <w:sz w:val="21"/>
              </w:rPr>
              <w:t>心肌的严重感染而导致至少持续 </w:t>
            </w:r>
            <w:r>
              <w:rPr>
                <w:rFonts w:ascii="Times New Roman" w:eastAsia="Times New Roman"/>
                <w:sz w:val="21"/>
              </w:rPr>
              <w:t>6 </w:t>
            </w:r>
            <w:r>
              <w:rPr>
                <w:spacing w:val="-3"/>
                <w:sz w:val="21"/>
              </w:rPr>
              <w:t>个月的心功能损害。严重的心功能损</w:t>
            </w:r>
          </w:p>
          <w:p>
            <w:pPr>
              <w:pStyle w:val="TableParagraph"/>
              <w:spacing w:line="256" w:lineRule="auto" w:before="21"/>
              <w:ind w:left="209" w:right="306"/>
              <w:rPr>
                <w:sz w:val="21"/>
              </w:rPr>
            </w:pPr>
            <w:r>
              <w:rPr>
                <w:spacing w:val="-7"/>
                <w:sz w:val="21"/>
              </w:rPr>
              <w:t>害必须具备如下条件：左室腔扩大至少达到正常值上限的 </w:t>
            </w:r>
            <w:r>
              <w:rPr>
                <w:rFonts w:ascii="Times New Roman" w:eastAsia="Times New Roman"/>
                <w:spacing w:val="-7"/>
                <w:sz w:val="21"/>
              </w:rPr>
              <w:t>120%</w:t>
            </w:r>
            <w:r>
              <w:rPr>
                <w:spacing w:val="-3"/>
                <w:sz w:val="21"/>
              </w:rPr>
              <w:t>，且左室</w:t>
            </w:r>
            <w:r>
              <w:rPr>
                <w:spacing w:val="-7"/>
                <w:sz w:val="21"/>
              </w:rPr>
              <w:t>射血分数持续性低于 </w:t>
            </w:r>
            <w:r>
              <w:rPr>
                <w:rFonts w:ascii="Times New Roman" w:eastAsia="Times New Roman"/>
                <w:sz w:val="21"/>
              </w:rPr>
              <w:t>40%</w:t>
            </w:r>
            <w:r>
              <w:rPr>
                <w:sz w:val="21"/>
              </w:rPr>
              <w:t>。</w:t>
            </w:r>
          </w:p>
        </w:tc>
      </w:tr>
      <w:tr>
        <w:trPr>
          <w:trHeight w:val="624" w:hRule="atLeast"/>
        </w:trPr>
        <w:tc>
          <w:tcPr>
            <w:tcW w:w="516" w:type="dxa"/>
          </w:tcPr>
          <w:p>
            <w:pPr>
              <w:pStyle w:val="TableParagraph"/>
              <w:spacing w:before="21"/>
              <w:ind w:right="51"/>
              <w:jc w:val="right"/>
              <w:rPr>
                <w:rFonts w:ascii="Times New Roman"/>
                <w:sz w:val="21"/>
              </w:rPr>
            </w:pPr>
            <w:r>
              <w:rPr>
                <w:rFonts w:ascii="Times New Roman"/>
                <w:sz w:val="21"/>
              </w:rPr>
              <w:t>61.</w:t>
            </w:r>
          </w:p>
        </w:tc>
        <w:tc>
          <w:tcPr>
            <w:tcW w:w="2756" w:type="dxa"/>
          </w:tcPr>
          <w:p>
            <w:pPr>
              <w:pStyle w:val="TableParagraph"/>
              <w:spacing w:line="249" w:lineRule="exact"/>
              <w:ind w:left="51"/>
              <w:rPr>
                <w:sz w:val="21"/>
              </w:rPr>
            </w:pPr>
            <w:r>
              <w:rPr>
                <w:sz w:val="21"/>
              </w:rPr>
              <w:t>严重面部烧伤</w:t>
            </w:r>
          </w:p>
        </w:tc>
        <w:tc>
          <w:tcPr>
            <w:tcW w:w="7100" w:type="dxa"/>
          </w:tcPr>
          <w:p>
            <w:pPr>
              <w:pStyle w:val="TableParagraph"/>
              <w:spacing w:line="249" w:lineRule="exact"/>
              <w:ind w:left="209"/>
              <w:rPr>
                <w:sz w:val="21"/>
              </w:rPr>
            </w:pPr>
            <w:r>
              <w:rPr>
                <w:sz w:val="21"/>
              </w:rPr>
              <w:t>指面部烧伤程度为Ⅲ度，即全层皮肤烧伤，包括表皮、真皮和皮下组织，</w:t>
            </w:r>
          </w:p>
          <w:p>
            <w:pPr>
              <w:pStyle w:val="TableParagraph"/>
              <w:spacing w:before="37"/>
              <w:ind w:left="209"/>
              <w:rPr>
                <w:sz w:val="21"/>
              </w:rPr>
            </w:pPr>
            <w:r>
              <w:rPr>
                <w:sz w:val="21"/>
              </w:rPr>
              <w:t>且Ⅲ度烧伤的面积达到面部表面积的 </w:t>
            </w:r>
            <w:r>
              <w:rPr>
                <w:rFonts w:ascii="Times New Roman" w:hAnsi="Times New Roman" w:eastAsia="Times New Roman"/>
                <w:sz w:val="21"/>
              </w:rPr>
              <w:t>80%</w:t>
            </w:r>
            <w:r>
              <w:rPr>
                <w:sz w:val="21"/>
              </w:rPr>
              <w:t>或者 </w:t>
            </w:r>
            <w:r>
              <w:rPr>
                <w:rFonts w:ascii="Times New Roman" w:hAnsi="Times New Roman" w:eastAsia="Times New Roman"/>
                <w:sz w:val="21"/>
              </w:rPr>
              <w:t>80%</w:t>
            </w:r>
            <w:r>
              <w:rPr>
                <w:sz w:val="21"/>
              </w:rPr>
              <w:t>以上。</w:t>
            </w:r>
          </w:p>
        </w:tc>
      </w:tr>
      <w:tr>
        <w:trPr>
          <w:trHeight w:val="2800" w:hRule="atLeast"/>
        </w:trPr>
        <w:tc>
          <w:tcPr>
            <w:tcW w:w="516" w:type="dxa"/>
          </w:tcPr>
          <w:p>
            <w:pPr>
              <w:pStyle w:val="TableParagraph"/>
              <w:spacing w:before="21"/>
              <w:ind w:right="51"/>
              <w:jc w:val="right"/>
              <w:rPr>
                <w:rFonts w:ascii="Times New Roman"/>
                <w:sz w:val="21"/>
              </w:rPr>
            </w:pPr>
            <w:r>
              <w:rPr>
                <w:rFonts w:ascii="Times New Roman"/>
                <w:sz w:val="21"/>
              </w:rPr>
              <w:t>62.</w:t>
            </w:r>
          </w:p>
        </w:tc>
        <w:tc>
          <w:tcPr>
            <w:tcW w:w="2756" w:type="dxa"/>
          </w:tcPr>
          <w:p>
            <w:pPr>
              <w:pStyle w:val="TableParagraph"/>
              <w:spacing w:line="265" w:lineRule="exact"/>
              <w:ind w:left="51"/>
              <w:rPr>
                <w:rFonts w:ascii="Times New Roman" w:eastAsia="Times New Roman"/>
                <w:sz w:val="21"/>
              </w:rPr>
            </w:pPr>
            <w:r>
              <w:rPr>
                <w:sz w:val="21"/>
              </w:rPr>
              <w:t>肝豆状核变性（或称 </w:t>
            </w:r>
            <w:r>
              <w:rPr>
                <w:rFonts w:ascii="Times New Roman" w:eastAsia="Times New Roman"/>
                <w:sz w:val="21"/>
              </w:rPr>
              <w:t>Wilson</w:t>
            </w:r>
          </w:p>
          <w:p>
            <w:pPr>
              <w:pStyle w:val="TableParagraph"/>
              <w:spacing w:before="21"/>
              <w:ind w:left="51"/>
              <w:rPr>
                <w:sz w:val="21"/>
              </w:rPr>
            </w:pPr>
            <w:r>
              <w:rPr>
                <w:sz w:val="21"/>
              </w:rPr>
              <w:t>病）</w:t>
            </w:r>
          </w:p>
        </w:tc>
        <w:tc>
          <w:tcPr>
            <w:tcW w:w="7100" w:type="dxa"/>
          </w:tcPr>
          <w:p>
            <w:pPr>
              <w:pStyle w:val="TableParagraph"/>
              <w:spacing w:line="249" w:lineRule="exact"/>
              <w:ind w:left="209"/>
              <w:rPr>
                <w:sz w:val="21"/>
              </w:rPr>
            </w:pPr>
            <w:r>
              <w:rPr>
                <w:sz w:val="21"/>
              </w:rPr>
              <w:t>指一种常染色体隐性遗传的铜代谢缺陷病，以不同程度的肝细胞损害、</w:t>
            </w:r>
          </w:p>
          <w:p>
            <w:pPr>
              <w:pStyle w:val="TableParagraph"/>
              <w:spacing w:line="273" w:lineRule="auto" w:before="37"/>
              <w:ind w:left="209" w:right="311"/>
              <w:rPr>
                <w:sz w:val="21"/>
              </w:rPr>
            </w:pPr>
            <w:r>
              <w:rPr>
                <w:sz w:val="21"/>
              </w:rPr>
              <w:t>脑退行性病变和角膜边缘有铜盐沉着环为其临床特征，并须满足下列全部条件：</w:t>
            </w:r>
          </w:p>
          <w:p>
            <w:pPr>
              <w:pStyle w:val="TableParagraph"/>
              <w:spacing w:before="7"/>
              <w:ind w:left="209"/>
              <w:rPr>
                <w:sz w:val="21"/>
              </w:rPr>
            </w:pPr>
            <w:r>
              <w:rPr>
                <w:sz w:val="21"/>
              </w:rPr>
              <w:t>（</w:t>
            </w:r>
            <w:r>
              <w:rPr>
                <w:rFonts w:ascii="Times New Roman" w:eastAsia="Times New Roman"/>
                <w:sz w:val="21"/>
              </w:rPr>
              <w:t>1</w:t>
            </w:r>
            <w:r>
              <w:rPr>
                <w:sz w:val="21"/>
              </w:rPr>
              <w:t>）典型症状；</w:t>
            </w:r>
          </w:p>
          <w:p>
            <w:pPr>
              <w:pStyle w:val="TableParagraph"/>
              <w:spacing w:before="20"/>
              <w:ind w:left="209"/>
              <w:rPr>
                <w:sz w:val="21"/>
              </w:rPr>
            </w:pPr>
            <w:r>
              <w:rPr>
                <w:w w:val="100"/>
                <w:sz w:val="21"/>
              </w:rPr>
              <w:t>（</w:t>
            </w:r>
            <w:r>
              <w:rPr>
                <w:rFonts w:ascii="Times New Roman" w:eastAsia="Times New Roman"/>
                <w:w w:val="100"/>
                <w:sz w:val="21"/>
              </w:rPr>
              <w:t>2</w:t>
            </w:r>
            <w:r>
              <w:rPr>
                <w:spacing w:val="-3"/>
                <w:w w:val="100"/>
                <w:sz w:val="21"/>
              </w:rPr>
              <w:t>）角膜色素环</w:t>
            </w:r>
            <w:r>
              <w:rPr>
                <w:spacing w:val="-1"/>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1"/>
              <w:ind w:left="209"/>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1"/>
              <w:ind w:left="209"/>
              <w:rPr>
                <w:sz w:val="21"/>
              </w:rPr>
            </w:pPr>
            <w:r>
              <w:rPr>
                <w:sz w:val="21"/>
              </w:rPr>
              <w:t>（</w:t>
            </w:r>
            <w:r>
              <w:rPr>
                <w:rFonts w:ascii="Times New Roman" w:eastAsia="Times New Roman"/>
                <w:sz w:val="21"/>
              </w:rPr>
              <w:t>4</w:t>
            </w:r>
            <w:r>
              <w:rPr>
                <w:sz w:val="21"/>
              </w:rPr>
              <w:t>）经皮做肝脏活检来定量分析肝脏铜的含量。</w:t>
            </w:r>
          </w:p>
          <w:p>
            <w:pPr>
              <w:pStyle w:val="TableParagraph"/>
              <w:spacing w:line="273" w:lineRule="auto" w:before="21"/>
              <w:ind w:left="209" w:right="311"/>
              <w:rPr>
                <w:sz w:val="21"/>
              </w:rPr>
            </w:pPr>
            <w:r>
              <w:rPr>
                <w:sz w:val="21"/>
              </w:rPr>
              <w:t>我们承担本项疾病责任不受本合同“责任免除”中“遗传性疾病，先天性畸形、变形或染色体异常”的限制。</w:t>
            </w:r>
          </w:p>
        </w:tc>
      </w:tr>
      <w:tr>
        <w:trPr>
          <w:trHeight w:val="935" w:hRule="atLeast"/>
        </w:trPr>
        <w:tc>
          <w:tcPr>
            <w:tcW w:w="516" w:type="dxa"/>
          </w:tcPr>
          <w:p>
            <w:pPr>
              <w:pStyle w:val="TableParagraph"/>
              <w:spacing w:before="29"/>
              <w:ind w:right="51"/>
              <w:jc w:val="right"/>
              <w:rPr>
                <w:rFonts w:ascii="Times New Roman"/>
                <w:sz w:val="21"/>
              </w:rPr>
            </w:pPr>
            <w:r>
              <w:rPr>
                <w:rFonts w:ascii="Times New Roman"/>
                <w:sz w:val="21"/>
              </w:rPr>
              <w:t>63.</w:t>
            </w:r>
          </w:p>
        </w:tc>
        <w:tc>
          <w:tcPr>
            <w:tcW w:w="2756" w:type="dxa"/>
          </w:tcPr>
          <w:p>
            <w:pPr>
              <w:pStyle w:val="TableParagraph"/>
              <w:spacing w:line="257" w:lineRule="exact"/>
              <w:ind w:left="51"/>
              <w:rPr>
                <w:sz w:val="21"/>
              </w:rPr>
            </w:pPr>
            <w:r>
              <w:rPr>
                <w:sz w:val="21"/>
              </w:rPr>
              <w:t>溶血性链球菌引起的坏疽</w:t>
            </w:r>
          </w:p>
        </w:tc>
        <w:tc>
          <w:tcPr>
            <w:tcW w:w="7100" w:type="dxa"/>
          </w:tcPr>
          <w:p>
            <w:pPr>
              <w:pStyle w:val="TableParagraph"/>
              <w:spacing w:line="257" w:lineRule="exact"/>
              <w:ind w:left="209"/>
              <w:rPr>
                <w:sz w:val="21"/>
              </w:rPr>
            </w:pPr>
            <w:r>
              <w:rPr>
                <w:sz w:val="21"/>
              </w:rPr>
              <w:t>躯干或肢体的浅筋膜或涉及肌肉的深筋膜感染，呈暴发性进展，必须即</w:t>
            </w:r>
          </w:p>
          <w:p>
            <w:pPr>
              <w:pStyle w:val="TableParagraph"/>
              <w:spacing w:line="273" w:lineRule="auto" w:before="37"/>
              <w:ind w:left="209" w:right="311"/>
              <w:rPr>
                <w:sz w:val="21"/>
              </w:rPr>
            </w:pPr>
            <w:r>
              <w:rPr>
                <w:sz w:val="21"/>
              </w:rPr>
              <w:t>刻手术清创。须在外科手术后进行组织培养证实溶血性链球菌坏疽并由专科医生确诊。</w:t>
            </w:r>
          </w:p>
        </w:tc>
      </w:tr>
      <w:tr>
        <w:trPr>
          <w:trHeight w:val="943" w:hRule="atLeast"/>
        </w:trPr>
        <w:tc>
          <w:tcPr>
            <w:tcW w:w="516" w:type="dxa"/>
          </w:tcPr>
          <w:p>
            <w:pPr>
              <w:pStyle w:val="TableParagraph"/>
              <w:spacing w:before="29"/>
              <w:ind w:right="51"/>
              <w:jc w:val="right"/>
              <w:rPr>
                <w:rFonts w:ascii="Times New Roman"/>
                <w:sz w:val="21"/>
              </w:rPr>
            </w:pPr>
            <w:r>
              <w:rPr>
                <w:rFonts w:ascii="Times New Roman"/>
                <w:sz w:val="21"/>
              </w:rPr>
              <w:t>64.</w:t>
            </w:r>
          </w:p>
        </w:tc>
        <w:tc>
          <w:tcPr>
            <w:tcW w:w="2756" w:type="dxa"/>
          </w:tcPr>
          <w:p>
            <w:pPr>
              <w:pStyle w:val="TableParagraph"/>
              <w:spacing w:line="257" w:lineRule="exact"/>
              <w:ind w:left="51"/>
              <w:rPr>
                <w:sz w:val="21"/>
              </w:rPr>
            </w:pPr>
            <w:r>
              <w:rPr>
                <w:sz w:val="21"/>
              </w:rPr>
              <w:t>严重肠道疾病并发症</w:t>
            </w:r>
          </w:p>
        </w:tc>
        <w:tc>
          <w:tcPr>
            <w:tcW w:w="7100" w:type="dxa"/>
          </w:tcPr>
          <w:p>
            <w:pPr>
              <w:pStyle w:val="TableParagraph"/>
              <w:spacing w:line="257" w:lineRule="exact"/>
              <w:ind w:left="209"/>
              <w:rPr>
                <w:sz w:val="21"/>
              </w:rPr>
            </w:pPr>
            <w:r>
              <w:rPr>
                <w:sz w:val="21"/>
              </w:rPr>
              <w:t>严重肠道疾病或外伤导致小肠损害并发症，满足以下所有条件：</w:t>
            </w:r>
          </w:p>
          <w:p>
            <w:pPr>
              <w:pStyle w:val="TableParagraph"/>
              <w:spacing w:before="37"/>
              <w:ind w:left="209"/>
              <w:rPr>
                <w:sz w:val="21"/>
              </w:rPr>
            </w:pPr>
            <w:r>
              <w:rPr>
                <w:sz w:val="21"/>
              </w:rPr>
              <w:t>（</w:t>
            </w:r>
            <w:r>
              <w:rPr>
                <w:rFonts w:ascii="Times New Roman" w:eastAsia="Times New Roman"/>
                <w:sz w:val="21"/>
              </w:rPr>
              <w:t>1</w:t>
            </w:r>
            <w:r>
              <w:rPr>
                <w:sz w:val="21"/>
              </w:rPr>
              <w:t>）至少切除了三分之二小肠；</w:t>
            </w:r>
          </w:p>
          <w:p>
            <w:pPr>
              <w:pStyle w:val="TableParagraph"/>
              <w:spacing w:before="21"/>
              <w:ind w:left="209"/>
              <w:rPr>
                <w:sz w:val="21"/>
              </w:rPr>
            </w:pPr>
            <w:r>
              <w:rPr>
                <w:sz w:val="21"/>
              </w:rPr>
              <w:t>（</w:t>
            </w:r>
            <w:r>
              <w:rPr>
                <w:rFonts w:ascii="Times New Roman" w:eastAsia="Times New Roman"/>
                <w:sz w:val="21"/>
              </w:rPr>
              <w:t>2</w:t>
            </w:r>
            <w:r>
              <w:rPr>
                <w:sz w:val="21"/>
              </w:rPr>
              <w:t>）完全肠外营养支持三个月以上。</w:t>
            </w:r>
          </w:p>
        </w:tc>
      </w:tr>
      <w:tr>
        <w:trPr>
          <w:trHeight w:val="2496" w:hRule="atLeast"/>
        </w:trPr>
        <w:tc>
          <w:tcPr>
            <w:tcW w:w="516" w:type="dxa"/>
          </w:tcPr>
          <w:p>
            <w:pPr>
              <w:pStyle w:val="TableParagraph"/>
              <w:spacing w:before="21"/>
              <w:ind w:right="51"/>
              <w:jc w:val="right"/>
              <w:rPr>
                <w:rFonts w:ascii="Times New Roman"/>
                <w:sz w:val="21"/>
              </w:rPr>
            </w:pPr>
            <w:r>
              <w:rPr>
                <w:rFonts w:ascii="Times New Roman"/>
                <w:sz w:val="21"/>
              </w:rPr>
              <w:t>65.</w:t>
            </w:r>
          </w:p>
        </w:tc>
        <w:tc>
          <w:tcPr>
            <w:tcW w:w="2756" w:type="dxa"/>
          </w:tcPr>
          <w:p>
            <w:pPr>
              <w:pStyle w:val="TableParagraph"/>
              <w:spacing w:line="265" w:lineRule="exact"/>
              <w:ind w:left="51"/>
              <w:rPr>
                <w:sz w:val="21"/>
              </w:rPr>
            </w:pPr>
            <w:r>
              <w:rPr>
                <w:sz w:val="21"/>
              </w:rPr>
              <w:t>严重瑞氏综合征（</w:t>
            </w:r>
            <w:r>
              <w:rPr>
                <w:rFonts w:ascii="Times New Roman" w:eastAsia="Times New Roman"/>
                <w:sz w:val="21"/>
              </w:rPr>
              <w:t>Reye </w:t>
            </w:r>
            <w:r>
              <w:rPr>
                <w:sz w:val="21"/>
              </w:rPr>
              <w:t>综合</w:t>
            </w:r>
          </w:p>
          <w:p>
            <w:pPr>
              <w:pStyle w:val="TableParagraph"/>
              <w:spacing w:line="273" w:lineRule="auto" w:before="22"/>
              <w:ind w:left="51" w:right="156"/>
              <w:rPr>
                <w:sz w:val="21"/>
              </w:rPr>
            </w:pPr>
            <w:r>
              <w:rPr>
                <w:sz w:val="21"/>
              </w:rPr>
              <w:t>征，也称赖氏综合征、雷氏综合征）</w:t>
            </w:r>
          </w:p>
        </w:tc>
        <w:tc>
          <w:tcPr>
            <w:tcW w:w="7100" w:type="dxa"/>
          </w:tcPr>
          <w:p>
            <w:pPr>
              <w:pStyle w:val="TableParagraph"/>
              <w:spacing w:line="249" w:lineRule="exact"/>
              <w:ind w:left="209"/>
              <w:rPr>
                <w:sz w:val="21"/>
              </w:rPr>
            </w:pPr>
            <w:r>
              <w:rPr>
                <w:sz w:val="21"/>
              </w:rPr>
              <w:t>瑞氏综合征是线粒体功能障碍性疾病。导致脂肪代谢障碍，引起短链脂</w:t>
            </w:r>
          </w:p>
          <w:p>
            <w:pPr>
              <w:pStyle w:val="TableParagraph"/>
              <w:spacing w:line="273" w:lineRule="auto" w:before="37"/>
              <w:ind w:left="209" w:right="311"/>
              <w:rPr>
                <w:sz w:val="21"/>
              </w:rPr>
            </w:pPr>
            <w:r>
              <w:rPr>
                <w:sz w:val="21"/>
              </w:rPr>
              <w:t>肪酸、血氨升高，造成脑水肿。主要临床表现为急性发热、反复呕吐、惊厥及意识障碍等等。</w:t>
            </w:r>
          </w:p>
          <w:p>
            <w:pPr>
              <w:pStyle w:val="TableParagraph"/>
              <w:spacing w:line="273" w:lineRule="auto" w:before="7"/>
              <w:ind w:left="209" w:right="311"/>
              <w:rPr>
                <w:sz w:val="21"/>
              </w:rPr>
            </w:pPr>
            <w:r>
              <w:rPr>
                <w:sz w:val="21"/>
              </w:rPr>
              <w:t>肝脏活检是确诊的重要手段。瑞氏综合征需由三级医院的儿科专科医生确诊，并符合下列所有条件：</w:t>
            </w:r>
          </w:p>
          <w:p>
            <w:pPr>
              <w:pStyle w:val="TableParagraph"/>
              <w:spacing w:before="7"/>
              <w:ind w:left="209"/>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20"/>
              <w:ind w:left="209"/>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20"/>
              <w:ind w:left="209"/>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882" w:hRule="atLeast"/>
        </w:trPr>
        <w:tc>
          <w:tcPr>
            <w:tcW w:w="516" w:type="dxa"/>
          </w:tcPr>
          <w:p>
            <w:pPr>
              <w:pStyle w:val="TableParagraph"/>
              <w:spacing w:before="21"/>
              <w:ind w:right="51"/>
              <w:jc w:val="right"/>
              <w:rPr>
                <w:rFonts w:ascii="Times New Roman"/>
                <w:sz w:val="21"/>
              </w:rPr>
            </w:pPr>
            <w:r>
              <w:rPr>
                <w:rFonts w:ascii="Times New Roman"/>
                <w:sz w:val="21"/>
              </w:rPr>
              <w:t>66.</w:t>
            </w:r>
          </w:p>
        </w:tc>
        <w:tc>
          <w:tcPr>
            <w:tcW w:w="2756" w:type="dxa"/>
          </w:tcPr>
          <w:p>
            <w:pPr>
              <w:pStyle w:val="TableParagraph"/>
              <w:spacing w:line="265" w:lineRule="exact"/>
              <w:ind w:left="51"/>
              <w:rPr>
                <w:sz w:val="21"/>
              </w:rPr>
            </w:pPr>
            <w:r>
              <w:rPr>
                <w:rFonts w:ascii="Times New Roman" w:eastAsia="Times New Roman"/>
                <w:sz w:val="21"/>
              </w:rPr>
              <w:t>III </w:t>
            </w:r>
            <w:r>
              <w:rPr>
                <w:sz w:val="21"/>
              </w:rPr>
              <w:t>型成骨不全症</w:t>
            </w:r>
          </w:p>
        </w:tc>
        <w:tc>
          <w:tcPr>
            <w:tcW w:w="7100" w:type="dxa"/>
          </w:tcPr>
          <w:p>
            <w:pPr>
              <w:pStyle w:val="TableParagraph"/>
              <w:spacing w:line="249" w:lineRule="exact"/>
              <w:ind w:left="209"/>
              <w:rPr>
                <w:sz w:val="21"/>
              </w:rPr>
            </w:pPr>
            <w:r>
              <w:rPr>
                <w:sz w:val="21"/>
              </w:rPr>
              <w:t>骨生长不全症是一种胶原病，特征为骨易碎，骨质疏松和易骨折。该病</w:t>
            </w:r>
          </w:p>
          <w:p>
            <w:pPr>
              <w:pStyle w:val="TableParagraph"/>
              <w:spacing w:line="290" w:lineRule="atLeast" w:before="37"/>
              <w:ind w:left="209" w:right="306"/>
              <w:rPr>
                <w:sz w:val="21"/>
              </w:rPr>
            </w:pPr>
            <w:r>
              <w:rPr>
                <w:spacing w:val="-26"/>
                <w:sz w:val="21"/>
              </w:rPr>
              <w:t>有 </w:t>
            </w:r>
            <w:r>
              <w:rPr>
                <w:rFonts w:ascii="Times New Roman" w:eastAsia="Times New Roman"/>
                <w:sz w:val="21"/>
              </w:rPr>
              <w:t>4 </w:t>
            </w:r>
            <w:r>
              <w:rPr>
                <w:spacing w:val="-4"/>
                <w:sz w:val="21"/>
              </w:rPr>
              <w:t>种类型：</w:t>
            </w:r>
            <w:r>
              <w:rPr>
                <w:rFonts w:ascii="Times New Roman" w:eastAsia="Times New Roman"/>
                <w:spacing w:val="-5"/>
                <w:sz w:val="21"/>
              </w:rPr>
              <w:t>I </w:t>
            </w:r>
            <w:r>
              <w:rPr>
                <w:spacing w:val="-5"/>
                <w:sz w:val="21"/>
              </w:rPr>
              <w:t>型、</w:t>
            </w:r>
            <w:r>
              <w:rPr>
                <w:rFonts w:ascii="Times New Roman" w:eastAsia="Times New Roman"/>
                <w:sz w:val="21"/>
              </w:rPr>
              <w:t>II </w:t>
            </w:r>
            <w:r>
              <w:rPr>
                <w:spacing w:val="-5"/>
                <w:sz w:val="21"/>
              </w:rPr>
              <w:t>型、</w:t>
            </w:r>
            <w:r>
              <w:rPr>
                <w:rFonts w:ascii="Times New Roman" w:eastAsia="Times New Roman"/>
                <w:sz w:val="21"/>
              </w:rPr>
              <w:t>III </w:t>
            </w:r>
            <w:r>
              <w:rPr>
                <w:spacing w:val="-4"/>
                <w:sz w:val="21"/>
              </w:rPr>
              <w:t>型、</w:t>
            </w:r>
            <w:r>
              <w:rPr>
                <w:rFonts w:ascii="Times New Roman" w:eastAsia="Times New Roman"/>
                <w:sz w:val="21"/>
              </w:rPr>
              <w:t>IV </w:t>
            </w:r>
            <w:r>
              <w:rPr>
                <w:spacing w:val="-9"/>
                <w:sz w:val="21"/>
              </w:rPr>
              <w:t>型。本保障范围仅涉及 </w:t>
            </w:r>
            <w:r>
              <w:rPr>
                <w:rFonts w:ascii="Times New Roman" w:eastAsia="Times New Roman"/>
                <w:sz w:val="21"/>
              </w:rPr>
              <w:t>III </w:t>
            </w:r>
            <w:r>
              <w:rPr>
                <w:sz w:val="21"/>
              </w:rPr>
              <w:t>型成骨不全症，其主要临床特点有：发展迟缓、多发性骨折、进行性脊柱后侧凸</w:t>
            </w:r>
          </w:p>
        </w:tc>
      </w:tr>
    </w:tbl>
    <w:p>
      <w:pPr>
        <w:spacing w:after="0" w:line="290" w:lineRule="atLeast"/>
        <w:rPr>
          <w:sz w:val="21"/>
        </w:rPr>
        <w:sectPr>
          <w:pgSz w:w="11910" w:h="16160"/>
          <w:pgMar w:header="0" w:footer="631" w:top="144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560"/>
        <w:gridCol w:w="7295"/>
      </w:tblGrid>
      <w:tr>
        <w:trPr>
          <w:trHeight w:val="1200" w:hRule="atLeast"/>
        </w:trPr>
        <w:tc>
          <w:tcPr>
            <w:tcW w:w="516" w:type="dxa"/>
          </w:tcPr>
          <w:p>
            <w:pPr>
              <w:pStyle w:val="TableParagraph"/>
              <w:rPr>
                <w:rFonts w:ascii="Times New Roman"/>
                <w:sz w:val="20"/>
              </w:rPr>
            </w:pPr>
          </w:p>
        </w:tc>
        <w:tc>
          <w:tcPr>
            <w:tcW w:w="2560" w:type="dxa"/>
          </w:tcPr>
          <w:p>
            <w:pPr>
              <w:pStyle w:val="TableParagraph"/>
              <w:rPr>
                <w:rFonts w:ascii="Times New Roman"/>
                <w:sz w:val="20"/>
              </w:rPr>
            </w:pPr>
          </w:p>
        </w:tc>
        <w:tc>
          <w:tcPr>
            <w:tcW w:w="7295" w:type="dxa"/>
          </w:tcPr>
          <w:p>
            <w:pPr>
              <w:pStyle w:val="TableParagraph"/>
              <w:spacing w:line="234" w:lineRule="exact"/>
              <w:ind w:left="405"/>
              <w:rPr>
                <w:sz w:val="21"/>
              </w:rPr>
            </w:pPr>
            <w:r>
              <w:rPr>
                <w:sz w:val="21"/>
              </w:rPr>
              <w:t>及听力损害。</w:t>
            </w:r>
            <w:r>
              <w:rPr>
                <w:rFonts w:ascii="Times New Roman" w:eastAsia="Times New Roman"/>
                <w:sz w:val="21"/>
              </w:rPr>
              <w:t>III </w:t>
            </w:r>
            <w:r>
              <w:rPr>
                <w:sz w:val="21"/>
              </w:rPr>
              <w:t>型成骨不全的诊断必须根据身体检查，家族史，</w:t>
            </w:r>
            <w:r>
              <w:rPr>
                <w:rFonts w:ascii="Times New Roman" w:eastAsia="Times New Roman"/>
                <w:sz w:val="21"/>
              </w:rPr>
              <w:t>X </w:t>
            </w:r>
            <w:r>
              <w:rPr>
                <w:sz w:val="21"/>
              </w:rPr>
              <w:t>线检</w:t>
            </w:r>
          </w:p>
          <w:p>
            <w:pPr>
              <w:pStyle w:val="TableParagraph"/>
              <w:spacing w:before="21"/>
              <w:ind w:left="405"/>
              <w:rPr>
                <w:sz w:val="21"/>
              </w:rPr>
            </w:pPr>
            <w:r>
              <w:rPr>
                <w:sz w:val="21"/>
              </w:rPr>
              <w:t>查和皮肤活检报告资料确诊，并经专科医生出具诊断证明。</w:t>
            </w:r>
          </w:p>
          <w:p>
            <w:pPr>
              <w:pStyle w:val="TableParagraph"/>
              <w:spacing w:line="310" w:lineRule="atLeast" w:before="1"/>
              <w:ind w:left="405" w:right="308"/>
              <w:rPr>
                <w:sz w:val="21"/>
              </w:rPr>
            </w:pPr>
            <w:r>
              <w:rPr>
                <w:sz w:val="21"/>
              </w:rPr>
              <w:t>我们承担本项疾病责任不受本合同“责任免除”中“遗传性疾病，先天性畸形、变形或染色体异常”的限制。</w:t>
            </w:r>
          </w:p>
        </w:tc>
      </w:tr>
      <w:tr>
        <w:trPr>
          <w:trHeight w:val="2496" w:hRule="atLeast"/>
        </w:trPr>
        <w:tc>
          <w:tcPr>
            <w:tcW w:w="516" w:type="dxa"/>
          </w:tcPr>
          <w:p>
            <w:pPr>
              <w:pStyle w:val="TableParagraph"/>
              <w:spacing w:before="38"/>
              <w:ind w:right="51"/>
              <w:jc w:val="right"/>
              <w:rPr>
                <w:rFonts w:ascii="Times New Roman"/>
                <w:sz w:val="21"/>
              </w:rPr>
            </w:pPr>
            <w:r>
              <w:rPr>
                <w:rFonts w:ascii="Times New Roman"/>
                <w:sz w:val="21"/>
              </w:rPr>
              <w:t>67.</w:t>
            </w:r>
          </w:p>
        </w:tc>
        <w:tc>
          <w:tcPr>
            <w:tcW w:w="2560" w:type="dxa"/>
          </w:tcPr>
          <w:p>
            <w:pPr>
              <w:pStyle w:val="TableParagraph"/>
              <w:spacing w:line="266" w:lineRule="exact"/>
              <w:ind w:left="51"/>
              <w:rPr>
                <w:sz w:val="21"/>
              </w:rPr>
            </w:pPr>
            <w:r>
              <w:rPr>
                <w:sz w:val="21"/>
              </w:rPr>
              <w:t>严重传染性心内膜炎</w:t>
            </w:r>
          </w:p>
        </w:tc>
        <w:tc>
          <w:tcPr>
            <w:tcW w:w="7295" w:type="dxa"/>
          </w:tcPr>
          <w:p>
            <w:pPr>
              <w:pStyle w:val="TableParagraph"/>
              <w:spacing w:line="287" w:lineRule="exact"/>
              <w:ind w:left="405"/>
              <w:rPr>
                <w:sz w:val="21"/>
              </w:rPr>
            </w:pPr>
            <w:r>
              <w:rPr>
                <w:sz w:val="21"/>
              </w:rPr>
              <w:t>是指由感染性微生物引致的心脏内膜炎症，并须符合下</w:t>
            </w:r>
            <w:r>
              <w:rPr>
                <w:rFonts w:ascii="Malgun Gothic" w:eastAsia="Malgun Gothic" w:hint="eastAsia"/>
                <w:sz w:val="21"/>
              </w:rPr>
              <w:t>列</w:t>
            </w:r>
            <w:r>
              <w:rPr>
                <w:sz w:val="21"/>
              </w:rPr>
              <w:t>所有条件：</w:t>
            </w:r>
          </w:p>
          <w:p>
            <w:pPr>
              <w:pStyle w:val="TableParagraph"/>
              <w:spacing w:line="256" w:lineRule="auto" w:before="16"/>
              <w:ind w:left="405" w:right="303"/>
              <w:jc w:val="both"/>
              <w:rPr>
                <w:sz w:val="21"/>
              </w:rPr>
            </w:pPr>
            <w:r>
              <w:rPr>
                <w:spacing w:val="-5"/>
                <w:sz w:val="21"/>
              </w:rPr>
              <w:t>（</w:t>
            </w:r>
            <w:r>
              <w:rPr>
                <w:rFonts w:ascii="Times New Roman" w:eastAsia="Times New Roman"/>
                <w:spacing w:val="-5"/>
                <w:sz w:val="21"/>
              </w:rPr>
              <w:t>1</w:t>
            </w:r>
            <w:r>
              <w:rPr>
                <w:spacing w:val="-5"/>
                <w:sz w:val="21"/>
              </w:rPr>
              <w:t>）血液培植结果呈阳性反应，证明感染性微生物的存在，导致传染性</w:t>
            </w:r>
            <w:r>
              <w:rPr>
                <w:spacing w:val="-2"/>
                <w:sz w:val="21"/>
              </w:rPr>
              <w:t>心内膜炎；</w:t>
            </w:r>
          </w:p>
          <w:p>
            <w:pPr>
              <w:pStyle w:val="TableParagraph"/>
              <w:spacing w:line="312" w:lineRule="exact" w:before="18"/>
              <w:ind w:left="405" w:right="303"/>
              <w:jc w:val="both"/>
              <w:rPr>
                <w:sz w:val="21"/>
              </w:rPr>
            </w:pPr>
            <w:r>
              <w:rPr>
                <w:spacing w:val="-7"/>
                <w:sz w:val="21"/>
              </w:rPr>
              <w:t>（</w:t>
            </w:r>
            <w:r>
              <w:rPr>
                <w:rFonts w:ascii="Times New Roman" w:eastAsia="Times New Roman"/>
                <w:spacing w:val="-7"/>
                <w:sz w:val="21"/>
              </w:rPr>
              <w:t>2</w:t>
            </w:r>
            <w:r>
              <w:rPr>
                <w:spacing w:val="-7"/>
                <w:sz w:val="21"/>
              </w:rPr>
              <w:t>）</w:t>
            </w:r>
            <w:r>
              <w:rPr>
                <w:spacing w:val="-3"/>
                <w:sz w:val="21"/>
              </w:rPr>
              <w:t>出现最少中度之心脏瓣膜功能</w:t>
            </w:r>
            <w:r>
              <w:rPr>
                <w:rFonts w:ascii="Malgun Gothic" w:eastAsia="Malgun Gothic" w:hint="eastAsia"/>
                <w:spacing w:val="-3"/>
                <w:sz w:val="21"/>
              </w:rPr>
              <w:t>不</w:t>
            </w:r>
            <w:r>
              <w:rPr>
                <w:spacing w:val="-20"/>
                <w:sz w:val="21"/>
              </w:rPr>
              <w:t>全</w:t>
            </w:r>
            <w:r>
              <w:rPr>
                <w:sz w:val="21"/>
              </w:rPr>
              <w:t>（</w:t>
            </w:r>
            <w:r>
              <w:rPr>
                <w:spacing w:val="-3"/>
                <w:sz w:val="21"/>
              </w:rPr>
              <w:t>即返流部份达百分之二十或以上）或中度之心脏瓣膜狭窄（即心脏瓣膜面积为正常值的百分之三十或</w:t>
            </w:r>
            <w:r>
              <w:rPr>
                <w:spacing w:val="-3"/>
                <w:w w:val="100"/>
                <w:sz w:val="21"/>
              </w:rPr>
              <w:t>以下</w:t>
            </w:r>
            <w:r>
              <w:rPr>
                <w:spacing w:val="-108"/>
                <w:w w:val="100"/>
                <w:sz w:val="21"/>
              </w:rPr>
              <w:t>）</w:t>
            </w:r>
            <w:r>
              <w:rPr>
                <w:w w:val="100"/>
                <w:sz w:val="21"/>
              </w:rPr>
              <w:t>；</w:t>
            </w:r>
          </w:p>
          <w:p>
            <w:pPr>
              <w:pStyle w:val="TableParagraph"/>
              <w:spacing w:line="256" w:lineRule="auto" w:before="4"/>
              <w:ind w:left="405" w:right="303"/>
              <w:jc w:val="both"/>
              <w:rPr>
                <w:sz w:val="21"/>
              </w:rPr>
            </w:pPr>
            <w:r>
              <w:rPr>
                <w:spacing w:val="-13"/>
                <w:sz w:val="21"/>
              </w:rPr>
              <w:t>（</w:t>
            </w:r>
            <w:r>
              <w:rPr>
                <w:rFonts w:ascii="Times New Roman" w:eastAsia="Times New Roman"/>
                <w:spacing w:val="-13"/>
                <w:sz w:val="21"/>
              </w:rPr>
              <w:t>3</w:t>
            </w:r>
            <w:r>
              <w:rPr>
                <w:spacing w:val="-13"/>
                <w:sz w:val="21"/>
              </w:rPr>
              <w:t>）</w:t>
            </w:r>
            <w:r>
              <w:rPr>
                <w:spacing w:val="-3"/>
                <w:sz w:val="21"/>
              </w:rPr>
              <w:t>传染性心内膜炎的诊断及瓣膜受损的严重程度必须由心脏病专科医生出具相关证明。</w:t>
            </w:r>
          </w:p>
        </w:tc>
      </w:tr>
      <w:tr>
        <w:trPr>
          <w:trHeight w:val="2808" w:hRule="atLeast"/>
        </w:trPr>
        <w:tc>
          <w:tcPr>
            <w:tcW w:w="516" w:type="dxa"/>
          </w:tcPr>
          <w:p>
            <w:pPr>
              <w:pStyle w:val="TableParagraph"/>
              <w:spacing w:before="38"/>
              <w:ind w:right="51"/>
              <w:jc w:val="right"/>
              <w:rPr>
                <w:rFonts w:ascii="Times New Roman"/>
                <w:sz w:val="21"/>
              </w:rPr>
            </w:pPr>
            <w:r>
              <w:rPr>
                <w:rFonts w:ascii="Times New Roman"/>
                <w:sz w:val="21"/>
              </w:rPr>
              <w:t>68.</w:t>
            </w:r>
          </w:p>
        </w:tc>
        <w:tc>
          <w:tcPr>
            <w:tcW w:w="2560" w:type="dxa"/>
          </w:tcPr>
          <w:p>
            <w:pPr>
              <w:pStyle w:val="TableParagraph"/>
              <w:spacing w:line="266" w:lineRule="exact"/>
              <w:ind w:left="51"/>
              <w:rPr>
                <w:sz w:val="21"/>
              </w:rPr>
            </w:pPr>
            <w:r>
              <w:rPr>
                <w:sz w:val="21"/>
              </w:rPr>
              <w:t>失去一肢及一眼</w:t>
            </w:r>
          </w:p>
        </w:tc>
        <w:tc>
          <w:tcPr>
            <w:tcW w:w="7295" w:type="dxa"/>
          </w:tcPr>
          <w:p>
            <w:pPr>
              <w:pStyle w:val="TableParagraph"/>
              <w:spacing w:line="266" w:lineRule="exact"/>
              <w:ind w:left="405"/>
              <w:rPr>
                <w:sz w:val="21"/>
              </w:rPr>
            </w:pPr>
            <w:r>
              <w:rPr>
                <w:sz w:val="21"/>
              </w:rPr>
              <w:t>因疾病或意外伤害导致单眼视力丧失及任何一肢自腕关节或踝关节近端</w:t>
            </w:r>
          </w:p>
          <w:p>
            <w:pPr>
              <w:pStyle w:val="TableParagraph"/>
              <w:spacing w:before="37"/>
              <w:ind w:left="405"/>
              <w:rPr>
                <w:sz w:val="21"/>
              </w:rPr>
            </w:pPr>
            <w:r>
              <w:rPr>
                <w:sz w:val="21"/>
              </w:rPr>
              <w:t>（靠近躯干端）以上完全性断离。</w:t>
            </w:r>
          </w:p>
          <w:p>
            <w:pPr>
              <w:pStyle w:val="TableParagraph"/>
              <w:spacing w:line="273" w:lineRule="auto" w:before="37"/>
              <w:ind w:left="405" w:right="310"/>
              <w:rPr>
                <w:sz w:val="21"/>
              </w:rPr>
            </w:pPr>
            <w:r>
              <w:rPr>
                <w:sz w:val="21"/>
              </w:rPr>
              <w:t>单眼视力丧失指单眼视力永久不可逆性丧失，患眼须满足下列至少一项条件：</w:t>
            </w:r>
          </w:p>
          <w:p>
            <w:pPr>
              <w:pStyle w:val="TableParagraph"/>
              <w:spacing w:before="7"/>
              <w:ind w:left="405"/>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405" w:right="302"/>
              <w:rPr>
                <w:sz w:val="21"/>
              </w:rPr>
            </w:pPr>
            <w:r>
              <w:rPr>
                <w:spacing w:val="-5"/>
                <w:sz w:val="21"/>
              </w:rPr>
              <w:t>（</w:t>
            </w:r>
            <w:r>
              <w:rPr>
                <w:rFonts w:ascii="Times New Roman" w:eastAsia="Times New Roman"/>
                <w:spacing w:val="-5"/>
                <w:sz w:val="21"/>
              </w:rPr>
              <w:t>2</w:t>
            </w:r>
            <w:r>
              <w:rPr>
                <w:spacing w:val="-5"/>
                <w:sz w:val="21"/>
              </w:rPr>
              <w:t>）</w:t>
            </w:r>
            <w:r>
              <w:rPr>
                <w:spacing w:val="-6"/>
                <w:sz w:val="21"/>
              </w:rPr>
              <w:t>矫正视力低于 </w:t>
            </w:r>
            <w:r>
              <w:rPr>
                <w:rFonts w:ascii="Times New Roman" w:eastAsia="Times New Roman"/>
                <w:spacing w:val="-4"/>
                <w:sz w:val="21"/>
              </w:rPr>
              <w:t>0.02</w:t>
            </w:r>
            <w:r>
              <w:rPr>
                <w:spacing w:val="-4"/>
                <w:sz w:val="21"/>
              </w:rPr>
              <w:t>（采用国际标准视力表，如果使用其他视力表应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22"/>
              <w:ind w:left="40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21"/>
              <w:ind w:left="405"/>
              <w:rPr>
                <w:b/>
                <w:sz w:val="21"/>
              </w:rPr>
            </w:pPr>
            <w:r>
              <w:rPr>
                <w:b/>
                <w:sz w:val="21"/>
              </w:rPr>
              <w:t>被保险人在三周岁之前因疾病导致单眼视力丧失不在保障范围内。</w:t>
            </w:r>
          </w:p>
        </w:tc>
      </w:tr>
      <w:tr>
        <w:trPr>
          <w:trHeight w:val="1576" w:hRule="atLeast"/>
        </w:trPr>
        <w:tc>
          <w:tcPr>
            <w:tcW w:w="516" w:type="dxa"/>
          </w:tcPr>
          <w:p>
            <w:pPr>
              <w:pStyle w:val="TableParagraph"/>
              <w:spacing w:before="38"/>
              <w:ind w:right="51"/>
              <w:jc w:val="right"/>
              <w:rPr>
                <w:rFonts w:ascii="Times New Roman"/>
                <w:sz w:val="21"/>
              </w:rPr>
            </w:pPr>
            <w:r>
              <w:rPr>
                <w:rFonts w:ascii="Times New Roman"/>
                <w:sz w:val="21"/>
              </w:rPr>
              <w:t>69.</w:t>
            </w:r>
          </w:p>
        </w:tc>
        <w:tc>
          <w:tcPr>
            <w:tcW w:w="2560" w:type="dxa"/>
          </w:tcPr>
          <w:p>
            <w:pPr>
              <w:pStyle w:val="TableParagraph"/>
              <w:spacing w:line="266" w:lineRule="exact"/>
              <w:ind w:left="51"/>
              <w:rPr>
                <w:sz w:val="21"/>
              </w:rPr>
            </w:pPr>
            <w:r>
              <w:rPr>
                <w:sz w:val="21"/>
              </w:rPr>
              <w:t>肺淋巴管肌瘤病</w:t>
            </w:r>
          </w:p>
        </w:tc>
        <w:tc>
          <w:tcPr>
            <w:tcW w:w="7295" w:type="dxa"/>
          </w:tcPr>
          <w:p>
            <w:pPr>
              <w:pStyle w:val="TableParagraph"/>
              <w:spacing w:line="273" w:lineRule="auto"/>
              <w:ind w:left="405" w:right="310"/>
              <w:rPr>
                <w:sz w:val="21"/>
              </w:rPr>
            </w:pPr>
            <w:r>
              <w:rPr>
                <w:sz w:val="21"/>
              </w:rPr>
              <w:t>指一种弥漫性肺部疾病，主要病理改变为肺间质、支气管、血管和淋巴管内出现未成熟的平滑肌异常增生，同时需满足下列全部条件：</w:t>
            </w:r>
          </w:p>
          <w:p>
            <w:pPr>
              <w:pStyle w:val="TableParagraph"/>
              <w:spacing w:before="17"/>
              <w:ind w:left="405"/>
              <w:rPr>
                <w:sz w:val="21"/>
              </w:rPr>
            </w:pPr>
            <w:r>
              <w:rPr>
                <w:sz w:val="21"/>
              </w:rPr>
              <w:t>（</w:t>
            </w:r>
            <w:r>
              <w:rPr>
                <w:rFonts w:ascii="Times New Roman" w:eastAsia="Times New Roman"/>
                <w:sz w:val="21"/>
              </w:rPr>
              <w:t>1</w:t>
            </w:r>
            <w:r>
              <w:rPr>
                <w:sz w:val="21"/>
              </w:rPr>
              <w:t>）经组织病理学诊断；</w:t>
            </w:r>
          </w:p>
          <w:p>
            <w:pPr>
              <w:pStyle w:val="TableParagraph"/>
              <w:spacing w:before="21"/>
              <w:ind w:left="405"/>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1"/>
              <w:ind w:left="405"/>
              <w:rPr>
                <w:sz w:val="21"/>
              </w:rPr>
            </w:pPr>
            <w:r>
              <w:rPr>
                <w:sz w:val="21"/>
              </w:rPr>
              <w:t>（</w:t>
            </w:r>
            <w:r>
              <w:rPr>
                <w:rFonts w:ascii="Times New Roman" w:eastAsia="Times New Roman"/>
                <w:sz w:val="21"/>
              </w:rPr>
              <w:t>3</w:t>
            </w:r>
            <w:r>
              <w:rPr>
                <w:sz w:val="21"/>
              </w:rPr>
              <w:t>）血气提示低氧血症，动脉血氧分压（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）持续</w:t>
            </w:r>
            <w:r>
              <w:rPr>
                <w:rFonts w:ascii="Times New Roman" w:eastAsia="Times New Roman"/>
                <w:sz w:val="21"/>
                <w:vertAlign w:val="baseline"/>
              </w:rPr>
              <w:t>&lt;50mmHg</w:t>
            </w:r>
            <w:r>
              <w:rPr>
                <w:sz w:val="21"/>
                <w:vertAlign w:val="baseline"/>
              </w:rPr>
              <w:t>。</w:t>
            </w:r>
          </w:p>
        </w:tc>
      </w:tr>
      <w:tr>
        <w:trPr>
          <w:trHeight w:val="920" w:hRule="atLeast"/>
        </w:trPr>
        <w:tc>
          <w:tcPr>
            <w:tcW w:w="516" w:type="dxa"/>
          </w:tcPr>
          <w:p>
            <w:pPr>
              <w:pStyle w:val="TableParagraph"/>
              <w:spacing w:before="22"/>
              <w:ind w:right="51"/>
              <w:jc w:val="right"/>
              <w:rPr>
                <w:rFonts w:ascii="Times New Roman"/>
                <w:sz w:val="21"/>
              </w:rPr>
            </w:pPr>
            <w:r>
              <w:rPr>
                <w:rFonts w:ascii="Times New Roman"/>
                <w:sz w:val="21"/>
              </w:rPr>
              <w:t>70.</w:t>
            </w:r>
          </w:p>
        </w:tc>
        <w:tc>
          <w:tcPr>
            <w:tcW w:w="2560" w:type="dxa"/>
          </w:tcPr>
          <w:p>
            <w:pPr>
              <w:pStyle w:val="TableParagraph"/>
              <w:spacing w:line="250" w:lineRule="exact"/>
              <w:ind w:left="51"/>
              <w:rPr>
                <w:sz w:val="21"/>
              </w:rPr>
            </w:pPr>
            <w:r>
              <w:rPr>
                <w:sz w:val="21"/>
              </w:rPr>
              <w:t>肺泡蛋白质沉积症</w:t>
            </w:r>
          </w:p>
        </w:tc>
        <w:tc>
          <w:tcPr>
            <w:tcW w:w="7295" w:type="dxa"/>
          </w:tcPr>
          <w:p>
            <w:pPr>
              <w:pStyle w:val="TableParagraph"/>
              <w:spacing w:line="266" w:lineRule="exact"/>
              <w:ind w:left="405"/>
              <w:rPr>
                <w:sz w:val="21"/>
              </w:rPr>
            </w:pPr>
            <w:r>
              <w:rPr>
                <w:sz w:val="21"/>
              </w:rPr>
              <w:t>指肺泡和细支气管腔内充满不可溶性富磷脂蛋白的疾病，胸部 </w:t>
            </w:r>
            <w:r>
              <w:rPr>
                <w:rFonts w:ascii="Times New Roman" w:eastAsia="Times New Roman"/>
                <w:sz w:val="21"/>
              </w:rPr>
              <w:t>X </w:t>
            </w:r>
            <w:r>
              <w:rPr>
                <w:sz w:val="21"/>
              </w:rPr>
              <w:t>线呈双</w:t>
            </w:r>
          </w:p>
          <w:p>
            <w:pPr>
              <w:pStyle w:val="TableParagraph"/>
              <w:spacing w:line="256" w:lineRule="auto" w:before="21"/>
              <w:ind w:left="405" w:right="336"/>
              <w:rPr>
                <w:sz w:val="21"/>
              </w:rPr>
            </w:pPr>
            <w:r>
              <w:rPr>
                <w:spacing w:val="-7"/>
                <w:sz w:val="21"/>
              </w:rPr>
              <w:t>肺弥漫性肺部磨玻璃影，病理学检查肺泡内充满有过碘酸雪夫</w:t>
            </w:r>
            <w:r>
              <w:rPr>
                <w:spacing w:val="-12"/>
                <w:sz w:val="21"/>
              </w:rPr>
              <w:t>（</w:t>
            </w:r>
            <w:r>
              <w:rPr>
                <w:rFonts w:ascii="Times New Roman" w:eastAsia="Times New Roman"/>
                <w:spacing w:val="-12"/>
                <w:sz w:val="21"/>
              </w:rPr>
              <w:t>PAS</w:t>
            </w:r>
            <w:r>
              <w:rPr>
                <w:spacing w:val="-12"/>
                <w:sz w:val="21"/>
              </w:rPr>
              <w:t>）</w:t>
            </w:r>
            <w:r>
              <w:rPr>
                <w:spacing w:val="-32"/>
                <w:sz w:val="21"/>
              </w:rPr>
              <w:t>染</w:t>
            </w:r>
            <w:r>
              <w:rPr>
                <w:spacing w:val="-3"/>
                <w:sz w:val="21"/>
              </w:rPr>
              <w:t>色阳性的蛋白样物质，并且接受了肺灌洗治疗。</w:t>
            </w:r>
          </w:p>
        </w:tc>
      </w:tr>
      <w:tr>
        <w:trPr>
          <w:trHeight w:val="3120" w:hRule="atLeast"/>
        </w:trPr>
        <w:tc>
          <w:tcPr>
            <w:tcW w:w="516" w:type="dxa"/>
          </w:tcPr>
          <w:p>
            <w:pPr>
              <w:pStyle w:val="TableParagraph"/>
              <w:spacing w:before="38"/>
              <w:ind w:right="51"/>
              <w:jc w:val="right"/>
              <w:rPr>
                <w:rFonts w:ascii="Times New Roman"/>
                <w:sz w:val="21"/>
              </w:rPr>
            </w:pPr>
            <w:r>
              <w:rPr>
                <w:rFonts w:ascii="Times New Roman"/>
                <w:sz w:val="21"/>
              </w:rPr>
              <w:t>71.</w:t>
            </w:r>
          </w:p>
        </w:tc>
        <w:tc>
          <w:tcPr>
            <w:tcW w:w="2560" w:type="dxa"/>
          </w:tcPr>
          <w:p>
            <w:pPr>
              <w:pStyle w:val="TableParagraph"/>
              <w:spacing w:line="266" w:lineRule="exact"/>
              <w:ind w:left="51"/>
              <w:rPr>
                <w:sz w:val="21"/>
              </w:rPr>
            </w:pPr>
            <w:r>
              <w:rPr>
                <w:sz w:val="21"/>
              </w:rPr>
              <w:t>原发性骨髓纤维化</w:t>
            </w:r>
          </w:p>
        </w:tc>
        <w:tc>
          <w:tcPr>
            <w:tcW w:w="7295" w:type="dxa"/>
          </w:tcPr>
          <w:p>
            <w:pPr>
              <w:pStyle w:val="TableParagraph"/>
              <w:spacing w:line="268" w:lineRule="auto"/>
              <w:ind w:left="405" w:right="197"/>
              <w:rPr>
                <w:sz w:val="21"/>
              </w:rPr>
            </w:pPr>
            <w:r>
              <w:rPr>
                <w:spacing w:val="-5"/>
                <w:sz w:val="21"/>
              </w:rPr>
              <w:t>原发性骨髓纤维化为原因不明的骨髓中成纤维细胞增殖，伴有髓外造血， 表现为进行性贫血、脾肿大等症状。本病必须根据骨髓的活组织检查和周围血象检查由血液科专科医生明确诊断，并至少符合下列条件中的三项，且符合条件的状态持续 </w:t>
            </w:r>
            <w:r>
              <w:rPr>
                <w:rFonts w:ascii="Times New Roman" w:eastAsia="Times New Roman"/>
                <w:sz w:val="21"/>
              </w:rPr>
              <w:t>180 </w:t>
            </w:r>
            <w:r>
              <w:rPr>
                <w:spacing w:val="-3"/>
                <w:sz w:val="21"/>
              </w:rPr>
              <w:t>天及以上，并已经实际接受了针对此症的治疗：</w:t>
            </w:r>
          </w:p>
          <w:p>
            <w:pPr>
              <w:pStyle w:val="TableParagraph"/>
              <w:spacing w:before="21"/>
              <w:ind w:left="405"/>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21"/>
              <w:ind w:left="405"/>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21"/>
              <w:ind w:left="405"/>
              <w:rPr>
                <w:sz w:val="21"/>
              </w:rPr>
            </w:pPr>
            <w:r>
              <w:rPr>
                <w:sz w:val="21"/>
              </w:rPr>
              <w:t>（</w:t>
            </w:r>
            <w:r>
              <w:rPr>
                <w:rFonts w:ascii="Times New Roman" w:hAnsi="Times New Roman" w:eastAsia="Times New Roman"/>
                <w:sz w:val="21"/>
              </w:rPr>
              <w:t>3</w:t>
            </w:r>
            <w:r>
              <w:rPr>
                <w:sz w:val="21"/>
              </w:rPr>
              <w:t>）外周血原始细胞</w:t>
            </w:r>
            <w:r>
              <w:rPr>
                <w:rFonts w:ascii="Times New Roman" w:hAnsi="Times New Roman" w:eastAsia="Times New Roman"/>
                <w:sz w:val="21"/>
              </w:rPr>
              <w:t>≥1%</w:t>
            </w:r>
            <w:r>
              <w:rPr>
                <w:sz w:val="21"/>
              </w:rPr>
              <w:t>；</w:t>
            </w:r>
          </w:p>
          <w:p>
            <w:pPr>
              <w:pStyle w:val="TableParagraph"/>
              <w:spacing w:before="21"/>
              <w:ind w:left="405"/>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21"/>
              <w:ind w:left="405"/>
              <w:rPr>
                <w:b/>
                <w:sz w:val="21"/>
              </w:rPr>
            </w:pPr>
            <w:r>
              <w:rPr>
                <w:b/>
                <w:sz w:val="21"/>
              </w:rPr>
              <w:t>继发性骨髓纤维化不在保障范围内。</w:t>
            </w:r>
          </w:p>
        </w:tc>
      </w:tr>
      <w:tr>
        <w:trPr>
          <w:trHeight w:val="1530" w:hRule="atLeast"/>
        </w:trPr>
        <w:tc>
          <w:tcPr>
            <w:tcW w:w="516" w:type="dxa"/>
          </w:tcPr>
          <w:p>
            <w:pPr>
              <w:pStyle w:val="TableParagraph"/>
              <w:spacing w:before="38"/>
              <w:ind w:right="51"/>
              <w:jc w:val="right"/>
              <w:rPr>
                <w:rFonts w:ascii="Times New Roman"/>
                <w:sz w:val="21"/>
              </w:rPr>
            </w:pPr>
            <w:r>
              <w:rPr>
                <w:rFonts w:ascii="Times New Roman"/>
                <w:sz w:val="21"/>
              </w:rPr>
              <w:t>72.</w:t>
            </w:r>
          </w:p>
        </w:tc>
        <w:tc>
          <w:tcPr>
            <w:tcW w:w="2560" w:type="dxa"/>
          </w:tcPr>
          <w:p>
            <w:pPr>
              <w:pStyle w:val="TableParagraph"/>
              <w:spacing w:line="266" w:lineRule="exact"/>
              <w:ind w:left="51"/>
              <w:rPr>
                <w:sz w:val="21"/>
              </w:rPr>
            </w:pPr>
            <w:r>
              <w:rPr>
                <w:sz w:val="21"/>
              </w:rPr>
              <w:t>严重慢性缩窄型心包炎</w:t>
            </w:r>
          </w:p>
        </w:tc>
        <w:tc>
          <w:tcPr>
            <w:tcW w:w="7295" w:type="dxa"/>
          </w:tcPr>
          <w:p>
            <w:pPr>
              <w:pStyle w:val="TableParagraph"/>
              <w:spacing w:line="273" w:lineRule="auto"/>
              <w:ind w:left="405" w:right="310"/>
              <w:jc w:val="both"/>
              <w:rPr>
                <w:sz w:val="21"/>
              </w:rPr>
            </w:pPr>
            <w:r>
              <w:rPr>
                <w:sz w:val="21"/>
              </w:rPr>
              <w:t>由于慢性心包炎症导致心包脏层和壁层广泛瘢痕粘连、增厚和钙化，心包腔闭塞，形成一个纤维瘢痕外壳，使心脏和大血管根部受压，阻碍心脏的舒张。被保险人被明确诊断为慢性缩窄性心包炎且必须满足下列全部条件：</w:t>
            </w:r>
          </w:p>
          <w:p>
            <w:pPr>
              <w:pStyle w:val="TableParagraph"/>
              <w:spacing w:line="271" w:lineRule="exact" w:before="16"/>
              <w:ind w:left="405"/>
              <w:jc w:val="both"/>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w:t>
            </w:r>
          </w:p>
        </w:tc>
      </w:tr>
    </w:tbl>
    <w:p>
      <w:pPr>
        <w:spacing w:after="0" w:line="271" w:lineRule="exact"/>
        <w:jc w:val="both"/>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695"/>
        <w:gridCol w:w="7162"/>
      </w:tblGrid>
      <w:tr>
        <w:trPr>
          <w:trHeight w:val="888" w:hRule="atLeast"/>
        </w:trPr>
        <w:tc>
          <w:tcPr>
            <w:tcW w:w="516" w:type="dxa"/>
          </w:tcPr>
          <w:p>
            <w:pPr>
              <w:pStyle w:val="TableParagraph"/>
              <w:rPr>
                <w:rFonts w:ascii="Times New Roman"/>
                <w:sz w:val="20"/>
              </w:rPr>
            </w:pPr>
          </w:p>
        </w:tc>
        <w:tc>
          <w:tcPr>
            <w:tcW w:w="2695" w:type="dxa"/>
          </w:tcPr>
          <w:p>
            <w:pPr>
              <w:pStyle w:val="TableParagraph"/>
              <w:rPr>
                <w:rFonts w:ascii="Times New Roman"/>
                <w:sz w:val="20"/>
              </w:rPr>
            </w:pPr>
          </w:p>
        </w:tc>
        <w:tc>
          <w:tcPr>
            <w:tcW w:w="7162" w:type="dxa"/>
          </w:tcPr>
          <w:p>
            <w:pPr>
              <w:pStyle w:val="TableParagraph"/>
              <w:spacing w:line="234" w:lineRule="exact"/>
              <w:ind w:left="270"/>
              <w:rPr>
                <w:sz w:val="21"/>
              </w:rPr>
            </w:pPr>
            <w:r>
              <w:rPr>
                <w:sz w:val="21"/>
              </w:rPr>
              <w:t>续 </w:t>
            </w:r>
            <w:r>
              <w:rPr>
                <w:rFonts w:ascii="Times New Roman" w:eastAsia="Times New Roman"/>
                <w:sz w:val="21"/>
              </w:rPr>
              <w:t>180 </w:t>
            </w:r>
            <w:r>
              <w:rPr>
                <w:sz w:val="21"/>
              </w:rPr>
              <w:t>天以上；</w:t>
            </w:r>
          </w:p>
          <w:p>
            <w:pPr>
              <w:pStyle w:val="TableParagraph"/>
              <w:spacing w:before="21"/>
              <w:ind w:left="270"/>
              <w:rPr>
                <w:sz w:val="21"/>
              </w:rPr>
            </w:pPr>
            <w:r>
              <w:rPr>
                <w:sz w:val="21"/>
              </w:rPr>
              <w:t>（</w:t>
            </w:r>
            <w:r>
              <w:rPr>
                <w:rFonts w:ascii="Times New Roman" w:eastAsia="Times New Roman"/>
                <w:sz w:val="21"/>
              </w:rPr>
              <w:t>2</w:t>
            </w:r>
            <w:r>
              <w:rPr>
                <w:sz w:val="21"/>
              </w:rPr>
              <w:t>）已经接受了开胸进行的心包剥脱或心包切除手术。</w:t>
            </w:r>
          </w:p>
          <w:p>
            <w:pPr>
              <w:pStyle w:val="TableParagraph"/>
              <w:spacing w:before="20"/>
              <w:ind w:left="270"/>
              <w:rPr>
                <w:b/>
                <w:sz w:val="21"/>
              </w:rPr>
            </w:pPr>
            <w:r>
              <w:rPr>
                <w:b/>
                <w:sz w:val="21"/>
              </w:rPr>
              <w:t>经胸腔镜、胸壁打孔进行的手术、心包粘连松解手术不在保障范围内。</w:t>
            </w:r>
          </w:p>
        </w:tc>
      </w:tr>
      <w:tr>
        <w:trPr>
          <w:trHeight w:val="3432" w:hRule="atLeast"/>
        </w:trPr>
        <w:tc>
          <w:tcPr>
            <w:tcW w:w="516" w:type="dxa"/>
          </w:tcPr>
          <w:p>
            <w:pPr>
              <w:pStyle w:val="TableParagraph"/>
              <w:spacing w:before="38"/>
              <w:ind w:right="51"/>
              <w:jc w:val="right"/>
              <w:rPr>
                <w:rFonts w:ascii="Times New Roman"/>
                <w:sz w:val="21"/>
              </w:rPr>
            </w:pPr>
            <w:r>
              <w:rPr>
                <w:rFonts w:ascii="Times New Roman"/>
                <w:sz w:val="21"/>
              </w:rPr>
              <w:t>73.</w:t>
            </w:r>
          </w:p>
        </w:tc>
        <w:tc>
          <w:tcPr>
            <w:tcW w:w="2695" w:type="dxa"/>
          </w:tcPr>
          <w:p>
            <w:pPr>
              <w:pStyle w:val="TableParagraph"/>
              <w:spacing w:line="282" w:lineRule="exact"/>
              <w:ind w:left="51"/>
              <w:rPr>
                <w:sz w:val="21"/>
              </w:rPr>
            </w:pPr>
            <w:r>
              <w:rPr>
                <w:sz w:val="21"/>
              </w:rPr>
              <w:t>器官移植导致的 </w:t>
            </w:r>
            <w:r>
              <w:rPr>
                <w:rFonts w:ascii="Times New Roman" w:eastAsia="Times New Roman"/>
                <w:sz w:val="21"/>
              </w:rPr>
              <w:t>HIV </w:t>
            </w:r>
            <w:r>
              <w:rPr>
                <w:sz w:val="21"/>
              </w:rPr>
              <w:t>感染</w:t>
            </w:r>
          </w:p>
        </w:tc>
        <w:tc>
          <w:tcPr>
            <w:tcW w:w="7162" w:type="dxa"/>
          </w:tcPr>
          <w:p>
            <w:pPr>
              <w:pStyle w:val="TableParagraph"/>
              <w:spacing w:line="256" w:lineRule="auto"/>
              <w:ind w:left="270" w:right="307"/>
              <w:jc w:val="both"/>
              <w:rPr>
                <w:sz w:val="21"/>
              </w:rPr>
            </w:pPr>
            <w:r>
              <w:rPr>
                <w:spacing w:val="-3"/>
                <w:w w:val="100"/>
                <w:sz w:val="21"/>
              </w:rPr>
              <w:t>指因进行器官移植而感染上人类免疫缺陷病毒（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1"/>
                <w:w w:val="100"/>
                <w:sz w:val="21"/>
              </w:rPr>
              <w:t>V</w:t>
            </w:r>
            <w:r>
              <w:rPr>
                <w:spacing w:val="-106"/>
                <w:w w:val="100"/>
                <w:sz w:val="21"/>
              </w:rPr>
              <w:t>）</w:t>
            </w:r>
            <w:r>
              <w:rPr>
                <w:spacing w:val="-3"/>
                <w:w w:val="100"/>
                <w:sz w:val="21"/>
              </w:rPr>
              <w:t>，且须满足下列全</w:t>
            </w:r>
            <w:r>
              <w:rPr>
                <w:spacing w:val="-3"/>
                <w:sz w:val="21"/>
              </w:rPr>
              <w:t>部条件：</w:t>
            </w:r>
          </w:p>
          <w:p>
            <w:pPr>
              <w:pStyle w:val="TableParagraph"/>
              <w:spacing w:line="256" w:lineRule="auto" w:before="31"/>
              <w:ind w:left="270" w:right="199"/>
              <w:rPr>
                <w:sz w:val="21"/>
              </w:rPr>
            </w:pPr>
            <w:r>
              <w:rPr>
                <w:spacing w:val="-25"/>
                <w:sz w:val="21"/>
              </w:rPr>
              <w:t>（</w:t>
            </w:r>
            <w:r>
              <w:rPr>
                <w:rFonts w:ascii="Times New Roman" w:eastAsia="Times New Roman"/>
                <w:spacing w:val="-25"/>
                <w:sz w:val="21"/>
              </w:rPr>
              <w:t>1</w:t>
            </w:r>
            <w:r>
              <w:rPr>
                <w:spacing w:val="-25"/>
                <w:sz w:val="21"/>
              </w:rPr>
              <w:t>）</w:t>
            </w:r>
            <w:r>
              <w:rPr>
                <w:spacing w:val="-9"/>
                <w:sz w:val="21"/>
              </w:rPr>
              <w:t>在保障起始日或复效日之后，被保险人因治疗必需而实施器官移植， </w:t>
            </w:r>
            <w:r>
              <w:rPr>
                <w:spacing w:val="-5"/>
                <w:sz w:val="21"/>
              </w:rPr>
              <w:t>并且因器官移植而感染人类免疫缺陷病毒；</w:t>
            </w:r>
          </w:p>
          <w:p>
            <w:pPr>
              <w:pStyle w:val="TableParagraph"/>
              <w:spacing w:line="256" w:lineRule="auto" w:before="22"/>
              <w:ind w:left="270" w:right="165"/>
              <w:rPr>
                <w:sz w:val="21"/>
              </w:rPr>
            </w:pPr>
            <w:r>
              <w:rPr>
                <w:sz w:val="21"/>
              </w:rPr>
              <w:t>（</w:t>
            </w:r>
            <w:r>
              <w:rPr>
                <w:rFonts w:ascii="Times New Roman" w:eastAsia="Times New Roman"/>
                <w:sz w:val="21"/>
              </w:rPr>
              <w:t>2</w:t>
            </w:r>
            <w:r>
              <w:rPr>
                <w:sz w:val="21"/>
              </w:rPr>
              <w:t>）提供器官移植治疗的器官移植中心或医院出具该项器官移植感染， 属于医疗责任事故的报告，或者法院终审裁定为医疗责任并且不准上诉；</w:t>
            </w:r>
          </w:p>
          <w:p>
            <w:pPr>
              <w:pStyle w:val="TableParagraph"/>
              <w:spacing w:line="256" w:lineRule="auto" w:before="22"/>
              <w:ind w:left="270" w:right="271"/>
              <w:jc w:val="both"/>
              <w:rPr>
                <w:b/>
                <w:sz w:val="21"/>
              </w:rPr>
            </w:pPr>
            <w:r>
              <w:rPr>
                <w:sz w:val="21"/>
              </w:rPr>
              <w:t>（</w:t>
            </w:r>
            <w:r>
              <w:rPr>
                <w:rFonts w:ascii="Times New Roman" w:eastAsia="Times New Roman"/>
                <w:sz w:val="21"/>
              </w:rPr>
              <w:t>3</w:t>
            </w:r>
            <w:r>
              <w:rPr>
                <w:sz w:val="21"/>
              </w:rPr>
              <w:t>）</w:t>
            </w:r>
            <w:r>
              <w:rPr>
                <w:spacing w:val="-3"/>
                <w:sz w:val="21"/>
              </w:rPr>
              <w:t>提供器官移植治疗的器官移植中心或医院必须拥有合法经营执照； </w:t>
            </w:r>
            <w:r>
              <w:rPr>
                <w:b/>
                <w:spacing w:val="-5"/>
                <w:sz w:val="21"/>
              </w:rPr>
              <w:t>任何因其他传播方式</w:t>
            </w:r>
            <w:r>
              <w:rPr>
                <w:b/>
                <w:sz w:val="21"/>
              </w:rPr>
              <w:t>（</w:t>
            </w:r>
            <w:r>
              <w:rPr>
                <w:b/>
                <w:spacing w:val="-4"/>
                <w:sz w:val="21"/>
              </w:rPr>
              <w:t>包括：性传播或静脉注射毒品</w:t>
            </w:r>
            <w:r>
              <w:rPr>
                <w:b/>
                <w:spacing w:val="-13"/>
                <w:sz w:val="21"/>
              </w:rPr>
              <w:t>）导致的 </w:t>
            </w:r>
            <w:r>
              <w:rPr>
                <w:rFonts w:ascii="Times New Roman" w:eastAsia="Times New Roman"/>
                <w:b/>
                <w:sz w:val="21"/>
              </w:rPr>
              <w:t>HIV </w:t>
            </w:r>
            <w:r>
              <w:rPr>
                <w:b/>
                <w:sz w:val="21"/>
              </w:rPr>
              <w:t>感染不在保障范围内。</w:t>
            </w:r>
          </w:p>
          <w:p>
            <w:pPr>
              <w:pStyle w:val="TableParagraph"/>
              <w:spacing w:line="312" w:lineRule="exact" w:before="18"/>
              <w:ind w:left="270" w:right="310"/>
              <w:jc w:val="both"/>
              <w:rPr>
                <w:sz w:val="21"/>
              </w:rPr>
            </w:pPr>
            <w:r>
              <w:rPr>
                <w:sz w:val="21"/>
              </w:rPr>
              <w:t>我们承担本项疾病责任不受本合同“责任免除”中“被保险人感染艾滋病病毒或患艾滋病”的限制。</w:t>
            </w:r>
          </w:p>
        </w:tc>
      </w:tr>
      <w:tr>
        <w:trPr>
          <w:trHeight w:val="2183" w:hRule="atLeast"/>
        </w:trPr>
        <w:tc>
          <w:tcPr>
            <w:tcW w:w="516" w:type="dxa"/>
          </w:tcPr>
          <w:p>
            <w:pPr>
              <w:pStyle w:val="TableParagraph"/>
              <w:spacing w:before="38"/>
              <w:ind w:right="51"/>
              <w:jc w:val="right"/>
              <w:rPr>
                <w:rFonts w:ascii="Times New Roman"/>
                <w:sz w:val="21"/>
              </w:rPr>
            </w:pPr>
            <w:r>
              <w:rPr>
                <w:rFonts w:ascii="Times New Roman"/>
                <w:sz w:val="21"/>
              </w:rPr>
              <w:t>74.</w:t>
            </w:r>
          </w:p>
        </w:tc>
        <w:tc>
          <w:tcPr>
            <w:tcW w:w="2695" w:type="dxa"/>
          </w:tcPr>
          <w:p>
            <w:pPr>
              <w:pStyle w:val="TableParagraph"/>
              <w:spacing w:line="266" w:lineRule="exact"/>
              <w:ind w:left="51"/>
              <w:rPr>
                <w:sz w:val="21"/>
              </w:rPr>
            </w:pPr>
            <w:r>
              <w:rPr>
                <w:sz w:val="21"/>
              </w:rPr>
              <w:t>结核性脊髓炎</w:t>
            </w:r>
          </w:p>
        </w:tc>
        <w:tc>
          <w:tcPr>
            <w:tcW w:w="7162" w:type="dxa"/>
          </w:tcPr>
          <w:p>
            <w:pPr>
              <w:pStyle w:val="TableParagraph"/>
              <w:spacing w:line="273" w:lineRule="auto"/>
              <w:ind w:left="270" w:right="312"/>
              <w:rPr>
                <w:sz w:val="21"/>
              </w:rPr>
            </w:pPr>
            <w:r>
              <w:rPr>
                <w:sz w:val="21"/>
              </w:rPr>
              <w:t>因结核杆菌引起的脊髓炎，导致永久性神经系统功能中度障碍，即：疾病首次确诊 </w:t>
            </w:r>
            <w:r>
              <w:rPr>
                <w:rFonts w:ascii="Times New Roman" w:eastAsia="Times New Roman"/>
                <w:sz w:val="21"/>
              </w:rPr>
              <w:t>180 </w:t>
            </w:r>
            <w:r>
              <w:rPr>
                <w:sz w:val="21"/>
              </w:rPr>
              <w:t>天后，仍遗留下列一种或一种以上障碍：</w:t>
            </w:r>
          </w:p>
          <w:p>
            <w:pPr>
              <w:pStyle w:val="TableParagraph"/>
              <w:spacing w:line="279" w:lineRule="exact" w:before="9"/>
              <w:ind w:left="270"/>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56" w:lineRule="auto" w:before="21"/>
              <w:ind w:left="270" w:right="256"/>
              <w:rPr>
                <w:sz w:val="21"/>
              </w:rPr>
            </w:pPr>
            <w:r>
              <w:rPr>
                <w:sz w:val="21"/>
              </w:rPr>
              <w:t>（</w:t>
            </w:r>
            <w:r>
              <w:rPr>
                <w:rFonts w:ascii="Times New Roman" w:eastAsia="Times New Roman"/>
                <w:sz w:val="21"/>
              </w:rPr>
              <w:t>2</w:t>
            </w:r>
            <w:r>
              <w:rPr>
                <w:sz w:val="21"/>
              </w:rPr>
              <w:t>）自主生活能力部分丧失，无法独立完成六项基本日常生活活动中的两项或两项以上。</w:t>
            </w:r>
          </w:p>
          <w:p>
            <w:pPr>
              <w:pStyle w:val="TableParagraph"/>
              <w:spacing w:line="312" w:lineRule="exact" w:before="17"/>
              <w:ind w:left="270" w:right="311"/>
              <w:rPr>
                <w:sz w:val="21"/>
              </w:rPr>
            </w:pPr>
            <w:r>
              <w:rPr>
                <w:sz w:val="21"/>
              </w:rPr>
              <w:t>该诊断必须由我们认可医院的神经专科医生证实，并必须由适当的检查证明为结核性脊髓炎。</w:t>
            </w:r>
          </w:p>
        </w:tc>
      </w:tr>
      <w:tr>
        <w:trPr>
          <w:trHeight w:val="2184" w:hRule="atLeast"/>
        </w:trPr>
        <w:tc>
          <w:tcPr>
            <w:tcW w:w="516" w:type="dxa"/>
          </w:tcPr>
          <w:p>
            <w:pPr>
              <w:pStyle w:val="TableParagraph"/>
              <w:spacing w:before="38"/>
              <w:ind w:right="51"/>
              <w:jc w:val="right"/>
              <w:rPr>
                <w:rFonts w:ascii="Times New Roman"/>
                <w:sz w:val="21"/>
              </w:rPr>
            </w:pPr>
            <w:r>
              <w:rPr>
                <w:rFonts w:ascii="Times New Roman"/>
                <w:sz w:val="21"/>
              </w:rPr>
              <w:t>75.</w:t>
            </w:r>
          </w:p>
        </w:tc>
        <w:tc>
          <w:tcPr>
            <w:tcW w:w="2695" w:type="dxa"/>
          </w:tcPr>
          <w:p>
            <w:pPr>
              <w:pStyle w:val="TableParagraph"/>
              <w:spacing w:line="266" w:lineRule="exact"/>
              <w:ind w:left="51"/>
              <w:rPr>
                <w:sz w:val="21"/>
              </w:rPr>
            </w:pPr>
            <w:r>
              <w:rPr>
                <w:sz w:val="21"/>
              </w:rPr>
              <w:t>肺孢子菌肺炎</w:t>
            </w:r>
          </w:p>
        </w:tc>
        <w:tc>
          <w:tcPr>
            <w:tcW w:w="7162" w:type="dxa"/>
          </w:tcPr>
          <w:p>
            <w:pPr>
              <w:pStyle w:val="TableParagraph"/>
              <w:spacing w:line="266" w:lineRule="exact"/>
              <w:ind w:left="270"/>
              <w:rPr>
                <w:sz w:val="21"/>
              </w:rPr>
            </w:pPr>
            <w:r>
              <w:rPr>
                <w:sz w:val="21"/>
              </w:rPr>
              <w:t>指由肺孢子菌引起的间质性浆细胞性肺炎。并须满足下列全部条件：</w:t>
            </w:r>
          </w:p>
          <w:p>
            <w:pPr>
              <w:pStyle w:val="TableParagraph"/>
              <w:spacing w:before="37"/>
              <w:ind w:left="270"/>
              <w:rPr>
                <w:sz w:val="21"/>
              </w:rPr>
            </w:pPr>
            <w:r>
              <w:rPr>
                <w:sz w:val="21"/>
              </w:rPr>
              <w:t>（</w:t>
            </w:r>
            <w:r>
              <w:rPr>
                <w:rFonts w:ascii="Times New Roman" w:eastAsia="Times New Roman"/>
                <w:sz w:val="21"/>
              </w:rPr>
              <w:t>1</w:t>
            </w:r>
            <w:r>
              <w:rPr>
                <w:sz w:val="21"/>
              </w:rPr>
              <w:t>）第一秒末用力呼气量（</w:t>
            </w:r>
            <w:r>
              <w:rPr>
                <w:rFonts w:ascii="Times New Roman" w:eastAsia="Times New Roman"/>
                <w:sz w:val="21"/>
              </w:rPr>
              <w:t>FEV1</w:t>
            </w:r>
            <w:r>
              <w:rPr>
                <w:sz w:val="21"/>
              </w:rPr>
              <w:t>）小于 </w:t>
            </w:r>
            <w:r>
              <w:rPr>
                <w:rFonts w:ascii="Times New Roman" w:eastAsia="Times New Roman"/>
                <w:sz w:val="21"/>
              </w:rPr>
              <w:t>1 </w:t>
            </w:r>
            <w:r>
              <w:rPr>
                <w:sz w:val="21"/>
              </w:rPr>
              <w:t>升；</w:t>
            </w:r>
          </w:p>
          <w:p>
            <w:pPr>
              <w:pStyle w:val="TableParagraph"/>
              <w:spacing w:before="21"/>
              <w:ind w:left="270"/>
              <w:rPr>
                <w:sz w:val="21"/>
              </w:rPr>
            </w:pPr>
            <w:r>
              <w:rPr>
                <w:sz w:val="21"/>
              </w:rPr>
              <w:t>（</w:t>
            </w:r>
            <w:r>
              <w:rPr>
                <w:rFonts w:ascii="Times New Roman" w:eastAsia="Times New Roman"/>
                <w:sz w:val="21"/>
              </w:rPr>
              <w:t>2</w:t>
            </w:r>
            <w:r>
              <w:rPr>
                <w:sz w:val="21"/>
              </w:rPr>
              <w:t>）气道内阻力增加，至少达到 </w:t>
            </w:r>
            <w:r>
              <w:rPr>
                <w:rFonts w:ascii="Times New Roman" w:eastAsia="Times New Roman"/>
                <w:sz w:val="21"/>
              </w:rPr>
              <w:t>0.5kPa/l/s</w:t>
            </w:r>
            <w:r>
              <w:rPr>
                <w:sz w:val="21"/>
              </w:rPr>
              <w:t>；</w:t>
            </w:r>
          </w:p>
          <w:p>
            <w:pPr>
              <w:pStyle w:val="TableParagraph"/>
              <w:spacing w:before="20"/>
              <w:ind w:left="270"/>
              <w:rPr>
                <w:sz w:val="21"/>
              </w:rPr>
            </w:pPr>
            <w:r>
              <w:rPr>
                <w:sz w:val="21"/>
              </w:rPr>
              <w:t>（</w:t>
            </w:r>
            <w:r>
              <w:rPr>
                <w:rFonts w:ascii="Times New Roman" w:eastAsia="Times New Roman"/>
                <w:sz w:val="21"/>
              </w:rPr>
              <w:t>3</w:t>
            </w:r>
            <w:r>
              <w:rPr>
                <w:sz w:val="21"/>
              </w:rPr>
              <w:t>）残气容积占肺总量</w:t>
            </w:r>
            <w:r>
              <w:rPr>
                <w:rFonts w:ascii="Times New Roman" w:eastAsia="Times New Roman"/>
                <w:sz w:val="21"/>
              </w:rPr>
              <w:t>(TLC)</w:t>
            </w:r>
            <w:r>
              <w:rPr>
                <w:sz w:val="21"/>
              </w:rPr>
              <w:t>的 </w:t>
            </w:r>
            <w:r>
              <w:rPr>
                <w:rFonts w:ascii="Times New Roman" w:eastAsia="Times New Roman"/>
                <w:sz w:val="21"/>
              </w:rPr>
              <w:t>60%</w:t>
            </w:r>
            <w:r>
              <w:rPr>
                <w:sz w:val="21"/>
              </w:rPr>
              <w:t>以上；</w:t>
            </w:r>
          </w:p>
          <w:p>
            <w:pPr>
              <w:pStyle w:val="TableParagraph"/>
              <w:spacing w:before="20"/>
              <w:ind w:left="270"/>
              <w:rPr>
                <w:sz w:val="21"/>
              </w:rPr>
            </w:pPr>
            <w:r>
              <w:rPr>
                <w:sz w:val="21"/>
              </w:rPr>
              <w:t>（</w:t>
            </w:r>
            <w:r>
              <w:rPr>
                <w:rFonts w:ascii="Times New Roman" w:eastAsia="Times New Roman"/>
                <w:sz w:val="21"/>
              </w:rPr>
              <w:t>4</w:t>
            </w:r>
            <w:r>
              <w:rPr>
                <w:sz w:val="21"/>
              </w:rPr>
              <w:t>）胸内气体容积升高，超过 </w:t>
            </w:r>
            <w:r>
              <w:rPr>
                <w:rFonts w:ascii="Times New Roman" w:eastAsia="Times New Roman"/>
                <w:sz w:val="21"/>
              </w:rPr>
              <w:t>170(</w:t>
            </w:r>
            <w:r>
              <w:rPr>
                <w:sz w:val="21"/>
              </w:rPr>
              <w:t>基值的百分比</w:t>
            </w:r>
            <w:r>
              <w:rPr>
                <w:rFonts w:ascii="Times New Roman" w:eastAsia="Times New Roman"/>
                <w:sz w:val="21"/>
              </w:rPr>
              <w:t>)</w:t>
            </w:r>
            <w:r>
              <w:rPr>
                <w:sz w:val="21"/>
              </w:rPr>
              <w:t>；</w:t>
            </w:r>
          </w:p>
          <w:p>
            <w:pPr>
              <w:pStyle w:val="TableParagraph"/>
              <w:spacing w:before="20"/>
              <w:ind w:left="270"/>
              <w:rPr>
                <w:sz w:val="21"/>
              </w:rPr>
            </w:pPr>
            <w:r>
              <w:rPr>
                <w:sz w:val="21"/>
              </w:rPr>
              <w:t>（</w:t>
            </w:r>
            <w:r>
              <w:rPr>
                <w:rFonts w:ascii="Times New Roman" w:eastAsia="Times New Roman"/>
                <w:sz w:val="21"/>
              </w:rPr>
              <w:t>5</w:t>
            </w:r>
            <w:r>
              <w:rPr>
                <w:sz w:val="21"/>
              </w:rPr>
              <w:t>）</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t>&lt;</w:t>
            </w:r>
            <w:r>
              <w:rPr>
                <w:rFonts w:ascii="Times New Roman" w:eastAsia="Times New Roman"/>
                <w:sz w:val="21"/>
                <w:vertAlign w:val="baseline"/>
              </w:rPr>
              <w:t>60mmHg</w:t>
            </w:r>
            <w:r>
              <w:rPr>
                <w:sz w:val="21"/>
                <w:vertAlign w:val="baseline"/>
              </w:rPr>
              <w:t>，</w:t>
            </w:r>
            <w:r>
              <w:rPr>
                <w:rFonts w:ascii="Times New Roman" w:eastAsia="Times New Roman"/>
                <w:sz w:val="21"/>
                <w:vertAlign w:val="baseline"/>
              </w:rPr>
              <w:t>PaCO</w:t>
            </w:r>
            <w:r>
              <w:rPr>
                <w:rFonts w:ascii="Times New Roman" w:eastAsia="Times New Roman"/>
                <w:sz w:val="21"/>
                <w:vertAlign w:val="subscript"/>
              </w:rPr>
              <w:t>2</w:t>
            </w:r>
            <w:r>
              <w:rPr>
                <w:rFonts w:ascii="Times New Roman" w:eastAsia="Times New Roman"/>
                <w:sz w:val="21"/>
                <w:vertAlign w:val="baseline"/>
              </w:rPr>
              <w:t>&gt;</w:t>
            </w:r>
            <w:r>
              <w:rPr>
                <w:rFonts w:ascii="Times New Roman" w:eastAsia="Times New Roman"/>
                <w:sz w:val="21"/>
                <w:vertAlign w:val="baseline"/>
              </w:rPr>
              <w:t>50mmHg</w:t>
            </w:r>
            <w:r>
              <w:rPr>
                <w:sz w:val="21"/>
                <w:vertAlign w:val="baseline"/>
              </w:rPr>
              <w:t>。</w:t>
            </w:r>
          </w:p>
          <w:p>
            <w:pPr>
              <w:pStyle w:val="TableParagraph"/>
              <w:spacing w:before="20"/>
              <w:ind w:left="270"/>
              <w:rPr>
                <w:b/>
                <w:sz w:val="21"/>
              </w:rPr>
            </w:pPr>
            <w:r>
              <w:rPr>
                <w:b/>
                <w:sz w:val="21"/>
              </w:rPr>
              <w:t>感染艾滋病病毒或患艾滋病期间所患肺孢子菌肺炎不在保障范围内。</w:t>
            </w:r>
          </w:p>
        </w:tc>
      </w:tr>
      <w:tr>
        <w:trPr>
          <w:trHeight w:val="2496" w:hRule="atLeast"/>
        </w:trPr>
        <w:tc>
          <w:tcPr>
            <w:tcW w:w="516" w:type="dxa"/>
          </w:tcPr>
          <w:p>
            <w:pPr>
              <w:pStyle w:val="TableParagraph"/>
              <w:spacing w:before="38"/>
              <w:ind w:right="51"/>
              <w:jc w:val="right"/>
              <w:rPr>
                <w:rFonts w:ascii="Times New Roman"/>
                <w:sz w:val="21"/>
              </w:rPr>
            </w:pPr>
            <w:r>
              <w:rPr>
                <w:rFonts w:ascii="Times New Roman"/>
                <w:sz w:val="21"/>
              </w:rPr>
              <w:t>76.</w:t>
            </w:r>
          </w:p>
        </w:tc>
        <w:tc>
          <w:tcPr>
            <w:tcW w:w="2695" w:type="dxa"/>
          </w:tcPr>
          <w:p>
            <w:pPr>
              <w:pStyle w:val="TableParagraph"/>
              <w:spacing w:line="266" w:lineRule="exact"/>
              <w:ind w:left="51"/>
              <w:rPr>
                <w:sz w:val="21"/>
              </w:rPr>
            </w:pPr>
            <w:r>
              <w:rPr>
                <w:sz w:val="21"/>
              </w:rPr>
              <w:t>范可尼综合征</w:t>
            </w:r>
          </w:p>
        </w:tc>
        <w:tc>
          <w:tcPr>
            <w:tcW w:w="7162" w:type="dxa"/>
          </w:tcPr>
          <w:p>
            <w:pPr>
              <w:pStyle w:val="TableParagraph"/>
              <w:spacing w:line="256" w:lineRule="auto"/>
              <w:ind w:left="270" w:right="305"/>
              <w:rPr>
                <w:sz w:val="21"/>
              </w:rPr>
            </w:pPr>
            <w:r>
              <w:rPr>
                <w:spacing w:val="-13"/>
                <w:sz w:val="21"/>
              </w:rPr>
              <w:t>也称 </w:t>
            </w:r>
            <w:r>
              <w:rPr>
                <w:rFonts w:ascii="Times New Roman" w:eastAsia="Times New Roman"/>
                <w:sz w:val="21"/>
              </w:rPr>
              <w:t>Fanconi </w:t>
            </w:r>
            <w:r>
              <w:rPr>
                <w:spacing w:val="-10"/>
                <w:sz w:val="21"/>
              </w:rPr>
              <w:t>综合征，指近端肾小管的功能异常引起的一组症候群。须经</w:t>
            </w:r>
            <w:r>
              <w:rPr>
                <w:spacing w:val="-5"/>
                <w:sz w:val="21"/>
              </w:rPr>
              <w:t>专科医生诊断，且须满足下列至少两项条件：</w:t>
            </w:r>
          </w:p>
          <w:p>
            <w:pPr>
              <w:pStyle w:val="TableParagraph"/>
              <w:spacing w:before="31"/>
              <w:ind w:left="270"/>
              <w:rPr>
                <w:sz w:val="21"/>
              </w:rPr>
            </w:pPr>
            <w:r>
              <w:rPr>
                <w:sz w:val="21"/>
              </w:rPr>
              <w:t>（</w:t>
            </w:r>
            <w:r>
              <w:rPr>
                <w:rFonts w:ascii="Times New Roman" w:eastAsia="Times New Roman"/>
                <w:sz w:val="21"/>
              </w:rPr>
              <w:t>1</w:t>
            </w:r>
            <w:r>
              <w:rPr>
                <w:sz w:val="21"/>
              </w:rPr>
              <w:t>）尿液检查出现肾性糖尿、全氨基酸糖尿或磷酸盐尿；</w:t>
            </w:r>
          </w:p>
          <w:p>
            <w:pPr>
              <w:pStyle w:val="TableParagraph"/>
              <w:spacing w:before="21"/>
              <w:ind w:left="270"/>
              <w:rPr>
                <w:sz w:val="21"/>
              </w:rPr>
            </w:pPr>
            <w:r>
              <w:rPr>
                <w:sz w:val="21"/>
              </w:rPr>
              <w:t>（</w:t>
            </w:r>
            <w:r>
              <w:rPr>
                <w:rFonts w:ascii="Times New Roman" w:eastAsia="Times New Roman"/>
                <w:sz w:val="21"/>
              </w:rPr>
              <w:t>2</w:t>
            </w:r>
            <w:r>
              <w:rPr>
                <w:sz w:val="21"/>
              </w:rPr>
              <w:t>）血液检查出现低磷血症、低尿酸血症或近端肾小管酸中毒；</w:t>
            </w:r>
          </w:p>
          <w:p>
            <w:pPr>
              <w:pStyle w:val="TableParagraph"/>
              <w:spacing w:before="21"/>
              <w:ind w:left="270"/>
              <w:rPr>
                <w:sz w:val="21"/>
              </w:rPr>
            </w:pPr>
            <w:r>
              <w:rPr>
                <w:sz w:val="21"/>
              </w:rPr>
              <w:t>（</w:t>
            </w:r>
            <w:r>
              <w:rPr>
                <w:rFonts w:ascii="Times New Roman" w:eastAsia="Times New Roman"/>
                <w:sz w:val="21"/>
              </w:rPr>
              <w:t>3</w:t>
            </w:r>
            <w:r>
              <w:rPr>
                <w:sz w:val="21"/>
              </w:rPr>
              <w:t>）出现骨质疏松、骨骼畸形或尿路结石；</w:t>
            </w:r>
          </w:p>
          <w:p>
            <w:pPr>
              <w:pStyle w:val="TableParagraph"/>
              <w:spacing w:line="259" w:lineRule="auto" w:before="21"/>
              <w:ind w:left="270" w:right="267"/>
              <w:rPr>
                <w:sz w:val="21"/>
              </w:rPr>
            </w:pPr>
            <w:r>
              <w:rPr>
                <w:sz w:val="21"/>
              </w:rPr>
              <w:t>（</w:t>
            </w:r>
            <w:r>
              <w:rPr>
                <w:rFonts w:ascii="Times New Roman" w:eastAsia="Times New Roman"/>
                <w:sz w:val="21"/>
              </w:rPr>
              <w:t>4</w:t>
            </w:r>
            <w:r>
              <w:rPr>
                <w:sz w:val="21"/>
              </w:rPr>
              <w:t>）通过骨髓片、白细胞、直肠黏膜中的结晶分析或裂隙灯检查角膜有胱氨酸结晶。</w:t>
            </w:r>
          </w:p>
          <w:p>
            <w:pPr>
              <w:pStyle w:val="TableParagraph"/>
              <w:spacing w:before="20"/>
              <w:ind w:left="270"/>
              <w:rPr>
                <w:b/>
                <w:sz w:val="21"/>
              </w:rPr>
            </w:pPr>
            <w:r>
              <w:rPr>
                <w:b/>
                <w:sz w:val="21"/>
              </w:rPr>
              <w:t>被保险人在三周岁之前罹患该疾病，我们不承担保险责任。</w:t>
            </w:r>
          </w:p>
        </w:tc>
      </w:tr>
      <w:tr>
        <w:trPr>
          <w:trHeight w:val="1247" w:hRule="atLeast"/>
        </w:trPr>
        <w:tc>
          <w:tcPr>
            <w:tcW w:w="516" w:type="dxa"/>
          </w:tcPr>
          <w:p>
            <w:pPr>
              <w:pStyle w:val="TableParagraph"/>
              <w:spacing w:before="38"/>
              <w:ind w:right="51"/>
              <w:jc w:val="right"/>
              <w:rPr>
                <w:rFonts w:ascii="Times New Roman"/>
                <w:sz w:val="21"/>
              </w:rPr>
            </w:pPr>
            <w:r>
              <w:rPr>
                <w:rFonts w:ascii="Times New Roman"/>
                <w:sz w:val="21"/>
              </w:rPr>
              <w:t>77.</w:t>
            </w:r>
          </w:p>
        </w:tc>
        <w:tc>
          <w:tcPr>
            <w:tcW w:w="2695" w:type="dxa"/>
          </w:tcPr>
          <w:p>
            <w:pPr>
              <w:pStyle w:val="TableParagraph"/>
              <w:spacing w:line="266" w:lineRule="exact"/>
              <w:ind w:left="51"/>
              <w:rPr>
                <w:sz w:val="21"/>
              </w:rPr>
            </w:pPr>
            <w:r>
              <w:rPr>
                <w:sz w:val="21"/>
              </w:rPr>
              <w:t>弥漫性血管内凝血</w:t>
            </w:r>
          </w:p>
        </w:tc>
        <w:tc>
          <w:tcPr>
            <w:tcW w:w="7162" w:type="dxa"/>
          </w:tcPr>
          <w:p>
            <w:pPr>
              <w:pStyle w:val="TableParagraph"/>
              <w:spacing w:line="273" w:lineRule="auto"/>
              <w:ind w:left="270" w:right="311"/>
              <w:rPr>
                <w:sz w:val="21"/>
              </w:rPr>
            </w:pPr>
            <w:r>
              <w:rPr>
                <w:sz w:val="21"/>
              </w:rPr>
              <w:t>指血液凝固系统和纤溶系统的过度活动导致微血管血栓形成、血小板及凝血因子耗竭和严重出血，需要输注血浆和浓缩血小板进行治疗。</w:t>
            </w:r>
          </w:p>
          <w:p>
            <w:pPr>
              <w:pStyle w:val="TableParagraph"/>
              <w:spacing w:line="256" w:lineRule="auto" w:before="16"/>
              <w:ind w:left="270" w:right="252"/>
              <w:rPr>
                <w:sz w:val="21"/>
              </w:rPr>
            </w:pPr>
            <w:r>
              <w:rPr>
                <w:sz w:val="21"/>
              </w:rPr>
              <w:t>被保险人已经接受 </w:t>
            </w:r>
            <w:r>
              <w:rPr>
                <w:rFonts w:ascii="Times New Roman" w:eastAsia="Times New Roman"/>
                <w:sz w:val="21"/>
              </w:rPr>
              <w:t>ICU </w:t>
            </w:r>
            <w:r>
              <w:rPr>
                <w:sz w:val="21"/>
              </w:rPr>
              <w:t>重症监护病房的治疗，诊断必须经由专科医生的确诊。</w:t>
            </w:r>
          </w:p>
        </w:tc>
      </w:tr>
      <w:tr>
        <w:trPr>
          <w:trHeight w:val="935" w:hRule="atLeast"/>
        </w:trPr>
        <w:tc>
          <w:tcPr>
            <w:tcW w:w="516" w:type="dxa"/>
          </w:tcPr>
          <w:p>
            <w:pPr>
              <w:pStyle w:val="TableParagraph"/>
              <w:spacing w:before="38"/>
              <w:ind w:right="51"/>
              <w:jc w:val="right"/>
              <w:rPr>
                <w:rFonts w:ascii="Times New Roman"/>
                <w:sz w:val="21"/>
              </w:rPr>
            </w:pPr>
            <w:r>
              <w:rPr>
                <w:rFonts w:ascii="Times New Roman"/>
                <w:sz w:val="21"/>
              </w:rPr>
              <w:t>78.</w:t>
            </w:r>
          </w:p>
        </w:tc>
        <w:tc>
          <w:tcPr>
            <w:tcW w:w="2695" w:type="dxa"/>
          </w:tcPr>
          <w:p>
            <w:pPr>
              <w:pStyle w:val="TableParagraph"/>
              <w:spacing w:line="282" w:lineRule="exact"/>
              <w:ind w:left="51"/>
              <w:rPr>
                <w:sz w:val="21"/>
              </w:rPr>
            </w:pPr>
            <w:r>
              <w:rPr>
                <w:sz w:val="21"/>
              </w:rPr>
              <w:t>严重 </w:t>
            </w:r>
            <w:r>
              <w:rPr>
                <w:rFonts w:ascii="Times New Roman" w:eastAsia="Times New Roman"/>
                <w:sz w:val="21"/>
              </w:rPr>
              <w:t>III </w:t>
            </w:r>
            <w:r>
              <w:rPr>
                <w:sz w:val="21"/>
              </w:rPr>
              <w:t>度冻伤导致截肢</w:t>
            </w:r>
          </w:p>
        </w:tc>
        <w:tc>
          <w:tcPr>
            <w:tcW w:w="7162" w:type="dxa"/>
          </w:tcPr>
          <w:p>
            <w:pPr>
              <w:pStyle w:val="TableParagraph"/>
              <w:spacing w:line="266" w:lineRule="exact"/>
              <w:ind w:left="270"/>
              <w:rPr>
                <w:sz w:val="21"/>
              </w:rPr>
            </w:pPr>
            <w:r>
              <w:rPr>
                <w:sz w:val="21"/>
              </w:rPr>
              <w:t>冻伤是由于寒冷潮湿作用引起的人体局部或全身损伤。指冻伤程度达到</w:t>
            </w:r>
          </w:p>
          <w:p>
            <w:pPr>
              <w:pStyle w:val="TableParagraph"/>
              <w:spacing w:line="256" w:lineRule="auto" w:before="37"/>
              <w:ind w:left="270" w:right="199"/>
              <w:rPr>
                <w:sz w:val="21"/>
              </w:rPr>
            </w:pPr>
            <w:r>
              <w:rPr>
                <w:rFonts w:ascii="Times New Roman" w:eastAsia="Times New Roman"/>
                <w:sz w:val="21"/>
              </w:rPr>
              <w:t>III </w:t>
            </w:r>
            <w:r>
              <w:rPr>
                <w:spacing w:val="-10"/>
                <w:sz w:val="21"/>
              </w:rPr>
              <w:t>度，且导致一个或一个以上肢体自腕关节或踝关节近端</w:t>
            </w:r>
            <w:r>
              <w:rPr>
                <w:spacing w:val="-3"/>
                <w:sz w:val="21"/>
              </w:rPr>
              <w:t>（靠近躯干端</w:t>
            </w:r>
            <w:r>
              <w:rPr>
                <w:sz w:val="21"/>
              </w:rPr>
              <w:t>） </w:t>
            </w:r>
            <w:r>
              <w:rPr>
                <w:spacing w:val="-3"/>
                <w:sz w:val="21"/>
              </w:rPr>
              <w:t>以上完全性断离。</w:t>
            </w:r>
          </w:p>
        </w:tc>
      </w:tr>
      <w:tr>
        <w:trPr>
          <w:trHeight w:val="279" w:hRule="atLeast"/>
        </w:trPr>
        <w:tc>
          <w:tcPr>
            <w:tcW w:w="516" w:type="dxa"/>
          </w:tcPr>
          <w:p>
            <w:pPr>
              <w:pStyle w:val="TableParagraph"/>
              <w:spacing w:line="222" w:lineRule="exact" w:before="38"/>
              <w:ind w:right="51"/>
              <w:jc w:val="right"/>
              <w:rPr>
                <w:rFonts w:ascii="Times New Roman"/>
                <w:sz w:val="21"/>
              </w:rPr>
            </w:pPr>
            <w:r>
              <w:rPr>
                <w:rFonts w:ascii="Times New Roman"/>
                <w:sz w:val="21"/>
              </w:rPr>
              <w:t>79.</w:t>
            </w:r>
          </w:p>
        </w:tc>
        <w:tc>
          <w:tcPr>
            <w:tcW w:w="2695" w:type="dxa"/>
          </w:tcPr>
          <w:p>
            <w:pPr>
              <w:pStyle w:val="TableParagraph"/>
              <w:spacing w:line="260" w:lineRule="exact"/>
              <w:ind w:left="51"/>
              <w:rPr>
                <w:sz w:val="21"/>
              </w:rPr>
            </w:pPr>
            <w:r>
              <w:rPr>
                <w:sz w:val="21"/>
              </w:rPr>
              <w:t>大面积植皮手术</w:t>
            </w:r>
          </w:p>
        </w:tc>
        <w:tc>
          <w:tcPr>
            <w:tcW w:w="7162" w:type="dxa"/>
          </w:tcPr>
          <w:p>
            <w:pPr>
              <w:pStyle w:val="TableParagraph"/>
              <w:spacing w:line="260" w:lineRule="exact"/>
              <w:ind w:left="270"/>
              <w:rPr>
                <w:sz w:val="21"/>
              </w:rPr>
            </w:pPr>
            <w:r>
              <w:rPr>
                <w:sz w:val="21"/>
              </w:rPr>
              <w:t>指为修复皮肤与其下的组织缺损所进行的皮肤移植手术，要求皮肤移植</w:t>
            </w:r>
          </w:p>
        </w:tc>
      </w:tr>
    </w:tbl>
    <w:p>
      <w:pPr>
        <w:spacing w:after="0" w:line="260" w:lineRule="exact"/>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560"/>
        <w:gridCol w:w="7295"/>
      </w:tblGrid>
      <w:tr>
        <w:trPr>
          <w:trHeight w:val="576" w:hRule="atLeast"/>
        </w:trPr>
        <w:tc>
          <w:tcPr>
            <w:tcW w:w="516" w:type="dxa"/>
          </w:tcPr>
          <w:p>
            <w:pPr>
              <w:pStyle w:val="TableParagraph"/>
              <w:rPr>
                <w:rFonts w:ascii="Times New Roman"/>
                <w:sz w:val="20"/>
              </w:rPr>
            </w:pPr>
          </w:p>
        </w:tc>
        <w:tc>
          <w:tcPr>
            <w:tcW w:w="2560" w:type="dxa"/>
          </w:tcPr>
          <w:p>
            <w:pPr>
              <w:pStyle w:val="TableParagraph"/>
              <w:rPr>
                <w:rFonts w:ascii="Times New Roman"/>
                <w:sz w:val="20"/>
              </w:rPr>
            </w:pPr>
          </w:p>
        </w:tc>
        <w:tc>
          <w:tcPr>
            <w:tcW w:w="7295" w:type="dxa"/>
          </w:tcPr>
          <w:p>
            <w:pPr>
              <w:pStyle w:val="TableParagraph"/>
              <w:spacing w:line="234" w:lineRule="exact"/>
              <w:ind w:left="405"/>
              <w:rPr>
                <w:sz w:val="21"/>
              </w:rPr>
            </w:pPr>
            <w:r>
              <w:rPr>
                <w:sz w:val="21"/>
              </w:rPr>
              <w:t>的面积达到全身体表面积的 </w:t>
            </w:r>
            <w:r>
              <w:rPr>
                <w:rFonts w:ascii="Times New Roman" w:eastAsia="Times New Roman"/>
                <w:sz w:val="21"/>
              </w:rPr>
              <w:t>30%</w:t>
            </w:r>
            <w:r>
              <w:rPr>
                <w:sz w:val="21"/>
              </w:rPr>
              <w:t>或 </w:t>
            </w:r>
            <w:r>
              <w:rPr>
                <w:rFonts w:ascii="Times New Roman" w:eastAsia="Times New Roman"/>
                <w:sz w:val="21"/>
              </w:rPr>
              <w:t>30%</w:t>
            </w:r>
            <w:r>
              <w:rPr>
                <w:sz w:val="21"/>
              </w:rPr>
              <w:t>以上。体表面积根据《中国新九</w:t>
            </w:r>
          </w:p>
          <w:p>
            <w:pPr>
              <w:pStyle w:val="TableParagraph"/>
              <w:spacing w:before="21"/>
              <w:ind w:left="405"/>
              <w:rPr>
                <w:sz w:val="21"/>
              </w:rPr>
            </w:pPr>
            <w:r>
              <w:rPr>
                <w:sz w:val="21"/>
              </w:rPr>
              <w:t>分法》计算。</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80.</w:t>
            </w:r>
          </w:p>
        </w:tc>
        <w:tc>
          <w:tcPr>
            <w:tcW w:w="2560" w:type="dxa"/>
          </w:tcPr>
          <w:p>
            <w:pPr>
              <w:pStyle w:val="TableParagraph"/>
              <w:spacing w:line="266" w:lineRule="exact"/>
              <w:ind w:left="51"/>
              <w:rPr>
                <w:sz w:val="21"/>
              </w:rPr>
            </w:pPr>
            <w:r>
              <w:rPr>
                <w:sz w:val="21"/>
              </w:rPr>
              <w:t>出血性登革热</w:t>
            </w:r>
          </w:p>
        </w:tc>
        <w:tc>
          <w:tcPr>
            <w:tcW w:w="7295" w:type="dxa"/>
          </w:tcPr>
          <w:p>
            <w:pPr>
              <w:pStyle w:val="TableParagraph"/>
              <w:spacing w:line="264" w:lineRule="auto"/>
              <w:ind w:left="405" w:right="302"/>
              <w:jc w:val="both"/>
              <w:rPr>
                <w:sz w:val="21"/>
              </w:rPr>
            </w:pPr>
            <w:r>
              <w:rPr>
                <w:spacing w:val="-4"/>
                <w:w w:val="100"/>
                <w:sz w:val="21"/>
              </w:rPr>
              <w:t>严重登革热</w:t>
            </w:r>
            <w:r>
              <w:rPr>
                <w:w w:val="100"/>
                <w:sz w:val="21"/>
              </w:rPr>
              <w:t>（</w:t>
            </w:r>
            <w:r>
              <w:rPr>
                <w:spacing w:val="-3"/>
                <w:w w:val="100"/>
                <w:sz w:val="21"/>
              </w:rPr>
              <w:t>出血性登革热</w:t>
            </w:r>
            <w:r>
              <w:rPr>
                <w:spacing w:val="-106"/>
                <w:w w:val="100"/>
                <w:sz w:val="21"/>
              </w:rPr>
              <w:t>）</w:t>
            </w:r>
            <w:r>
              <w:rPr>
                <w:spacing w:val="-6"/>
                <w:w w:val="100"/>
                <w:sz w:val="21"/>
              </w:rPr>
              <w:t>，出现了全部四种症状，包括发高烧、出血</w:t>
            </w:r>
            <w:r>
              <w:rPr>
                <w:spacing w:val="-4"/>
                <w:sz w:val="21"/>
              </w:rPr>
              <w:t>现象、肝肿大和循环衰竭，符合登革热休克综合症标准，达到 </w:t>
            </w:r>
            <w:r>
              <w:rPr>
                <w:rFonts w:ascii="Times New Roman" w:eastAsia="Times New Roman"/>
                <w:sz w:val="21"/>
              </w:rPr>
              <w:t>WHO </w:t>
            </w:r>
            <w:r>
              <w:rPr>
                <w:sz w:val="21"/>
              </w:rPr>
              <w:t>登</w:t>
            </w:r>
            <w:r>
              <w:rPr>
                <w:spacing w:val="-9"/>
                <w:sz w:val="21"/>
              </w:rPr>
              <w:t>革热分级的第 </w:t>
            </w:r>
            <w:r>
              <w:rPr>
                <w:rFonts w:ascii="Times New Roman" w:eastAsia="Times New Roman"/>
                <w:sz w:val="21"/>
              </w:rPr>
              <w:t>III </w:t>
            </w:r>
            <w:r>
              <w:rPr>
                <w:spacing w:val="-13"/>
                <w:sz w:val="21"/>
              </w:rPr>
              <w:t>级和第 </w:t>
            </w:r>
            <w:r>
              <w:rPr>
                <w:rFonts w:ascii="Times New Roman" w:eastAsia="Times New Roman"/>
                <w:sz w:val="21"/>
              </w:rPr>
              <w:t>IV </w:t>
            </w:r>
            <w:r>
              <w:rPr>
                <w:spacing w:val="-3"/>
                <w:sz w:val="21"/>
              </w:rPr>
              <w:t>级。</w:t>
            </w:r>
          </w:p>
          <w:p>
            <w:pPr>
              <w:pStyle w:val="TableParagraph"/>
              <w:spacing w:line="273" w:lineRule="exact" w:before="9"/>
              <w:ind w:left="405"/>
              <w:jc w:val="both"/>
              <w:rPr>
                <w:b/>
                <w:sz w:val="21"/>
              </w:rPr>
            </w:pPr>
            <w:r>
              <w:rPr>
                <w:sz w:val="21"/>
              </w:rPr>
              <w:t>出血性登革热的诊断必须由我们认可医院的专科医生证实。</w:t>
            </w:r>
            <w:r>
              <w:rPr>
                <w:b/>
                <w:sz w:val="21"/>
              </w:rPr>
              <w:t>非出血性登</w:t>
            </w:r>
          </w:p>
          <w:p>
            <w:pPr>
              <w:pStyle w:val="TableParagraph"/>
              <w:spacing w:before="37"/>
              <w:ind w:left="405"/>
              <w:jc w:val="both"/>
              <w:rPr>
                <w:b/>
                <w:sz w:val="21"/>
              </w:rPr>
            </w:pPr>
            <w:r>
              <w:rPr>
                <w:b/>
                <w:sz w:val="21"/>
              </w:rPr>
              <w:t>革热不在保障范围内。</w:t>
            </w:r>
          </w:p>
        </w:tc>
      </w:tr>
      <w:tr>
        <w:trPr>
          <w:trHeight w:val="2808" w:hRule="atLeast"/>
        </w:trPr>
        <w:tc>
          <w:tcPr>
            <w:tcW w:w="516" w:type="dxa"/>
          </w:tcPr>
          <w:p>
            <w:pPr>
              <w:pStyle w:val="TableParagraph"/>
              <w:spacing w:before="38"/>
              <w:ind w:right="51"/>
              <w:jc w:val="right"/>
              <w:rPr>
                <w:rFonts w:ascii="Times New Roman"/>
                <w:sz w:val="21"/>
              </w:rPr>
            </w:pPr>
            <w:r>
              <w:rPr>
                <w:rFonts w:ascii="Times New Roman"/>
                <w:sz w:val="21"/>
              </w:rPr>
              <w:t>81.</w:t>
            </w:r>
          </w:p>
        </w:tc>
        <w:tc>
          <w:tcPr>
            <w:tcW w:w="2560" w:type="dxa"/>
          </w:tcPr>
          <w:p>
            <w:pPr>
              <w:pStyle w:val="TableParagraph"/>
              <w:spacing w:line="266" w:lineRule="exact"/>
              <w:ind w:left="51"/>
              <w:rPr>
                <w:sz w:val="21"/>
              </w:rPr>
            </w:pPr>
            <w:r>
              <w:rPr>
                <w:sz w:val="21"/>
              </w:rPr>
              <w:t>重症手足口病</w:t>
            </w:r>
          </w:p>
        </w:tc>
        <w:tc>
          <w:tcPr>
            <w:tcW w:w="7295" w:type="dxa"/>
          </w:tcPr>
          <w:p>
            <w:pPr>
              <w:pStyle w:val="TableParagraph"/>
              <w:spacing w:line="273" w:lineRule="auto"/>
              <w:ind w:left="405" w:right="310"/>
              <w:jc w:val="both"/>
              <w:rPr>
                <w:sz w:val="21"/>
              </w:rPr>
            </w:pPr>
            <w:r>
              <w:rPr>
                <w:sz w:val="21"/>
              </w:rPr>
              <w:t>由肠道病毒引起的急性传染病，主要症状表现为手、足、口腔等部位的斑丘疹、疱疹。经我们认可的医疗机构的儿科专科医生确诊为患有手足口病，并伴有下列三项中的任意一项并发症：</w:t>
            </w:r>
          </w:p>
          <w:p>
            <w:pPr>
              <w:pStyle w:val="TableParagraph"/>
              <w:spacing w:line="256" w:lineRule="auto" w:before="16"/>
              <w:ind w:left="405" w:right="303"/>
              <w:jc w:val="both"/>
              <w:rPr>
                <w:sz w:val="21"/>
              </w:rPr>
            </w:pPr>
            <w:r>
              <w:rPr>
                <w:spacing w:val="-7"/>
                <w:sz w:val="21"/>
              </w:rPr>
              <w:t>（</w:t>
            </w:r>
            <w:r>
              <w:rPr>
                <w:rFonts w:ascii="Times New Roman" w:eastAsia="Times New Roman"/>
                <w:spacing w:val="-7"/>
                <w:sz w:val="21"/>
              </w:rPr>
              <w:t>1</w:t>
            </w:r>
            <w:r>
              <w:rPr>
                <w:spacing w:val="-7"/>
                <w:sz w:val="21"/>
              </w:rPr>
              <w:t>）</w:t>
            </w:r>
            <w:r>
              <w:rPr>
                <w:spacing w:val="-5"/>
                <w:sz w:val="21"/>
              </w:rPr>
              <w:t>有脑膜炎或脑炎并发症，且导致意识障碍或瘫痪的临床表现及实验</w:t>
            </w:r>
            <w:r>
              <w:rPr>
                <w:spacing w:val="-4"/>
                <w:sz w:val="21"/>
              </w:rPr>
              <w:t>室检查证据；</w:t>
            </w:r>
          </w:p>
          <w:p>
            <w:pPr>
              <w:pStyle w:val="TableParagraph"/>
              <w:spacing w:line="256" w:lineRule="auto" w:before="22"/>
              <w:ind w:left="405" w:right="303"/>
              <w:jc w:val="both"/>
              <w:rPr>
                <w:sz w:val="21"/>
              </w:rPr>
            </w:pPr>
            <w:r>
              <w:rPr>
                <w:spacing w:val="-7"/>
                <w:sz w:val="21"/>
              </w:rPr>
              <w:t>（</w:t>
            </w:r>
            <w:r>
              <w:rPr>
                <w:rFonts w:ascii="Times New Roman" w:eastAsia="Times New Roman"/>
                <w:spacing w:val="-7"/>
                <w:sz w:val="21"/>
              </w:rPr>
              <w:t>2</w:t>
            </w:r>
            <w:r>
              <w:rPr>
                <w:spacing w:val="-7"/>
                <w:sz w:val="21"/>
              </w:rPr>
              <w:t>）</w:t>
            </w:r>
            <w:r>
              <w:rPr>
                <w:spacing w:val="-5"/>
                <w:sz w:val="21"/>
              </w:rPr>
              <w:t>有肺炎或肺水肿并发症，且导致呼吸衰竭的临床表现及实验室检查证据；</w:t>
            </w:r>
          </w:p>
          <w:p>
            <w:pPr>
              <w:pStyle w:val="TableParagraph"/>
              <w:spacing w:line="256" w:lineRule="auto" w:before="22"/>
              <w:ind w:left="405" w:right="303"/>
              <w:jc w:val="both"/>
              <w:rPr>
                <w:sz w:val="21"/>
              </w:rPr>
            </w:pPr>
            <w:r>
              <w:rPr>
                <w:spacing w:val="-7"/>
                <w:sz w:val="21"/>
              </w:rPr>
              <w:t>（</w:t>
            </w:r>
            <w:r>
              <w:rPr>
                <w:rFonts w:ascii="Times New Roman" w:eastAsia="Times New Roman"/>
                <w:spacing w:val="-7"/>
                <w:sz w:val="21"/>
              </w:rPr>
              <w:t>3</w:t>
            </w:r>
            <w:r>
              <w:rPr>
                <w:spacing w:val="-7"/>
                <w:sz w:val="21"/>
              </w:rPr>
              <w:t>）</w:t>
            </w:r>
            <w:r>
              <w:rPr>
                <w:spacing w:val="-6"/>
                <w:sz w:val="21"/>
              </w:rPr>
              <w:t>有心肌炎并发症，且导致心脏扩大或心力衰竭的临床表现及实验室</w:t>
            </w:r>
            <w:r>
              <w:rPr>
                <w:spacing w:val="-4"/>
                <w:sz w:val="21"/>
              </w:rPr>
              <w:t>检查证据。</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82.</w:t>
            </w:r>
          </w:p>
        </w:tc>
        <w:tc>
          <w:tcPr>
            <w:tcW w:w="2560" w:type="dxa"/>
          </w:tcPr>
          <w:p>
            <w:pPr>
              <w:pStyle w:val="TableParagraph"/>
              <w:spacing w:line="266" w:lineRule="exact"/>
              <w:ind w:left="51"/>
              <w:rPr>
                <w:sz w:val="21"/>
              </w:rPr>
            </w:pPr>
            <w:r>
              <w:rPr>
                <w:sz w:val="21"/>
              </w:rPr>
              <w:t>进行性核上性麻痹</w:t>
            </w:r>
          </w:p>
        </w:tc>
        <w:tc>
          <w:tcPr>
            <w:tcW w:w="7295" w:type="dxa"/>
          </w:tcPr>
          <w:p>
            <w:pPr>
              <w:pStyle w:val="TableParagraph"/>
              <w:spacing w:line="264" w:lineRule="auto"/>
              <w:ind w:left="405" w:right="304"/>
              <w:jc w:val="both"/>
              <w:rPr>
                <w:sz w:val="21"/>
              </w:rPr>
            </w:pPr>
            <w:r>
              <w:rPr>
                <w:spacing w:val="-6"/>
                <w:sz w:val="21"/>
              </w:rPr>
              <w:t>进行性核上性麻痹</w:t>
            </w:r>
            <w:r>
              <w:rPr>
                <w:spacing w:val="-7"/>
                <w:sz w:val="21"/>
              </w:rPr>
              <w:t>（</w:t>
            </w:r>
            <w:r>
              <w:rPr>
                <w:rFonts w:ascii="Times New Roman" w:eastAsia="Times New Roman"/>
                <w:spacing w:val="-7"/>
                <w:sz w:val="21"/>
              </w:rPr>
              <w:t>PSP</w:t>
            </w:r>
            <w:r>
              <w:rPr>
                <w:spacing w:val="-7"/>
                <w:sz w:val="21"/>
              </w:rPr>
              <w:t>）</w:t>
            </w:r>
            <w:r>
              <w:rPr>
                <w:spacing w:val="-17"/>
                <w:sz w:val="21"/>
              </w:rPr>
              <w:t>又称 </w:t>
            </w:r>
            <w:r>
              <w:rPr>
                <w:rFonts w:ascii="Times New Roman" w:eastAsia="Times New Roman"/>
                <w:sz w:val="21"/>
              </w:rPr>
              <w:t>Steele-Rchardson-Olszewski </w:t>
            </w:r>
            <w:r>
              <w:rPr>
                <w:spacing w:val="-7"/>
                <w:sz w:val="21"/>
              </w:rPr>
              <w:t>综合征，是一</w:t>
            </w:r>
            <w:r>
              <w:rPr>
                <w:sz w:val="21"/>
              </w:rPr>
              <w:t>种少见的神经系统变性疾病，以假球麻痹、垂直性核上性眼肌麻痹、锥体外系肌僵直、步态共济失调和轻度痴呆为主要临床特征。</w:t>
            </w:r>
            <w:r>
              <w:rPr>
                <w:rFonts w:ascii="Times New Roman" w:eastAsia="Times New Roman"/>
                <w:sz w:val="21"/>
              </w:rPr>
              <w:t>PSP </w:t>
            </w:r>
            <w:r>
              <w:rPr>
                <w:sz w:val="21"/>
              </w:rPr>
              <w:t>必须由三级甲等医院的神经内科专科医生确诊，并且被保险人自主生活能力完</w:t>
            </w:r>
            <w:r>
              <w:rPr>
                <w:spacing w:val="-3"/>
                <w:sz w:val="21"/>
              </w:rPr>
              <w:t>全丧失，无法独立完成六项基本日常生活活动中的三项或三项以上。</w:t>
            </w:r>
          </w:p>
        </w:tc>
      </w:tr>
      <w:tr>
        <w:trPr>
          <w:trHeight w:val="936" w:hRule="atLeast"/>
        </w:trPr>
        <w:tc>
          <w:tcPr>
            <w:tcW w:w="516" w:type="dxa"/>
          </w:tcPr>
          <w:p>
            <w:pPr>
              <w:pStyle w:val="TableParagraph"/>
              <w:spacing w:before="38"/>
              <w:ind w:right="51"/>
              <w:jc w:val="right"/>
              <w:rPr>
                <w:rFonts w:ascii="Times New Roman"/>
                <w:sz w:val="21"/>
              </w:rPr>
            </w:pPr>
            <w:r>
              <w:rPr>
                <w:rFonts w:ascii="Times New Roman"/>
                <w:sz w:val="21"/>
              </w:rPr>
              <w:t>83.</w:t>
            </w:r>
          </w:p>
        </w:tc>
        <w:tc>
          <w:tcPr>
            <w:tcW w:w="2560" w:type="dxa"/>
          </w:tcPr>
          <w:p>
            <w:pPr>
              <w:pStyle w:val="TableParagraph"/>
              <w:spacing w:line="266" w:lineRule="exact"/>
              <w:ind w:left="51"/>
              <w:rPr>
                <w:sz w:val="21"/>
              </w:rPr>
            </w:pPr>
            <w:r>
              <w:rPr>
                <w:sz w:val="21"/>
              </w:rPr>
              <w:t>小肠移植</w:t>
            </w:r>
          </w:p>
        </w:tc>
        <w:tc>
          <w:tcPr>
            <w:tcW w:w="7295" w:type="dxa"/>
          </w:tcPr>
          <w:p>
            <w:pPr>
              <w:pStyle w:val="TableParagraph"/>
              <w:spacing w:line="273" w:lineRule="auto"/>
              <w:ind w:left="405" w:right="310"/>
              <w:rPr>
                <w:sz w:val="21"/>
              </w:rPr>
            </w:pPr>
            <w:r>
              <w:rPr>
                <w:sz w:val="21"/>
              </w:rPr>
              <w:t>因疾病或意外事故导致严重小肠损害不得不切除三分之二以上肠段，为了维持生理功能的需要已经接受了小肠的同种（人类）异体器官移植手</w:t>
            </w:r>
          </w:p>
          <w:p>
            <w:pPr>
              <w:pStyle w:val="TableParagraph"/>
              <w:spacing w:before="17"/>
              <w:ind w:left="405"/>
              <w:rPr>
                <w:sz w:val="21"/>
              </w:rPr>
            </w:pPr>
            <w:r>
              <w:rPr>
                <w:sz w:val="21"/>
              </w:rPr>
              <w:t>术，且此手术必须由专科医生认为是医学上必需的情况下进行。</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84.</w:t>
            </w:r>
          </w:p>
        </w:tc>
        <w:tc>
          <w:tcPr>
            <w:tcW w:w="2560" w:type="dxa"/>
          </w:tcPr>
          <w:p>
            <w:pPr>
              <w:pStyle w:val="TableParagraph"/>
              <w:spacing w:line="266" w:lineRule="exact"/>
              <w:ind w:left="51"/>
              <w:rPr>
                <w:sz w:val="21"/>
              </w:rPr>
            </w:pPr>
            <w:r>
              <w:rPr>
                <w:sz w:val="21"/>
              </w:rPr>
              <w:t>肾上腺脑白质营养不良</w:t>
            </w:r>
          </w:p>
        </w:tc>
        <w:tc>
          <w:tcPr>
            <w:tcW w:w="7295" w:type="dxa"/>
          </w:tcPr>
          <w:p>
            <w:pPr>
              <w:pStyle w:val="TableParagraph"/>
              <w:spacing w:line="268" w:lineRule="auto"/>
              <w:ind w:left="405" w:right="310"/>
              <w:jc w:val="both"/>
              <w:rPr>
                <w:b/>
                <w:sz w:val="21"/>
              </w:rPr>
            </w:pPr>
            <w:r>
              <w:rPr>
                <w:sz w:val="21"/>
              </w:rPr>
              <w:t>指一种最常见的过氧化物酶体病，主要累及肾上腺和脑白质，主要表现为进行性的精神运动障碍，视力及听力下降和（或）肾上腺皮质功能低下等。须经专科医生诊断，且已经造成自主生活能力完全丧失，无法独立完成六项基本日常生活活动中的三项或三项以上，持续至少 </w:t>
            </w:r>
            <w:r>
              <w:rPr>
                <w:rFonts w:ascii="Times New Roman" w:eastAsia="Times New Roman"/>
                <w:sz w:val="21"/>
              </w:rPr>
              <w:t>180 </w:t>
            </w:r>
            <w:r>
              <w:rPr>
                <w:sz w:val="21"/>
              </w:rPr>
              <w:t>天。</w:t>
            </w:r>
            <w:r>
              <w:rPr>
                <w:b/>
                <w:sz w:val="21"/>
              </w:rPr>
              <w:t>被保险人在三周岁之前罹患该疾病，我们不承担保险责任。</w:t>
            </w:r>
          </w:p>
        </w:tc>
      </w:tr>
      <w:tr>
        <w:trPr>
          <w:trHeight w:val="1247" w:hRule="atLeast"/>
        </w:trPr>
        <w:tc>
          <w:tcPr>
            <w:tcW w:w="516" w:type="dxa"/>
          </w:tcPr>
          <w:p>
            <w:pPr>
              <w:pStyle w:val="TableParagraph"/>
              <w:spacing w:before="38"/>
              <w:ind w:right="51"/>
              <w:jc w:val="right"/>
              <w:rPr>
                <w:rFonts w:ascii="Times New Roman"/>
                <w:sz w:val="21"/>
              </w:rPr>
            </w:pPr>
            <w:r>
              <w:rPr>
                <w:rFonts w:ascii="Times New Roman"/>
                <w:sz w:val="21"/>
              </w:rPr>
              <w:t>85.</w:t>
            </w:r>
          </w:p>
        </w:tc>
        <w:tc>
          <w:tcPr>
            <w:tcW w:w="2560" w:type="dxa"/>
          </w:tcPr>
          <w:p>
            <w:pPr>
              <w:pStyle w:val="TableParagraph"/>
              <w:spacing w:line="266" w:lineRule="exact"/>
              <w:ind w:left="51"/>
              <w:rPr>
                <w:sz w:val="21"/>
              </w:rPr>
            </w:pPr>
            <w:r>
              <w:rPr>
                <w:sz w:val="21"/>
              </w:rPr>
              <w:t>皮质基底节变性</w:t>
            </w:r>
          </w:p>
        </w:tc>
        <w:tc>
          <w:tcPr>
            <w:tcW w:w="7295" w:type="dxa"/>
          </w:tcPr>
          <w:p>
            <w:pPr>
              <w:pStyle w:val="TableParagraph"/>
              <w:spacing w:line="273" w:lineRule="auto"/>
              <w:ind w:left="405" w:right="309"/>
              <w:jc w:val="both"/>
              <w:rPr>
                <w:sz w:val="21"/>
              </w:rPr>
            </w:pPr>
            <w:r>
              <w:rPr>
                <w:sz w:val="21"/>
              </w:rPr>
              <w:t>指一种慢性进展性神经变性疾病，以不对称发作的无动性强直综合征、失用、肌张力障碍及姿势异常为其临床特征。须经临床医生明确诊断， 被保险人自主生活能力完全丧失，无法独立完成六项基本日常生活活动</w:t>
            </w:r>
          </w:p>
          <w:p>
            <w:pPr>
              <w:pStyle w:val="TableParagraph"/>
              <w:spacing w:before="16"/>
              <w:ind w:left="405"/>
              <w:jc w:val="both"/>
              <w:rPr>
                <w:sz w:val="21"/>
              </w:rPr>
            </w:pPr>
            <w:r>
              <w:rPr>
                <w:sz w:val="21"/>
              </w:rPr>
              <w:t>中的三项或三项以上，日常生活必须持续受到他人监护。</w:t>
            </w:r>
          </w:p>
        </w:tc>
      </w:tr>
      <w:tr>
        <w:trPr>
          <w:trHeight w:val="2808" w:hRule="atLeast"/>
        </w:trPr>
        <w:tc>
          <w:tcPr>
            <w:tcW w:w="516" w:type="dxa"/>
          </w:tcPr>
          <w:p>
            <w:pPr>
              <w:pStyle w:val="TableParagraph"/>
              <w:spacing w:before="38"/>
              <w:ind w:right="51"/>
              <w:jc w:val="right"/>
              <w:rPr>
                <w:rFonts w:ascii="Times New Roman"/>
                <w:sz w:val="21"/>
              </w:rPr>
            </w:pPr>
            <w:r>
              <w:rPr>
                <w:rFonts w:ascii="Times New Roman"/>
                <w:sz w:val="21"/>
              </w:rPr>
              <w:t>86.</w:t>
            </w:r>
          </w:p>
        </w:tc>
        <w:tc>
          <w:tcPr>
            <w:tcW w:w="2560" w:type="dxa"/>
          </w:tcPr>
          <w:p>
            <w:pPr>
              <w:pStyle w:val="TableParagraph"/>
              <w:spacing w:line="266" w:lineRule="exact"/>
              <w:ind w:left="51"/>
              <w:rPr>
                <w:sz w:val="21"/>
              </w:rPr>
            </w:pPr>
            <w:r>
              <w:rPr>
                <w:sz w:val="21"/>
              </w:rPr>
              <w:t>进行性多灶性白质脑病</w:t>
            </w:r>
          </w:p>
        </w:tc>
        <w:tc>
          <w:tcPr>
            <w:tcW w:w="7295" w:type="dxa"/>
          </w:tcPr>
          <w:p>
            <w:pPr>
              <w:pStyle w:val="TableParagraph"/>
              <w:spacing w:line="256" w:lineRule="auto"/>
              <w:ind w:left="405" w:right="304"/>
              <w:jc w:val="both"/>
              <w:rPr>
                <w:sz w:val="21"/>
              </w:rPr>
            </w:pPr>
            <w:r>
              <w:rPr>
                <w:spacing w:val="-3"/>
                <w:w w:val="100"/>
                <w:sz w:val="21"/>
              </w:rPr>
              <w:t>指一种亚急性脱髓鞘疾病，其病原体多为乳头多瘤空泡病毒（</w:t>
            </w:r>
            <w:r>
              <w:rPr>
                <w:rFonts w:ascii="Times New Roman" w:eastAsia="Times New Roman"/>
                <w:spacing w:val="0"/>
                <w:w w:val="100"/>
                <w:sz w:val="21"/>
              </w:rPr>
              <w:t>J</w:t>
            </w:r>
            <w:r>
              <w:rPr>
                <w:rFonts w:ascii="Times New Roman" w:eastAsia="Times New Roman"/>
                <w:spacing w:val="-2"/>
                <w:w w:val="100"/>
                <w:sz w:val="21"/>
              </w:rPr>
              <w:t>C</w:t>
            </w:r>
            <w:r>
              <w:rPr>
                <w:rFonts w:ascii="Times New Roman" w:eastAsia="Times New Roman"/>
                <w:spacing w:val="0"/>
                <w:w w:val="100"/>
                <w:sz w:val="21"/>
              </w:rPr>
              <w:t>V</w:t>
            </w:r>
            <w:r>
              <w:rPr>
                <w:spacing w:val="-106"/>
                <w:w w:val="100"/>
                <w:sz w:val="21"/>
              </w:rPr>
              <w:t>）</w:t>
            </w:r>
            <w:r>
              <w:rPr>
                <w:spacing w:val="-2"/>
                <w:w w:val="100"/>
                <w:sz w:val="21"/>
              </w:rPr>
              <w:t>。主</w:t>
            </w:r>
            <w:r>
              <w:rPr>
                <w:spacing w:val="-4"/>
                <w:sz w:val="21"/>
              </w:rPr>
              <w:t>要见于自身免疫功能低下的患者，因机会性感染致病。疾病确诊 </w:t>
            </w:r>
            <w:r>
              <w:rPr>
                <w:rFonts w:ascii="Times New Roman" w:eastAsia="Times New Roman"/>
                <w:sz w:val="21"/>
              </w:rPr>
              <w:t>180 </w:t>
            </w:r>
            <w:r>
              <w:rPr>
                <w:sz w:val="21"/>
              </w:rPr>
              <w:t>天</w:t>
            </w:r>
            <w:r>
              <w:rPr>
                <w:spacing w:val="-3"/>
                <w:sz w:val="21"/>
              </w:rPr>
              <w:t>后，仍遗留下列一种或一种以上障碍：</w:t>
            </w:r>
          </w:p>
          <w:p>
            <w:pPr>
              <w:pStyle w:val="TableParagraph"/>
              <w:spacing w:before="31"/>
              <w:ind w:left="40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0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405" w:right="25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p>
            <w:pPr>
              <w:pStyle w:val="TableParagraph"/>
              <w:spacing w:line="312" w:lineRule="exact" w:before="18"/>
              <w:ind w:left="405" w:right="306"/>
              <w:rPr>
                <w:b/>
                <w:sz w:val="21"/>
              </w:rPr>
            </w:pPr>
            <w:r>
              <w:rPr>
                <w:b/>
                <w:sz w:val="21"/>
              </w:rPr>
              <w:t>感染艾滋病病毒或患艾滋病期间所患进行性多灶性白质脑病不在保障范围内。</w:t>
            </w:r>
          </w:p>
        </w:tc>
      </w:tr>
      <w:tr>
        <w:trPr>
          <w:trHeight w:val="578" w:hRule="atLeast"/>
        </w:trPr>
        <w:tc>
          <w:tcPr>
            <w:tcW w:w="516" w:type="dxa"/>
          </w:tcPr>
          <w:p>
            <w:pPr>
              <w:pStyle w:val="TableParagraph"/>
              <w:spacing w:before="38"/>
              <w:ind w:right="51"/>
              <w:jc w:val="right"/>
              <w:rPr>
                <w:rFonts w:ascii="Times New Roman"/>
                <w:sz w:val="21"/>
              </w:rPr>
            </w:pPr>
            <w:r>
              <w:rPr>
                <w:rFonts w:ascii="Times New Roman"/>
                <w:sz w:val="21"/>
              </w:rPr>
              <w:t>87.</w:t>
            </w:r>
          </w:p>
        </w:tc>
        <w:tc>
          <w:tcPr>
            <w:tcW w:w="2560" w:type="dxa"/>
          </w:tcPr>
          <w:p>
            <w:pPr>
              <w:pStyle w:val="TableParagraph"/>
              <w:spacing w:line="266" w:lineRule="exact"/>
              <w:ind w:left="51"/>
              <w:rPr>
                <w:sz w:val="21"/>
              </w:rPr>
            </w:pPr>
            <w:r>
              <w:rPr>
                <w:sz w:val="21"/>
              </w:rPr>
              <w:t>进行性风疹性全脑炎</w:t>
            </w:r>
          </w:p>
        </w:tc>
        <w:tc>
          <w:tcPr>
            <w:tcW w:w="7295" w:type="dxa"/>
          </w:tcPr>
          <w:p>
            <w:pPr>
              <w:pStyle w:val="TableParagraph"/>
              <w:spacing w:line="282" w:lineRule="exact"/>
              <w:ind w:left="405"/>
              <w:rPr>
                <w:sz w:val="21"/>
              </w:rPr>
            </w:pPr>
            <w:r>
              <w:rPr>
                <w:sz w:val="21"/>
              </w:rPr>
              <w:t>指由风疹病毒感染引起的儿童和青少年的慢性脑炎。疾病确诊 </w:t>
            </w:r>
            <w:r>
              <w:rPr>
                <w:rFonts w:ascii="Times New Roman" w:eastAsia="Times New Roman"/>
                <w:sz w:val="21"/>
              </w:rPr>
              <w:t>180 </w:t>
            </w:r>
            <w:r>
              <w:rPr>
                <w:sz w:val="21"/>
              </w:rPr>
              <w:t>天后，</w:t>
            </w:r>
          </w:p>
          <w:p>
            <w:pPr>
              <w:pStyle w:val="TableParagraph"/>
              <w:spacing w:line="255" w:lineRule="exact" w:before="21"/>
              <w:ind w:left="405"/>
              <w:rPr>
                <w:sz w:val="21"/>
              </w:rPr>
            </w:pPr>
            <w:r>
              <w:rPr>
                <w:sz w:val="21"/>
              </w:rPr>
              <w:t>仍遗留下列一种或一种以上障碍：</w:t>
            </w:r>
          </w:p>
        </w:tc>
      </w:tr>
    </w:tbl>
    <w:p>
      <w:pPr>
        <w:spacing w:after="0" w:line="255" w:lineRule="exact"/>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64"/>
        <w:gridCol w:w="7092"/>
      </w:tblGrid>
      <w:tr>
        <w:trPr>
          <w:trHeight w:val="1200" w:hRule="atLeast"/>
        </w:trPr>
        <w:tc>
          <w:tcPr>
            <w:tcW w:w="516" w:type="dxa"/>
          </w:tcPr>
          <w:p>
            <w:pPr>
              <w:pStyle w:val="TableParagraph"/>
              <w:rPr>
                <w:rFonts w:ascii="Times New Roman"/>
                <w:sz w:val="20"/>
              </w:rPr>
            </w:pPr>
          </w:p>
        </w:tc>
        <w:tc>
          <w:tcPr>
            <w:tcW w:w="2764" w:type="dxa"/>
          </w:tcPr>
          <w:p>
            <w:pPr>
              <w:pStyle w:val="TableParagraph"/>
              <w:rPr>
                <w:rFonts w:ascii="Times New Roman"/>
                <w:sz w:val="20"/>
              </w:rPr>
            </w:pPr>
          </w:p>
        </w:tc>
        <w:tc>
          <w:tcPr>
            <w:tcW w:w="7092" w:type="dxa"/>
          </w:tcPr>
          <w:p>
            <w:pPr>
              <w:pStyle w:val="TableParagraph"/>
              <w:spacing w:line="234" w:lineRule="exact"/>
              <w:ind w:left="20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0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201" w:right="25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935" w:hRule="atLeast"/>
        </w:trPr>
        <w:tc>
          <w:tcPr>
            <w:tcW w:w="516" w:type="dxa"/>
          </w:tcPr>
          <w:p>
            <w:pPr>
              <w:pStyle w:val="TableParagraph"/>
              <w:spacing w:before="38"/>
              <w:ind w:right="51"/>
              <w:jc w:val="right"/>
              <w:rPr>
                <w:rFonts w:ascii="Times New Roman"/>
                <w:sz w:val="21"/>
              </w:rPr>
            </w:pPr>
            <w:r>
              <w:rPr>
                <w:rFonts w:ascii="Times New Roman"/>
                <w:sz w:val="21"/>
              </w:rPr>
              <w:t>88.</w:t>
            </w:r>
          </w:p>
        </w:tc>
        <w:tc>
          <w:tcPr>
            <w:tcW w:w="2764" w:type="dxa"/>
          </w:tcPr>
          <w:p>
            <w:pPr>
              <w:pStyle w:val="TableParagraph"/>
              <w:spacing w:line="282" w:lineRule="exact"/>
              <w:ind w:left="51"/>
              <w:rPr>
                <w:sz w:val="21"/>
              </w:rPr>
            </w:pPr>
            <w:r>
              <w:rPr>
                <w:rFonts w:ascii="Times New Roman" w:eastAsia="Times New Roman"/>
                <w:sz w:val="21"/>
              </w:rPr>
              <w:t>Brugada </w:t>
            </w:r>
            <w:r>
              <w:rPr>
                <w:sz w:val="21"/>
              </w:rPr>
              <w:t>综合征</w:t>
            </w:r>
          </w:p>
        </w:tc>
        <w:tc>
          <w:tcPr>
            <w:tcW w:w="7092" w:type="dxa"/>
          </w:tcPr>
          <w:p>
            <w:pPr>
              <w:pStyle w:val="TableParagraph"/>
              <w:spacing w:line="282" w:lineRule="exact"/>
              <w:ind w:left="201"/>
              <w:rPr>
                <w:rFonts w:ascii="Times New Roman" w:eastAsia="Times New Roman"/>
                <w:sz w:val="21"/>
              </w:rPr>
            </w:pPr>
            <w:r>
              <w:rPr>
                <w:sz w:val="21"/>
              </w:rPr>
              <w:t>由心脏科专科医生根据临床症状和典型心电图表现，明确诊断为 </w:t>
            </w:r>
            <w:r>
              <w:rPr>
                <w:rFonts w:ascii="Times New Roman" w:eastAsia="Times New Roman"/>
                <w:sz w:val="21"/>
              </w:rPr>
              <w:t>Brugada</w:t>
            </w:r>
          </w:p>
          <w:p>
            <w:pPr>
              <w:pStyle w:val="TableParagraph"/>
              <w:spacing w:before="21"/>
              <w:ind w:left="201"/>
              <w:rPr>
                <w:sz w:val="21"/>
              </w:rPr>
            </w:pPr>
            <w:r>
              <w:rPr>
                <w:sz w:val="21"/>
              </w:rPr>
              <w:t>综合征。</w:t>
            </w:r>
          </w:p>
          <w:p>
            <w:pPr>
              <w:pStyle w:val="TableParagraph"/>
              <w:spacing w:before="37"/>
              <w:ind w:left="201"/>
              <w:rPr>
                <w:sz w:val="21"/>
              </w:rPr>
            </w:pPr>
            <w:r>
              <w:rPr>
                <w:sz w:val="21"/>
              </w:rPr>
              <w:t>经医生判断认为医疗必须安装且实际已安装永久性心脏除颤器。</w:t>
            </w:r>
          </w:p>
        </w:tc>
      </w:tr>
      <w:tr>
        <w:trPr>
          <w:trHeight w:val="1872" w:hRule="atLeast"/>
        </w:trPr>
        <w:tc>
          <w:tcPr>
            <w:tcW w:w="516" w:type="dxa"/>
          </w:tcPr>
          <w:p>
            <w:pPr>
              <w:pStyle w:val="TableParagraph"/>
              <w:spacing w:before="38"/>
              <w:ind w:right="51"/>
              <w:jc w:val="right"/>
              <w:rPr>
                <w:rFonts w:ascii="Times New Roman"/>
                <w:sz w:val="21"/>
              </w:rPr>
            </w:pPr>
            <w:r>
              <w:rPr>
                <w:rFonts w:ascii="Times New Roman"/>
                <w:sz w:val="21"/>
              </w:rPr>
              <w:t>89.</w:t>
            </w:r>
          </w:p>
        </w:tc>
        <w:tc>
          <w:tcPr>
            <w:tcW w:w="2764" w:type="dxa"/>
          </w:tcPr>
          <w:p>
            <w:pPr>
              <w:pStyle w:val="TableParagraph"/>
              <w:spacing w:line="266" w:lineRule="exact"/>
              <w:ind w:left="51"/>
              <w:rPr>
                <w:sz w:val="21"/>
              </w:rPr>
            </w:pPr>
            <w:r>
              <w:rPr>
                <w:sz w:val="21"/>
              </w:rPr>
              <w:t>异染性脑白质营养不良</w:t>
            </w:r>
          </w:p>
        </w:tc>
        <w:tc>
          <w:tcPr>
            <w:tcW w:w="7092" w:type="dxa"/>
          </w:tcPr>
          <w:p>
            <w:pPr>
              <w:pStyle w:val="TableParagraph"/>
              <w:spacing w:line="268" w:lineRule="auto"/>
              <w:ind w:left="201" w:right="198"/>
              <w:rPr>
                <w:sz w:val="21"/>
              </w:rPr>
            </w:pPr>
            <w:r>
              <w:rPr>
                <w:sz w:val="21"/>
              </w:rPr>
              <w:t>指最常见的一种严重的神经退化性代谢病，是最常见的溶酶体病，主要表现为行走困难、智力低下、废用性肌萎缩、四肢痉挛性瘫痪、视神经</w:t>
            </w:r>
            <w:r>
              <w:rPr>
                <w:spacing w:val="-7"/>
                <w:sz w:val="21"/>
              </w:rPr>
              <w:t>萎缩、失语等。须经专科医生诊断，且已经造成自主生活能力完全丧失， </w:t>
            </w:r>
            <w:r>
              <w:rPr>
                <w:spacing w:val="-11"/>
                <w:sz w:val="21"/>
              </w:rPr>
              <w:t>无法独立完成六项基本日常生活活动中的三项或三项以上，持续至少 </w:t>
            </w:r>
            <w:r>
              <w:rPr>
                <w:rFonts w:ascii="Times New Roman" w:eastAsia="Times New Roman"/>
                <w:sz w:val="21"/>
              </w:rPr>
              <w:t>180 </w:t>
            </w:r>
            <w:r>
              <w:rPr>
                <w:sz w:val="21"/>
              </w:rPr>
              <w:t>天。</w:t>
            </w:r>
          </w:p>
          <w:p>
            <w:pPr>
              <w:pStyle w:val="TableParagraph"/>
              <w:spacing w:before="21"/>
              <w:ind w:left="201"/>
              <w:rPr>
                <w:b/>
                <w:sz w:val="21"/>
              </w:rPr>
            </w:pPr>
            <w:r>
              <w:rPr>
                <w:b/>
                <w:sz w:val="21"/>
              </w:rPr>
              <w:t>被保险人在三周岁之前罹患该疾病，我们不承担保险责任。</w:t>
            </w:r>
          </w:p>
        </w:tc>
      </w:tr>
      <w:tr>
        <w:trPr>
          <w:trHeight w:val="936" w:hRule="atLeast"/>
        </w:trPr>
        <w:tc>
          <w:tcPr>
            <w:tcW w:w="516" w:type="dxa"/>
          </w:tcPr>
          <w:p>
            <w:pPr>
              <w:pStyle w:val="TableParagraph"/>
              <w:spacing w:before="38"/>
              <w:ind w:right="51"/>
              <w:jc w:val="right"/>
              <w:rPr>
                <w:rFonts w:ascii="Times New Roman"/>
                <w:sz w:val="21"/>
              </w:rPr>
            </w:pPr>
            <w:r>
              <w:rPr>
                <w:rFonts w:ascii="Times New Roman"/>
                <w:sz w:val="21"/>
              </w:rPr>
              <w:t>90.</w:t>
            </w:r>
          </w:p>
        </w:tc>
        <w:tc>
          <w:tcPr>
            <w:tcW w:w="2764" w:type="dxa"/>
          </w:tcPr>
          <w:p>
            <w:pPr>
              <w:pStyle w:val="TableParagraph"/>
              <w:spacing w:line="266" w:lineRule="exact"/>
              <w:ind w:left="51"/>
              <w:rPr>
                <w:sz w:val="21"/>
              </w:rPr>
            </w:pPr>
            <w:r>
              <w:rPr>
                <w:sz w:val="21"/>
              </w:rPr>
              <w:t>嗜铬细胞瘤</w:t>
            </w:r>
          </w:p>
        </w:tc>
        <w:tc>
          <w:tcPr>
            <w:tcW w:w="7092" w:type="dxa"/>
          </w:tcPr>
          <w:p>
            <w:pPr>
              <w:pStyle w:val="TableParagraph"/>
              <w:spacing w:line="260" w:lineRule="exact"/>
              <w:ind w:left="201"/>
              <w:rPr>
                <w:sz w:val="21"/>
              </w:rPr>
            </w:pPr>
            <w:r>
              <w:rPr>
                <w:sz w:val="21"/>
              </w:rPr>
              <w:t>是指肾上腺或嗜铬外组织出现神经内分泌肿瘤，并分</w:t>
            </w:r>
            <w:r>
              <w:rPr>
                <w:rFonts w:ascii="Malgun Gothic" w:eastAsia="Malgun Gothic" w:hint="eastAsia"/>
                <w:sz w:val="21"/>
              </w:rPr>
              <w:t>泌</w:t>
            </w:r>
            <w:r>
              <w:rPr>
                <w:sz w:val="21"/>
              </w:rPr>
              <w:t>过多的儿茶酚胺</w:t>
            </w:r>
          </w:p>
          <w:p>
            <w:pPr>
              <w:pStyle w:val="TableParagraph"/>
              <w:spacing w:line="312" w:lineRule="exact" w:before="38"/>
              <w:ind w:left="201" w:right="310"/>
              <w:rPr>
                <w:sz w:val="21"/>
              </w:rPr>
            </w:pPr>
            <w:r>
              <w:rPr>
                <w:sz w:val="21"/>
              </w:rPr>
              <w:t>类，需要确实进</w:t>
            </w:r>
            <w:r>
              <w:rPr>
                <w:rFonts w:ascii="Malgun Gothic" w:eastAsia="Malgun Gothic" w:hint="eastAsia"/>
                <w:sz w:val="21"/>
              </w:rPr>
              <w:t>行</w:t>
            </w:r>
            <w:r>
              <w:rPr>
                <w:sz w:val="21"/>
              </w:rPr>
              <w:t>手术以切除肿瘤。嗜铬细胞瘤的诊断必须由内分泌专科医生确定。</w:t>
            </w:r>
          </w:p>
        </w:tc>
      </w:tr>
      <w:tr>
        <w:trPr>
          <w:trHeight w:val="936" w:hRule="atLeast"/>
        </w:trPr>
        <w:tc>
          <w:tcPr>
            <w:tcW w:w="516" w:type="dxa"/>
          </w:tcPr>
          <w:p>
            <w:pPr>
              <w:pStyle w:val="TableParagraph"/>
              <w:spacing w:before="38"/>
              <w:ind w:right="51"/>
              <w:jc w:val="right"/>
              <w:rPr>
                <w:rFonts w:ascii="Times New Roman"/>
                <w:sz w:val="21"/>
              </w:rPr>
            </w:pPr>
            <w:r>
              <w:rPr>
                <w:rFonts w:ascii="Times New Roman"/>
                <w:sz w:val="21"/>
              </w:rPr>
              <w:t>91.</w:t>
            </w:r>
          </w:p>
        </w:tc>
        <w:tc>
          <w:tcPr>
            <w:tcW w:w="2764" w:type="dxa"/>
          </w:tcPr>
          <w:p>
            <w:pPr>
              <w:pStyle w:val="TableParagraph"/>
              <w:spacing w:line="266" w:lineRule="exact"/>
              <w:ind w:left="51"/>
              <w:rPr>
                <w:sz w:val="21"/>
              </w:rPr>
            </w:pPr>
            <w:r>
              <w:rPr>
                <w:sz w:val="21"/>
              </w:rPr>
              <w:t>自体造血干细胞移植手术</w:t>
            </w:r>
          </w:p>
        </w:tc>
        <w:tc>
          <w:tcPr>
            <w:tcW w:w="7092" w:type="dxa"/>
          </w:tcPr>
          <w:p>
            <w:pPr>
              <w:pStyle w:val="TableParagraph"/>
              <w:spacing w:line="266" w:lineRule="exact"/>
              <w:ind w:left="201"/>
              <w:rPr>
                <w:sz w:val="21"/>
              </w:rPr>
            </w:pPr>
            <w:r>
              <w:rPr>
                <w:sz w:val="21"/>
              </w:rPr>
              <w:t>指因患者自身骨髓造血功能异常或为了达到治疗肿瘤的目的，采集患者</w:t>
            </w:r>
          </w:p>
          <w:p>
            <w:pPr>
              <w:pStyle w:val="TableParagraph"/>
              <w:spacing w:line="310" w:lineRule="atLeast" w:before="2"/>
              <w:ind w:left="201" w:right="311"/>
              <w:rPr>
                <w:sz w:val="21"/>
              </w:rPr>
            </w:pPr>
            <w:r>
              <w:rPr>
                <w:sz w:val="21"/>
              </w:rPr>
              <w:t>自己的一部分造血干细胞，分离并深低温保存，再回输给患者使患者的造血功能和免疫功能重新恢复的自体移植手术。</w:t>
            </w:r>
          </w:p>
        </w:tc>
      </w:tr>
      <w:tr>
        <w:trPr>
          <w:trHeight w:val="4688" w:hRule="atLeast"/>
        </w:trPr>
        <w:tc>
          <w:tcPr>
            <w:tcW w:w="516" w:type="dxa"/>
          </w:tcPr>
          <w:p>
            <w:pPr>
              <w:pStyle w:val="TableParagraph"/>
              <w:spacing w:before="38"/>
              <w:ind w:right="51"/>
              <w:jc w:val="right"/>
              <w:rPr>
                <w:rFonts w:ascii="Times New Roman"/>
                <w:sz w:val="21"/>
              </w:rPr>
            </w:pPr>
            <w:r>
              <w:rPr>
                <w:rFonts w:ascii="Times New Roman"/>
                <w:sz w:val="21"/>
              </w:rPr>
              <w:t>92.</w:t>
            </w:r>
          </w:p>
        </w:tc>
        <w:tc>
          <w:tcPr>
            <w:tcW w:w="2764" w:type="dxa"/>
          </w:tcPr>
          <w:p>
            <w:pPr>
              <w:pStyle w:val="TableParagraph"/>
              <w:spacing w:line="266" w:lineRule="exact"/>
              <w:ind w:left="51"/>
              <w:rPr>
                <w:sz w:val="21"/>
              </w:rPr>
            </w:pPr>
            <w:r>
              <w:rPr>
                <w:sz w:val="21"/>
              </w:rPr>
              <w:t>疾病或外伤所致智力障碍</w:t>
            </w:r>
          </w:p>
        </w:tc>
        <w:tc>
          <w:tcPr>
            <w:tcW w:w="7092" w:type="dxa"/>
          </w:tcPr>
          <w:p>
            <w:pPr>
              <w:pStyle w:val="TableParagraph"/>
              <w:spacing w:line="264" w:lineRule="auto"/>
              <w:ind w:left="201" w:right="198"/>
              <w:rPr>
                <w:sz w:val="21"/>
              </w:rPr>
            </w:pPr>
            <w:r>
              <w:rPr>
                <w:sz w:val="21"/>
              </w:rPr>
              <w:t>因严重头部创伤或疾病造成被保险人智力中度及以上低常（智力低于常</w:t>
            </w:r>
            <w:r>
              <w:rPr>
                <w:w w:val="100"/>
                <w:sz w:val="21"/>
              </w:rPr>
              <w:t>态</w:t>
            </w:r>
            <w:r>
              <w:rPr>
                <w:spacing w:val="-106"/>
                <w:w w:val="100"/>
                <w:sz w:val="21"/>
              </w:rPr>
              <w:t>）</w:t>
            </w:r>
            <w:r>
              <w:rPr>
                <w:spacing w:val="-3"/>
                <w:w w:val="100"/>
                <w:sz w:val="21"/>
              </w:rPr>
              <w:t>。根据智商</w:t>
            </w:r>
            <w:r>
              <w:rPr>
                <w:spacing w:val="-1"/>
                <w:w w:val="100"/>
                <w:sz w:val="21"/>
              </w:rPr>
              <w:t>（</w:t>
            </w:r>
            <w:r>
              <w:rPr>
                <w:rFonts w:ascii="Times New Roman" w:hAnsi="Times New Roman" w:eastAsia="Times New Roman"/>
                <w:spacing w:val="-4"/>
                <w:w w:val="100"/>
                <w:sz w:val="21"/>
              </w:rPr>
              <w:t>I</w:t>
            </w:r>
            <w:r>
              <w:rPr>
                <w:rFonts w:ascii="Times New Roman" w:hAnsi="Times New Roman" w:eastAsia="Times New Roman"/>
                <w:spacing w:val="0"/>
                <w:w w:val="100"/>
                <w:sz w:val="21"/>
              </w:rPr>
              <w:t>Q</w:t>
            </w:r>
            <w:r>
              <w:rPr>
                <w:spacing w:val="-106"/>
                <w:w w:val="100"/>
                <w:sz w:val="21"/>
              </w:rPr>
              <w:t>）</w:t>
            </w:r>
            <w:r>
              <w:rPr>
                <w:spacing w:val="-3"/>
                <w:w w:val="100"/>
                <w:sz w:val="21"/>
              </w:rPr>
              <w:t>，智力低常分为轻度</w:t>
            </w:r>
            <w:r>
              <w:rPr>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50</w:t>
            </w:r>
            <w:r>
              <w:rPr>
                <w:rFonts w:ascii="Times New Roman" w:hAnsi="Times New Roman" w:eastAsia="Times New Roman"/>
                <w:spacing w:val="-3"/>
                <w:w w:val="100"/>
                <w:sz w:val="21"/>
              </w:rPr>
              <w:t>-</w:t>
            </w:r>
            <w:r>
              <w:rPr>
                <w:rFonts w:ascii="Times New Roman" w:hAnsi="Times New Roman" w:eastAsia="Times New Roman"/>
                <w:w w:val="100"/>
                <w:sz w:val="21"/>
              </w:rPr>
              <w:t>70</w:t>
            </w:r>
            <w:r>
              <w:rPr>
                <w:spacing w:val="-106"/>
                <w:w w:val="100"/>
                <w:sz w:val="21"/>
              </w:rPr>
              <w:t>）</w:t>
            </w:r>
            <w:r>
              <w:rPr>
                <w:spacing w:val="-2"/>
                <w:w w:val="100"/>
                <w:sz w:val="21"/>
              </w:rPr>
              <w:t>、中度</w:t>
            </w:r>
            <w:r>
              <w:rPr>
                <w:spacing w:val="-1"/>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35</w:t>
            </w:r>
            <w:r>
              <w:rPr>
                <w:rFonts w:ascii="Times New Roman" w:hAnsi="Times New Roman" w:eastAsia="Times New Roman"/>
                <w:spacing w:val="-4"/>
                <w:w w:val="100"/>
                <w:sz w:val="21"/>
              </w:rPr>
              <w:t>-</w:t>
            </w:r>
            <w:r>
              <w:rPr>
                <w:rFonts w:ascii="Times New Roman" w:hAnsi="Times New Roman" w:eastAsia="Times New Roman"/>
                <w:w w:val="100"/>
                <w:sz w:val="21"/>
              </w:rPr>
              <w:t>50</w:t>
            </w:r>
            <w:r>
              <w:rPr>
                <w:spacing w:val="-106"/>
                <w:w w:val="100"/>
                <w:sz w:val="21"/>
              </w:rPr>
              <w:t>）</w:t>
            </w:r>
            <w:r>
              <w:rPr>
                <w:w w:val="100"/>
                <w:sz w:val="21"/>
              </w:rPr>
              <w:t>、重度（</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spacing w:val="-3"/>
                <w:w w:val="100"/>
                <w:sz w:val="21"/>
              </w:rPr>
              <w:t>2</w:t>
            </w:r>
            <w:r>
              <w:rPr>
                <w:rFonts w:ascii="Times New Roman" w:hAnsi="Times New Roman" w:eastAsia="Times New Roman"/>
                <w:w w:val="100"/>
                <w:sz w:val="21"/>
              </w:rPr>
              <w:t>0</w:t>
            </w:r>
            <w:r>
              <w:rPr>
                <w:rFonts w:ascii="Times New Roman" w:hAnsi="Times New Roman" w:eastAsia="Times New Roman"/>
                <w:spacing w:val="-4"/>
                <w:w w:val="100"/>
                <w:sz w:val="21"/>
              </w:rPr>
              <w:t>-</w:t>
            </w:r>
            <w:r>
              <w:rPr>
                <w:rFonts w:ascii="Times New Roman" w:hAnsi="Times New Roman" w:eastAsia="Times New Roman"/>
                <w:w w:val="100"/>
                <w:sz w:val="21"/>
              </w:rPr>
              <w:t>35</w:t>
            </w:r>
            <w:r>
              <w:rPr>
                <w:w w:val="100"/>
                <w:sz w:val="21"/>
              </w:rPr>
              <w:t>）</w:t>
            </w:r>
            <w:r>
              <w:rPr>
                <w:spacing w:val="-3"/>
                <w:w w:val="100"/>
                <w:sz w:val="21"/>
              </w:rPr>
              <w:t>和极重度</w:t>
            </w:r>
            <w:r>
              <w:rPr>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&lt;2</w:t>
            </w:r>
            <w:r>
              <w:rPr>
                <w:rFonts w:ascii="Times New Roman" w:hAnsi="Times New Roman" w:eastAsia="Times New Roman"/>
                <w:spacing w:val="-2"/>
                <w:w w:val="100"/>
                <w:sz w:val="21"/>
              </w:rPr>
              <w:t>0</w:t>
            </w:r>
            <w:r>
              <w:rPr>
                <w:spacing w:val="-106"/>
                <w:w w:val="100"/>
                <w:sz w:val="21"/>
              </w:rPr>
              <w:t>）</w:t>
            </w:r>
            <w:r>
              <w:rPr>
                <w:spacing w:val="-3"/>
                <w:w w:val="100"/>
                <w:sz w:val="21"/>
              </w:rPr>
              <w:t>。智力低常程度须达到中度及以上，</w:t>
            </w:r>
            <w:r>
              <w:rPr>
                <w:spacing w:val="7"/>
                <w:sz w:val="21"/>
              </w:rPr>
              <w:t>即 </w:t>
            </w:r>
            <w:r>
              <w:rPr>
                <w:rFonts w:ascii="Times New Roman" w:hAnsi="Times New Roman" w:eastAsia="Times New Roman"/>
                <w:sz w:val="21"/>
              </w:rPr>
              <w:t>IQ≤50</w:t>
            </w:r>
            <w:r>
              <w:rPr>
                <w:sz w:val="21"/>
              </w:rPr>
              <w:t>。智商的检测必须由我们认可的专职心理测验工作者进行，心理测验工作者必须持有心理测量专业委员会资格认定书。根据被保险人年龄采用对应的智力量表，如韦克斯勒智力量表（儿童智力量表或成人</w:t>
            </w:r>
            <w:r>
              <w:rPr>
                <w:spacing w:val="-1"/>
                <w:sz w:val="21"/>
              </w:rPr>
              <w:t>智力量表</w:t>
            </w:r>
            <w:r>
              <w:rPr>
                <w:spacing w:val="-108"/>
                <w:sz w:val="21"/>
              </w:rPr>
              <w:t>）</w:t>
            </w:r>
            <w:r>
              <w:rPr>
                <w:sz w:val="21"/>
              </w:rPr>
              <w:t>。</w:t>
            </w:r>
          </w:p>
          <w:p>
            <w:pPr>
              <w:pStyle w:val="TableParagraph"/>
              <w:spacing w:before="25"/>
              <w:ind w:left="201"/>
              <w:rPr>
                <w:sz w:val="21"/>
              </w:rPr>
            </w:pPr>
            <w:r>
              <w:rPr>
                <w:sz w:val="21"/>
              </w:rPr>
              <w:t>理赔时必须满足下列全部条件：</w:t>
            </w:r>
          </w:p>
          <w:p>
            <w:pPr>
              <w:pStyle w:val="TableParagraph"/>
              <w:spacing w:line="256" w:lineRule="auto" w:before="37"/>
              <w:ind w:left="201" w:right="267"/>
              <w:rPr>
                <w:sz w:val="21"/>
              </w:rPr>
            </w:pPr>
            <w:r>
              <w:rPr>
                <w:sz w:val="21"/>
              </w:rPr>
              <w:t>（</w:t>
            </w:r>
            <w:r>
              <w:rPr>
                <w:rFonts w:ascii="Times New Roman" w:eastAsia="Times New Roman"/>
                <w:sz w:val="21"/>
              </w:rPr>
              <w:t>1</w:t>
            </w:r>
            <w:r>
              <w:rPr>
                <w:sz w:val="21"/>
              </w:rPr>
              <w:t>）造成被保险人智力低常的严重头部创伤或疾病（以入院日期为准） 发生在被保险人 </w:t>
            </w:r>
            <w:r>
              <w:rPr>
                <w:rFonts w:ascii="Times New Roman" w:eastAsia="Times New Roman"/>
                <w:sz w:val="21"/>
              </w:rPr>
              <w:t>6 </w:t>
            </w:r>
            <w:r>
              <w:rPr>
                <w:sz w:val="21"/>
              </w:rPr>
              <w:t>周岁以后；</w:t>
            </w:r>
          </w:p>
          <w:p>
            <w:pPr>
              <w:pStyle w:val="TableParagraph"/>
              <w:spacing w:line="256" w:lineRule="auto" w:before="5"/>
              <w:ind w:left="201" w:right="302"/>
              <w:rPr>
                <w:sz w:val="21"/>
              </w:rPr>
            </w:pPr>
            <w:r>
              <w:rPr>
                <w:sz w:val="21"/>
              </w:rPr>
              <w:t>（</w:t>
            </w:r>
            <w:r>
              <w:rPr>
                <w:rFonts w:ascii="Times New Roman" w:eastAsia="Times New Roman"/>
                <w:sz w:val="21"/>
              </w:rPr>
              <w:t>2</w:t>
            </w:r>
            <w:r>
              <w:rPr>
                <w:sz w:val="21"/>
              </w:rPr>
              <w:t>）儿科专科医生确诊被保险人由于严重头部创伤或疾病造成智力低常；</w:t>
            </w:r>
          </w:p>
          <w:p>
            <w:pPr>
              <w:pStyle w:val="TableParagraph"/>
              <w:spacing w:line="256" w:lineRule="auto" w:before="22"/>
              <w:ind w:left="201" w:right="249"/>
              <w:rPr>
                <w:sz w:val="21"/>
              </w:rPr>
            </w:pPr>
            <w:r>
              <w:rPr>
                <w:sz w:val="21"/>
              </w:rPr>
              <w:t>（</w:t>
            </w:r>
            <w:r>
              <w:rPr>
                <w:rFonts w:ascii="Times New Roman" w:hAnsi="Times New Roman" w:eastAsia="Times New Roman"/>
                <w:sz w:val="21"/>
              </w:rPr>
              <w:t>3</w:t>
            </w:r>
            <w:r>
              <w:rPr>
                <w:sz w:val="21"/>
              </w:rPr>
              <w:t>）专职合格心理检测工作者适时做的心理检测证实被保险人智力低常程度达到中度、重度或极重度，即 </w:t>
            </w:r>
            <w:r>
              <w:rPr>
                <w:rFonts w:ascii="Times New Roman" w:hAnsi="Times New Roman" w:eastAsia="Times New Roman"/>
                <w:sz w:val="21"/>
              </w:rPr>
              <w:t>IQ≤50</w:t>
            </w:r>
            <w:r>
              <w:rPr>
                <w:sz w:val="21"/>
              </w:rPr>
              <w:t>；</w:t>
            </w:r>
          </w:p>
          <w:p>
            <w:pPr>
              <w:pStyle w:val="TableParagraph"/>
              <w:spacing w:before="4"/>
              <w:ind w:left="201"/>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248" w:hRule="atLeast"/>
        </w:trPr>
        <w:tc>
          <w:tcPr>
            <w:tcW w:w="516" w:type="dxa"/>
          </w:tcPr>
          <w:p>
            <w:pPr>
              <w:pStyle w:val="TableParagraph"/>
              <w:spacing w:before="30"/>
              <w:ind w:right="51"/>
              <w:jc w:val="right"/>
              <w:rPr>
                <w:rFonts w:ascii="Times New Roman"/>
                <w:sz w:val="21"/>
              </w:rPr>
            </w:pPr>
            <w:r>
              <w:rPr>
                <w:rFonts w:ascii="Times New Roman"/>
                <w:sz w:val="21"/>
              </w:rPr>
              <w:t>93.</w:t>
            </w:r>
          </w:p>
        </w:tc>
        <w:tc>
          <w:tcPr>
            <w:tcW w:w="2764" w:type="dxa"/>
          </w:tcPr>
          <w:p>
            <w:pPr>
              <w:pStyle w:val="TableParagraph"/>
              <w:spacing w:line="258" w:lineRule="exact"/>
              <w:ind w:left="51"/>
              <w:rPr>
                <w:sz w:val="21"/>
              </w:rPr>
            </w:pPr>
            <w:r>
              <w:rPr>
                <w:sz w:val="21"/>
              </w:rPr>
              <w:t>严重幼年型类风湿性关节</w:t>
            </w:r>
          </w:p>
          <w:p>
            <w:pPr>
              <w:pStyle w:val="TableParagraph"/>
              <w:spacing w:before="37"/>
              <w:ind w:left="51"/>
              <w:rPr>
                <w:sz w:val="21"/>
              </w:rPr>
            </w:pPr>
            <w:r>
              <w:rPr>
                <w:w w:val="100"/>
                <w:sz w:val="21"/>
              </w:rPr>
              <w:t>炎</w:t>
            </w:r>
          </w:p>
        </w:tc>
        <w:tc>
          <w:tcPr>
            <w:tcW w:w="7092" w:type="dxa"/>
          </w:tcPr>
          <w:p>
            <w:pPr>
              <w:pStyle w:val="TableParagraph"/>
              <w:spacing w:line="258" w:lineRule="exact"/>
              <w:ind w:left="201"/>
              <w:rPr>
                <w:sz w:val="21"/>
              </w:rPr>
            </w:pPr>
            <w:r>
              <w:rPr>
                <w:sz w:val="21"/>
              </w:rPr>
              <w:t>幼年型类风湿关节炎是一种儿童期发病的慢性关节炎，其特点为在高热</w:t>
            </w:r>
          </w:p>
          <w:p>
            <w:pPr>
              <w:pStyle w:val="TableParagraph"/>
              <w:spacing w:line="259" w:lineRule="exact" w:before="37"/>
              <w:ind w:left="201"/>
              <w:rPr>
                <w:sz w:val="21"/>
              </w:rPr>
            </w:pPr>
            <w:r>
              <w:rPr>
                <w:sz w:val="21"/>
              </w:rPr>
              <w:t>和系统性病征出现数月后发生关节炎。须满足下列全部条件：</w:t>
            </w:r>
          </w:p>
          <w:p>
            <w:pPr>
              <w:pStyle w:val="TableParagraph"/>
              <w:spacing w:line="349" w:lineRule="exact"/>
              <w:ind w:left="201"/>
              <w:rPr>
                <w:sz w:val="21"/>
              </w:rPr>
            </w:pPr>
            <w:r>
              <w:rPr>
                <w:sz w:val="21"/>
              </w:rPr>
              <w:t>（</w:t>
            </w:r>
            <w:r>
              <w:rPr>
                <w:rFonts w:ascii="Times New Roman" w:eastAsia="Times New Roman"/>
                <w:sz w:val="21"/>
              </w:rPr>
              <w:t>1</w:t>
            </w:r>
            <w:r>
              <w:rPr>
                <w:sz w:val="21"/>
              </w:rPr>
              <w:t>）因该病引致广泛性关节破坏，以致需要进</w:t>
            </w:r>
            <w:r>
              <w:rPr>
                <w:rFonts w:ascii="Malgun Gothic" w:eastAsia="Malgun Gothic" w:hint="eastAsia"/>
                <w:sz w:val="21"/>
              </w:rPr>
              <w:t>行</w:t>
            </w:r>
            <w:r>
              <w:rPr>
                <w:sz w:val="21"/>
              </w:rPr>
              <w:t>髋及膝关节置换；</w:t>
            </w:r>
          </w:p>
          <w:p>
            <w:pPr>
              <w:pStyle w:val="TableParagraph"/>
              <w:spacing w:before="16"/>
              <w:ind w:left="201"/>
              <w:rPr>
                <w:sz w:val="21"/>
              </w:rPr>
            </w:pPr>
            <w:r>
              <w:rPr>
                <w:sz w:val="21"/>
              </w:rPr>
              <w:t>（</w:t>
            </w:r>
            <w:r>
              <w:rPr>
                <w:rFonts w:ascii="Times New Roman" w:eastAsia="Times New Roman"/>
                <w:sz w:val="21"/>
              </w:rPr>
              <w:t>2</w:t>
            </w:r>
            <w:r>
              <w:rPr>
                <w:sz w:val="21"/>
              </w:rPr>
              <w:t>）由风湿病专科医生确定诊断。</w:t>
            </w:r>
          </w:p>
        </w:tc>
      </w:tr>
      <w:tr>
        <w:trPr>
          <w:trHeight w:val="1834" w:hRule="atLeast"/>
        </w:trPr>
        <w:tc>
          <w:tcPr>
            <w:tcW w:w="516" w:type="dxa"/>
          </w:tcPr>
          <w:p>
            <w:pPr>
              <w:pStyle w:val="TableParagraph"/>
              <w:spacing w:before="30"/>
              <w:ind w:right="51"/>
              <w:jc w:val="right"/>
              <w:rPr>
                <w:rFonts w:ascii="Times New Roman"/>
                <w:sz w:val="21"/>
              </w:rPr>
            </w:pPr>
            <w:r>
              <w:rPr>
                <w:rFonts w:ascii="Times New Roman"/>
                <w:sz w:val="21"/>
              </w:rPr>
              <w:t>94.</w:t>
            </w:r>
          </w:p>
        </w:tc>
        <w:tc>
          <w:tcPr>
            <w:tcW w:w="2764" w:type="dxa"/>
          </w:tcPr>
          <w:p>
            <w:pPr>
              <w:pStyle w:val="TableParagraph"/>
              <w:spacing w:line="258" w:lineRule="exact"/>
              <w:ind w:left="51"/>
              <w:rPr>
                <w:sz w:val="21"/>
              </w:rPr>
            </w:pPr>
            <w:r>
              <w:rPr>
                <w:sz w:val="21"/>
              </w:rPr>
              <w:t>重症骨髓增生异常综合征</w:t>
            </w:r>
          </w:p>
        </w:tc>
        <w:tc>
          <w:tcPr>
            <w:tcW w:w="7092" w:type="dxa"/>
          </w:tcPr>
          <w:p>
            <w:pPr>
              <w:pStyle w:val="TableParagraph"/>
              <w:spacing w:line="258" w:lineRule="exact"/>
              <w:ind w:left="201"/>
              <w:rPr>
                <w:sz w:val="21"/>
              </w:rPr>
            </w:pPr>
            <w:r>
              <w:rPr>
                <w:sz w:val="21"/>
              </w:rPr>
              <w:t>骨髓增生异常综合征是起源于造血干细胞的一组骨髓克隆增生异常的疾</w:t>
            </w:r>
          </w:p>
          <w:p>
            <w:pPr>
              <w:pStyle w:val="TableParagraph"/>
              <w:spacing w:line="273" w:lineRule="auto" w:before="37"/>
              <w:ind w:left="201" w:right="311"/>
              <w:jc w:val="both"/>
              <w:rPr>
                <w:sz w:val="21"/>
              </w:rPr>
            </w:pPr>
            <w:r>
              <w:rPr>
                <w:sz w:val="21"/>
              </w:rPr>
              <w:t>病，表现为无效造血、难治性血细胞减少，有转化为急性髓系白血病的风险。被保险人根据外周血和骨髓活检被专科医生明确诊断为骨髓增生异常综合征，并须满足下列全部条件：</w:t>
            </w:r>
          </w:p>
          <w:p>
            <w:pPr>
              <w:pStyle w:val="TableParagraph"/>
              <w:numPr>
                <w:ilvl w:val="0"/>
                <w:numId w:val="11"/>
              </w:numPr>
              <w:tabs>
                <w:tab w:pos="836" w:val="left" w:leader="none"/>
              </w:tabs>
              <w:spacing w:line="240" w:lineRule="auto" w:before="7" w:after="0"/>
              <w:ind w:left="835" w:right="0" w:hanging="634"/>
              <w:jc w:val="both"/>
              <w:rPr>
                <w:sz w:val="21"/>
              </w:rPr>
            </w:pPr>
            <w:r>
              <w:rPr>
                <w:rFonts w:ascii="Times New Roman" w:eastAsia="Times New Roman"/>
                <w:spacing w:val="-20"/>
                <w:w w:val="100"/>
                <w:sz w:val="21"/>
              </w:rPr>
              <w:t>F</w:t>
            </w:r>
            <w:r>
              <w:rPr>
                <w:rFonts w:ascii="Times New Roman" w:eastAsia="Times New Roman"/>
                <w:spacing w:val="-2"/>
                <w:w w:val="100"/>
                <w:sz w:val="21"/>
              </w:rPr>
              <w:t>A</w:t>
            </w:r>
            <w:r>
              <w:rPr>
                <w:rFonts w:ascii="Times New Roman" w:eastAsia="Times New Roman"/>
                <w:w w:val="100"/>
                <w:sz w:val="21"/>
              </w:rPr>
              <w:t>B</w:t>
            </w:r>
            <w:r>
              <w:rPr>
                <w:rFonts w:ascii="Times New Roman" w:eastAsia="Times New Roman"/>
                <w:sz w:val="21"/>
              </w:rPr>
              <w:t> </w:t>
            </w:r>
            <w:r>
              <w:rPr>
                <w:spacing w:val="-3"/>
                <w:w w:val="100"/>
                <w:sz w:val="21"/>
              </w:rPr>
              <w:t>分类为难治性贫血伴原始细胞增多（</w:t>
            </w:r>
            <w:r>
              <w:rPr>
                <w:rFonts w:ascii="Times New Roman" w:eastAsia="Times New Roman"/>
                <w:w w:val="100"/>
                <w:sz w:val="21"/>
              </w:rPr>
              <w:t>R</w:t>
            </w:r>
            <w:r>
              <w:rPr>
                <w:rFonts w:ascii="Times New Roman" w:eastAsia="Times New Roman"/>
                <w:spacing w:val="-2"/>
                <w:w w:val="100"/>
                <w:sz w:val="21"/>
              </w:rPr>
              <w:t>A</w:t>
            </w:r>
            <w:r>
              <w:rPr>
                <w:rFonts w:ascii="Times New Roman" w:eastAsia="Times New Roman"/>
                <w:w w:val="100"/>
                <w:sz w:val="21"/>
              </w:rPr>
              <w:t>E</w:t>
            </w:r>
            <w:r>
              <w:rPr>
                <w:rFonts w:ascii="Times New Roman" w:eastAsia="Times New Roman"/>
                <w:spacing w:val="1"/>
                <w:w w:val="100"/>
                <w:sz w:val="21"/>
              </w:rPr>
              <w:t>B</w:t>
            </w:r>
            <w:r>
              <w:rPr>
                <w:spacing w:val="-108"/>
                <w:w w:val="100"/>
                <w:sz w:val="21"/>
              </w:rPr>
              <w:t>）；</w:t>
            </w:r>
          </w:p>
          <w:p>
            <w:pPr>
              <w:pStyle w:val="TableParagraph"/>
              <w:numPr>
                <w:ilvl w:val="0"/>
                <w:numId w:val="11"/>
              </w:numPr>
              <w:tabs>
                <w:tab w:pos="824" w:val="left" w:leader="none"/>
              </w:tabs>
              <w:spacing w:line="271" w:lineRule="exact" w:before="20" w:after="0"/>
              <w:ind w:left="823" w:right="0" w:hanging="622"/>
              <w:jc w:val="both"/>
              <w:rPr>
                <w:sz w:val="21"/>
              </w:rPr>
            </w:pPr>
            <w:r>
              <w:rPr>
                <w:spacing w:val="-5"/>
                <w:w w:val="100"/>
                <w:sz w:val="21"/>
              </w:rPr>
              <w:t>根据“骨髓增生异常综合征修订国际预后积分系统</w:t>
            </w:r>
            <w:r>
              <w:rPr>
                <w:w w:val="100"/>
                <w:sz w:val="21"/>
              </w:rPr>
              <w:t>（</w:t>
            </w:r>
            <w:r>
              <w:rPr>
                <w:rFonts w:ascii="Times New Roman" w:hAnsi="Times New Roman" w:eastAsia="Times New Roman"/>
                <w:spacing w:val="-4"/>
                <w:w w:val="100"/>
                <w:sz w:val="21"/>
              </w:rPr>
              <w:t>I</w:t>
            </w:r>
            <w:r>
              <w:rPr>
                <w:rFonts w:ascii="Times New Roman" w:hAnsi="Times New Roman" w:eastAsia="Times New Roman"/>
                <w:spacing w:val="1"/>
                <w:w w:val="100"/>
                <w:sz w:val="21"/>
              </w:rPr>
              <w:t>P</w:t>
            </w:r>
            <w:r>
              <w:rPr>
                <w:rFonts w:ascii="Times New Roman" w:hAnsi="Times New Roman" w:eastAsia="Times New Roman"/>
                <w:spacing w:val="-3"/>
                <w:w w:val="100"/>
                <w:sz w:val="21"/>
              </w:rPr>
              <w:t>S</w:t>
            </w:r>
            <w:r>
              <w:rPr>
                <w:rFonts w:ascii="Times New Roman" w:hAnsi="Times New Roman" w:eastAsia="Times New Roman"/>
                <w:w w:val="100"/>
                <w:sz w:val="21"/>
              </w:rPr>
              <w:t>S</w:t>
            </w:r>
            <w:r>
              <w:rPr>
                <w:rFonts w:ascii="Times New Roman" w:hAnsi="Times New Roman" w:eastAsia="Times New Roman"/>
                <w:spacing w:val="-4"/>
                <w:w w:val="100"/>
                <w:sz w:val="21"/>
              </w:rPr>
              <w:t>-</w:t>
            </w:r>
            <w:r>
              <w:rPr>
                <w:rFonts w:ascii="Times New Roman" w:hAnsi="Times New Roman" w:eastAsia="Times New Roman"/>
                <w:w w:val="100"/>
                <w:sz w:val="21"/>
              </w:rPr>
              <w:t>R</w:t>
            </w:r>
            <w:r>
              <w:rPr>
                <w:spacing w:val="-106"/>
                <w:w w:val="100"/>
                <w:sz w:val="21"/>
              </w:rPr>
              <w:t>）</w:t>
            </w:r>
            <w:r>
              <w:rPr>
                <w:spacing w:val="-5"/>
                <w:w w:val="100"/>
                <w:sz w:val="21"/>
              </w:rPr>
              <w:t>”积</w:t>
            </w:r>
          </w:p>
        </w:tc>
      </w:tr>
    </w:tbl>
    <w:p>
      <w:pPr>
        <w:spacing w:after="0" w:line="271" w:lineRule="exact"/>
        <w:jc w:val="both"/>
        <w:rPr>
          <w:sz w:val="21"/>
        </w:rPr>
        <w:sectPr>
          <w:pgSz w:w="11910" w:h="16160"/>
          <w:pgMar w:header="0" w:footer="631" w:top="142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
        <w:gridCol w:w="2509"/>
        <w:gridCol w:w="7296"/>
      </w:tblGrid>
      <w:tr>
        <w:trPr>
          <w:trHeight w:val="277" w:hRule="atLeast"/>
        </w:trPr>
        <w:tc>
          <w:tcPr>
            <w:tcW w:w="568" w:type="dxa"/>
          </w:tcPr>
          <w:p>
            <w:pPr>
              <w:pStyle w:val="TableParagraph"/>
              <w:rPr>
                <w:rFonts w:ascii="Times New Roman"/>
                <w:sz w:val="20"/>
              </w:rPr>
            </w:pPr>
          </w:p>
        </w:tc>
        <w:tc>
          <w:tcPr>
            <w:tcW w:w="2509" w:type="dxa"/>
          </w:tcPr>
          <w:p>
            <w:pPr>
              <w:pStyle w:val="TableParagraph"/>
              <w:rPr>
                <w:rFonts w:ascii="Times New Roman"/>
                <w:sz w:val="20"/>
              </w:rPr>
            </w:pPr>
          </w:p>
        </w:tc>
        <w:tc>
          <w:tcPr>
            <w:tcW w:w="7296" w:type="dxa"/>
          </w:tcPr>
          <w:p>
            <w:pPr>
              <w:pStyle w:val="TableParagraph"/>
              <w:spacing w:line="234" w:lineRule="exact"/>
              <w:ind w:left="404"/>
              <w:rPr>
                <w:sz w:val="21"/>
              </w:rPr>
            </w:pPr>
            <w:r>
              <w:rPr>
                <w:sz w:val="21"/>
              </w:rPr>
              <w:t>分</w:t>
            </w:r>
            <w:r>
              <w:rPr>
                <w:rFonts w:ascii="Times New Roman" w:eastAsia="Times New Roman"/>
                <w:sz w:val="21"/>
              </w:rPr>
              <w:t>&gt;3.5</w:t>
            </w:r>
            <w:r>
              <w:rPr>
                <w:sz w:val="21"/>
              </w:rPr>
              <w:t>，属于中危及以上组。</w:t>
            </w:r>
          </w:p>
        </w:tc>
      </w:tr>
      <w:tr>
        <w:trPr>
          <w:trHeight w:val="934" w:hRule="atLeast"/>
        </w:trPr>
        <w:tc>
          <w:tcPr>
            <w:tcW w:w="568" w:type="dxa"/>
          </w:tcPr>
          <w:p>
            <w:pPr>
              <w:pStyle w:val="TableParagraph"/>
              <w:spacing w:before="36"/>
              <w:ind w:left="200"/>
              <w:rPr>
                <w:rFonts w:ascii="Times New Roman"/>
                <w:sz w:val="21"/>
              </w:rPr>
            </w:pPr>
            <w:r>
              <w:rPr>
                <w:rFonts w:ascii="Times New Roman"/>
                <w:sz w:val="21"/>
              </w:rPr>
              <w:t>95.</w:t>
            </w:r>
          </w:p>
        </w:tc>
        <w:tc>
          <w:tcPr>
            <w:tcW w:w="2509" w:type="dxa"/>
          </w:tcPr>
          <w:p>
            <w:pPr>
              <w:pStyle w:val="TableParagraph"/>
              <w:spacing w:line="264" w:lineRule="exact"/>
              <w:ind w:left="-1"/>
              <w:rPr>
                <w:sz w:val="21"/>
              </w:rPr>
            </w:pPr>
            <w:r>
              <w:rPr>
                <w:sz w:val="21"/>
              </w:rPr>
              <w:t>多处臂丛神经根性撕脱</w:t>
            </w:r>
          </w:p>
        </w:tc>
        <w:tc>
          <w:tcPr>
            <w:tcW w:w="7296" w:type="dxa"/>
          </w:tcPr>
          <w:p>
            <w:pPr>
              <w:pStyle w:val="TableParagraph"/>
              <w:spacing w:line="264" w:lineRule="exact"/>
              <w:ind w:left="404"/>
              <w:rPr>
                <w:sz w:val="21"/>
              </w:rPr>
            </w:pPr>
            <w:r>
              <w:rPr>
                <w:sz w:val="21"/>
              </w:rPr>
              <w:t>由于疾病或意外导致至少两根臂丛神经根性撕脱，所造成的手臂感觉功</w:t>
            </w:r>
          </w:p>
          <w:p>
            <w:pPr>
              <w:pStyle w:val="TableParagraph"/>
              <w:spacing w:line="310" w:lineRule="atLeast" w:before="2"/>
              <w:ind w:left="404" w:right="308"/>
              <w:rPr>
                <w:sz w:val="21"/>
              </w:rPr>
            </w:pPr>
            <w:r>
              <w:rPr>
                <w:sz w:val="21"/>
              </w:rPr>
              <w:t>能与运动功能完全永久性丧失。该病必须由我们认可的医院的专科医生确诊，并且有完整的电生理检查结果证实。</w:t>
            </w:r>
          </w:p>
        </w:tc>
      </w:tr>
      <w:tr>
        <w:trPr>
          <w:trHeight w:val="1248" w:hRule="atLeast"/>
        </w:trPr>
        <w:tc>
          <w:tcPr>
            <w:tcW w:w="568" w:type="dxa"/>
          </w:tcPr>
          <w:p>
            <w:pPr>
              <w:pStyle w:val="TableParagraph"/>
              <w:spacing w:before="38"/>
              <w:ind w:left="200"/>
              <w:rPr>
                <w:rFonts w:ascii="Times New Roman"/>
                <w:sz w:val="21"/>
              </w:rPr>
            </w:pPr>
            <w:r>
              <w:rPr>
                <w:rFonts w:ascii="Times New Roman"/>
                <w:sz w:val="21"/>
              </w:rPr>
              <w:t>96.</w:t>
            </w:r>
          </w:p>
        </w:tc>
        <w:tc>
          <w:tcPr>
            <w:tcW w:w="2509" w:type="dxa"/>
          </w:tcPr>
          <w:p>
            <w:pPr>
              <w:pStyle w:val="TableParagraph"/>
              <w:spacing w:line="266" w:lineRule="exact"/>
              <w:ind w:left="-1"/>
              <w:rPr>
                <w:sz w:val="21"/>
              </w:rPr>
            </w:pPr>
            <w:r>
              <w:rPr>
                <w:sz w:val="21"/>
              </w:rPr>
              <w:t>胆道重建术</w:t>
            </w:r>
          </w:p>
        </w:tc>
        <w:tc>
          <w:tcPr>
            <w:tcW w:w="7296" w:type="dxa"/>
          </w:tcPr>
          <w:p>
            <w:pPr>
              <w:pStyle w:val="TableParagraph"/>
              <w:spacing w:line="273" w:lineRule="auto"/>
              <w:ind w:left="404" w:right="310"/>
              <w:jc w:val="both"/>
              <w:rPr>
                <w:sz w:val="21"/>
              </w:rPr>
            </w:pPr>
            <w:r>
              <w:rPr>
                <w:sz w:val="21"/>
              </w:rPr>
              <w:t>因疾病或胆道损伤导致实际接受涉及胆总管小肠吻合术的胆道重建手术。诊断及治疗均须在我们认可的医院内由专科医生认为是医疗必须的情况下进行。</w:t>
            </w:r>
          </w:p>
          <w:p>
            <w:pPr>
              <w:pStyle w:val="TableParagraph"/>
              <w:spacing w:before="16"/>
              <w:ind w:left="404"/>
              <w:jc w:val="both"/>
              <w:rPr>
                <w:b/>
                <w:sz w:val="21"/>
              </w:rPr>
            </w:pPr>
            <w:r>
              <w:rPr>
                <w:b/>
                <w:sz w:val="21"/>
              </w:rPr>
              <w:t>因胆道闭锁等先天性疾病而导致进行的胆道手术并不在保障范围內。</w:t>
            </w:r>
          </w:p>
        </w:tc>
      </w:tr>
      <w:tr>
        <w:trPr>
          <w:trHeight w:val="2028" w:hRule="atLeast"/>
        </w:trPr>
        <w:tc>
          <w:tcPr>
            <w:tcW w:w="568" w:type="dxa"/>
          </w:tcPr>
          <w:p>
            <w:pPr>
              <w:pStyle w:val="TableParagraph"/>
              <w:spacing w:before="38"/>
              <w:ind w:left="200"/>
              <w:rPr>
                <w:rFonts w:ascii="Times New Roman"/>
                <w:sz w:val="21"/>
              </w:rPr>
            </w:pPr>
            <w:r>
              <w:rPr>
                <w:rFonts w:ascii="Times New Roman"/>
                <w:sz w:val="21"/>
              </w:rPr>
              <w:t>97.</w:t>
            </w:r>
          </w:p>
        </w:tc>
        <w:tc>
          <w:tcPr>
            <w:tcW w:w="2509" w:type="dxa"/>
          </w:tcPr>
          <w:p>
            <w:pPr>
              <w:pStyle w:val="TableParagraph"/>
              <w:spacing w:line="266" w:lineRule="exact"/>
              <w:ind w:left="-1"/>
              <w:rPr>
                <w:sz w:val="21"/>
              </w:rPr>
            </w:pPr>
            <w:r>
              <w:rPr>
                <w:sz w:val="21"/>
              </w:rPr>
              <w:t>脊柱裂</w:t>
            </w:r>
          </w:p>
        </w:tc>
        <w:tc>
          <w:tcPr>
            <w:tcW w:w="7296" w:type="dxa"/>
          </w:tcPr>
          <w:p>
            <w:pPr>
              <w:pStyle w:val="TableParagraph"/>
              <w:spacing w:line="266" w:lineRule="auto"/>
              <w:ind w:left="404" w:right="199"/>
              <w:rPr>
                <w:sz w:val="21"/>
              </w:rPr>
            </w:pPr>
            <w:r>
              <w:rPr>
                <w:sz w:val="21"/>
              </w:rPr>
              <w:t>指脊椎或颅骨不完全闭合，导致脊髓脊膜突出，脑（脊）膜突出或脑膨</w:t>
            </w:r>
            <w:r>
              <w:rPr>
                <w:spacing w:val="-7"/>
                <w:sz w:val="21"/>
              </w:rPr>
              <w:t>出，合并大小便失禁，部分或完全性下肢瘫痪或畸形等神经学上的异常， </w:t>
            </w:r>
            <w:r>
              <w:rPr>
                <w:spacing w:val="-3"/>
                <w:sz w:val="21"/>
              </w:rPr>
              <w:t>但</w:t>
            </w:r>
            <w:r>
              <w:rPr>
                <w:b/>
                <w:spacing w:val="-10"/>
                <w:sz w:val="21"/>
              </w:rPr>
              <w:t>不包括由 </w:t>
            </w:r>
            <w:r>
              <w:rPr>
                <w:rFonts w:ascii="Times New Roman" w:eastAsia="Times New Roman"/>
                <w:b/>
                <w:sz w:val="21"/>
              </w:rPr>
              <w:t>X </w:t>
            </w:r>
            <w:r>
              <w:rPr>
                <w:b/>
                <w:spacing w:val="-3"/>
                <w:sz w:val="21"/>
              </w:rPr>
              <w:t>线摄片发现的没有合并脊椎脊膜突出或脑</w:t>
            </w:r>
            <w:r>
              <w:rPr>
                <w:b/>
                <w:sz w:val="21"/>
              </w:rPr>
              <w:t>（</w:t>
            </w:r>
            <w:r>
              <w:rPr>
                <w:b/>
                <w:spacing w:val="-3"/>
                <w:sz w:val="21"/>
              </w:rPr>
              <w:t>脊</w:t>
            </w:r>
            <w:r>
              <w:rPr>
                <w:b/>
                <w:sz w:val="21"/>
              </w:rPr>
              <w:t>）膜突出的隐形脊椎裂</w:t>
            </w:r>
            <w:r>
              <w:rPr>
                <w:sz w:val="21"/>
              </w:rPr>
              <w:t>。</w:t>
            </w:r>
          </w:p>
          <w:p>
            <w:pPr>
              <w:pStyle w:val="TableParagraph"/>
              <w:spacing w:line="273" w:lineRule="auto" w:before="23"/>
              <w:ind w:left="404" w:right="312"/>
              <w:rPr>
                <w:sz w:val="21"/>
              </w:rPr>
            </w:pPr>
            <w:r>
              <w:rPr>
                <w:sz w:val="21"/>
              </w:rPr>
              <w:t>我们承担本项疾病责任不受本合同“责任免除”中“遗传性疾病，先天性畸形、变形或染色体异常”的限制。</w:t>
            </w:r>
          </w:p>
        </w:tc>
      </w:tr>
      <w:tr>
        <w:trPr>
          <w:trHeight w:val="779" w:hRule="atLeast"/>
        </w:trPr>
        <w:tc>
          <w:tcPr>
            <w:tcW w:w="568" w:type="dxa"/>
          </w:tcPr>
          <w:p>
            <w:pPr>
              <w:pStyle w:val="TableParagraph"/>
              <w:spacing w:before="194"/>
              <w:ind w:left="200"/>
              <w:rPr>
                <w:rFonts w:ascii="Times New Roman"/>
                <w:sz w:val="21"/>
              </w:rPr>
            </w:pPr>
            <w:r>
              <w:rPr>
                <w:rFonts w:ascii="Times New Roman"/>
                <w:sz w:val="21"/>
              </w:rPr>
              <w:t>98.</w:t>
            </w:r>
          </w:p>
        </w:tc>
        <w:tc>
          <w:tcPr>
            <w:tcW w:w="2509" w:type="dxa"/>
          </w:tcPr>
          <w:p>
            <w:pPr>
              <w:pStyle w:val="TableParagraph"/>
              <w:spacing w:before="147"/>
              <w:ind w:left="-1"/>
              <w:rPr>
                <w:sz w:val="21"/>
              </w:rPr>
            </w:pPr>
            <w:r>
              <w:rPr>
                <w:sz w:val="21"/>
              </w:rPr>
              <w:t>狂犬病</w:t>
            </w:r>
          </w:p>
        </w:tc>
        <w:tc>
          <w:tcPr>
            <w:tcW w:w="7296" w:type="dxa"/>
          </w:tcPr>
          <w:p>
            <w:pPr>
              <w:pStyle w:val="TableParagraph"/>
              <w:spacing w:line="310" w:lineRule="atLeast" w:before="112"/>
              <w:ind w:left="404" w:right="201"/>
              <w:rPr>
                <w:sz w:val="21"/>
              </w:rPr>
            </w:pPr>
            <w:r>
              <w:rPr>
                <w:sz w:val="21"/>
              </w:rPr>
              <w:t>指狂犬病毒所致的急性传染病，人多因被病兽咬伤而感染。临床表现为</w:t>
            </w:r>
            <w:r>
              <w:rPr>
                <w:spacing w:val="-7"/>
                <w:sz w:val="21"/>
              </w:rPr>
              <w:t>特有的恐水、怕风、咽肌痉挛、进行性瘫痪等。须经专科医生明确诊断。</w:t>
            </w:r>
          </w:p>
        </w:tc>
      </w:tr>
      <w:tr>
        <w:trPr>
          <w:trHeight w:val="2184" w:hRule="atLeast"/>
        </w:trPr>
        <w:tc>
          <w:tcPr>
            <w:tcW w:w="568" w:type="dxa"/>
          </w:tcPr>
          <w:p>
            <w:pPr>
              <w:pStyle w:val="TableParagraph"/>
              <w:spacing w:before="38"/>
              <w:ind w:left="200"/>
              <w:rPr>
                <w:rFonts w:ascii="Times New Roman"/>
                <w:sz w:val="21"/>
              </w:rPr>
            </w:pPr>
            <w:r>
              <w:rPr>
                <w:rFonts w:ascii="Times New Roman"/>
                <w:sz w:val="21"/>
              </w:rPr>
              <w:t>99.</w:t>
            </w:r>
          </w:p>
        </w:tc>
        <w:tc>
          <w:tcPr>
            <w:tcW w:w="2509" w:type="dxa"/>
          </w:tcPr>
          <w:p>
            <w:pPr>
              <w:pStyle w:val="TableParagraph"/>
              <w:spacing w:line="266" w:lineRule="exact"/>
              <w:ind w:left="-1"/>
              <w:rPr>
                <w:sz w:val="21"/>
              </w:rPr>
            </w:pPr>
            <w:r>
              <w:rPr>
                <w:sz w:val="21"/>
              </w:rPr>
              <w:t>严重气性坏疽</w:t>
            </w:r>
          </w:p>
        </w:tc>
        <w:tc>
          <w:tcPr>
            <w:tcW w:w="7296" w:type="dxa"/>
          </w:tcPr>
          <w:p>
            <w:pPr>
              <w:pStyle w:val="TableParagraph"/>
              <w:spacing w:line="273" w:lineRule="auto"/>
              <w:ind w:left="404" w:right="312"/>
              <w:rPr>
                <w:sz w:val="21"/>
              </w:rPr>
            </w:pPr>
            <w:r>
              <w:rPr>
                <w:sz w:val="21"/>
              </w:rPr>
              <w:t>指由梭状芽胞杆菌所致的肌坏死或肌炎。须经专科医生明确诊断，且须同时符合下列要求：</w:t>
            </w:r>
          </w:p>
          <w:p>
            <w:pPr>
              <w:pStyle w:val="TableParagraph"/>
              <w:spacing w:before="16"/>
              <w:ind w:left="510"/>
              <w:rPr>
                <w:sz w:val="21"/>
              </w:rPr>
            </w:pPr>
            <w:r>
              <w:rPr>
                <w:sz w:val="21"/>
              </w:rPr>
              <w:t>（</w:t>
            </w:r>
            <w:r>
              <w:rPr>
                <w:rFonts w:ascii="Times New Roman" w:eastAsia="Times New Roman"/>
                <w:sz w:val="21"/>
              </w:rPr>
              <w:t>1</w:t>
            </w:r>
            <w:r>
              <w:rPr>
                <w:sz w:val="21"/>
              </w:rPr>
              <w:t>）符合气性坏疽的一般临床表现；</w:t>
            </w:r>
          </w:p>
          <w:p>
            <w:pPr>
              <w:pStyle w:val="TableParagraph"/>
              <w:spacing w:before="20"/>
              <w:ind w:left="510"/>
              <w:rPr>
                <w:sz w:val="21"/>
              </w:rPr>
            </w:pPr>
            <w:r>
              <w:rPr>
                <w:sz w:val="21"/>
              </w:rPr>
              <w:t>（</w:t>
            </w:r>
            <w:r>
              <w:rPr>
                <w:rFonts w:ascii="Times New Roman" w:eastAsia="Times New Roman"/>
                <w:sz w:val="21"/>
              </w:rPr>
              <w:t>2</w:t>
            </w:r>
            <w:r>
              <w:rPr>
                <w:sz w:val="21"/>
              </w:rPr>
              <w:t>）细菌培养检出致病菌；</w:t>
            </w:r>
          </w:p>
          <w:p>
            <w:pPr>
              <w:pStyle w:val="TableParagraph"/>
              <w:spacing w:line="256" w:lineRule="auto" w:before="20"/>
              <w:ind w:left="404" w:right="312" w:firstLine="105"/>
              <w:rPr>
                <w:sz w:val="21"/>
              </w:rPr>
            </w:pPr>
            <w:r>
              <w:rPr>
                <w:sz w:val="21"/>
              </w:rPr>
              <w:t>（</w:t>
            </w:r>
            <w:r>
              <w:rPr>
                <w:rFonts w:ascii="Times New Roman" w:eastAsia="Times New Roman"/>
                <w:sz w:val="21"/>
              </w:rPr>
              <w:t>3</w:t>
            </w:r>
            <w:r>
              <w:rPr>
                <w:sz w:val="21"/>
              </w:rPr>
              <w:t>）出现广泛性肌肉及组织坏死，并确实实施了坏死组织和筋膜以及肌肉的切除手术。</w:t>
            </w:r>
          </w:p>
          <w:p>
            <w:pPr>
              <w:pStyle w:val="TableParagraph"/>
              <w:spacing w:before="22"/>
              <w:ind w:left="404"/>
              <w:rPr>
                <w:b/>
                <w:sz w:val="21"/>
              </w:rPr>
            </w:pPr>
            <w:r>
              <w:rPr>
                <w:b/>
                <w:sz w:val="21"/>
              </w:rPr>
              <w:t>清创术不在保障范围内。</w:t>
            </w:r>
          </w:p>
        </w:tc>
      </w:tr>
      <w:tr>
        <w:trPr>
          <w:trHeight w:val="578" w:hRule="atLeast"/>
        </w:trPr>
        <w:tc>
          <w:tcPr>
            <w:tcW w:w="568" w:type="dxa"/>
          </w:tcPr>
          <w:p>
            <w:pPr>
              <w:pStyle w:val="TableParagraph"/>
              <w:spacing w:before="38"/>
              <w:ind w:left="200" w:right="-15"/>
              <w:rPr>
                <w:rFonts w:ascii="Times New Roman"/>
                <w:sz w:val="21"/>
              </w:rPr>
            </w:pPr>
            <w:r>
              <w:rPr>
                <w:rFonts w:ascii="Times New Roman"/>
                <w:sz w:val="21"/>
              </w:rPr>
              <w:t>100.</w:t>
            </w:r>
          </w:p>
        </w:tc>
        <w:tc>
          <w:tcPr>
            <w:tcW w:w="2509" w:type="dxa"/>
          </w:tcPr>
          <w:p>
            <w:pPr>
              <w:pStyle w:val="TableParagraph"/>
              <w:spacing w:line="266" w:lineRule="exact"/>
              <w:ind w:left="-1"/>
              <w:rPr>
                <w:sz w:val="21"/>
              </w:rPr>
            </w:pPr>
            <w:r>
              <w:rPr>
                <w:sz w:val="21"/>
              </w:rPr>
              <w:t>破伤风</w:t>
            </w:r>
          </w:p>
        </w:tc>
        <w:tc>
          <w:tcPr>
            <w:tcW w:w="7296" w:type="dxa"/>
          </w:tcPr>
          <w:p>
            <w:pPr>
              <w:pStyle w:val="TableParagraph"/>
              <w:spacing w:line="266" w:lineRule="exact"/>
              <w:ind w:left="404"/>
              <w:rPr>
                <w:sz w:val="21"/>
              </w:rPr>
            </w:pPr>
            <w:r>
              <w:rPr>
                <w:sz w:val="21"/>
              </w:rPr>
              <w:t>指破伤风梭菌经由皮肤或黏膜伤口侵入人体，在缺氧环境下生长繁殖，</w:t>
            </w:r>
          </w:p>
          <w:p>
            <w:pPr>
              <w:pStyle w:val="TableParagraph"/>
              <w:spacing w:line="255" w:lineRule="exact" w:before="37"/>
              <w:ind w:left="404"/>
              <w:rPr>
                <w:sz w:val="21"/>
              </w:rPr>
            </w:pPr>
            <w:r>
              <w:rPr>
                <w:sz w:val="21"/>
              </w:rPr>
              <w:t>产生毒素而引起肌痉挛的一种特异性感染。须经专科医生明确诊断。</w:t>
            </w:r>
          </w:p>
        </w:tc>
      </w:tr>
    </w:tbl>
    <w:p>
      <w:pPr>
        <w:pStyle w:val="BodyText"/>
        <w:spacing w:before="41"/>
        <w:ind w:left="634"/>
      </w:pPr>
      <w:r>
        <w:rPr/>
        <w:t>二、重大疾病所属组别</w:t>
      </w:r>
    </w:p>
    <w:p>
      <w:pPr>
        <w:spacing w:line="273" w:lineRule="auto" w:before="36" w:after="20"/>
        <w:ind w:left="317" w:right="380" w:firstLine="420"/>
        <w:jc w:val="left"/>
        <w:rPr>
          <w:sz w:val="21"/>
        </w:rPr>
      </w:pPr>
      <w:r>
        <w:rPr>
          <w:sz w:val="21"/>
        </w:rPr>
        <w:t>本合同所保障的重大疾病共分为三组，每组所包含的重大疾病如下表所示，</w:t>
      </w:r>
      <w:r>
        <w:rPr>
          <w:b/>
          <w:sz w:val="21"/>
        </w:rPr>
        <w:t>同一组别内的重大疾病最多给付一次</w:t>
      </w:r>
      <w:r>
        <w:rPr>
          <w:sz w:val="21"/>
        </w:rPr>
        <w:t>：</w:t>
      </w:r>
    </w:p>
    <w:tbl>
      <w:tblPr>
        <w:tblW w:w="0" w:type="auto"/>
        <w:jc w:val="left"/>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3"/>
        <w:gridCol w:w="3312"/>
        <w:gridCol w:w="3315"/>
      </w:tblGrid>
      <w:tr>
        <w:trPr>
          <w:trHeight w:val="311" w:hRule="atLeast"/>
        </w:trPr>
        <w:tc>
          <w:tcPr>
            <w:tcW w:w="3313" w:type="dxa"/>
          </w:tcPr>
          <w:p>
            <w:pPr>
              <w:pStyle w:val="TableParagraph"/>
              <w:spacing w:line="278" w:lineRule="exact"/>
              <w:ind w:left="107"/>
              <w:rPr>
                <w:sz w:val="21"/>
              </w:rPr>
            </w:pPr>
            <w:r>
              <w:rPr>
                <w:rFonts w:ascii="Times New Roman" w:eastAsia="Times New Roman"/>
                <w:sz w:val="21"/>
              </w:rPr>
              <w:t>A </w:t>
            </w:r>
            <w:r>
              <w:rPr>
                <w:sz w:val="21"/>
              </w:rPr>
              <w:t>组（</w:t>
            </w:r>
            <w:r>
              <w:rPr>
                <w:rFonts w:ascii="Times New Roman" w:eastAsia="Times New Roman"/>
                <w:sz w:val="21"/>
              </w:rPr>
              <w:t>32 </w:t>
            </w:r>
            <w:r>
              <w:rPr>
                <w:sz w:val="21"/>
              </w:rPr>
              <w:t>种）</w:t>
            </w:r>
          </w:p>
        </w:tc>
        <w:tc>
          <w:tcPr>
            <w:tcW w:w="3312" w:type="dxa"/>
          </w:tcPr>
          <w:p>
            <w:pPr>
              <w:pStyle w:val="TableParagraph"/>
              <w:spacing w:line="278" w:lineRule="exact"/>
              <w:ind w:left="107"/>
              <w:rPr>
                <w:sz w:val="21"/>
              </w:rPr>
            </w:pPr>
            <w:r>
              <w:rPr>
                <w:rFonts w:ascii="Times New Roman" w:eastAsia="Times New Roman"/>
                <w:sz w:val="21"/>
              </w:rPr>
              <w:t>B </w:t>
            </w:r>
            <w:r>
              <w:rPr>
                <w:sz w:val="21"/>
              </w:rPr>
              <w:t>组（</w:t>
            </w:r>
            <w:r>
              <w:rPr>
                <w:rFonts w:ascii="Times New Roman" w:eastAsia="Times New Roman"/>
                <w:sz w:val="21"/>
              </w:rPr>
              <w:t>31 </w:t>
            </w:r>
            <w:r>
              <w:rPr>
                <w:sz w:val="21"/>
              </w:rPr>
              <w:t>种）</w:t>
            </w:r>
          </w:p>
        </w:tc>
        <w:tc>
          <w:tcPr>
            <w:tcW w:w="3315" w:type="dxa"/>
          </w:tcPr>
          <w:p>
            <w:pPr>
              <w:pStyle w:val="TableParagraph"/>
              <w:spacing w:line="278" w:lineRule="exact"/>
              <w:ind w:left="108"/>
              <w:rPr>
                <w:sz w:val="21"/>
              </w:rPr>
            </w:pPr>
            <w:r>
              <w:rPr>
                <w:rFonts w:ascii="Times New Roman" w:eastAsia="Times New Roman"/>
                <w:sz w:val="21"/>
              </w:rPr>
              <w:t>C </w:t>
            </w:r>
            <w:r>
              <w:rPr>
                <w:sz w:val="21"/>
              </w:rPr>
              <w:t>组（</w:t>
            </w:r>
            <w:r>
              <w:rPr>
                <w:rFonts w:ascii="Times New Roman" w:eastAsia="Times New Roman"/>
                <w:sz w:val="21"/>
              </w:rPr>
              <w:t>37 </w:t>
            </w:r>
            <w:r>
              <w:rPr>
                <w:sz w:val="21"/>
              </w:rPr>
              <w:t>种）</w:t>
            </w:r>
          </w:p>
        </w:tc>
      </w:tr>
      <w:tr>
        <w:trPr>
          <w:trHeight w:val="4368" w:hRule="atLeast"/>
        </w:trPr>
        <w:tc>
          <w:tcPr>
            <w:tcW w:w="3313" w:type="dxa"/>
          </w:tcPr>
          <w:p>
            <w:pPr>
              <w:pStyle w:val="TableParagraph"/>
              <w:numPr>
                <w:ilvl w:val="0"/>
                <w:numId w:val="12"/>
              </w:numPr>
              <w:tabs>
                <w:tab w:pos="528" w:val="left" w:leader="none"/>
                <w:tab w:pos="529" w:val="left" w:leader="none"/>
              </w:tabs>
              <w:spacing w:line="278" w:lineRule="exact" w:before="0" w:after="0"/>
              <w:ind w:left="528" w:right="0" w:hanging="421"/>
              <w:jc w:val="left"/>
              <w:rPr>
                <w:sz w:val="21"/>
              </w:rPr>
            </w:pPr>
            <w:r>
              <w:rPr>
                <w:spacing w:val="-1"/>
                <w:sz w:val="21"/>
              </w:rPr>
              <w:t>恶性肿瘤</w:t>
            </w:r>
          </w:p>
          <w:p>
            <w:pPr>
              <w:pStyle w:val="TableParagraph"/>
              <w:numPr>
                <w:ilvl w:val="0"/>
                <w:numId w:val="12"/>
              </w:numPr>
              <w:tabs>
                <w:tab w:pos="528" w:val="left" w:leader="none"/>
                <w:tab w:pos="529" w:val="left" w:leader="none"/>
              </w:tabs>
              <w:spacing w:line="256" w:lineRule="auto" w:before="21" w:after="0"/>
              <w:ind w:left="528" w:right="96" w:hanging="421"/>
              <w:jc w:val="left"/>
              <w:rPr>
                <w:sz w:val="21"/>
              </w:rPr>
            </w:pPr>
            <w:r>
              <w:rPr>
                <w:spacing w:val="8"/>
                <w:sz w:val="21"/>
              </w:rPr>
              <w:t>重大器官移植术或造血干细</w:t>
            </w:r>
            <w:r>
              <w:rPr>
                <w:spacing w:val="1"/>
                <w:sz w:val="21"/>
              </w:rPr>
              <w:t>胞移植术</w:t>
            </w:r>
          </w:p>
          <w:p>
            <w:pPr>
              <w:pStyle w:val="TableParagraph"/>
              <w:numPr>
                <w:ilvl w:val="0"/>
                <w:numId w:val="12"/>
              </w:numPr>
              <w:tabs>
                <w:tab w:pos="528" w:val="left" w:leader="none"/>
                <w:tab w:pos="529" w:val="left" w:leader="none"/>
              </w:tabs>
              <w:spacing w:line="256" w:lineRule="auto" w:before="22" w:after="0"/>
              <w:ind w:left="528" w:right="93" w:hanging="421"/>
              <w:jc w:val="left"/>
              <w:rPr>
                <w:sz w:val="21"/>
              </w:rPr>
            </w:pPr>
            <w:r>
              <w:rPr>
                <w:spacing w:val="-12"/>
                <w:sz w:val="21"/>
              </w:rPr>
              <w:t>终末期肾病</w:t>
            </w:r>
            <w:r>
              <w:rPr>
                <w:spacing w:val="-3"/>
                <w:sz w:val="21"/>
              </w:rPr>
              <w:t>（或称慢性肾功能衰竭尿毒症期</w:t>
            </w:r>
            <w:r>
              <w:rPr>
                <w:sz w:val="21"/>
              </w:rPr>
              <w:t>）</w:t>
            </w:r>
          </w:p>
          <w:p>
            <w:pPr>
              <w:pStyle w:val="TableParagraph"/>
              <w:numPr>
                <w:ilvl w:val="0"/>
                <w:numId w:val="12"/>
              </w:numPr>
              <w:tabs>
                <w:tab w:pos="528" w:val="left" w:leader="none"/>
                <w:tab w:pos="529" w:val="left" w:leader="none"/>
              </w:tabs>
              <w:spacing w:line="240" w:lineRule="auto" w:before="21" w:after="0"/>
              <w:ind w:left="528" w:right="0" w:hanging="421"/>
              <w:jc w:val="left"/>
              <w:rPr>
                <w:sz w:val="21"/>
              </w:rPr>
            </w:pPr>
            <w:r>
              <w:rPr>
                <w:spacing w:val="-3"/>
                <w:sz w:val="21"/>
              </w:rPr>
              <w:t>急性或亚急性重症肝炎</w:t>
            </w:r>
          </w:p>
          <w:p>
            <w:pPr>
              <w:pStyle w:val="TableParagraph"/>
              <w:numPr>
                <w:ilvl w:val="0"/>
                <w:numId w:val="12"/>
              </w:numPr>
              <w:tabs>
                <w:tab w:pos="528" w:val="left" w:leader="none"/>
                <w:tab w:pos="529" w:val="left" w:leader="none"/>
              </w:tabs>
              <w:spacing w:line="240" w:lineRule="auto" w:before="20" w:after="0"/>
              <w:ind w:left="528" w:right="0" w:hanging="421"/>
              <w:jc w:val="left"/>
              <w:rPr>
                <w:sz w:val="21"/>
              </w:rPr>
            </w:pPr>
            <w:r>
              <w:rPr>
                <w:spacing w:val="-3"/>
                <w:sz w:val="21"/>
              </w:rPr>
              <w:t>慢性肝功能衰竭失代偿期</w:t>
            </w:r>
          </w:p>
          <w:p>
            <w:pPr>
              <w:pStyle w:val="TableParagraph"/>
              <w:numPr>
                <w:ilvl w:val="0"/>
                <w:numId w:val="12"/>
              </w:numPr>
              <w:tabs>
                <w:tab w:pos="528" w:val="left" w:leader="none"/>
                <w:tab w:pos="529" w:val="left" w:leader="none"/>
              </w:tabs>
              <w:spacing w:line="240" w:lineRule="auto" w:before="20" w:after="0"/>
              <w:ind w:left="528" w:right="0" w:hanging="421"/>
              <w:jc w:val="left"/>
              <w:rPr>
                <w:sz w:val="21"/>
              </w:rPr>
            </w:pPr>
            <w:r>
              <w:rPr>
                <w:spacing w:val="-3"/>
                <w:sz w:val="21"/>
              </w:rPr>
              <w:t>重型再生障碍性贫血</w:t>
            </w:r>
          </w:p>
          <w:p>
            <w:pPr>
              <w:pStyle w:val="TableParagraph"/>
              <w:numPr>
                <w:ilvl w:val="0"/>
                <w:numId w:val="12"/>
              </w:numPr>
              <w:tabs>
                <w:tab w:pos="528" w:val="left" w:leader="none"/>
                <w:tab w:pos="529" w:val="left" w:leader="none"/>
              </w:tabs>
              <w:spacing w:line="240" w:lineRule="auto" w:before="20" w:after="0"/>
              <w:ind w:left="528" w:right="0" w:hanging="421"/>
              <w:jc w:val="left"/>
              <w:rPr>
                <w:sz w:val="21"/>
              </w:rPr>
            </w:pPr>
            <w:r>
              <w:rPr>
                <w:spacing w:val="-3"/>
                <w:sz w:val="21"/>
              </w:rPr>
              <w:t>慢性复发性胰腺炎</w:t>
            </w:r>
          </w:p>
          <w:p>
            <w:pPr>
              <w:pStyle w:val="TableParagraph"/>
              <w:numPr>
                <w:ilvl w:val="0"/>
                <w:numId w:val="12"/>
              </w:numPr>
              <w:tabs>
                <w:tab w:pos="528" w:val="left" w:leader="none"/>
                <w:tab w:pos="529" w:val="left" w:leader="none"/>
              </w:tabs>
              <w:spacing w:line="240" w:lineRule="auto" w:before="20" w:after="0"/>
              <w:ind w:left="528" w:right="0" w:hanging="421"/>
              <w:jc w:val="left"/>
              <w:rPr>
                <w:sz w:val="21"/>
              </w:rPr>
            </w:pPr>
            <w:r>
              <w:rPr>
                <w:spacing w:val="-10"/>
                <w:sz w:val="21"/>
              </w:rPr>
              <w:t>经输血导致的 </w:t>
            </w:r>
            <w:r>
              <w:rPr>
                <w:rFonts w:ascii="Times New Roman" w:eastAsia="Times New Roman"/>
                <w:sz w:val="21"/>
              </w:rPr>
              <w:t>HIV</w:t>
            </w:r>
            <w:r>
              <w:rPr>
                <w:rFonts w:ascii="Times New Roman" w:eastAsia="Times New Roman"/>
                <w:spacing w:val="3"/>
                <w:sz w:val="21"/>
              </w:rPr>
              <w:t> </w:t>
            </w:r>
            <w:r>
              <w:rPr>
                <w:spacing w:val="-3"/>
                <w:sz w:val="21"/>
              </w:rPr>
              <w:t>感染</w:t>
            </w:r>
          </w:p>
          <w:p>
            <w:pPr>
              <w:pStyle w:val="TableParagraph"/>
              <w:numPr>
                <w:ilvl w:val="0"/>
                <w:numId w:val="12"/>
              </w:numPr>
              <w:tabs>
                <w:tab w:pos="528" w:val="left" w:leader="none"/>
                <w:tab w:pos="529" w:val="left" w:leader="none"/>
              </w:tabs>
              <w:spacing w:line="240" w:lineRule="auto" w:before="20" w:after="0"/>
              <w:ind w:left="528" w:right="0" w:hanging="421"/>
              <w:jc w:val="left"/>
              <w:rPr>
                <w:sz w:val="21"/>
              </w:rPr>
            </w:pPr>
            <w:r>
              <w:rPr>
                <w:spacing w:val="-2"/>
                <w:sz w:val="21"/>
              </w:rPr>
              <w:t>严重克罗恩病</w:t>
            </w:r>
            <w:r>
              <w:rPr>
                <w:sz w:val="21"/>
              </w:rPr>
              <w:t>（</w:t>
            </w:r>
            <w:r>
              <w:rPr>
                <w:rFonts w:ascii="Times New Roman" w:hAnsi="Times New Roman" w:eastAsia="Times New Roman"/>
                <w:sz w:val="21"/>
              </w:rPr>
              <w:t>Crohn</w:t>
            </w:r>
            <w:r>
              <w:rPr>
                <w:sz w:val="21"/>
              </w:rPr>
              <w:t>’</w:t>
            </w:r>
            <w:r>
              <w:rPr>
                <w:rFonts w:ascii="Times New Roman" w:hAnsi="Times New Roman" w:eastAsia="Times New Roman"/>
                <w:sz w:val="21"/>
              </w:rPr>
              <w:t>s</w:t>
            </w:r>
            <w:r>
              <w:rPr>
                <w:rFonts w:ascii="Times New Roman" w:hAnsi="Times New Roman" w:eastAsia="Times New Roman"/>
                <w:spacing w:val="3"/>
                <w:sz w:val="21"/>
              </w:rPr>
              <w:t> </w:t>
            </w:r>
            <w:r>
              <w:rPr>
                <w:sz w:val="21"/>
              </w:rPr>
              <w:t>病）</w:t>
            </w:r>
          </w:p>
          <w:p>
            <w:pPr>
              <w:pStyle w:val="TableParagraph"/>
              <w:numPr>
                <w:ilvl w:val="0"/>
                <w:numId w:val="12"/>
              </w:numPr>
              <w:tabs>
                <w:tab w:pos="529" w:val="left" w:leader="none"/>
              </w:tabs>
              <w:spacing w:line="256" w:lineRule="auto" w:before="20" w:after="0"/>
              <w:ind w:left="528" w:right="96" w:hanging="421"/>
              <w:jc w:val="left"/>
              <w:rPr>
                <w:sz w:val="21"/>
              </w:rPr>
            </w:pPr>
            <w:r>
              <w:rPr>
                <w:spacing w:val="-5"/>
                <w:sz w:val="21"/>
              </w:rPr>
              <w:t>系统性红斑狼疮－</w:t>
            </w:r>
            <w:r>
              <w:rPr>
                <w:spacing w:val="-15"/>
                <w:sz w:val="21"/>
              </w:rPr>
              <w:t>（</w:t>
            </w:r>
            <w:r>
              <w:rPr>
                <w:spacing w:val="-3"/>
                <w:sz w:val="21"/>
              </w:rPr>
              <w:t>并发</w:t>
            </w:r>
            <w:r>
              <w:rPr>
                <w:spacing w:val="-8"/>
                <w:sz w:val="21"/>
              </w:rPr>
              <w:t>）</w:t>
            </w:r>
            <w:r>
              <w:rPr>
                <w:rFonts w:ascii="Times New Roman" w:eastAsia="Times New Roman"/>
                <w:spacing w:val="-8"/>
                <w:sz w:val="21"/>
              </w:rPr>
              <w:t>III </w:t>
            </w:r>
            <w:r>
              <w:rPr>
                <w:spacing w:val="-3"/>
                <w:sz w:val="21"/>
              </w:rPr>
              <w:t>型或以上狼疮性肾炎</w:t>
            </w:r>
          </w:p>
          <w:p>
            <w:pPr>
              <w:pStyle w:val="TableParagraph"/>
              <w:numPr>
                <w:ilvl w:val="0"/>
                <w:numId w:val="12"/>
              </w:numPr>
              <w:tabs>
                <w:tab w:pos="529" w:val="left" w:leader="none"/>
              </w:tabs>
              <w:spacing w:line="240" w:lineRule="auto" w:before="22" w:after="0"/>
              <w:ind w:left="528" w:right="0" w:hanging="421"/>
              <w:jc w:val="left"/>
              <w:rPr>
                <w:sz w:val="21"/>
              </w:rPr>
            </w:pPr>
            <w:r>
              <w:rPr>
                <w:spacing w:val="-3"/>
                <w:sz w:val="21"/>
              </w:rPr>
              <w:t>原发性硬化性胆管炎</w:t>
            </w:r>
          </w:p>
        </w:tc>
        <w:tc>
          <w:tcPr>
            <w:tcW w:w="3312" w:type="dxa"/>
          </w:tcPr>
          <w:p>
            <w:pPr>
              <w:pStyle w:val="TableParagraph"/>
              <w:numPr>
                <w:ilvl w:val="0"/>
                <w:numId w:val="13"/>
              </w:numPr>
              <w:tabs>
                <w:tab w:pos="527" w:val="left" w:leader="none"/>
                <w:tab w:pos="528" w:val="left" w:leader="none"/>
              </w:tabs>
              <w:spacing w:line="278" w:lineRule="exact" w:before="0" w:after="0"/>
              <w:ind w:left="527" w:right="0" w:hanging="420"/>
              <w:jc w:val="left"/>
              <w:rPr>
                <w:sz w:val="21"/>
              </w:rPr>
            </w:pPr>
            <w:r>
              <w:rPr>
                <w:spacing w:val="-2"/>
                <w:sz w:val="21"/>
              </w:rPr>
              <w:t>急性心肌梗塞</w:t>
            </w:r>
          </w:p>
          <w:p>
            <w:pPr>
              <w:pStyle w:val="TableParagraph"/>
              <w:numPr>
                <w:ilvl w:val="0"/>
                <w:numId w:val="13"/>
              </w:numPr>
              <w:tabs>
                <w:tab w:pos="527" w:val="left" w:leader="none"/>
                <w:tab w:pos="528" w:val="left" w:leader="none"/>
              </w:tabs>
              <w:spacing w:line="240" w:lineRule="auto" w:before="21" w:after="0"/>
              <w:ind w:left="527" w:right="0" w:hanging="420"/>
              <w:jc w:val="left"/>
              <w:rPr>
                <w:sz w:val="21"/>
              </w:rPr>
            </w:pPr>
            <w:r>
              <w:rPr>
                <w:spacing w:val="-2"/>
                <w:sz w:val="21"/>
              </w:rPr>
              <w:t>脑中风后遗症</w:t>
            </w:r>
          </w:p>
          <w:p>
            <w:pPr>
              <w:pStyle w:val="TableParagraph"/>
              <w:numPr>
                <w:ilvl w:val="0"/>
                <w:numId w:val="13"/>
              </w:numPr>
              <w:tabs>
                <w:tab w:pos="527" w:val="left" w:leader="none"/>
                <w:tab w:pos="528" w:val="left" w:leader="none"/>
              </w:tabs>
              <w:spacing w:line="259" w:lineRule="auto" w:before="21" w:after="0"/>
              <w:ind w:left="527" w:right="93" w:hanging="420"/>
              <w:jc w:val="left"/>
              <w:rPr>
                <w:sz w:val="21"/>
              </w:rPr>
            </w:pPr>
            <w:r>
              <w:rPr>
                <w:spacing w:val="-10"/>
                <w:sz w:val="21"/>
              </w:rPr>
              <w:t>冠状动脉搭桥术</w:t>
            </w:r>
            <w:r>
              <w:rPr>
                <w:spacing w:val="-3"/>
                <w:sz w:val="21"/>
              </w:rPr>
              <w:t>（或称冠状动脉旁路移植术</w:t>
            </w:r>
            <w:r>
              <w:rPr>
                <w:sz w:val="21"/>
              </w:rPr>
              <w:t>）</w:t>
            </w:r>
          </w:p>
          <w:p>
            <w:pPr>
              <w:pStyle w:val="TableParagraph"/>
              <w:numPr>
                <w:ilvl w:val="0"/>
                <w:numId w:val="13"/>
              </w:numPr>
              <w:tabs>
                <w:tab w:pos="527" w:val="left" w:leader="none"/>
                <w:tab w:pos="528" w:val="left" w:leader="none"/>
              </w:tabs>
              <w:spacing w:line="240" w:lineRule="auto" w:before="20" w:after="0"/>
              <w:ind w:left="527" w:right="0" w:hanging="420"/>
              <w:jc w:val="left"/>
              <w:rPr>
                <w:sz w:val="21"/>
              </w:rPr>
            </w:pPr>
            <w:r>
              <w:rPr>
                <w:spacing w:val="-2"/>
                <w:sz w:val="21"/>
              </w:rPr>
              <w:t>心脏瓣膜手术</w:t>
            </w:r>
          </w:p>
          <w:p>
            <w:pPr>
              <w:pStyle w:val="TableParagraph"/>
              <w:numPr>
                <w:ilvl w:val="0"/>
                <w:numId w:val="13"/>
              </w:numPr>
              <w:tabs>
                <w:tab w:pos="527" w:val="left" w:leader="none"/>
                <w:tab w:pos="528" w:val="left" w:leader="none"/>
              </w:tabs>
              <w:spacing w:line="240" w:lineRule="auto" w:before="21" w:after="0"/>
              <w:ind w:left="527" w:right="0" w:hanging="420"/>
              <w:jc w:val="left"/>
              <w:rPr>
                <w:sz w:val="21"/>
              </w:rPr>
            </w:pPr>
            <w:r>
              <w:rPr>
                <w:spacing w:val="-1"/>
                <w:sz w:val="21"/>
              </w:rPr>
              <w:t>主动脉手术</w:t>
            </w:r>
          </w:p>
          <w:p>
            <w:pPr>
              <w:pStyle w:val="TableParagraph"/>
              <w:numPr>
                <w:ilvl w:val="0"/>
                <w:numId w:val="13"/>
              </w:numPr>
              <w:tabs>
                <w:tab w:pos="527" w:val="left" w:leader="none"/>
                <w:tab w:pos="528" w:val="left" w:leader="none"/>
              </w:tabs>
              <w:spacing w:line="240" w:lineRule="auto" w:before="21" w:after="0"/>
              <w:ind w:left="527" w:right="0" w:hanging="420"/>
              <w:jc w:val="left"/>
              <w:rPr>
                <w:sz w:val="21"/>
              </w:rPr>
            </w:pPr>
            <w:r>
              <w:rPr>
                <w:spacing w:val="-1"/>
                <w:sz w:val="21"/>
              </w:rPr>
              <w:t>严重心肌病</w:t>
            </w:r>
          </w:p>
          <w:p>
            <w:pPr>
              <w:pStyle w:val="TableParagraph"/>
              <w:numPr>
                <w:ilvl w:val="0"/>
                <w:numId w:val="13"/>
              </w:numPr>
              <w:tabs>
                <w:tab w:pos="527" w:val="left" w:leader="none"/>
                <w:tab w:pos="528" w:val="left" w:leader="none"/>
              </w:tabs>
              <w:spacing w:line="240" w:lineRule="auto" w:before="21" w:after="0"/>
              <w:ind w:left="527" w:right="0" w:hanging="420"/>
              <w:jc w:val="left"/>
              <w:rPr>
                <w:sz w:val="21"/>
              </w:rPr>
            </w:pPr>
            <w:r>
              <w:rPr>
                <w:spacing w:val="-3"/>
                <w:sz w:val="21"/>
              </w:rPr>
              <w:t>严重原发性肺动脉高压</w:t>
            </w:r>
          </w:p>
          <w:p>
            <w:pPr>
              <w:pStyle w:val="TableParagraph"/>
              <w:numPr>
                <w:ilvl w:val="0"/>
                <w:numId w:val="13"/>
              </w:numPr>
              <w:tabs>
                <w:tab w:pos="527" w:val="left" w:leader="none"/>
                <w:tab w:pos="528" w:val="left" w:leader="none"/>
              </w:tabs>
              <w:spacing w:line="256" w:lineRule="auto" w:before="21" w:after="0"/>
              <w:ind w:left="527" w:right="93" w:hanging="420"/>
              <w:jc w:val="left"/>
              <w:rPr>
                <w:sz w:val="21"/>
              </w:rPr>
            </w:pPr>
            <w:r>
              <w:rPr>
                <w:spacing w:val="8"/>
                <w:sz w:val="21"/>
              </w:rPr>
              <w:t>严重冠状动脉粥样硬化性心脏病</w:t>
            </w:r>
          </w:p>
          <w:p>
            <w:pPr>
              <w:pStyle w:val="TableParagraph"/>
              <w:numPr>
                <w:ilvl w:val="0"/>
                <w:numId w:val="13"/>
              </w:numPr>
              <w:tabs>
                <w:tab w:pos="527" w:val="left" w:leader="none"/>
                <w:tab w:pos="528" w:val="left" w:leader="none"/>
              </w:tabs>
              <w:spacing w:line="256" w:lineRule="auto" w:before="22" w:after="0"/>
              <w:ind w:left="527" w:right="93" w:hanging="420"/>
              <w:jc w:val="left"/>
              <w:rPr>
                <w:sz w:val="21"/>
              </w:rPr>
            </w:pPr>
            <w:r>
              <w:rPr>
                <w:spacing w:val="8"/>
                <w:sz w:val="21"/>
              </w:rPr>
              <w:t>慢性呼吸功能衰竭终末期肺病</w:t>
            </w:r>
          </w:p>
          <w:p>
            <w:pPr>
              <w:pStyle w:val="TableParagraph"/>
              <w:numPr>
                <w:ilvl w:val="0"/>
                <w:numId w:val="13"/>
              </w:numPr>
              <w:tabs>
                <w:tab w:pos="528" w:val="left" w:leader="none"/>
              </w:tabs>
              <w:spacing w:line="256" w:lineRule="auto" w:before="22" w:after="0"/>
              <w:ind w:left="527" w:right="93" w:hanging="420"/>
              <w:jc w:val="left"/>
              <w:rPr>
                <w:sz w:val="21"/>
              </w:rPr>
            </w:pPr>
            <w:r>
              <w:rPr>
                <w:spacing w:val="8"/>
                <w:sz w:val="21"/>
              </w:rPr>
              <w:t>特发性慢性肾上腺皮质功能减退</w:t>
            </w:r>
          </w:p>
        </w:tc>
        <w:tc>
          <w:tcPr>
            <w:tcW w:w="3315" w:type="dxa"/>
          </w:tcPr>
          <w:p>
            <w:pPr>
              <w:pStyle w:val="TableParagraph"/>
              <w:numPr>
                <w:ilvl w:val="0"/>
                <w:numId w:val="14"/>
              </w:numPr>
              <w:tabs>
                <w:tab w:pos="528" w:val="left" w:leader="none"/>
                <w:tab w:pos="529" w:val="left" w:leader="none"/>
              </w:tabs>
              <w:spacing w:line="278" w:lineRule="exact" w:before="0" w:after="0"/>
              <w:ind w:left="528" w:right="0" w:hanging="420"/>
              <w:jc w:val="left"/>
              <w:rPr>
                <w:sz w:val="21"/>
              </w:rPr>
            </w:pPr>
            <w:r>
              <w:rPr>
                <w:spacing w:val="-2"/>
                <w:sz w:val="21"/>
              </w:rPr>
              <w:t>多个肢体缺失</w:t>
            </w:r>
          </w:p>
          <w:p>
            <w:pPr>
              <w:pStyle w:val="TableParagraph"/>
              <w:numPr>
                <w:ilvl w:val="0"/>
                <w:numId w:val="14"/>
              </w:numPr>
              <w:tabs>
                <w:tab w:pos="528" w:val="left" w:leader="none"/>
                <w:tab w:pos="529" w:val="left" w:leader="none"/>
              </w:tabs>
              <w:spacing w:line="240" w:lineRule="auto" w:before="21" w:after="0"/>
              <w:ind w:left="528" w:right="0" w:hanging="420"/>
              <w:jc w:val="left"/>
              <w:rPr>
                <w:sz w:val="21"/>
              </w:rPr>
            </w:pPr>
            <w:r>
              <w:rPr>
                <w:spacing w:val="-3"/>
                <w:sz w:val="21"/>
              </w:rPr>
              <w:t>脑炎后遗症或脑膜炎后遗症</w:t>
            </w:r>
          </w:p>
          <w:p>
            <w:pPr>
              <w:pStyle w:val="TableParagraph"/>
              <w:numPr>
                <w:ilvl w:val="0"/>
                <w:numId w:val="14"/>
              </w:numPr>
              <w:tabs>
                <w:tab w:pos="528" w:val="left" w:leader="none"/>
                <w:tab w:pos="529" w:val="left" w:leader="none"/>
              </w:tabs>
              <w:spacing w:line="240" w:lineRule="auto" w:before="21" w:after="0"/>
              <w:ind w:left="528" w:right="0" w:hanging="420"/>
              <w:jc w:val="left"/>
              <w:rPr>
                <w:sz w:val="21"/>
              </w:rPr>
            </w:pPr>
            <w:r>
              <w:rPr>
                <w:spacing w:val="-3"/>
                <w:sz w:val="21"/>
              </w:rPr>
              <w:t>严重阿尔茨海默病</w:t>
            </w:r>
          </w:p>
          <w:p>
            <w:pPr>
              <w:pStyle w:val="TableParagraph"/>
              <w:numPr>
                <w:ilvl w:val="0"/>
                <w:numId w:val="14"/>
              </w:numPr>
              <w:tabs>
                <w:tab w:pos="528" w:val="left" w:leader="none"/>
                <w:tab w:pos="529" w:val="left" w:leader="none"/>
              </w:tabs>
              <w:spacing w:line="240" w:lineRule="auto" w:before="22" w:after="0"/>
              <w:ind w:left="528" w:right="0" w:hanging="420"/>
              <w:jc w:val="left"/>
              <w:rPr>
                <w:sz w:val="21"/>
              </w:rPr>
            </w:pPr>
            <w:r>
              <w:rPr>
                <w:spacing w:val="-1"/>
                <w:sz w:val="21"/>
              </w:rPr>
              <w:t>严重脑损伤</w:t>
            </w:r>
          </w:p>
          <w:p>
            <w:pPr>
              <w:pStyle w:val="TableParagraph"/>
              <w:numPr>
                <w:ilvl w:val="0"/>
                <w:numId w:val="14"/>
              </w:numPr>
              <w:tabs>
                <w:tab w:pos="528" w:val="left" w:leader="none"/>
                <w:tab w:pos="529" w:val="left" w:leader="none"/>
              </w:tabs>
              <w:spacing w:line="240" w:lineRule="auto" w:before="21" w:after="0"/>
              <w:ind w:left="528" w:right="0" w:hanging="420"/>
              <w:jc w:val="left"/>
              <w:rPr>
                <w:sz w:val="21"/>
              </w:rPr>
            </w:pPr>
            <w:r>
              <w:rPr>
                <w:spacing w:val="-3"/>
                <w:sz w:val="21"/>
              </w:rPr>
              <w:t>严重运动神经元病</w:t>
            </w:r>
          </w:p>
          <w:p>
            <w:pPr>
              <w:pStyle w:val="TableParagraph"/>
              <w:numPr>
                <w:ilvl w:val="0"/>
                <w:numId w:val="14"/>
              </w:numPr>
              <w:tabs>
                <w:tab w:pos="528" w:val="left" w:leader="none"/>
                <w:tab w:pos="529" w:val="left" w:leader="none"/>
              </w:tabs>
              <w:spacing w:line="240" w:lineRule="auto" w:before="21" w:after="0"/>
              <w:ind w:left="528" w:right="0" w:hanging="420"/>
              <w:jc w:val="left"/>
              <w:rPr>
                <w:sz w:val="21"/>
              </w:rPr>
            </w:pPr>
            <w:r>
              <w:rPr>
                <w:spacing w:val="-2"/>
                <w:sz w:val="21"/>
              </w:rPr>
              <w:t>严重Ⅲ度烧伤</w:t>
            </w:r>
          </w:p>
          <w:p>
            <w:pPr>
              <w:pStyle w:val="TableParagraph"/>
              <w:numPr>
                <w:ilvl w:val="0"/>
                <w:numId w:val="14"/>
              </w:numPr>
              <w:tabs>
                <w:tab w:pos="528" w:val="left" w:leader="none"/>
                <w:tab w:pos="529" w:val="left" w:leader="none"/>
              </w:tabs>
              <w:spacing w:line="240" w:lineRule="auto" w:before="21" w:after="0"/>
              <w:ind w:left="528" w:right="0" w:hanging="420"/>
              <w:jc w:val="left"/>
              <w:rPr>
                <w:b/>
                <w:sz w:val="21"/>
              </w:rPr>
            </w:pPr>
            <w:r>
              <w:rPr>
                <w:spacing w:val="-2"/>
                <w:sz w:val="21"/>
              </w:rPr>
              <w:t>双耳失聪－</w:t>
            </w:r>
            <w:r>
              <w:rPr>
                <w:b/>
                <w:sz w:val="21"/>
              </w:rPr>
              <w:t>三周岁始理赔</w:t>
            </w:r>
          </w:p>
          <w:p>
            <w:pPr>
              <w:pStyle w:val="TableParagraph"/>
              <w:numPr>
                <w:ilvl w:val="0"/>
                <w:numId w:val="14"/>
              </w:numPr>
              <w:tabs>
                <w:tab w:pos="528" w:val="left" w:leader="none"/>
                <w:tab w:pos="529" w:val="left" w:leader="none"/>
              </w:tabs>
              <w:spacing w:line="240" w:lineRule="auto" w:before="21" w:after="0"/>
              <w:ind w:left="528" w:right="0" w:hanging="420"/>
              <w:jc w:val="left"/>
              <w:rPr>
                <w:b/>
                <w:sz w:val="21"/>
              </w:rPr>
            </w:pPr>
            <w:r>
              <w:rPr>
                <w:spacing w:val="-2"/>
                <w:sz w:val="21"/>
              </w:rPr>
              <w:t>双目失明－</w:t>
            </w:r>
            <w:r>
              <w:rPr>
                <w:b/>
                <w:sz w:val="21"/>
              </w:rPr>
              <w:t>三周岁始理赔</w:t>
            </w:r>
          </w:p>
          <w:p>
            <w:pPr>
              <w:pStyle w:val="TableParagraph"/>
              <w:numPr>
                <w:ilvl w:val="0"/>
                <w:numId w:val="14"/>
              </w:numPr>
              <w:tabs>
                <w:tab w:pos="528" w:val="left" w:leader="none"/>
                <w:tab w:pos="529" w:val="left" w:leader="none"/>
              </w:tabs>
              <w:spacing w:line="256" w:lineRule="auto" w:before="21" w:after="0"/>
              <w:ind w:left="528" w:right="96" w:hanging="420"/>
              <w:jc w:val="left"/>
              <w:rPr>
                <w:b/>
                <w:sz w:val="21"/>
              </w:rPr>
            </w:pPr>
            <w:r>
              <w:rPr>
                <w:spacing w:val="10"/>
                <w:sz w:val="21"/>
              </w:rPr>
              <w:t>语言能力丧失－</w:t>
            </w:r>
            <w:r>
              <w:rPr>
                <w:b/>
                <w:spacing w:val="7"/>
                <w:sz w:val="21"/>
              </w:rPr>
              <w:t>三周岁始理赔</w:t>
            </w:r>
          </w:p>
          <w:p>
            <w:pPr>
              <w:pStyle w:val="TableParagraph"/>
              <w:numPr>
                <w:ilvl w:val="0"/>
                <w:numId w:val="14"/>
              </w:numPr>
              <w:tabs>
                <w:tab w:pos="529" w:val="left" w:leader="none"/>
              </w:tabs>
              <w:spacing w:line="240" w:lineRule="auto" w:before="22" w:after="0"/>
              <w:ind w:left="528" w:right="0" w:hanging="420"/>
              <w:jc w:val="left"/>
              <w:rPr>
                <w:sz w:val="21"/>
              </w:rPr>
            </w:pPr>
            <w:r>
              <w:rPr>
                <w:spacing w:val="-2"/>
                <w:sz w:val="21"/>
              </w:rPr>
              <w:t>严重多发性硬化</w:t>
            </w:r>
          </w:p>
          <w:p>
            <w:pPr>
              <w:pStyle w:val="TableParagraph"/>
              <w:numPr>
                <w:ilvl w:val="0"/>
                <w:numId w:val="14"/>
              </w:numPr>
              <w:tabs>
                <w:tab w:pos="529" w:val="left" w:leader="none"/>
              </w:tabs>
              <w:spacing w:line="240" w:lineRule="auto" w:before="21" w:after="0"/>
              <w:ind w:left="528" w:right="0" w:hanging="420"/>
              <w:jc w:val="left"/>
              <w:rPr>
                <w:sz w:val="21"/>
              </w:rPr>
            </w:pPr>
            <w:r>
              <w:rPr>
                <w:spacing w:val="-1"/>
                <w:sz w:val="21"/>
              </w:rPr>
              <w:t>全身性</w:t>
            </w:r>
            <w:r>
              <w:rPr>
                <w:sz w:val="21"/>
              </w:rPr>
              <w:t>（</w:t>
            </w:r>
            <w:r>
              <w:rPr>
                <w:spacing w:val="-3"/>
                <w:sz w:val="21"/>
              </w:rPr>
              <w:t>型</w:t>
            </w:r>
            <w:r>
              <w:rPr>
                <w:sz w:val="21"/>
              </w:rPr>
              <w:t>）</w:t>
            </w:r>
            <w:r>
              <w:rPr>
                <w:spacing w:val="-3"/>
                <w:sz w:val="21"/>
              </w:rPr>
              <w:t>重症肌无力</w:t>
            </w:r>
          </w:p>
          <w:p>
            <w:pPr>
              <w:pStyle w:val="TableParagraph"/>
              <w:numPr>
                <w:ilvl w:val="0"/>
                <w:numId w:val="14"/>
              </w:numPr>
              <w:tabs>
                <w:tab w:pos="529" w:val="left" w:leader="none"/>
              </w:tabs>
              <w:spacing w:line="240" w:lineRule="auto" w:before="21" w:after="0"/>
              <w:ind w:left="528" w:right="0" w:hanging="420"/>
              <w:jc w:val="left"/>
              <w:rPr>
                <w:sz w:val="21"/>
              </w:rPr>
            </w:pPr>
            <w:r>
              <w:rPr>
                <w:spacing w:val="-1"/>
                <w:sz w:val="21"/>
              </w:rPr>
              <w:t>深度昏迷</w:t>
            </w:r>
          </w:p>
          <w:p>
            <w:pPr>
              <w:pStyle w:val="TableParagraph"/>
              <w:numPr>
                <w:ilvl w:val="0"/>
                <w:numId w:val="14"/>
              </w:numPr>
              <w:tabs>
                <w:tab w:pos="529" w:val="left" w:leader="none"/>
              </w:tabs>
              <w:spacing w:line="240" w:lineRule="auto" w:before="21" w:after="0"/>
              <w:ind w:left="528" w:right="0" w:hanging="420"/>
              <w:jc w:val="left"/>
              <w:rPr>
                <w:sz w:val="21"/>
              </w:rPr>
            </w:pPr>
            <w:r>
              <w:rPr>
                <w:sz w:val="21"/>
              </w:rPr>
              <w:t>瘫痪</w:t>
            </w:r>
          </w:p>
        </w:tc>
      </w:tr>
    </w:tbl>
    <w:p>
      <w:pPr>
        <w:spacing w:after="0" w:line="240" w:lineRule="auto"/>
        <w:jc w:val="left"/>
        <w:rPr>
          <w:sz w:val="21"/>
        </w:rPr>
        <w:sectPr>
          <w:pgSz w:w="11910" w:h="16160"/>
          <w:pgMar w:header="0" w:footer="631" w:top="1420" w:bottom="820" w:left="760" w:right="54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3"/>
        <w:gridCol w:w="3312"/>
        <w:gridCol w:w="3315"/>
      </w:tblGrid>
      <w:tr>
        <w:trPr>
          <w:trHeight w:val="8427" w:hRule="atLeast"/>
        </w:trPr>
        <w:tc>
          <w:tcPr>
            <w:tcW w:w="3313" w:type="dxa"/>
          </w:tcPr>
          <w:p>
            <w:pPr>
              <w:pStyle w:val="TableParagraph"/>
              <w:numPr>
                <w:ilvl w:val="0"/>
                <w:numId w:val="15"/>
              </w:numPr>
              <w:tabs>
                <w:tab w:pos="529" w:val="left" w:leader="none"/>
              </w:tabs>
              <w:spacing w:line="280" w:lineRule="exact" w:before="0" w:after="0"/>
              <w:ind w:left="528" w:right="0" w:hanging="421"/>
              <w:jc w:val="left"/>
              <w:rPr>
                <w:sz w:val="21"/>
              </w:rPr>
            </w:pPr>
            <w:r>
              <w:rPr>
                <w:spacing w:val="-3"/>
                <w:sz w:val="21"/>
              </w:rPr>
              <w:t>严重溃疡性结肠炎</w:t>
            </w:r>
          </w:p>
          <w:p>
            <w:pPr>
              <w:pStyle w:val="TableParagraph"/>
              <w:numPr>
                <w:ilvl w:val="0"/>
                <w:numId w:val="15"/>
              </w:numPr>
              <w:tabs>
                <w:tab w:pos="529" w:val="left" w:leader="none"/>
              </w:tabs>
              <w:spacing w:line="240" w:lineRule="auto" w:before="19" w:after="0"/>
              <w:ind w:left="528" w:right="0" w:hanging="421"/>
              <w:jc w:val="left"/>
              <w:rPr>
                <w:sz w:val="21"/>
              </w:rPr>
            </w:pPr>
            <w:r>
              <w:rPr>
                <w:spacing w:val="-3"/>
                <w:sz w:val="21"/>
              </w:rPr>
              <w:t>急性坏死性胰腺炎开腹手术</w:t>
            </w:r>
          </w:p>
          <w:p>
            <w:pPr>
              <w:pStyle w:val="TableParagraph"/>
              <w:numPr>
                <w:ilvl w:val="0"/>
                <w:numId w:val="15"/>
              </w:numPr>
              <w:tabs>
                <w:tab w:pos="529" w:val="left" w:leader="none"/>
              </w:tabs>
              <w:spacing w:line="240" w:lineRule="auto" w:before="21" w:after="0"/>
              <w:ind w:left="528" w:right="0" w:hanging="421"/>
              <w:jc w:val="left"/>
              <w:rPr>
                <w:sz w:val="21"/>
              </w:rPr>
            </w:pPr>
            <w:r>
              <w:rPr>
                <w:spacing w:val="-1"/>
                <w:sz w:val="21"/>
              </w:rPr>
              <w:t>胰腺移植</w:t>
            </w:r>
          </w:p>
          <w:p>
            <w:pPr>
              <w:pStyle w:val="TableParagraph"/>
              <w:numPr>
                <w:ilvl w:val="0"/>
                <w:numId w:val="15"/>
              </w:numPr>
              <w:tabs>
                <w:tab w:pos="529" w:val="left" w:leader="none"/>
              </w:tabs>
              <w:spacing w:line="240" w:lineRule="auto" w:before="21" w:after="0"/>
              <w:ind w:left="528" w:right="0" w:hanging="421"/>
              <w:jc w:val="left"/>
              <w:rPr>
                <w:sz w:val="21"/>
              </w:rPr>
            </w:pPr>
            <w:r>
              <w:rPr>
                <w:spacing w:val="-2"/>
                <w:sz w:val="21"/>
              </w:rPr>
              <w:t>肾髓质囊性病</w:t>
            </w:r>
          </w:p>
          <w:p>
            <w:pPr>
              <w:pStyle w:val="TableParagraph"/>
              <w:numPr>
                <w:ilvl w:val="0"/>
                <w:numId w:val="15"/>
              </w:numPr>
              <w:tabs>
                <w:tab w:pos="529" w:val="left" w:leader="none"/>
              </w:tabs>
              <w:spacing w:line="240" w:lineRule="auto" w:before="21" w:after="0"/>
              <w:ind w:left="528" w:right="0" w:hanging="421"/>
              <w:jc w:val="left"/>
              <w:rPr>
                <w:rFonts w:ascii="Times New Roman" w:eastAsia="Times New Roman"/>
                <w:sz w:val="21"/>
              </w:rPr>
            </w:pPr>
            <w:r>
              <w:rPr>
                <w:spacing w:val="5"/>
                <w:sz w:val="21"/>
              </w:rPr>
              <w:t>肝豆状核变性（</w:t>
            </w:r>
            <w:r>
              <w:rPr>
                <w:spacing w:val="8"/>
                <w:sz w:val="21"/>
              </w:rPr>
              <w:t>或称 </w:t>
            </w:r>
            <w:r>
              <w:rPr>
                <w:rFonts w:ascii="Times New Roman" w:eastAsia="Times New Roman"/>
                <w:sz w:val="21"/>
              </w:rPr>
              <w:t>Wilson</w:t>
            </w:r>
          </w:p>
          <w:p>
            <w:pPr>
              <w:pStyle w:val="TableParagraph"/>
              <w:spacing w:before="21"/>
              <w:ind w:left="528"/>
              <w:rPr>
                <w:sz w:val="21"/>
              </w:rPr>
            </w:pPr>
            <w:r>
              <w:rPr>
                <w:sz w:val="21"/>
              </w:rPr>
              <w:t>病）</w:t>
            </w:r>
          </w:p>
          <w:p>
            <w:pPr>
              <w:pStyle w:val="TableParagraph"/>
              <w:numPr>
                <w:ilvl w:val="0"/>
                <w:numId w:val="15"/>
              </w:numPr>
              <w:tabs>
                <w:tab w:pos="529" w:val="left" w:leader="none"/>
              </w:tabs>
              <w:spacing w:line="240" w:lineRule="auto" w:before="37" w:after="0"/>
              <w:ind w:left="528" w:right="0" w:hanging="421"/>
              <w:jc w:val="left"/>
              <w:rPr>
                <w:sz w:val="21"/>
              </w:rPr>
            </w:pPr>
            <w:r>
              <w:rPr>
                <w:spacing w:val="-3"/>
                <w:sz w:val="21"/>
              </w:rPr>
              <w:t>严重自身免疫性肝炎</w:t>
            </w:r>
          </w:p>
          <w:p>
            <w:pPr>
              <w:pStyle w:val="TableParagraph"/>
              <w:numPr>
                <w:ilvl w:val="0"/>
                <w:numId w:val="15"/>
              </w:numPr>
              <w:tabs>
                <w:tab w:pos="529" w:val="left" w:leader="none"/>
              </w:tabs>
              <w:spacing w:line="240" w:lineRule="auto" w:before="21" w:after="0"/>
              <w:ind w:left="528" w:right="0" w:hanging="421"/>
              <w:jc w:val="left"/>
              <w:rPr>
                <w:sz w:val="21"/>
              </w:rPr>
            </w:pPr>
            <w:r>
              <w:rPr>
                <w:spacing w:val="-9"/>
                <w:sz w:val="21"/>
              </w:rPr>
              <w:t>因职业关系导致的 </w:t>
            </w:r>
            <w:r>
              <w:rPr>
                <w:rFonts w:ascii="Times New Roman" w:eastAsia="Times New Roman"/>
                <w:sz w:val="21"/>
              </w:rPr>
              <w:t>HIV</w:t>
            </w:r>
            <w:r>
              <w:rPr>
                <w:rFonts w:ascii="Times New Roman" w:eastAsia="Times New Roman"/>
                <w:spacing w:val="5"/>
                <w:sz w:val="21"/>
              </w:rPr>
              <w:t> </w:t>
            </w:r>
            <w:r>
              <w:rPr>
                <w:spacing w:val="-3"/>
                <w:sz w:val="21"/>
              </w:rPr>
              <w:t>感染</w:t>
            </w:r>
          </w:p>
          <w:p>
            <w:pPr>
              <w:pStyle w:val="TableParagraph"/>
              <w:numPr>
                <w:ilvl w:val="0"/>
                <w:numId w:val="15"/>
              </w:numPr>
              <w:tabs>
                <w:tab w:pos="529" w:val="left" w:leader="none"/>
              </w:tabs>
              <w:spacing w:line="240" w:lineRule="auto" w:before="21" w:after="0"/>
              <w:ind w:left="528" w:right="0" w:hanging="421"/>
              <w:jc w:val="left"/>
              <w:rPr>
                <w:sz w:val="21"/>
              </w:rPr>
            </w:pPr>
            <w:r>
              <w:rPr>
                <w:spacing w:val="-3"/>
                <w:sz w:val="21"/>
              </w:rPr>
              <w:t>严重肠道疾病并发症</w:t>
            </w:r>
          </w:p>
          <w:p>
            <w:pPr>
              <w:pStyle w:val="TableParagraph"/>
              <w:numPr>
                <w:ilvl w:val="0"/>
                <w:numId w:val="15"/>
              </w:numPr>
              <w:tabs>
                <w:tab w:pos="529" w:val="left" w:leader="none"/>
              </w:tabs>
              <w:spacing w:line="240" w:lineRule="auto" w:before="21" w:after="0"/>
              <w:ind w:left="528" w:right="0" w:hanging="421"/>
              <w:jc w:val="left"/>
              <w:rPr>
                <w:sz w:val="21"/>
              </w:rPr>
            </w:pPr>
            <w:r>
              <w:rPr>
                <w:sz w:val="21"/>
              </w:rPr>
              <w:t>疯牛病</w:t>
            </w:r>
          </w:p>
          <w:p>
            <w:pPr>
              <w:pStyle w:val="TableParagraph"/>
              <w:numPr>
                <w:ilvl w:val="0"/>
                <w:numId w:val="15"/>
              </w:numPr>
              <w:tabs>
                <w:tab w:pos="529" w:val="left" w:leader="none"/>
              </w:tabs>
              <w:spacing w:line="240" w:lineRule="auto" w:before="21" w:after="0"/>
              <w:ind w:left="528" w:right="0" w:hanging="421"/>
              <w:jc w:val="left"/>
              <w:rPr>
                <w:sz w:val="21"/>
              </w:rPr>
            </w:pPr>
            <w:r>
              <w:rPr>
                <w:spacing w:val="-2"/>
                <w:sz w:val="21"/>
              </w:rPr>
              <w:t>埃博拉病毒感染</w:t>
            </w:r>
          </w:p>
          <w:p>
            <w:pPr>
              <w:pStyle w:val="TableParagraph"/>
              <w:numPr>
                <w:ilvl w:val="0"/>
                <w:numId w:val="15"/>
              </w:numPr>
              <w:tabs>
                <w:tab w:pos="529" w:val="left" w:leader="none"/>
              </w:tabs>
              <w:spacing w:line="240" w:lineRule="auto" w:before="21" w:after="0"/>
              <w:ind w:left="528" w:right="0" w:hanging="421"/>
              <w:jc w:val="left"/>
              <w:rPr>
                <w:sz w:val="21"/>
              </w:rPr>
            </w:pPr>
            <w:r>
              <w:rPr>
                <w:spacing w:val="-2"/>
                <w:sz w:val="21"/>
              </w:rPr>
              <w:t>肺淋巴管肌瘤病</w:t>
            </w:r>
          </w:p>
          <w:p>
            <w:pPr>
              <w:pStyle w:val="TableParagraph"/>
              <w:numPr>
                <w:ilvl w:val="0"/>
                <w:numId w:val="15"/>
              </w:numPr>
              <w:tabs>
                <w:tab w:pos="529" w:val="left" w:leader="none"/>
              </w:tabs>
              <w:spacing w:line="240" w:lineRule="auto" w:before="21" w:after="0"/>
              <w:ind w:left="528" w:right="0" w:hanging="421"/>
              <w:jc w:val="left"/>
              <w:rPr>
                <w:sz w:val="21"/>
              </w:rPr>
            </w:pPr>
            <w:r>
              <w:rPr>
                <w:spacing w:val="-3"/>
                <w:sz w:val="21"/>
              </w:rPr>
              <w:t>原发性骨髓纤维化</w:t>
            </w:r>
          </w:p>
          <w:p>
            <w:pPr>
              <w:pStyle w:val="TableParagraph"/>
              <w:numPr>
                <w:ilvl w:val="0"/>
                <w:numId w:val="15"/>
              </w:numPr>
              <w:tabs>
                <w:tab w:pos="529" w:val="left" w:leader="none"/>
              </w:tabs>
              <w:spacing w:line="240" w:lineRule="auto" w:before="21" w:after="0"/>
              <w:ind w:left="528" w:right="0" w:hanging="421"/>
              <w:jc w:val="left"/>
              <w:rPr>
                <w:sz w:val="21"/>
              </w:rPr>
            </w:pPr>
            <w:r>
              <w:rPr>
                <w:spacing w:val="-3"/>
                <w:sz w:val="21"/>
              </w:rPr>
              <w:t>重症骨髓增生异常综合征</w:t>
            </w:r>
          </w:p>
          <w:p>
            <w:pPr>
              <w:pStyle w:val="TableParagraph"/>
              <w:numPr>
                <w:ilvl w:val="0"/>
                <w:numId w:val="15"/>
              </w:numPr>
              <w:tabs>
                <w:tab w:pos="529" w:val="left" w:leader="none"/>
              </w:tabs>
              <w:spacing w:line="240" w:lineRule="auto" w:before="21" w:after="0"/>
              <w:ind w:left="528" w:right="0" w:hanging="421"/>
              <w:jc w:val="left"/>
              <w:rPr>
                <w:sz w:val="21"/>
              </w:rPr>
            </w:pPr>
            <w:r>
              <w:rPr>
                <w:spacing w:val="-1"/>
                <w:sz w:val="21"/>
              </w:rPr>
              <w:t>胆道重建术</w:t>
            </w:r>
          </w:p>
          <w:p>
            <w:pPr>
              <w:pStyle w:val="TableParagraph"/>
              <w:numPr>
                <w:ilvl w:val="0"/>
                <w:numId w:val="15"/>
              </w:numPr>
              <w:tabs>
                <w:tab w:pos="529" w:val="left" w:leader="none"/>
              </w:tabs>
              <w:spacing w:line="240" w:lineRule="auto" w:before="21" w:after="0"/>
              <w:ind w:left="528" w:right="0" w:hanging="421"/>
              <w:jc w:val="left"/>
              <w:rPr>
                <w:sz w:val="21"/>
              </w:rPr>
            </w:pPr>
            <w:r>
              <w:rPr>
                <w:sz w:val="21"/>
              </w:rPr>
              <w:t>破伤风</w:t>
            </w:r>
          </w:p>
          <w:p>
            <w:pPr>
              <w:pStyle w:val="TableParagraph"/>
              <w:numPr>
                <w:ilvl w:val="0"/>
                <w:numId w:val="15"/>
              </w:numPr>
              <w:tabs>
                <w:tab w:pos="529" w:val="left" w:leader="none"/>
              </w:tabs>
              <w:spacing w:line="240" w:lineRule="auto" w:before="21" w:after="0"/>
              <w:ind w:left="528" w:right="0" w:hanging="421"/>
              <w:jc w:val="left"/>
              <w:rPr>
                <w:sz w:val="21"/>
              </w:rPr>
            </w:pPr>
            <w:r>
              <w:rPr>
                <w:spacing w:val="-2"/>
                <w:sz w:val="21"/>
              </w:rPr>
              <w:t>严重气性坏疽</w:t>
            </w:r>
          </w:p>
          <w:p>
            <w:pPr>
              <w:pStyle w:val="TableParagraph"/>
              <w:numPr>
                <w:ilvl w:val="0"/>
                <w:numId w:val="15"/>
              </w:numPr>
              <w:tabs>
                <w:tab w:pos="529" w:val="left" w:leader="none"/>
              </w:tabs>
              <w:spacing w:line="240" w:lineRule="auto" w:before="21" w:after="0"/>
              <w:ind w:left="528" w:right="0" w:hanging="421"/>
              <w:jc w:val="left"/>
              <w:rPr>
                <w:sz w:val="21"/>
              </w:rPr>
            </w:pPr>
            <w:r>
              <w:rPr>
                <w:spacing w:val="-9"/>
                <w:sz w:val="21"/>
              </w:rPr>
              <w:t>器官移植导致的 </w:t>
            </w:r>
            <w:r>
              <w:rPr>
                <w:rFonts w:ascii="Times New Roman" w:eastAsia="Times New Roman"/>
                <w:sz w:val="21"/>
              </w:rPr>
              <w:t>HIV</w:t>
            </w:r>
            <w:r>
              <w:rPr>
                <w:rFonts w:ascii="Times New Roman" w:eastAsia="Times New Roman"/>
                <w:spacing w:val="2"/>
                <w:sz w:val="21"/>
              </w:rPr>
              <w:t> </w:t>
            </w:r>
            <w:r>
              <w:rPr>
                <w:sz w:val="21"/>
              </w:rPr>
              <w:t>感染</w:t>
            </w:r>
          </w:p>
          <w:p>
            <w:pPr>
              <w:pStyle w:val="TableParagraph"/>
              <w:numPr>
                <w:ilvl w:val="0"/>
                <w:numId w:val="15"/>
              </w:numPr>
              <w:tabs>
                <w:tab w:pos="529" w:val="left" w:leader="none"/>
              </w:tabs>
              <w:spacing w:line="240" w:lineRule="auto" w:before="21" w:after="0"/>
              <w:ind w:left="528" w:right="0" w:hanging="421"/>
              <w:jc w:val="left"/>
              <w:rPr>
                <w:sz w:val="21"/>
              </w:rPr>
            </w:pPr>
            <w:r>
              <w:rPr>
                <w:spacing w:val="-2"/>
                <w:sz w:val="21"/>
              </w:rPr>
              <w:t>范可尼综合征</w:t>
            </w:r>
          </w:p>
          <w:p>
            <w:pPr>
              <w:pStyle w:val="TableParagraph"/>
              <w:numPr>
                <w:ilvl w:val="0"/>
                <w:numId w:val="15"/>
              </w:numPr>
              <w:tabs>
                <w:tab w:pos="529" w:val="left" w:leader="none"/>
              </w:tabs>
              <w:spacing w:line="240" w:lineRule="auto" w:before="21" w:after="0"/>
              <w:ind w:left="528" w:right="0" w:hanging="421"/>
              <w:jc w:val="left"/>
              <w:rPr>
                <w:sz w:val="21"/>
              </w:rPr>
            </w:pPr>
            <w:r>
              <w:rPr>
                <w:spacing w:val="-3"/>
                <w:sz w:val="21"/>
              </w:rPr>
              <w:t>弥漫性血管内凝血</w:t>
            </w:r>
          </w:p>
          <w:p>
            <w:pPr>
              <w:pStyle w:val="TableParagraph"/>
              <w:numPr>
                <w:ilvl w:val="0"/>
                <w:numId w:val="15"/>
              </w:numPr>
              <w:tabs>
                <w:tab w:pos="529" w:val="left" w:leader="none"/>
              </w:tabs>
              <w:spacing w:line="240" w:lineRule="auto" w:before="21" w:after="0"/>
              <w:ind w:left="528" w:right="0" w:hanging="421"/>
              <w:jc w:val="left"/>
              <w:rPr>
                <w:sz w:val="21"/>
              </w:rPr>
            </w:pPr>
            <w:r>
              <w:rPr>
                <w:spacing w:val="-1"/>
                <w:sz w:val="21"/>
              </w:rPr>
              <w:t>小肠移植</w:t>
            </w:r>
          </w:p>
          <w:p>
            <w:pPr>
              <w:pStyle w:val="TableParagraph"/>
              <w:numPr>
                <w:ilvl w:val="0"/>
                <w:numId w:val="15"/>
              </w:numPr>
              <w:tabs>
                <w:tab w:pos="529" w:val="left" w:leader="none"/>
              </w:tabs>
              <w:spacing w:line="240" w:lineRule="auto" w:before="21" w:after="0"/>
              <w:ind w:left="528" w:right="0" w:hanging="421"/>
              <w:jc w:val="left"/>
              <w:rPr>
                <w:sz w:val="21"/>
              </w:rPr>
            </w:pPr>
            <w:r>
              <w:rPr>
                <w:spacing w:val="-3"/>
                <w:sz w:val="21"/>
              </w:rPr>
              <w:t>自体造血干细胞移植手术</w:t>
            </w:r>
          </w:p>
        </w:tc>
        <w:tc>
          <w:tcPr>
            <w:tcW w:w="3312" w:type="dxa"/>
          </w:tcPr>
          <w:p>
            <w:pPr>
              <w:pStyle w:val="TableParagraph"/>
              <w:numPr>
                <w:ilvl w:val="0"/>
                <w:numId w:val="16"/>
              </w:numPr>
              <w:tabs>
                <w:tab w:pos="528" w:val="left" w:leader="none"/>
              </w:tabs>
              <w:spacing w:line="280" w:lineRule="exact" w:before="0" w:after="0"/>
              <w:ind w:left="527" w:right="0" w:hanging="420"/>
              <w:jc w:val="left"/>
              <w:rPr>
                <w:sz w:val="21"/>
              </w:rPr>
            </w:pPr>
            <w:r>
              <w:rPr>
                <w:spacing w:val="-3"/>
                <w:sz w:val="21"/>
              </w:rPr>
              <w:t>严重类风湿性关节炎</w:t>
            </w:r>
          </w:p>
          <w:p>
            <w:pPr>
              <w:pStyle w:val="TableParagraph"/>
              <w:numPr>
                <w:ilvl w:val="0"/>
                <w:numId w:val="16"/>
              </w:numPr>
              <w:tabs>
                <w:tab w:pos="528" w:val="left" w:leader="none"/>
              </w:tabs>
              <w:spacing w:line="240" w:lineRule="auto" w:before="19" w:after="0"/>
              <w:ind w:left="527" w:right="0" w:hanging="420"/>
              <w:jc w:val="left"/>
              <w:rPr>
                <w:sz w:val="21"/>
              </w:rPr>
            </w:pPr>
            <w:r>
              <w:rPr>
                <w:spacing w:val="-2"/>
                <w:sz w:val="21"/>
              </w:rPr>
              <w:t>系统性硬皮病</w:t>
            </w:r>
          </w:p>
          <w:p>
            <w:pPr>
              <w:pStyle w:val="TableParagraph"/>
              <w:numPr>
                <w:ilvl w:val="0"/>
                <w:numId w:val="16"/>
              </w:numPr>
              <w:tabs>
                <w:tab w:pos="528" w:val="left" w:leader="none"/>
              </w:tabs>
              <w:spacing w:line="240" w:lineRule="auto" w:before="21" w:after="0"/>
              <w:ind w:left="527" w:right="0" w:hanging="420"/>
              <w:jc w:val="left"/>
              <w:rPr>
                <w:sz w:val="21"/>
              </w:rPr>
            </w:pPr>
            <w:r>
              <w:rPr>
                <w:spacing w:val="-3"/>
                <w:sz w:val="21"/>
              </w:rPr>
              <w:t>重症急性坏死性筋膜炎</w:t>
            </w:r>
          </w:p>
          <w:p>
            <w:pPr>
              <w:pStyle w:val="TableParagraph"/>
              <w:numPr>
                <w:ilvl w:val="0"/>
                <w:numId w:val="16"/>
              </w:numPr>
              <w:tabs>
                <w:tab w:pos="528" w:val="left" w:leader="none"/>
              </w:tabs>
              <w:spacing w:line="240" w:lineRule="auto" w:before="21" w:after="0"/>
              <w:ind w:left="527" w:right="0" w:hanging="420"/>
              <w:jc w:val="left"/>
              <w:rPr>
                <w:sz w:val="21"/>
              </w:rPr>
            </w:pPr>
            <w:r>
              <w:rPr>
                <w:spacing w:val="-3"/>
                <w:sz w:val="21"/>
              </w:rPr>
              <w:t>丝虫病所致象皮肿</w:t>
            </w:r>
          </w:p>
          <w:p>
            <w:pPr>
              <w:pStyle w:val="TableParagraph"/>
              <w:numPr>
                <w:ilvl w:val="0"/>
                <w:numId w:val="16"/>
              </w:numPr>
              <w:tabs>
                <w:tab w:pos="528" w:val="left" w:leader="none"/>
              </w:tabs>
              <w:spacing w:line="240" w:lineRule="auto" w:before="21" w:after="0"/>
              <w:ind w:left="527" w:right="0" w:hanging="420"/>
              <w:jc w:val="left"/>
              <w:rPr>
                <w:sz w:val="21"/>
              </w:rPr>
            </w:pPr>
            <w:r>
              <w:rPr>
                <w:spacing w:val="-2"/>
                <w:sz w:val="21"/>
              </w:rPr>
              <w:t>肺源性心脏病</w:t>
            </w:r>
          </w:p>
          <w:p>
            <w:pPr>
              <w:pStyle w:val="TableParagraph"/>
              <w:numPr>
                <w:ilvl w:val="0"/>
                <w:numId w:val="16"/>
              </w:numPr>
              <w:tabs>
                <w:tab w:pos="528" w:val="left" w:leader="none"/>
              </w:tabs>
              <w:spacing w:line="256" w:lineRule="auto" w:before="21" w:after="0"/>
              <w:ind w:left="527" w:right="95" w:hanging="420"/>
              <w:jc w:val="left"/>
              <w:rPr>
                <w:b/>
                <w:sz w:val="21"/>
              </w:rPr>
            </w:pPr>
            <w:r>
              <w:rPr>
                <w:spacing w:val="10"/>
                <w:sz w:val="21"/>
              </w:rPr>
              <w:t>严重哮喘－</w:t>
            </w:r>
            <w:r>
              <w:rPr>
                <w:b/>
                <w:spacing w:val="7"/>
                <w:sz w:val="21"/>
              </w:rPr>
              <w:t>二十五周岁前理赔</w:t>
            </w:r>
          </w:p>
          <w:p>
            <w:pPr>
              <w:pStyle w:val="TableParagraph"/>
              <w:numPr>
                <w:ilvl w:val="0"/>
                <w:numId w:val="16"/>
              </w:numPr>
              <w:tabs>
                <w:tab w:pos="528" w:val="left" w:leader="none"/>
              </w:tabs>
              <w:spacing w:line="240" w:lineRule="auto" w:before="22" w:after="0"/>
              <w:ind w:left="527" w:right="0" w:hanging="420"/>
              <w:jc w:val="left"/>
              <w:rPr>
                <w:sz w:val="21"/>
              </w:rPr>
            </w:pPr>
            <w:r>
              <w:rPr>
                <w:spacing w:val="-1"/>
                <w:sz w:val="21"/>
              </w:rPr>
              <w:t>严重川崎病</w:t>
            </w:r>
          </w:p>
          <w:p>
            <w:pPr>
              <w:pStyle w:val="TableParagraph"/>
              <w:numPr>
                <w:ilvl w:val="0"/>
                <w:numId w:val="16"/>
              </w:numPr>
              <w:tabs>
                <w:tab w:pos="528" w:val="left" w:leader="none"/>
              </w:tabs>
              <w:spacing w:line="240" w:lineRule="auto" w:before="21" w:after="0"/>
              <w:ind w:left="527" w:right="0" w:hanging="420"/>
              <w:jc w:val="left"/>
              <w:rPr>
                <w:sz w:val="21"/>
              </w:rPr>
            </w:pPr>
            <w:r>
              <w:rPr>
                <w:spacing w:val="-1"/>
                <w:sz w:val="21"/>
              </w:rPr>
              <w:t>严重心肌炎</w:t>
            </w:r>
          </w:p>
          <w:p>
            <w:pPr>
              <w:pStyle w:val="TableParagraph"/>
              <w:numPr>
                <w:ilvl w:val="0"/>
                <w:numId w:val="16"/>
              </w:numPr>
              <w:tabs>
                <w:tab w:pos="528" w:val="left" w:leader="none"/>
              </w:tabs>
              <w:spacing w:line="240" w:lineRule="auto" w:before="21" w:after="0"/>
              <w:ind w:left="527" w:right="0" w:hanging="420"/>
              <w:jc w:val="left"/>
              <w:rPr>
                <w:sz w:val="21"/>
              </w:rPr>
            </w:pPr>
            <w:r>
              <w:rPr>
                <w:spacing w:val="-3"/>
                <w:sz w:val="21"/>
              </w:rPr>
              <w:t>严重幼年型类风湿性关节炎</w:t>
            </w:r>
          </w:p>
          <w:p>
            <w:pPr>
              <w:pStyle w:val="TableParagraph"/>
              <w:numPr>
                <w:ilvl w:val="0"/>
                <w:numId w:val="16"/>
              </w:numPr>
              <w:tabs>
                <w:tab w:pos="528" w:val="left" w:leader="none"/>
              </w:tabs>
              <w:spacing w:line="240" w:lineRule="auto" w:before="21" w:after="0"/>
              <w:ind w:left="527" w:right="0" w:hanging="420"/>
              <w:jc w:val="left"/>
              <w:rPr>
                <w:sz w:val="21"/>
              </w:rPr>
            </w:pPr>
            <w:r>
              <w:rPr>
                <w:spacing w:val="-1"/>
                <w:sz w:val="21"/>
              </w:rPr>
              <w:t>嗜铬细胞瘤</w:t>
            </w:r>
          </w:p>
          <w:p>
            <w:pPr>
              <w:pStyle w:val="TableParagraph"/>
              <w:numPr>
                <w:ilvl w:val="0"/>
                <w:numId w:val="16"/>
              </w:numPr>
              <w:tabs>
                <w:tab w:pos="528" w:val="left" w:leader="none"/>
              </w:tabs>
              <w:spacing w:line="240" w:lineRule="auto" w:before="21" w:after="0"/>
              <w:ind w:left="527" w:right="0" w:hanging="420"/>
              <w:jc w:val="left"/>
              <w:rPr>
                <w:sz w:val="21"/>
              </w:rPr>
            </w:pPr>
            <w:r>
              <w:rPr>
                <w:spacing w:val="-3"/>
                <w:sz w:val="21"/>
              </w:rPr>
              <w:t>破裂脑动脉瘤夹闭手术</w:t>
            </w:r>
          </w:p>
          <w:p>
            <w:pPr>
              <w:pStyle w:val="TableParagraph"/>
              <w:numPr>
                <w:ilvl w:val="0"/>
                <w:numId w:val="16"/>
              </w:numPr>
              <w:tabs>
                <w:tab w:pos="528" w:val="left" w:leader="none"/>
              </w:tabs>
              <w:spacing w:line="240" w:lineRule="auto" w:before="21" w:after="0"/>
              <w:ind w:left="527" w:right="0" w:hanging="420"/>
              <w:jc w:val="left"/>
              <w:rPr>
                <w:sz w:val="21"/>
              </w:rPr>
            </w:pPr>
            <w:r>
              <w:rPr>
                <w:spacing w:val="-3"/>
                <w:sz w:val="21"/>
              </w:rPr>
              <w:t>严重传染性心内膜炎</w:t>
            </w:r>
          </w:p>
          <w:p>
            <w:pPr>
              <w:pStyle w:val="TableParagraph"/>
              <w:numPr>
                <w:ilvl w:val="0"/>
                <w:numId w:val="16"/>
              </w:numPr>
              <w:tabs>
                <w:tab w:pos="528" w:val="left" w:leader="none"/>
              </w:tabs>
              <w:spacing w:line="240" w:lineRule="auto" w:before="20" w:after="0"/>
              <w:ind w:left="527" w:right="0" w:hanging="420"/>
              <w:jc w:val="left"/>
              <w:rPr>
                <w:sz w:val="21"/>
              </w:rPr>
            </w:pPr>
            <w:r>
              <w:rPr>
                <w:spacing w:val="-17"/>
                <w:sz w:val="21"/>
              </w:rPr>
              <w:t>严重 </w:t>
            </w:r>
            <w:r>
              <w:rPr>
                <w:rFonts w:ascii="Times New Roman" w:eastAsia="Times New Roman"/>
                <w:sz w:val="21"/>
              </w:rPr>
              <w:t>1 </w:t>
            </w:r>
            <w:r>
              <w:rPr>
                <w:spacing w:val="-2"/>
                <w:sz w:val="21"/>
              </w:rPr>
              <w:t>型糖尿病</w:t>
            </w:r>
          </w:p>
          <w:p>
            <w:pPr>
              <w:pStyle w:val="TableParagraph"/>
              <w:numPr>
                <w:ilvl w:val="0"/>
                <w:numId w:val="16"/>
              </w:numPr>
              <w:tabs>
                <w:tab w:pos="528" w:val="left" w:leader="none"/>
              </w:tabs>
              <w:spacing w:line="240" w:lineRule="auto" w:before="20" w:after="0"/>
              <w:ind w:left="527" w:right="0" w:hanging="420"/>
              <w:jc w:val="left"/>
              <w:rPr>
                <w:sz w:val="21"/>
              </w:rPr>
            </w:pPr>
            <w:r>
              <w:rPr>
                <w:spacing w:val="-3"/>
                <w:sz w:val="21"/>
              </w:rPr>
              <w:t>肺泡蛋白质沉积症</w:t>
            </w:r>
          </w:p>
          <w:p>
            <w:pPr>
              <w:pStyle w:val="TableParagraph"/>
              <w:numPr>
                <w:ilvl w:val="0"/>
                <w:numId w:val="16"/>
              </w:numPr>
              <w:tabs>
                <w:tab w:pos="528" w:val="left" w:leader="none"/>
              </w:tabs>
              <w:spacing w:line="240" w:lineRule="auto" w:before="20" w:after="0"/>
              <w:ind w:left="527" w:right="0" w:hanging="420"/>
              <w:jc w:val="left"/>
              <w:rPr>
                <w:sz w:val="21"/>
              </w:rPr>
            </w:pPr>
            <w:r>
              <w:rPr>
                <w:spacing w:val="-3"/>
                <w:sz w:val="21"/>
              </w:rPr>
              <w:t>严重慢性缩窄型心包炎</w:t>
            </w:r>
          </w:p>
          <w:p>
            <w:pPr>
              <w:pStyle w:val="TableParagraph"/>
              <w:numPr>
                <w:ilvl w:val="0"/>
                <w:numId w:val="16"/>
              </w:numPr>
              <w:tabs>
                <w:tab w:pos="528" w:val="left" w:leader="none"/>
              </w:tabs>
              <w:spacing w:line="240" w:lineRule="auto" w:before="20" w:after="0"/>
              <w:ind w:left="527" w:right="0" w:hanging="420"/>
              <w:jc w:val="left"/>
              <w:rPr>
                <w:sz w:val="21"/>
              </w:rPr>
            </w:pPr>
            <w:r>
              <w:rPr>
                <w:spacing w:val="-3"/>
                <w:sz w:val="21"/>
              </w:rPr>
              <w:t>多处臂丛神经根性撕脱</w:t>
            </w:r>
          </w:p>
          <w:p>
            <w:pPr>
              <w:pStyle w:val="TableParagraph"/>
              <w:numPr>
                <w:ilvl w:val="0"/>
                <w:numId w:val="16"/>
              </w:numPr>
              <w:tabs>
                <w:tab w:pos="528" w:val="left" w:leader="none"/>
              </w:tabs>
              <w:spacing w:line="240" w:lineRule="auto" w:before="20" w:after="0"/>
              <w:ind w:left="527" w:right="0" w:hanging="420"/>
              <w:jc w:val="left"/>
              <w:rPr>
                <w:sz w:val="21"/>
              </w:rPr>
            </w:pPr>
            <w:r>
              <w:rPr>
                <w:spacing w:val="-2"/>
                <w:sz w:val="21"/>
              </w:rPr>
              <w:t>出血性登革热</w:t>
            </w:r>
          </w:p>
          <w:p>
            <w:pPr>
              <w:pStyle w:val="TableParagraph"/>
              <w:numPr>
                <w:ilvl w:val="0"/>
                <w:numId w:val="16"/>
              </w:numPr>
              <w:tabs>
                <w:tab w:pos="528" w:val="left" w:leader="none"/>
              </w:tabs>
              <w:spacing w:line="240" w:lineRule="auto" w:before="20" w:after="0"/>
              <w:ind w:left="527" w:right="0" w:hanging="420"/>
              <w:jc w:val="left"/>
              <w:rPr>
                <w:sz w:val="21"/>
              </w:rPr>
            </w:pPr>
            <w:r>
              <w:rPr>
                <w:sz w:val="21"/>
              </w:rPr>
              <w:t>狂犬病</w:t>
            </w:r>
          </w:p>
          <w:p>
            <w:pPr>
              <w:pStyle w:val="TableParagraph"/>
              <w:numPr>
                <w:ilvl w:val="0"/>
                <w:numId w:val="16"/>
              </w:numPr>
              <w:tabs>
                <w:tab w:pos="528" w:val="left" w:leader="none"/>
              </w:tabs>
              <w:spacing w:line="240" w:lineRule="auto" w:before="20" w:after="0"/>
              <w:ind w:left="527" w:right="0" w:hanging="420"/>
              <w:jc w:val="left"/>
              <w:rPr>
                <w:sz w:val="21"/>
              </w:rPr>
            </w:pPr>
            <w:r>
              <w:rPr>
                <w:spacing w:val="-2"/>
                <w:sz w:val="21"/>
              </w:rPr>
              <w:t>肺孢子菌肺炎</w:t>
            </w:r>
          </w:p>
          <w:p>
            <w:pPr>
              <w:pStyle w:val="TableParagraph"/>
              <w:numPr>
                <w:ilvl w:val="0"/>
                <w:numId w:val="16"/>
              </w:numPr>
              <w:tabs>
                <w:tab w:pos="528" w:val="left" w:leader="none"/>
              </w:tabs>
              <w:spacing w:line="240" w:lineRule="auto" w:before="20" w:after="0"/>
              <w:ind w:left="527" w:right="0" w:hanging="420"/>
              <w:jc w:val="left"/>
              <w:rPr>
                <w:sz w:val="21"/>
              </w:rPr>
            </w:pPr>
            <w:r>
              <w:rPr>
                <w:rFonts w:ascii="Times New Roman" w:eastAsia="Times New Roman"/>
                <w:sz w:val="21"/>
              </w:rPr>
              <w:t>Brugada</w:t>
            </w:r>
            <w:r>
              <w:rPr>
                <w:rFonts w:ascii="Times New Roman" w:eastAsia="Times New Roman"/>
                <w:spacing w:val="2"/>
                <w:sz w:val="21"/>
              </w:rPr>
              <w:t> </w:t>
            </w:r>
            <w:r>
              <w:rPr>
                <w:spacing w:val="-2"/>
                <w:sz w:val="21"/>
              </w:rPr>
              <w:t>综合征</w:t>
            </w:r>
          </w:p>
          <w:p>
            <w:pPr>
              <w:pStyle w:val="TableParagraph"/>
              <w:numPr>
                <w:ilvl w:val="0"/>
                <w:numId w:val="16"/>
              </w:numPr>
              <w:tabs>
                <w:tab w:pos="528" w:val="left" w:leader="none"/>
              </w:tabs>
              <w:spacing w:line="240" w:lineRule="auto" w:before="20" w:after="0"/>
              <w:ind w:left="527" w:right="0" w:hanging="420"/>
              <w:jc w:val="left"/>
              <w:rPr>
                <w:sz w:val="21"/>
              </w:rPr>
            </w:pPr>
            <w:r>
              <w:rPr>
                <w:spacing w:val="-2"/>
                <w:sz w:val="21"/>
              </w:rPr>
              <w:t>主动脉夹层血肿</w:t>
            </w:r>
          </w:p>
        </w:tc>
        <w:tc>
          <w:tcPr>
            <w:tcW w:w="3315" w:type="dxa"/>
          </w:tcPr>
          <w:p>
            <w:pPr>
              <w:pStyle w:val="TableParagraph"/>
              <w:numPr>
                <w:ilvl w:val="0"/>
                <w:numId w:val="17"/>
              </w:numPr>
              <w:tabs>
                <w:tab w:pos="529" w:val="left" w:leader="none"/>
              </w:tabs>
              <w:spacing w:line="280" w:lineRule="exact" w:before="0" w:after="0"/>
              <w:ind w:left="528" w:right="0" w:hanging="420"/>
              <w:jc w:val="left"/>
              <w:rPr>
                <w:sz w:val="21"/>
              </w:rPr>
            </w:pPr>
            <w:r>
              <w:rPr>
                <w:spacing w:val="-1"/>
                <w:sz w:val="21"/>
              </w:rPr>
              <w:t>良性脑肿瘤</w:t>
            </w:r>
          </w:p>
          <w:p>
            <w:pPr>
              <w:pStyle w:val="TableParagraph"/>
              <w:numPr>
                <w:ilvl w:val="0"/>
                <w:numId w:val="17"/>
              </w:numPr>
              <w:tabs>
                <w:tab w:pos="529" w:val="left" w:leader="none"/>
              </w:tabs>
              <w:spacing w:line="240" w:lineRule="auto" w:before="19" w:after="0"/>
              <w:ind w:left="528" w:right="0" w:hanging="420"/>
              <w:jc w:val="left"/>
              <w:rPr>
                <w:sz w:val="21"/>
              </w:rPr>
            </w:pPr>
            <w:r>
              <w:rPr>
                <w:spacing w:val="-1"/>
                <w:sz w:val="21"/>
              </w:rPr>
              <w:t>植物人状态</w:t>
            </w:r>
          </w:p>
          <w:p>
            <w:pPr>
              <w:pStyle w:val="TableParagraph"/>
              <w:numPr>
                <w:ilvl w:val="0"/>
                <w:numId w:val="17"/>
              </w:numPr>
              <w:tabs>
                <w:tab w:pos="529" w:val="left" w:leader="none"/>
              </w:tabs>
              <w:spacing w:line="240" w:lineRule="auto" w:before="21" w:after="0"/>
              <w:ind w:left="528" w:right="0" w:hanging="420"/>
              <w:jc w:val="left"/>
              <w:rPr>
                <w:sz w:val="21"/>
              </w:rPr>
            </w:pPr>
            <w:r>
              <w:rPr>
                <w:spacing w:val="-2"/>
                <w:sz w:val="21"/>
              </w:rPr>
              <w:t>严重帕金森病</w:t>
            </w:r>
          </w:p>
          <w:p>
            <w:pPr>
              <w:pStyle w:val="TableParagraph"/>
              <w:numPr>
                <w:ilvl w:val="0"/>
                <w:numId w:val="17"/>
              </w:numPr>
              <w:tabs>
                <w:tab w:pos="529" w:val="left" w:leader="none"/>
              </w:tabs>
              <w:spacing w:line="240" w:lineRule="auto" w:before="21" w:after="0"/>
              <w:ind w:left="528" w:right="0" w:hanging="420"/>
              <w:jc w:val="left"/>
              <w:rPr>
                <w:sz w:val="21"/>
              </w:rPr>
            </w:pPr>
            <w:r>
              <w:rPr>
                <w:spacing w:val="-1"/>
                <w:sz w:val="21"/>
              </w:rPr>
              <w:t>脊髓灰质炎</w:t>
            </w:r>
          </w:p>
          <w:p>
            <w:pPr>
              <w:pStyle w:val="TableParagraph"/>
              <w:numPr>
                <w:ilvl w:val="0"/>
                <w:numId w:val="17"/>
              </w:numPr>
              <w:tabs>
                <w:tab w:pos="529" w:val="left" w:leader="none"/>
              </w:tabs>
              <w:spacing w:line="240" w:lineRule="auto" w:before="21" w:after="0"/>
              <w:ind w:left="528" w:right="0" w:hanging="420"/>
              <w:jc w:val="left"/>
              <w:rPr>
                <w:sz w:val="21"/>
              </w:rPr>
            </w:pPr>
            <w:r>
              <w:rPr>
                <w:spacing w:val="-3"/>
                <w:sz w:val="21"/>
              </w:rPr>
              <w:t>严重肌营养不良症</w:t>
            </w:r>
          </w:p>
          <w:p>
            <w:pPr>
              <w:pStyle w:val="TableParagraph"/>
              <w:numPr>
                <w:ilvl w:val="0"/>
                <w:numId w:val="17"/>
              </w:numPr>
              <w:tabs>
                <w:tab w:pos="529" w:val="left" w:leader="none"/>
              </w:tabs>
              <w:spacing w:line="256" w:lineRule="auto" w:before="21" w:after="0"/>
              <w:ind w:left="528" w:right="96" w:hanging="420"/>
              <w:jc w:val="left"/>
              <w:rPr>
                <w:sz w:val="21"/>
              </w:rPr>
            </w:pPr>
            <w:r>
              <w:rPr>
                <w:spacing w:val="8"/>
                <w:sz w:val="21"/>
              </w:rPr>
              <w:t>非阿尔茨海默病所致严重痴呆</w:t>
            </w:r>
          </w:p>
          <w:p>
            <w:pPr>
              <w:pStyle w:val="TableParagraph"/>
              <w:numPr>
                <w:ilvl w:val="0"/>
                <w:numId w:val="17"/>
              </w:numPr>
              <w:tabs>
                <w:tab w:pos="529" w:val="left" w:leader="none"/>
              </w:tabs>
              <w:spacing w:line="240" w:lineRule="auto" w:before="22" w:after="0"/>
              <w:ind w:left="528" w:right="0" w:hanging="420"/>
              <w:jc w:val="left"/>
              <w:rPr>
                <w:sz w:val="21"/>
              </w:rPr>
            </w:pPr>
            <w:r>
              <w:rPr>
                <w:spacing w:val="-2"/>
                <w:sz w:val="21"/>
              </w:rPr>
              <w:t>失去一肢及一眼</w:t>
            </w:r>
          </w:p>
          <w:p>
            <w:pPr>
              <w:pStyle w:val="TableParagraph"/>
              <w:numPr>
                <w:ilvl w:val="0"/>
                <w:numId w:val="17"/>
              </w:numPr>
              <w:tabs>
                <w:tab w:pos="529" w:val="left" w:leader="none"/>
              </w:tabs>
              <w:spacing w:line="240" w:lineRule="auto" w:before="21" w:after="0"/>
              <w:ind w:left="528" w:right="0" w:hanging="420"/>
              <w:jc w:val="left"/>
              <w:rPr>
                <w:sz w:val="21"/>
              </w:rPr>
            </w:pPr>
            <w:r>
              <w:rPr>
                <w:spacing w:val="-3"/>
                <w:sz w:val="21"/>
              </w:rPr>
              <w:t>溶血性链球菌引起的坏疽</w:t>
            </w:r>
          </w:p>
          <w:p>
            <w:pPr>
              <w:pStyle w:val="TableParagraph"/>
              <w:numPr>
                <w:ilvl w:val="0"/>
                <w:numId w:val="17"/>
              </w:numPr>
              <w:tabs>
                <w:tab w:pos="529" w:val="left" w:leader="none"/>
              </w:tabs>
              <w:spacing w:line="240" w:lineRule="auto" w:before="21" w:after="0"/>
              <w:ind w:left="528" w:right="0" w:hanging="420"/>
              <w:jc w:val="left"/>
              <w:rPr>
                <w:sz w:val="21"/>
              </w:rPr>
            </w:pPr>
            <w:r>
              <w:rPr>
                <w:spacing w:val="-3"/>
                <w:sz w:val="21"/>
              </w:rPr>
              <w:t>疾病或外伤所致智力障碍</w:t>
            </w:r>
          </w:p>
          <w:p>
            <w:pPr>
              <w:pStyle w:val="TableParagraph"/>
              <w:numPr>
                <w:ilvl w:val="0"/>
                <w:numId w:val="17"/>
              </w:numPr>
              <w:tabs>
                <w:tab w:pos="529" w:val="left" w:leader="none"/>
              </w:tabs>
              <w:spacing w:line="240" w:lineRule="auto" w:before="21" w:after="0"/>
              <w:ind w:left="528" w:right="0" w:hanging="420"/>
              <w:jc w:val="left"/>
              <w:rPr>
                <w:sz w:val="21"/>
              </w:rPr>
            </w:pPr>
            <w:r>
              <w:rPr>
                <w:spacing w:val="-2"/>
                <w:sz w:val="21"/>
              </w:rPr>
              <w:t>严重面部烧伤</w:t>
            </w:r>
          </w:p>
          <w:p>
            <w:pPr>
              <w:pStyle w:val="TableParagraph"/>
              <w:numPr>
                <w:ilvl w:val="0"/>
                <w:numId w:val="17"/>
              </w:numPr>
              <w:tabs>
                <w:tab w:pos="529" w:val="left" w:leader="none"/>
              </w:tabs>
              <w:spacing w:line="240" w:lineRule="auto" w:before="21" w:after="0"/>
              <w:ind w:left="528" w:right="0" w:hanging="420"/>
              <w:jc w:val="left"/>
              <w:rPr>
                <w:sz w:val="21"/>
              </w:rPr>
            </w:pPr>
            <w:r>
              <w:rPr>
                <w:spacing w:val="-2"/>
                <w:sz w:val="21"/>
              </w:rPr>
              <w:t>结核性脊髓炎</w:t>
            </w:r>
          </w:p>
          <w:p>
            <w:pPr>
              <w:pStyle w:val="TableParagraph"/>
              <w:numPr>
                <w:ilvl w:val="0"/>
                <w:numId w:val="17"/>
              </w:numPr>
              <w:tabs>
                <w:tab w:pos="529" w:val="left" w:leader="none"/>
              </w:tabs>
              <w:spacing w:line="240" w:lineRule="auto" w:before="21" w:after="0"/>
              <w:ind w:left="528" w:right="0" w:hanging="420"/>
              <w:jc w:val="left"/>
              <w:rPr>
                <w:sz w:val="21"/>
              </w:rPr>
            </w:pPr>
            <w:r>
              <w:rPr>
                <w:sz w:val="21"/>
              </w:rPr>
              <w:t>脊柱裂</w:t>
            </w:r>
          </w:p>
          <w:p>
            <w:pPr>
              <w:pStyle w:val="TableParagraph"/>
              <w:numPr>
                <w:ilvl w:val="0"/>
                <w:numId w:val="17"/>
              </w:numPr>
              <w:tabs>
                <w:tab w:pos="529" w:val="left" w:leader="none"/>
              </w:tabs>
              <w:spacing w:line="264" w:lineRule="auto" w:before="20" w:after="0"/>
              <w:ind w:left="528" w:right="88" w:hanging="420"/>
              <w:jc w:val="both"/>
              <w:rPr>
                <w:sz w:val="21"/>
              </w:rPr>
            </w:pPr>
            <w:r>
              <w:rPr>
                <w:sz w:val="21"/>
              </w:rPr>
              <w:t>严重瑞氏综合征（</w:t>
            </w:r>
            <w:r>
              <w:rPr>
                <w:rFonts w:ascii="Times New Roman" w:eastAsia="Times New Roman"/>
                <w:sz w:val="21"/>
              </w:rPr>
              <w:t>Reye</w:t>
            </w:r>
            <w:r>
              <w:rPr>
                <w:rFonts w:ascii="Times New Roman" w:eastAsia="Times New Roman"/>
                <w:spacing w:val="26"/>
                <w:sz w:val="21"/>
              </w:rPr>
              <w:t> </w:t>
            </w:r>
            <w:r>
              <w:rPr>
                <w:spacing w:val="2"/>
                <w:sz w:val="21"/>
              </w:rPr>
              <w:t>综合</w:t>
            </w:r>
            <w:r>
              <w:rPr>
                <w:spacing w:val="-10"/>
                <w:sz w:val="21"/>
              </w:rPr>
              <w:t>征，也称赖氏综合征、雷氏综合征）</w:t>
            </w:r>
          </w:p>
          <w:p>
            <w:pPr>
              <w:pStyle w:val="TableParagraph"/>
              <w:numPr>
                <w:ilvl w:val="0"/>
                <w:numId w:val="17"/>
              </w:numPr>
              <w:tabs>
                <w:tab w:pos="529" w:val="left" w:leader="none"/>
              </w:tabs>
              <w:spacing w:line="240" w:lineRule="auto" w:before="15" w:after="0"/>
              <w:ind w:left="528" w:right="0" w:hanging="420"/>
              <w:jc w:val="left"/>
              <w:rPr>
                <w:sz w:val="21"/>
              </w:rPr>
            </w:pPr>
            <w:r>
              <w:rPr>
                <w:rFonts w:ascii="Times New Roman" w:eastAsia="Times New Roman"/>
                <w:sz w:val="21"/>
              </w:rPr>
              <w:t>III</w:t>
            </w:r>
            <w:r>
              <w:rPr>
                <w:rFonts w:ascii="Times New Roman" w:eastAsia="Times New Roman"/>
                <w:spacing w:val="2"/>
                <w:sz w:val="21"/>
              </w:rPr>
              <w:t> </w:t>
            </w:r>
            <w:r>
              <w:rPr>
                <w:spacing w:val="-1"/>
                <w:sz w:val="21"/>
              </w:rPr>
              <w:t>型成骨不全症</w:t>
            </w:r>
          </w:p>
          <w:p>
            <w:pPr>
              <w:pStyle w:val="TableParagraph"/>
              <w:numPr>
                <w:ilvl w:val="0"/>
                <w:numId w:val="17"/>
              </w:numPr>
              <w:tabs>
                <w:tab w:pos="529" w:val="left" w:leader="none"/>
              </w:tabs>
              <w:spacing w:line="240" w:lineRule="auto" w:before="20" w:after="0"/>
              <w:ind w:left="528" w:right="0" w:hanging="420"/>
              <w:jc w:val="left"/>
              <w:rPr>
                <w:sz w:val="21"/>
              </w:rPr>
            </w:pPr>
            <w:r>
              <w:rPr>
                <w:spacing w:val="-17"/>
                <w:sz w:val="21"/>
              </w:rPr>
              <w:t>严重 </w:t>
            </w:r>
            <w:r>
              <w:rPr>
                <w:rFonts w:ascii="Times New Roman" w:eastAsia="Times New Roman"/>
                <w:sz w:val="21"/>
              </w:rPr>
              <w:t>III </w:t>
            </w:r>
            <w:r>
              <w:rPr>
                <w:spacing w:val="-1"/>
                <w:sz w:val="21"/>
              </w:rPr>
              <w:t>度冻伤导致截肢</w:t>
            </w:r>
          </w:p>
          <w:p>
            <w:pPr>
              <w:pStyle w:val="TableParagraph"/>
              <w:numPr>
                <w:ilvl w:val="0"/>
                <w:numId w:val="17"/>
              </w:numPr>
              <w:tabs>
                <w:tab w:pos="529" w:val="left" w:leader="none"/>
              </w:tabs>
              <w:spacing w:line="240" w:lineRule="auto" w:before="20" w:after="0"/>
              <w:ind w:left="528" w:right="0" w:hanging="420"/>
              <w:jc w:val="left"/>
              <w:rPr>
                <w:sz w:val="21"/>
              </w:rPr>
            </w:pPr>
            <w:r>
              <w:rPr>
                <w:spacing w:val="-2"/>
                <w:sz w:val="21"/>
              </w:rPr>
              <w:t>大面积植皮手术</w:t>
            </w:r>
          </w:p>
          <w:p>
            <w:pPr>
              <w:pStyle w:val="TableParagraph"/>
              <w:numPr>
                <w:ilvl w:val="0"/>
                <w:numId w:val="17"/>
              </w:numPr>
              <w:tabs>
                <w:tab w:pos="529" w:val="left" w:leader="none"/>
              </w:tabs>
              <w:spacing w:line="240" w:lineRule="auto" w:before="20" w:after="0"/>
              <w:ind w:left="528" w:right="0" w:hanging="420"/>
              <w:jc w:val="left"/>
              <w:rPr>
                <w:sz w:val="21"/>
              </w:rPr>
            </w:pPr>
            <w:r>
              <w:rPr>
                <w:spacing w:val="-2"/>
                <w:sz w:val="21"/>
              </w:rPr>
              <w:t>重症手足口病</w:t>
            </w:r>
          </w:p>
          <w:p>
            <w:pPr>
              <w:pStyle w:val="TableParagraph"/>
              <w:numPr>
                <w:ilvl w:val="0"/>
                <w:numId w:val="17"/>
              </w:numPr>
              <w:tabs>
                <w:tab w:pos="529" w:val="left" w:leader="none"/>
              </w:tabs>
              <w:spacing w:line="240" w:lineRule="auto" w:before="20" w:after="0"/>
              <w:ind w:left="528" w:right="0" w:hanging="420"/>
              <w:jc w:val="left"/>
              <w:rPr>
                <w:sz w:val="21"/>
              </w:rPr>
            </w:pPr>
            <w:r>
              <w:rPr>
                <w:spacing w:val="-3"/>
                <w:sz w:val="21"/>
              </w:rPr>
              <w:t>肾上腺脑白质营养不良</w:t>
            </w:r>
          </w:p>
          <w:p>
            <w:pPr>
              <w:pStyle w:val="TableParagraph"/>
              <w:numPr>
                <w:ilvl w:val="0"/>
                <w:numId w:val="17"/>
              </w:numPr>
              <w:tabs>
                <w:tab w:pos="529" w:val="left" w:leader="none"/>
              </w:tabs>
              <w:spacing w:line="240" w:lineRule="auto" w:before="20" w:after="0"/>
              <w:ind w:left="528" w:right="0" w:hanging="420"/>
              <w:jc w:val="left"/>
              <w:rPr>
                <w:sz w:val="21"/>
              </w:rPr>
            </w:pPr>
            <w:r>
              <w:rPr>
                <w:spacing w:val="-3"/>
                <w:sz w:val="21"/>
              </w:rPr>
              <w:t>进行性多灶性白质脑病</w:t>
            </w:r>
          </w:p>
          <w:p>
            <w:pPr>
              <w:pStyle w:val="TableParagraph"/>
              <w:numPr>
                <w:ilvl w:val="0"/>
                <w:numId w:val="17"/>
              </w:numPr>
              <w:tabs>
                <w:tab w:pos="529" w:val="left" w:leader="none"/>
              </w:tabs>
              <w:spacing w:line="240" w:lineRule="auto" w:before="20" w:after="0"/>
              <w:ind w:left="528" w:right="0" w:hanging="420"/>
              <w:jc w:val="left"/>
              <w:rPr>
                <w:sz w:val="21"/>
              </w:rPr>
            </w:pPr>
            <w:r>
              <w:rPr>
                <w:spacing w:val="-2"/>
                <w:sz w:val="21"/>
              </w:rPr>
              <w:t>皮质基底节变性</w:t>
            </w:r>
          </w:p>
          <w:p>
            <w:pPr>
              <w:pStyle w:val="TableParagraph"/>
              <w:numPr>
                <w:ilvl w:val="0"/>
                <w:numId w:val="17"/>
              </w:numPr>
              <w:tabs>
                <w:tab w:pos="529" w:val="left" w:leader="none"/>
              </w:tabs>
              <w:spacing w:line="240" w:lineRule="auto" w:before="21" w:after="0"/>
              <w:ind w:left="528" w:right="0" w:hanging="420"/>
              <w:jc w:val="left"/>
              <w:rPr>
                <w:sz w:val="21"/>
              </w:rPr>
            </w:pPr>
            <w:r>
              <w:rPr>
                <w:spacing w:val="-3"/>
                <w:sz w:val="21"/>
              </w:rPr>
              <w:t>进行性风疹性全脑炎</w:t>
            </w:r>
          </w:p>
          <w:p>
            <w:pPr>
              <w:pStyle w:val="TableParagraph"/>
              <w:numPr>
                <w:ilvl w:val="0"/>
                <w:numId w:val="17"/>
              </w:numPr>
              <w:tabs>
                <w:tab w:pos="529" w:val="left" w:leader="none"/>
              </w:tabs>
              <w:spacing w:line="240" w:lineRule="auto" w:before="21" w:after="0"/>
              <w:ind w:left="528" w:right="0" w:hanging="420"/>
              <w:jc w:val="left"/>
              <w:rPr>
                <w:sz w:val="21"/>
              </w:rPr>
            </w:pPr>
            <w:r>
              <w:rPr>
                <w:spacing w:val="-3"/>
                <w:sz w:val="21"/>
              </w:rPr>
              <w:t>异染性脑白质营养不良</w:t>
            </w:r>
          </w:p>
          <w:p>
            <w:pPr>
              <w:pStyle w:val="TableParagraph"/>
              <w:numPr>
                <w:ilvl w:val="0"/>
                <w:numId w:val="17"/>
              </w:numPr>
              <w:tabs>
                <w:tab w:pos="529" w:val="left" w:leader="none"/>
              </w:tabs>
              <w:spacing w:line="240" w:lineRule="auto" w:before="21" w:after="0"/>
              <w:ind w:left="528" w:right="0" w:hanging="420"/>
              <w:jc w:val="left"/>
              <w:rPr>
                <w:sz w:val="21"/>
              </w:rPr>
            </w:pPr>
            <w:r>
              <w:rPr>
                <w:spacing w:val="-3"/>
                <w:sz w:val="21"/>
              </w:rPr>
              <w:t>进行性核上性麻痹</w:t>
            </w:r>
          </w:p>
          <w:p>
            <w:pPr>
              <w:pStyle w:val="TableParagraph"/>
              <w:numPr>
                <w:ilvl w:val="0"/>
                <w:numId w:val="17"/>
              </w:numPr>
              <w:tabs>
                <w:tab w:pos="529" w:val="left" w:leader="none"/>
              </w:tabs>
              <w:spacing w:line="240" w:lineRule="auto" w:before="21" w:after="0"/>
              <w:ind w:left="528" w:right="0" w:hanging="420"/>
              <w:jc w:val="left"/>
              <w:rPr>
                <w:sz w:val="21"/>
              </w:rPr>
            </w:pPr>
            <w:r>
              <w:rPr>
                <w:spacing w:val="-1"/>
                <w:sz w:val="21"/>
              </w:rPr>
              <w:t>神经白塞病</w:t>
            </w:r>
          </w:p>
        </w:tc>
      </w:tr>
    </w:tbl>
    <w:p>
      <w:pPr>
        <w:pStyle w:val="BodyText"/>
        <w:ind w:left="0"/>
        <w:rPr>
          <w:sz w:val="20"/>
        </w:rPr>
      </w:pPr>
    </w:p>
    <w:p>
      <w:pPr>
        <w:pStyle w:val="BodyText"/>
        <w:ind w:left="0"/>
        <w:rPr>
          <w:sz w:val="20"/>
        </w:rPr>
      </w:pPr>
    </w:p>
    <w:p>
      <w:pPr>
        <w:pStyle w:val="BodyText"/>
        <w:spacing w:before="3"/>
        <w:ind w:left="0"/>
        <w:rPr>
          <w:sz w:val="27"/>
        </w:rPr>
      </w:pPr>
    </w:p>
    <w:p>
      <w:pPr>
        <w:spacing w:before="43"/>
        <w:ind w:left="0" w:right="13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380" w:bottom="900" w:left="9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algun Gothic">
    <w:altName w:val="Malgun Gothic"/>
    <w:charset w:val="0"/>
    <w:family w:val="swiss"/>
    <w:pitch w:val="variable"/>
  </w:font>
  <w:font w:name="楷体">
    <w:altName w:val="楷体"/>
    <w:charset w:val="86"/>
    <w:family w:val="modern"/>
    <w:pitch w:val="fixed"/>
  </w:font>
  <w:font w:name="Wingdings">
    <w:altName w:val="Wingdings"/>
    <w:charset w:val="2"/>
    <w:family w:val="auto"/>
    <w:pitch w:val="variable"/>
  </w:font>
  <w:font w:name="黑体">
    <w:altName w:val="黑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87.660004pt;margin-top:761.429871pt;width:228.05pt;height:13.7pt;mso-position-horizontal-relative:page;mso-position-vertical-relative:page;z-index:-68152" type="#_x0000_t202" filled="false" stroked="false">
          <v:textbox inset="0,0,0,0">
            <w:txbxContent>
              <w:p>
                <w:pPr>
                  <w:pStyle w:val="BodyText"/>
                  <w:spacing w:line="254" w:lineRule="exact"/>
                  <w:ind w:left="20"/>
                </w:pPr>
                <w:r>
                  <w:rPr/>
                  <w:t>太平福禄康逸终身重大疾病保险，第</w:t>
                </w:r>
                <w:r>
                  <w:rPr/>
                  <w:fldChar w:fldCharType="begin"/>
                </w:r>
                <w:r>
                  <w:rPr>
                    <w:rFonts w:ascii="Times New Roman" w:eastAsia="Times New Roman"/>
                  </w:rPr>
                  <w:instrText> PAGE </w:instrText>
                </w:r>
                <w:r>
                  <w:rPr/>
                  <w:fldChar w:fldCharType="separate"/>
                </w:r>
                <w:r>
                  <w:rPr/>
                  <w:t>4</w:t>
                </w:r>
                <w:r>
                  <w:rPr/>
                  <w:fldChar w:fldCharType="end"/>
                </w:r>
                <w:r>
                  <w:rPr/>
                  <w:t>页，共</w:t>
                </w:r>
                <w:r>
                  <w:rPr>
                    <w:rFonts w:ascii="Times New Roman" w:eastAsia="Times New Roman"/>
                  </w:rPr>
                  <w:t>33</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85.020004pt;margin-top:761.429871pt;width:233.3pt;height:13.7pt;mso-position-horizontal-relative:page;mso-position-vertical-relative:page;z-index:-68128" type="#_x0000_t202" filled="false" stroked="false">
          <v:textbox inset="0,0,0,0">
            <w:txbxContent>
              <w:p>
                <w:pPr>
                  <w:pStyle w:val="BodyText"/>
                  <w:spacing w:line="254" w:lineRule="exact"/>
                  <w:ind w:left="20"/>
                </w:pPr>
                <w:r>
                  <w:rPr/>
                  <w:t>太平福禄康逸终身重大疾病保险，第</w:t>
                </w:r>
                <w:r>
                  <w:rPr/>
                  <w:fldChar w:fldCharType="begin"/>
                </w:r>
                <w:r>
                  <w:rPr>
                    <w:rFonts w:ascii="Times New Roman" w:eastAsia="Times New Roman"/>
                  </w:rPr>
                  <w:instrText> PAGE </w:instrText>
                </w:r>
                <w:r>
                  <w:rPr/>
                  <w:fldChar w:fldCharType="separate"/>
                </w:r>
                <w:r>
                  <w:rPr/>
                  <w:t>12</w:t>
                </w:r>
                <w:r>
                  <w:rPr/>
                  <w:fldChar w:fldCharType="end"/>
                </w:r>
                <w:r>
                  <w:rPr/>
                  <w:t>页，共</w:t>
                </w:r>
                <w:r>
                  <w:rPr>
                    <w:rFonts w:ascii="Times New Roman" w:eastAsia="Times New Roman"/>
                  </w:rPr>
                  <w:t>33</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4"/>
      <w:numFmt w:val="decimal"/>
      <w:lvlText w:val="%1."/>
      <w:lvlJc w:val="left"/>
      <w:pPr>
        <w:ind w:left="528" w:hanging="420"/>
        <w:jc w:val="left"/>
      </w:pPr>
      <w:rPr>
        <w:rFonts w:hint="default" w:ascii="Times New Roman" w:hAnsi="Times New Roman" w:eastAsia="Times New Roman" w:cs="Times New Roman"/>
        <w:w w:val="100"/>
        <w:sz w:val="21"/>
        <w:szCs w:val="21"/>
      </w:rPr>
    </w:lvl>
    <w:lvl w:ilvl="1">
      <w:start w:val="0"/>
      <w:numFmt w:val="bullet"/>
      <w:lvlText w:val="•"/>
      <w:lvlJc w:val="left"/>
      <w:pPr>
        <w:ind w:left="798" w:hanging="420"/>
      </w:pPr>
      <w:rPr>
        <w:rFonts w:hint="default"/>
      </w:rPr>
    </w:lvl>
    <w:lvl w:ilvl="2">
      <w:start w:val="0"/>
      <w:numFmt w:val="bullet"/>
      <w:lvlText w:val="•"/>
      <w:lvlJc w:val="left"/>
      <w:pPr>
        <w:ind w:left="1077" w:hanging="420"/>
      </w:pPr>
      <w:rPr>
        <w:rFonts w:hint="default"/>
      </w:rPr>
    </w:lvl>
    <w:lvl w:ilvl="3">
      <w:start w:val="0"/>
      <w:numFmt w:val="bullet"/>
      <w:lvlText w:val="•"/>
      <w:lvlJc w:val="left"/>
      <w:pPr>
        <w:ind w:left="1355" w:hanging="420"/>
      </w:pPr>
      <w:rPr>
        <w:rFonts w:hint="default"/>
      </w:rPr>
    </w:lvl>
    <w:lvl w:ilvl="4">
      <w:start w:val="0"/>
      <w:numFmt w:val="bullet"/>
      <w:lvlText w:val="•"/>
      <w:lvlJc w:val="left"/>
      <w:pPr>
        <w:ind w:left="1634" w:hanging="420"/>
      </w:pPr>
      <w:rPr>
        <w:rFonts w:hint="default"/>
      </w:rPr>
    </w:lvl>
    <w:lvl w:ilvl="5">
      <w:start w:val="0"/>
      <w:numFmt w:val="bullet"/>
      <w:lvlText w:val="•"/>
      <w:lvlJc w:val="left"/>
      <w:pPr>
        <w:ind w:left="1912" w:hanging="420"/>
      </w:pPr>
      <w:rPr>
        <w:rFonts w:hint="default"/>
      </w:rPr>
    </w:lvl>
    <w:lvl w:ilvl="6">
      <w:start w:val="0"/>
      <w:numFmt w:val="bullet"/>
      <w:lvlText w:val="•"/>
      <w:lvlJc w:val="left"/>
      <w:pPr>
        <w:ind w:left="2191" w:hanging="420"/>
      </w:pPr>
      <w:rPr>
        <w:rFonts w:hint="default"/>
      </w:rPr>
    </w:lvl>
    <w:lvl w:ilvl="7">
      <w:start w:val="0"/>
      <w:numFmt w:val="bullet"/>
      <w:lvlText w:val="•"/>
      <w:lvlJc w:val="left"/>
      <w:pPr>
        <w:ind w:left="2469" w:hanging="420"/>
      </w:pPr>
      <w:rPr>
        <w:rFonts w:hint="default"/>
      </w:rPr>
    </w:lvl>
    <w:lvl w:ilvl="8">
      <w:start w:val="0"/>
      <w:numFmt w:val="bullet"/>
      <w:lvlText w:val="•"/>
      <w:lvlJc w:val="left"/>
      <w:pPr>
        <w:ind w:left="2748" w:hanging="420"/>
      </w:pPr>
      <w:rPr>
        <w:rFonts w:hint="default"/>
      </w:rPr>
    </w:lvl>
  </w:abstractNum>
  <w:abstractNum w:abstractNumId="15">
    <w:multiLevelType w:val="hybridMultilevel"/>
    <w:lvl w:ilvl="0">
      <w:start w:val="11"/>
      <w:numFmt w:val="decimal"/>
      <w:lvlText w:val="%1."/>
      <w:lvlJc w:val="left"/>
      <w:pPr>
        <w:ind w:left="52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798" w:hanging="420"/>
      </w:pPr>
      <w:rPr>
        <w:rFonts w:hint="default"/>
      </w:rPr>
    </w:lvl>
    <w:lvl w:ilvl="2">
      <w:start w:val="0"/>
      <w:numFmt w:val="bullet"/>
      <w:lvlText w:val="•"/>
      <w:lvlJc w:val="left"/>
      <w:pPr>
        <w:ind w:left="1076" w:hanging="420"/>
      </w:pPr>
      <w:rPr>
        <w:rFonts w:hint="default"/>
      </w:rPr>
    </w:lvl>
    <w:lvl w:ilvl="3">
      <w:start w:val="0"/>
      <w:numFmt w:val="bullet"/>
      <w:lvlText w:val="•"/>
      <w:lvlJc w:val="left"/>
      <w:pPr>
        <w:ind w:left="1354" w:hanging="420"/>
      </w:pPr>
      <w:rPr>
        <w:rFonts w:hint="default"/>
      </w:rPr>
    </w:lvl>
    <w:lvl w:ilvl="4">
      <w:start w:val="0"/>
      <w:numFmt w:val="bullet"/>
      <w:lvlText w:val="•"/>
      <w:lvlJc w:val="left"/>
      <w:pPr>
        <w:ind w:left="1632" w:hanging="420"/>
      </w:pPr>
      <w:rPr>
        <w:rFonts w:hint="default"/>
      </w:rPr>
    </w:lvl>
    <w:lvl w:ilvl="5">
      <w:start w:val="0"/>
      <w:numFmt w:val="bullet"/>
      <w:lvlText w:val="•"/>
      <w:lvlJc w:val="left"/>
      <w:pPr>
        <w:ind w:left="1911" w:hanging="420"/>
      </w:pPr>
      <w:rPr>
        <w:rFonts w:hint="default"/>
      </w:rPr>
    </w:lvl>
    <w:lvl w:ilvl="6">
      <w:start w:val="0"/>
      <w:numFmt w:val="bullet"/>
      <w:lvlText w:val="•"/>
      <w:lvlJc w:val="left"/>
      <w:pPr>
        <w:ind w:left="2189" w:hanging="420"/>
      </w:pPr>
      <w:rPr>
        <w:rFonts w:hint="default"/>
      </w:rPr>
    </w:lvl>
    <w:lvl w:ilvl="7">
      <w:start w:val="0"/>
      <w:numFmt w:val="bullet"/>
      <w:lvlText w:val="•"/>
      <w:lvlJc w:val="left"/>
      <w:pPr>
        <w:ind w:left="2467" w:hanging="420"/>
      </w:pPr>
      <w:rPr>
        <w:rFonts w:hint="default"/>
      </w:rPr>
    </w:lvl>
    <w:lvl w:ilvl="8">
      <w:start w:val="0"/>
      <w:numFmt w:val="bullet"/>
      <w:lvlText w:val="•"/>
      <w:lvlJc w:val="left"/>
      <w:pPr>
        <w:ind w:left="2745" w:hanging="420"/>
      </w:pPr>
      <w:rPr>
        <w:rFonts w:hint="default"/>
      </w:rPr>
    </w:lvl>
  </w:abstractNum>
  <w:abstractNum w:abstractNumId="14">
    <w:multiLevelType w:val="hybridMultilevel"/>
    <w:lvl w:ilvl="0">
      <w:start w:val="12"/>
      <w:numFmt w:val="decimal"/>
      <w:lvlText w:val="%1."/>
      <w:lvlJc w:val="left"/>
      <w:pPr>
        <w:ind w:left="52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798" w:hanging="421"/>
      </w:pPr>
      <w:rPr>
        <w:rFonts w:hint="default"/>
      </w:rPr>
    </w:lvl>
    <w:lvl w:ilvl="2">
      <w:start w:val="0"/>
      <w:numFmt w:val="bullet"/>
      <w:lvlText w:val="•"/>
      <w:lvlJc w:val="left"/>
      <w:pPr>
        <w:ind w:left="1076" w:hanging="421"/>
      </w:pPr>
      <w:rPr>
        <w:rFonts w:hint="default"/>
      </w:rPr>
    </w:lvl>
    <w:lvl w:ilvl="3">
      <w:start w:val="0"/>
      <w:numFmt w:val="bullet"/>
      <w:lvlText w:val="•"/>
      <w:lvlJc w:val="left"/>
      <w:pPr>
        <w:ind w:left="1354" w:hanging="421"/>
      </w:pPr>
      <w:rPr>
        <w:rFonts w:hint="default"/>
      </w:rPr>
    </w:lvl>
    <w:lvl w:ilvl="4">
      <w:start w:val="0"/>
      <w:numFmt w:val="bullet"/>
      <w:lvlText w:val="•"/>
      <w:lvlJc w:val="left"/>
      <w:pPr>
        <w:ind w:left="1633" w:hanging="421"/>
      </w:pPr>
      <w:rPr>
        <w:rFonts w:hint="default"/>
      </w:rPr>
    </w:lvl>
    <w:lvl w:ilvl="5">
      <w:start w:val="0"/>
      <w:numFmt w:val="bullet"/>
      <w:lvlText w:val="•"/>
      <w:lvlJc w:val="left"/>
      <w:pPr>
        <w:ind w:left="1911" w:hanging="421"/>
      </w:pPr>
      <w:rPr>
        <w:rFonts w:hint="default"/>
      </w:rPr>
    </w:lvl>
    <w:lvl w:ilvl="6">
      <w:start w:val="0"/>
      <w:numFmt w:val="bullet"/>
      <w:lvlText w:val="•"/>
      <w:lvlJc w:val="left"/>
      <w:pPr>
        <w:ind w:left="2189" w:hanging="421"/>
      </w:pPr>
      <w:rPr>
        <w:rFonts w:hint="default"/>
      </w:rPr>
    </w:lvl>
    <w:lvl w:ilvl="7">
      <w:start w:val="0"/>
      <w:numFmt w:val="bullet"/>
      <w:lvlText w:val="•"/>
      <w:lvlJc w:val="left"/>
      <w:pPr>
        <w:ind w:left="2468" w:hanging="421"/>
      </w:pPr>
      <w:rPr>
        <w:rFonts w:hint="default"/>
      </w:rPr>
    </w:lvl>
    <w:lvl w:ilvl="8">
      <w:start w:val="0"/>
      <w:numFmt w:val="bullet"/>
      <w:lvlText w:val="•"/>
      <w:lvlJc w:val="left"/>
      <w:pPr>
        <w:ind w:left="2746" w:hanging="421"/>
      </w:pPr>
      <w:rPr>
        <w:rFonts w:hint="default"/>
      </w:rPr>
    </w:lvl>
  </w:abstractNum>
  <w:abstractNum w:abstractNumId="13">
    <w:multiLevelType w:val="hybridMultilevel"/>
    <w:lvl w:ilvl="0">
      <w:start w:val="1"/>
      <w:numFmt w:val="decimal"/>
      <w:lvlText w:val="%1."/>
      <w:lvlJc w:val="left"/>
      <w:pPr>
        <w:ind w:left="528" w:hanging="420"/>
        <w:jc w:val="left"/>
      </w:pPr>
      <w:rPr>
        <w:rFonts w:hint="default" w:ascii="Times New Roman" w:hAnsi="Times New Roman" w:eastAsia="Times New Roman" w:cs="Times New Roman"/>
        <w:w w:val="100"/>
        <w:sz w:val="21"/>
        <w:szCs w:val="21"/>
      </w:rPr>
    </w:lvl>
    <w:lvl w:ilvl="1">
      <w:start w:val="0"/>
      <w:numFmt w:val="bullet"/>
      <w:lvlText w:val="•"/>
      <w:lvlJc w:val="left"/>
      <w:pPr>
        <w:ind w:left="798" w:hanging="420"/>
      </w:pPr>
      <w:rPr>
        <w:rFonts w:hint="default"/>
      </w:rPr>
    </w:lvl>
    <w:lvl w:ilvl="2">
      <w:start w:val="0"/>
      <w:numFmt w:val="bullet"/>
      <w:lvlText w:val="•"/>
      <w:lvlJc w:val="left"/>
      <w:pPr>
        <w:ind w:left="1077" w:hanging="420"/>
      </w:pPr>
      <w:rPr>
        <w:rFonts w:hint="default"/>
      </w:rPr>
    </w:lvl>
    <w:lvl w:ilvl="3">
      <w:start w:val="0"/>
      <w:numFmt w:val="bullet"/>
      <w:lvlText w:val="•"/>
      <w:lvlJc w:val="left"/>
      <w:pPr>
        <w:ind w:left="1355" w:hanging="420"/>
      </w:pPr>
      <w:rPr>
        <w:rFonts w:hint="default"/>
      </w:rPr>
    </w:lvl>
    <w:lvl w:ilvl="4">
      <w:start w:val="0"/>
      <w:numFmt w:val="bullet"/>
      <w:lvlText w:val="•"/>
      <w:lvlJc w:val="left"/>
      <w:pPr>
        <w:ind w:left="1634" w:hanging="420"/>
      </w:pPr>
      <w:rPr>
        <w:rFonts w:hint="default"/>
      </w:rPr>
    </w:lvl>
    <w:lvl w:ilvl="5">
      <w:start w:val="0"/>
      <w:numFmt w:val="bullet"/>
      <w:lvlText w:val="•"/>
      <w:lvlJc w:val="left"/>
      <w:pPr>
        <w:ind w:left="1912" w:hanging="420"/>
      </w:pPr>
      <w:rPr>
        <w:rFonts w:hint="default"/>
      </w:rPr>
    </w:lvl>
    <w:lvl w:ilvl="6">
      <w:start w:val="0"/>
      <w:numFmt w:val="bullet"/>
      <w:lvlText w:val="•"/>
      <w:lvlJc w:val="left"/>
      <w:pPr>
        <w:ind w:left="2191" w:hanging="420"/>
      </w:pPr>
      <w:rPr>
        <w:rFonts w:hint="default"/>
      </w:rPr>
    </w:lvl>
    <w:lvl w:ilvl="7">
      <w:start w:val="0"/>
      <w:numFmt w:val="bullet"/>
      <w:lvlText w:val="•"/>
      <w:lvlJc w:val="left"/>
      <w:pPr>
        <w:ind w:left="2469" w:hanging="420"/>
      </w:pPr>
      <w:rPr>
        <w:rFonts w:hint="default"/>
      </w:rPr>
    </w:lvl>
    <w:lvl w:ilvl="8">
      <w:start w:val="0"/>
      <w:numFmt w:val="bullet"/>
      <w:lvlText w:val="•"/>
      <w:lvlJc w:val="left"/>
      <w:pPr>
        <w:ind w:left="2748"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798" w:hanging="420"/>
      </w:pPr>
      <w:rPr>
        <w:rFonts w:hint="default"/>
      </w:rPr>
    </w:lvl>
    <w:lvl w:ilvl="2">
      <w:start w:val="0"/>
      <w:numFmt w:val="bullet"/>
      <w:lvlText w:val="•"/>
      <w:lvlJc w:val="left"/>
      <w:pPr>
        <w:ind w:left="1076" w:hanging="420"/>
      </w:pPr>
      <w:rPr>
        <w:rFonts w:hint="default"/>
      </w:rPr>
    </w:lvl>
    <w:lvl w:ilvl="3">
      <w:start w:val="0"/>
      <w:numFmt w:val="bullet"/>
      <w:lvlText w:val="•"/>
      <w:lvlJc w:val="left"/>
      <w:pPr>
        <w:ind w:left="1354" w:hanging="420"/>
      </w:pPr>
      <w:rPr>
        <w:rFonts w:hint="default"/>
      </w:rPr>
    </w:lvl>
    <w:lvl w:ilvl="4">
      <w:start w:val="0"/>
      <w:numFmt w:val="bullet"/>
      <w:lvlText w:val="•"/>
      <w:lvlJc w:val="left"/>
      <w:pPr>
        <w:ind w:left="1632" w:hanging="420"/>
      </w:pPr>
      <w:rPr>
        <w:rFonts w:hint="default"/>
      </w:rPr>
    </w:lvl>
    <w:lvl w:ilvl="5">
      <w:start w:val="0"/>
      <w:numFmt w:val="bullet"/>
      <w:lvlText w:val="•"/>
      <w:lvlJc w:val="left"/>
      <w:pPr>
        <w:ind w:left="1911" w:hanging="420"/>
      </w:pPr>
      <w:rPr>
        <w:rFonts w:hint="default"/>
      </w:rPr>
    </w:lvl>
    <w:lvl w:ilvl="6">
      <w:start w:val="0"/>
      <w:numFmt w:val="bullet"/>
      <w:lvlText w:val="•"/>
      <w:lvlJc w:val="left"/>
      <w:pPr>
        <w:ind w:left="2189" w:hanging="420"/>
      </w:pPr>
      <w:rPr>
        <w:rFonts w:hint="default"/>
      </w:rPr>
    </w:lvl>
    <w:lvl w:ilvl="7">
      <w:start w:val="0"/>
      <w:numFmt w:val="bullet"/>
      <w:lvlText w:val="•"/>
      <w:lvlJc w:val="left"/>
      <w:pPr>
        <w:ind w:left="2467" w:hanging="420"/>
      </w:pPr>
      <w:rPr>
        <w:rFonts w:hint="default"/>
      </w:rPr>
    </w:lvl>
    <w:lvl w:ilvl="8">
      <w:start w:val="0"/>
      <w:numFmt w:val="bullet"/>
      <w:lvlText w:val="•"/>
      <w:lvlJc w:val="left"/>
      <w:pPr>
        <w:ind w:left="2745" w:hanging="420"/>
      </w:pPr>
      <w:rPr>
        <w:rFonts w:hint="default"/>
      </w:rPr>
    </w:lvl>
  </w:abstractNum>
  <w:abstractNum w:abstractNumId="11">
    <w:multiLevelType w:val="hybridMultilevel"/>
    <w:lvl w:ilvl="0">
      <w:start w:val="1"/>
      <w:numFmt w:val="decimal"/>
      <w:lvlText w:val="%1."/>
      <w:lvlJc w:val="left"/>
      <w:pPr>
        <w:ind w:left="52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798" w:hanging="421"/>
      </w:pPr>
      <w:rPr>
        <w:rFonts w:hint="default"/>
      </w:rPr>
    </w:lvl>
    <w:lvl w:ilvl="2">
      <w:start w:val="0"/>
      <w:numFmt w:val="bullet"/>
      <w:lvlText w:val="•"/>
      <w:lvlJc w:val="left"/>
      <w:pPr>
        <w:ind w:left="1076" w:hanging="421"/>
      </w:pPr>
      <w:rPr>
        <w:rFonts w:hint="default"/>
      </w:rPr>
    </w:lvl>
    <w:lvl w:ilvl="3">
      <w:start w:val="0"/>
      <w:numFmt w:val="bullet"/>
      <w:lvlText w:val="•"/>
      <w:lvlJc w:val="left"/>
      <w:pPr>
        <w:ind w:left="1354" w:hanging="421"/>
      </w:pPr>
      <w:rPr>
        <w:rFonts w:hint="default"/>
      </w:rPr>
    </w:lvl>
    <w:lvl w:ilvl="4">
      <w:start w:val="0"/>
      <w:numFmt w:val="bullet"/>
      <w:lvlText w:val="•"/>
      <w:lvlJc w:val="left"/>
      <w:pPr>
        <w:ind w:left="1633" w:hanging="421"/>
      </w:pPr>
      <w:rPr>
        <w:rFonts w:hint="default"/>
      </w:rPr>
    </w:lvl>
    <w:lvl w:ilvl="5">
      <w:start w:val="0"/>
      <w:numFmt w:val="bullet"/>
      <w:lvlText w:val="•"/>
      <w:lvlJc w:val="left"/>
      <w:pPr>
        <w:ind w:left="1911" w:hanging="421"/>
      </w:pPr>
      <w:rPr>
        <w:rFonts w:hint="default"/>
      </w:rPr>
    </w:lvl>
    <w:lvl w:ilvl="6">
      <w:start w:val="0"/>
      <w:numFmt w:val="bullet"/>
      <w:lvlText w:val="•"/>
      <w:lvlJc w:val="left"/>
      <w:pPr>
        <w:ind w:left="2189" w:hanging="421"/>
      </w:pPr>
      <w:rPr>
        <w:rFonts w:hint="default"/>
      </w:rPr>
    </w:lvl>
    <w:lvl w:ilvl="7">
      <w:start w:val="0"/>
      <w:numFmt w:val="bullet"/>
      <w:lvlText w:val="•"/>
      <w:lvlJc w:val="left"/>
      <w:pPr>
        <w:ind w:left="2468" w:hanging="421"/>
      </w:pPr>
      <w:rPr>
        <w:rFonts w:hint="default"/>
      </w:rPr>
    </w:lvl>
    <w:lvl w:ilvl="8">
      <w:start w:val="0"/>
      <w:numFmt w:val="bullet"/>
      <w:lvlText w:val="•"/>
      <w:lvlJc w:val="left"/>
      <w:pPr>
        <w:ind w:left="2746" w:hanging="421"/>
      </w:pPr>
      <w:rPr>
        <w:rFonts w:hint="default"/>
      </w:rPr>
    </w:lvl>
  </w:abstractNum>
  <w:abstractNum w:abstractNumId="10">
    <w:multiLevelType w:val="hybridMultilevel"/>
    <w:lvl w:ilvl="0">
      <w:start w:val="1"/>
      <w:numFmt w:val="decimal"/>
      <w:lvlText w:val="（%1）"/>
      <w:lvlJc w:val="left"/>
      <w:pPr>
        <w:ind w:left="835" w:hanging="634"/>
        <w:jc w:val="left"/>
      </w:pPr>
      <w:rPr>
        <w:rFonts w:hint="default" w:ascii="宋体" w:hAnsi="宋体" w:eastAsia="宋体" w:cs="宋体"/>
        <w:w w:val="100"/>
        <w:sz w:val="21"/>
        <w:szCs w:val="21"/>
      </w:rPr>
    </w:lvl>
    <w:lvl w:ilvl="1">
      <w:start w:val="0"/>
      <w:numFmt w:val="bullet"/>
      <w:lvlText w:val="•"/>
      <w:lvlJc w:val="left"/>
      <w:pPr>
        <w:ind w:left="1465" w:hanging="634"/>
      </w:pPr>
      <w:rPr>
        <w:rFonts w:hint="default"/>
      </w:rPr>
    </w:lvl>
    <w:lvl w:ilvl="2">
      <w:start w:val="0"/>
      <w:numFmt w:val="bullet"/>
      <w:lvlText w:val="•"/>
      <w:lvlJc w:val="left"/>
      <w:pPr>
        <w:ind w:left="2090" w:hanging="634"/>
      </w:pPr>
      <w:rPr>
        <w:rFonts w:hint="default"/>
      </w:rPr>
    </w:lvl>
    <w:lvl w:ilvl="3">
      <w:start w:val="0"/>
      <w:numFmt w:val="bullet"/>
      <w:lvlText w:val="•"/>
      <w:lvlJc w:val="left"/>
      <w:pPr>
        <w:ind w:left="2715" w:hanging="634"/>
      </w:pPr>
      <w:rPr>
        <w:rFonts w:hint="default"/>
      </w:rPr>
    </w:lvl>
    <w:lvl w:ilvl="4">
      <w:start w:val="0"/>
      <w:numFmt w:val="bullet"/>
      <w:lvlText w:val="•"/>
      <w:lvlJc w:val="left"/>
      <w:pPr>
        <w:ind w:left="3340" w:hanging="634"/>
      </w:pPr>
      <w:rPr>
        <w:rFonts w:hint="default"/>
      </w:rPr>
    </w:lvl>
    <w:lvl w:ilvl="5">
      <w:start w:val="0"/>
      <w:numFmt w:val="bullet"/>
      <w:lvlText w:val="•"/>
      <w:lvlJc w:val="left"/>
      <w:pPr>
        <w:ind w:left="3966" w:hanging="634"/>
      </w:pPr>
      <w:rPr>
        <w:rFonts w:hint="default"/>
      </w:rPr>
    </w:lvl>
    <w:lvl w:ilvl="6">
      <w:start w:val="0"/>
      <w:numFmt w:val="bullet"/>
      <w:lvlText w:val="•"/>
      <w:lvlJc w:val="left"/>
      <w:pPr>
        <w:ind w:left="4591" w:hanging="634"/>
      </w:pPr>
      <w:rPr>
        <w:rFonts w:hint="default"/>
      </w:rPr>
    </w:lvl>
    <w:lvl w:ilvl="7">
      <w:start w:val="0"/>
      <w:numFmt w:val="bullet"/>
      <w:lvlText w:val="•"/>
      <w:lvlJc w:val="left"/>
      <w:pPr>
        <w:ind w:left="5216" w:hanging="634"/>
      </w:pPr>
      <w:rPr>
        <w:rFonts w:hint="default"/>
      </w:rPr>
    </w:lvl>
    <w:lvl w:ilvl="8">
      <w:start w:val="0"/>
      <w:numFmt w:val="bullet"/>
      <w:lvlText w:val="•"/>
      <w:lvlJc w:val="left"/>
      <w:pPr>
        <w:ind w:left="5841" w:hanging="634"/>
      </w:pPr>
      <w:rPr>
        <w:rFonts w:hint="default"/>
      </w:rPr>
    </w:lvl>
  </w:abstractNum>
  <w:abstractNum w:abstractNumId="9">
    <w:multiLevelType w:val="hybridMultilevel"/>
    <w:lvl w:ilvl="0">
      <w:start w:val="1"/>
      <w:numFmt w:val="upperRoman"/>
      <w:lvlText w:val="%1"/>
      <w:lvlJc w:val="left"/>
      <w:pPr>
        <w:ind w:left="2226" w:hanging="120"/>
        <w:jc w:val="left"/>
      </w:pPr>
      <w:rPr>
        <w:rFonts w:hint="default" w:ascii="Times New Roman" w:hAnsi="Times New Roman" w:eastAsia="Times New Roman" w:cs="Times New Roman"/>
        <w:w w:val="100"/>
        <w:sz w:val="21"/>
        <w:szCs w:val="21"/>
      </w:rPr>
    </w:lvl>
    <w:lvl w:ilvl="1">
      <w:start w:val="0"/>
      <w:numFmt w:val="bullet"/>
      <w:lvlText w:val="•"/>
      <w:lvlJc w:val="left"/>
      <w:pPr>
        <w:ind w:left="2686" w:hanging="120"/>
      </w:pPr>
      <w:rPr>
        <w:rFonts w:hint="default"/>
      </w:rPr>
    </w:lvl>
    <w:lvl w:ilvl="2">
      <w:start w:val="0"/>
      <w:numFmt w:val="bullet"/>
      <w:lvlText w:val="•"/>
      <w:lvlJc w:val="left"/>
      <w:pPr>
        <w:ind w:left="3152" w:hanging="120"/>
      </w:pPr>
      <w:rPr>
        <w:rFonts w:hint="default"/>
      </w:rPr>
    </w:lvl>
    <w:lvl w:ilvl="3">
      <w:start w:val="0"/>
      <w:numFmt w:val="bullet"/>
      <w:lvlText w:val="•"/>
      <w:lvlJc w:val="left"/>
      <w:pPr>
        <w:ind w:left="3618" w:hanging="120"/>
      </w:pPr>
      <w:rPr>
        <w:rFonts w:hint="default"/>
      </w:rPr>
    </w:lvl>
    <w:lvl w:ilvl="4">
      <w:start w:val="0"/>
      <w:numFmt w:val="bullet"/>
      <w:lvlText w:val="•"/>
      <w:lvlJc w:val="left"/>
      <w:pPr>
        <w:ind w:left="4085" w:hanging="120"/>
      </w:pPr>
      <w:rPr>
        <w:rFonts w:hint="default"/>
      </w:rPr>
    </w:lvl>
    <w:lvl w:ilvl="5">
      <w:start w:val="0"/>
      <w:numFmt w:val="bullet"/>
      <w:lvlText w:val="•"/>
      <w:lvlJc w:val="left"/>
      <w:pPr>
        <w:ind w:left="4551" w:hanging="120"/>
      </w:pPr>
      <w:rPr>
        <w:rFonts w:hint="default"/>
      </w:rPr>
    </w:lvl>
    <w:lvl w:ilvl="6">
      <w:start w:val="0"/>
      <w:numFmt w:val="bullet"/>
      <w:lvlText w:val="•"/>
      <w:lvlJc w:val="left"/>
      <w:pPr>
        <w:ind w:left="5017" w:hanging="120"/>
      </w:pPr>
      <w:rPr>
        <w:rFonts w:hint="default"/>
      </w:rPr>
    </w:lvl>
    <w:lvl w:ilvl="7">
      <w:start w:val="0"/>
      <w:numFmt w:val="bullet"/>
      <w:lvlText w:val="•"/>
      <w:lvlJc w:val="left"/>
      <w:pPr>
        <w:ind w:left="5484" w:hanging="120"/>
      </w:pPr>
      <w:rPr>
        <w:rFonts w:hint="default"/>
      </w:rPr>
    </w:lvl>
    <w:lvl w:ilvl="8">
      <w:start w:val="0"/>
      <w:numFmt w:val="bullet"/>
      <w:lvlText w:val="•"/>
      <w:lvlJc w:val="left"/>
      <w:pPr>
        <w:ind w:left="5950" w:hanging="120"/>
      </w:pPr>
      <w:rPr>
        <w:rFonts w:hint="default"/>
      </w:rPr>
    </w:lvl>
  </w:abstractNum>
  <w:abstractNum w:abstractNumId="8">
    <w:multiLevelType w:val="hybridMultilevel"/>
    <w:lvl w:ilvl="0">
      <w:start w:val="26"/>
      <w:numFmt w:val="decimal"/>
      <w:lvlText w:val="%1."/>
      <w:lvlJc w:val="left"/>
      <w:pPr>
        <w:ind w:left="485" w:hanging="368"/>
        <w:jc w:val="left"/>
      </w:pPr>
      <w:rPr>
        <w:rFonts w:hint="default" w:ascii="Times New Roman" w:hAnsi="Times New Roman" w:eastAsia="Times New Roman" w:cs="Times New Roman"/>
        <w:w w:val="100"/>
        <w:sz w:val="21"/>
        <w:szCs w:val="21"/>
      </w:rPr>
    </w:lvl>
    <w:lvl w:ilvl="1">
      <w:start w:val="0"/>
      <w:numFmt w:val="bullet"/>
      <w:lvlText w:val="•"/>
      <w:lvlJc w:val="left"/>
      <w:pPr>
        <w:ind w:left="1452" w:hanging="368"/>
      </w:pPr>
      <w:rPr>
        <w:rFonts w:hint="default"/>
      </w:rPr>
    </w:lvl>
    <w:lvl w:ilvl="2">
      <w:start w:val="0"/>
      <w:numFmt w:val="bullet"/>
      <w:lvlText w:val="•"/>
      <w:lvlJc w:val="left"/>
      <w:pPr>
        <w:ind w:left="2425" w:hanging="368"/>
      </w:pPr>
      <w:rPr>
        <w:rFonts w:hint="default"/>
      </w:rPr>
    </w:lvl>
    <w:lvl w:ilvl="3">
      <w:start w:val="0"/>
      <w:numFmt w:val="bullet"/>
      <w:lvlText w:val="•"/>
      <w:lvlJc w:val="left"/>
      <w:pPr>
        <w:ind w:left="3397" w:hanging="368"/>
      </w:pPr>
      <w:rPr>
        <w:rFonts w:hint="default"/>
      </w:rPr>
    </w:lvl>
    <w:lvl w:ilvl="4">
      <w:start w:val="0"/>
      <w:numFmt w:val="bullet"/>
      <w:lvlText w:val="•"/>
      <w:lvlJc w:val="left"/>
      <w:pPr>
        <w:ind w:left="4370" w:hanging="368"/>
      </w:pPr>
      <w:rPr>
        <w:rFonts w:hint="default"/>
      </w:rPr>
    </w:lvl>
    <w:lvl w:ilvl="5">
      <w:start w:val="0"/>
      <w:numFmt w:val="bullet"/>
      <w:lvlText w:val="•"/>
      <w:lvlJc w:val="left"/>
      <w:pPr>
        <w:ind w:left="5343" w:hanging="368"/>
      </w:pPr>
      <w:rPr>
        <w:rFonts w:hint="default"/>
      </w:rPr>
    </w:lvl>
    <w:lvl w:ilvl="6">
      <w:start w:val="0"/>
      <w:numFmt w:val="bullet"/>
      <w:lvlText w:val="•"/>
      <w:lvlJc w:val="left"/>
      <w:pPr>
        <w:ind w:left="6315" w:hanging="368"/>
      </w:pPr>
      <w:rPr>
        <w:rFonts w:hint="default"/>
      </w:rPr>
    </w:lvl>
    <w:lvl w:ilvl="7">
      <w:start w:val="0"/>
      <w:numFmt w:val="bullet"/>
      <w:lvlText w:val="•"/>
      <w:lvlJc w:val="left"/>
      <w:pPr>
        <w:ind w:left="7288" w:hanging="368"/>
      </w:pPr>
      <w:rPr>
        <w:rFonts w:hint="default"/>
      </w:rPr>
    </w:lvl>
    <w:lvl w:ilvl="8">
      <w:start w:val="0"/>
      <w:numFmt w:val="bullet"/>
      <w:lvlText w:val="•"/>
      <w:lvlJc w:val="left"/>
      <w:pPr>
        <w:ind w:left="8261" w:hanging="368"/>
      </w:pPr>
      <w:rPr>
        <w:rFonts w:hint="default"/>
      </w:rPr>
    </w:lvl>
  </w:abstractNum>
  <w:abstractNum w:abstractNumId="7">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6">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5">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3">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9"/>
      </w:pPr>
      <w:rPr>
        <w:rFonts w:hint="default"/>
      </w:rPr>
    </w:lvl>
    <w:lvl w:ilvl="2">
      <w:start w:val="0"/>
      <w:numFmt w:val="bullet"/>
      <w:lvlText w:val="•"/>
      <w:lvlJc w:val="left"/>
      <w:pPr>
        <w:ind w:left="2145" w:hanging="269"/>
      </w:pPr>
      <w:rPr>
        <w:rFonts w:hint="default"/>
      </w:rPr>
    </w:lvl>
    <w:lvl w:ilvl="3">
      <w:start w:val="0"/>
      <w:numFmt w:val="bullet"/>
      <w:lvlText w:val="•"/>
      <w:lvlJc w:val="left"/>
      <w:pPr>
        <w:ind w:left="3157" w:hanging="269"/>
      </w:pPr>
      <w:rPr>
        <w:rFonts w:hint="default"/>
      </w:rPr>
    </w:lvl>
    <w:lvl w:ilvl="4">
      <w:start w:val="0"/>
      <w:numFmt w:val="bullet"/>
      <w:lvlText w:val="•"/>
      <w:lvlJc w:val="left"/>
      <w:pPr>
        <w:ind w:left="4170" w:hanging="269"/>
      </w:pPr>
      <w:rPr>
        <w:rFonts w:hint="default"/>
      </w:rPr>
    </w:lvl>
    <w:lvl w:ilvl="5">
      <w:start w:val="0"/>
      <w:numFmt w:val="bullet"/>
      <w:lvlText w:val="•"/>
      <w:lvlJc w:val="left"/>
      <w:pPr>
        <w:ind w:left="5183" w:hanging="269"/>
      </w:pPr>
      <w:rPr>
        <w:rFonts w:hint="default"/>
      </w:rPr>
    </w:lvl>
    <w:lvl w:ilvl="6">
      <w:start w:val="0"/>
      <w:numFmt w:val="bullet"/>
      <w:lvlText w:val="•"/>
      <w:lvlJc w:val="left"/>
      <w:pPr>
        <w:ind w:left="6195" w:hanging="269"/>
      </w:pPr>
      <w:rPr>
        <w:rFonts w:hint="default"/>
      </w:rPr>
    </w:lvl>
    <w:lvl w:ilvl="7">
      <w:start w:val="0"/>
      <w:numFmt w:val="bullet"/>
      <w:lvlText w:val="•"/>
      <w:lvlJc w:val="left"/>
      <w:pPr>
        <w:ind w:left="7208" w:hanging="269"/>
      </w:pPr>
      <w:rPr>
        <w:rFonts w:hint="default"/>
      </w:rPr>
    </w:lvl>
    <w:lvl w:ilvl="8">
      <w:start w:val="0"/>
      <w:numFmt w:val="bullet"/>
      <w:lvlText w:val="•"/>
      <w:lvlJc w:val="left"/>
      <w:pPr>
        <w:ind w:left="8221" w:hanging="269"/>
      </w:pPr>
      <w:rPr>
        <w:rFonts w:hint="default"/>
      </w:rPr>
    </w:lvl>
  </w:abstractNum>
  <w:abstractNum w:abstractNumId="1">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4"/>
      </w:pPr>
      <w:rPr>
        <w:rFonts w:hint="default"/>
      </w:rPr>
    </w:lvl>
    <w:lvl w:ilvl="2">
      <w:start w:val="0"/>
      <w:numFmt w:val="bullet"/>
      <w:lvlText w:val="•"/>
      <w:lvlJc w:val="left"/>
      <w:pPr>
        <w:ind w:left="2125" w:hanging="264"/>
      </w:pPr>
      <w:rPr>
        <w:rFonts w:hint="default"/>
      </w:rPr>
    </w:lvl>
    <w:lvl w:ilvl="3">
      <w:start w:val="0"/>
      <w:numFmt w:val="bullet"/>
      <w:lvlText w:val="•"/>
      <w:lvlJc w:val="left"/>
      <w:pPr>
        <w:ind w:left="3127" w:hanging="264"/>
      </w:pPr>
      <w:rPr>
        <w:rFonts w:hint="default"/>
      </w:rPr>
    </w:lvl>
    <w:lvl w:ilvl="4">
      <w:start w:val="0"/>
      <w:numFmt w:val="bullet"/>
      <w:lvlText w:val="•"/>
      <w:lvlJc w:val="left"/>
      <w:pPr>
        <w:ind w:left="4130" w:hanging="264"/>
      </w:pPr>
      <w:rPr>
        <w:rFonts w:hint="default"/>
      </w:rPr>
    </w:lvl>
    <w:lvl w:ilvl="5">
      <w:start w:val="0"/>
      <w:numFmt w:val="bullet"/>
      <w:lvlText w:val="•"/>
      <w:lvlJc w:val="left"/>
      <w:pPr>
        <w:ind w:left="5133" w:hanging="264"/>
      </w:pPr>
      <w:rPr>
        <w:rFonts w:hint="default"/>
      </w:rPr>
    </w:lvl>
    <w:lvl w:ilvl="6">
      <w:start w:val="0"/>
      <w:numFmt w:val="bullet"/>
      <w:lvlText w:val="•"/>
      <w:lvlJc w:val="left"/>
      <w:pPr>
        <w:ind w:left="6135" w:hanging="264"/>
      </w:pPr>
      <w:rPr>
        <w:rFonts w:hint="default"/>
      </w:rPr>
    </w:lvl>
    <w:lvl w:ilvl="7">
      <w:start w:val="0"/>
      <w:numFmt w:val="bullet"/>
      <w:lvlText w:val="•"/>
      <w:lvlJc w:val="left"/>
      <w:pPr>
        <w:ind w:left="7138" w:hanging="264"/>
      </w:pPr>
      <w:rPr>
        <w:rFonts w:hint="default"/>
      </w:rPr>
    </w:lvl>
    <w:lvl w:ilvl="8">
      <w:start w:val="0"/>
      <w:numFmt w:val="bullet"/>
      <w:lvlText w:val="•"/>
      <w:lvlJc w:val="left"/>
      <w:pPr>
        <w:ind w:left="8141" w:hanging="264"/>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117" w:firstLine="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Zhao</dc:creator>
  <dcterms:created xsi:type="dcterms:W3CDTF">2018-10-20T03:50:33Z</dcterms:created>
  <dcterms:modified xsi:type="dcterms:W3CDTF">2018-10-20T03:50:33Z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2017-10-26T00:00:00Z</vt:filetime>
  </property>
  <property fmtid="{D5CDD505-2E9C-101B-9397-08002B2CF9AE}" pid="3" name="Creator">
    <vt:lpwstr>Microsoft® Word 2010</vt:lpwstr>
  </property>
  <property fmtid="{D5CDD505-2E9C-101B-9397-08002B2CF9AE}" pid="4" name="LastSaved">
    <vt:filetime>2018-10-19T00:00:00Z</vt:filetime>
  </property>
</Properties>
</file>