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3"/>
        <w:gridCol w:w="1969"/>
      </w:tblGrid>
      <w:tr>
        <w:trPr>
          <w:trHeight w:val="214" w:hRule="atLeast"/>
        </w:trPr>
        <w:tc>
          <w:tcPr>
            <w:tcW w:w="8842" w:type="dxa"/>
            <w:gridSpan w:val="2"/>
          </w:tcPr>
          <w:p>
            <w:pPr>
              <w:pStyle w:val="TableParagraph"/>
              <w:spacing w:line="194" w:lineRule="exact"/>
              <w:ind w:left="0" w:right="201"/>
              <w:jc w:val="right"/>
              <w:rPr>
                <w:sz w:val="20"/>
              </w:rPr>
            </w:pPr>
            <w:r>
              <w:rPr>
                <w:w w:val="95"/>
                <w:sz w:val="20"/>
              </w:rPr>
              <w:t>君龙人寿[2009]疾病保险047号</w:t>
            </w:r>
          </w:p>
        </w:tc>
      </w:tr>
      <w:tr>
        <w:trPr>
          <w:trHeight w:val="1170" w:hRule="atLeast"/>
        </w:trPr>
        <w:tc>
          <w:tcPr>
            <w:tcW w:w="6873" w:type="dxa"/>
          </w:tcPr>
          <w:p>
            <w:pPr>
              <w:pStyle w:val="TableParagraph"/>
              <w:spacing w:before="132"/>
              <w:ind w:left="200"/>
              <w:rPr>
                <w:rFonts w:ascii="微软雅黑" w:eastAsia="微软雅黑" w:hint="eastAsia"/>
                <w:b/>
                <w:sz w:val="40"/>
              </w:rPr>
            </w:pPr>
            <w:r>
              <w:rPr>
                <w:rFonts w:ascii="微软雅黑" w:eastAsia="微软雅黑" w:hint="eastAsia"/>
                <w:b/>
                <w:sz w:val="40"/>
              </w:rPr>
              <w:t>君龙团体重大疾病保险</w:t>
            </w:r>
            <w:r>
              <w:rPr>
                <w:rFonts w:ascii="Microsoft JhengHei UI" w:eastAsia="Microsoft JhengHei UI" w:hint="eastAsia"/>
                <w:b/>
                <w:sz w:val="40"/>
              </w:rPr>
              <w:t>(2009)</w:t>
            </w:r>
            <w:r>
              <w:rPr>
                <w:rFonts w:ascii="微软雅黑" w:eastAsia="微软雅黑" w:hint="eastAsia"/>
                <w:b/>
                <w:sz w:val="40"/>
              </w:rPr>
              <w:t>条款</w:t>
            </w:r>
          </w:p>
        </w:tc>
        <w:tc>
          <w:tcPr>
            <w:tcW w:w="1969" w:type="dxa"/>
          </w:tcPr>
          <w:p>
            <w:pPr>
              <w:pStyle w:val="TableParagraph"/>
              <w:ind w:left="627"/>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14" w:hRule="atLeast"/>
        </w:trPr>
        <w:tc>
          <w:tcPr>
            <w:tcW w:w="8842" w:type="dxa"/>
            <w:gridSpan w:val="2"/>
          </w:tcPr>
          <w:p>
            <w:pPr>
              <w:pStyle w:val="TableParagraph"/>
              <w:spacing w:line="194" w:lineRule="exact"/>
              <w:ind w:left="0" w:right="203"/>
              <w:jc w:val="right"/>
              <w:rPr>
                <w:sz w:val="20"/>
              </w:rPr>
            </w:pPr>
            <w:r>
              <w:rPr>
                <w:w w:val="95"/>
                <w:sz w:val="20"/>
              </w:rPr>
              <w:t>请扫描以查询验证条款</w:t>
            </w:r>
          </w:p>
        </w:tc>
      </w:tr>
    </w:tbl>
    <w:p>
      <w:pPr>
        <w:pStyle w:val="Heading1"/>
        <w:spacing w:line="572" w:lineRule="exact"/>
        <w:ind w:left="348" w:right="486"/>
      </w:pPr>
      <w:r>
        <w:rPr/>
        <w:t>阅 读 指 引</w:t>
      </w:r>
    </w:p>
    <w:p>
      <w:pPr>
        <w:pStyle w:val="BodyText"/>
        <w:spacing w:before="1"/>
        <w:rPr>
          <w:rFonts w:ascii="微软雅黑"/>
          <w:b/>
          <w:sz w:val="18"/>
        </w:rPr>
      </w:pPr>
    </w:p>
    <w:p>
      <w:pPr>
        <w:spacing w:before="36"/>
        <w:ind w:left="348" w:right="486" w:firstLine="0"/>
        <w:jc w:val="center"/>
        <w:rPr>
          <w:sz w:val="21"/>
        </w:rPr>
      </w:pPr>
      <w:r>
        <w:rPr/>
        <w:drawing>
          <wp:anchor distT="0" distB="0" distL="0" distR="0" allowOverlap="1" layoutInCell="1" locked="0" behindDoc="1" simplePos="0" relativeHeight="268407935">
            <wp:simplePos x="0" y="0"/>
            <wp:positionH relativeFrom="page">
              <wp:posOffset>679704</wp:posOffset>
            </wp:positionH>
            <wp:positionV relativeFrom="paragraph">
              <wp:posOffset>218232</wp:posOffset>
            </wp:positionV>
            <wp:extent cx="6199378" cy="597966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199378" cy="5979668"/>
                    </a:xfrm>
                    <a:prstGeom prst="rect">
                      <a:avLst/>
                    </a:prstGeom>
                  </pic:spPr>
                </pic:pic>
              </a:graphicData>
            </a:graphic>
          </wp:anchor>
        </w:drawing>
      </w:r>
      <w:r>
        <w:rPr>
          <w:sz w:val="21"/>
        </w:rPr>
        <w:t>本阅读指引有助于投保人理解条款，对</w:t>
      </w:r>
      <w:r>
        <w:rPr>
          <w:b/>
          <w:sz w:val="21"/>
        </w:rPr>
        <w:t>《君龙团体重大疾病保险(2009)》</w:t>
      </w:r>
      <w:r>
        <w:rPr>
          <w:sz w:val="21"/>
        </w:rPr>
        <w:t>合同内容的解释以条款为准</w:t>
      </w:r>
    </w:p>
    <w:p>
      <w:pPr>
        <w:pStyle w:val="BodyText"/>
        <w:rPr>
          <w:sz w:val="20"/>
        </w:rPr>
      </w:pPr>
    </w:p>
    <w:p>
      <w:pPr>
        <w:pStyle w:val="BodyText"/>
        <w:spacing w:before="10"/>
        <w:rPr>
          <w:sz w:val="15"/>
        </w:rPr>
      </w:pPr>
    </w:p>
    <w:p>
      <w:pPr>
        <w:spacing w:line="580" w:lineRule="exact" w:before="0"/>
        <w:ind w:left="287" w:right="0" w:firstLine="0"/>
        <w:jc w:val="left"/>
        <w:rPr>
          <w:b/>
          <w:sz w:val="24"/>
        </w:rPr>
      </w:pPr>
      <w:r>
        <w:rPr>
          <w:rFonts w:ascii="Arial" w:hAnsi="Arial" w:eastAsia="Arial"/>
          <w:b/>
          <w:position w:val="-11"/>
          <w:sz w:val="52"/>
        </w:rPr>
        <w:t></w:t>
      </w:r>
      <w:r>
        <w:rPr>
          <w:b/>
          <w:sz w:val="24"/>
        </w:rPr>
        <w:t>投保人拥有的重要权益</w:t>
      </w:r>
    </w:p>
    <w:p>
      <w:pPr>
        <w:pStyle w:val="ListParagraph"/>
        <w:numPr>
          <w:ilvl w:val="0"/>
          <w:numId w:val="1"/>
        </w:numPr>
        <w:tabs>
          <w:tab w:pos="764" w:val="left" w:leader="none"/>
          <w:tab w:pos="9532" w:val="right" w:leader="dot"/>
        </w:tabs>
        <w:spacing w:line="286" w:lineRule="exact" w:before="0" w:after="0"/>
        <w:ind w:left="763" w:right="0" w:hanging="307"/>
        <w:jc w:val="left"/>
        <w:rPr>
          <w:sz w:val="22"/>
        </w:rPr>
      </w:pPr>
      <w:r>
        <w:rPr>
          <w:sz w:val="22"/>
        </w:rPr>
        <w:t>被保</w:t>
      </w:r>
      <w:r>
        <w:rPr>
          <w:spacing w:val="-3"/>
          <w:sz w:val="22"/>
        </w:rPr>
        <w:t>险</w:t>
      </w:r>
      <w:r>
        <w:rPr>
          <w:sz w:val="22"/>
        </w:rPr>
        <w:t>人可</w:t>
      </w:r>
      <w:r>
        <w:rPr>
          <w:spacing w:val="-3"/>
          <w:sz w:val="22"/>
        </w:rPr>
        <w:t>以</w:t>
      </w:r>
      <w:r>
        <w:rPr>
          <w:sz w:val="22"/>
        </w:rPr>
        <w:t>享受</w:t>
      </w:r>
      <w:r>
        <w:rPr>
          <w:spacing w:val="-3"/>
          <w:sz w:val="22"/>
        </w:rPr>
        <w:t>本</w:t>
      </w:r>
      <w:r>
        <w:rPr>
          <w:sz w:val="22"/>
        </w:rPr>
        <w:t>合同提</w:t>
      </w:r>
      <w:r>
        <w:rPr>
          <w:spacing w:val="-3"/>
          <w:sz w:val="22"/>
        </w:rPr>
        <w:t>供</w:t>
      </w:r>
      <w:r>
        <w:rPr>
          <w:sz w:val="22"/>
        </w:rPr>
        <w:t>的保障</w:t>
        <w:tab/>
        <w:t>2.3</w:t>
      </w:r>
    </w:p>
    <w:p>
      <w:pPr>
        <w:pStyle w:val="ListParagraph"/>
        <w:numPr>
          <w:ilvl w:val="0"/>
          <w:numId w:val="1"/>
        </w:numPr>
        <w:tabs>
          <w:tab w:pos="764" w:val="left" w:leader="none"/>
          <w:tab w:pos="9532" w:val="right" w:leader="dot"/>
        </w:tabs>
        <w:spacing w:line="240" w:lineRule="auto" w:before="126" w:after="0"/>
        <w:ind w:left="763" w:right="0" w:hanging="307"/>
        <w:jc w:val="left"/>
        <w:rPr>
          <w:sz w:val="22"/>
        </w:rPr>
      </w:pPr>
      <w:r>
        <w:rPr>
          <w:sz w:val="22"/>
        </w:rPr>
        <w:t>投保</w:t>
      </w:r>
      <w:r>
        <w:rPr>
          <w:spacing w:val="-3"/>
          <w:sz w:val="22"/>
        </w:rPr>
        <w:t>人</w:t>
      </w:r>
      <w:r>
        <w:rPr>
          <w:sz w:val="22"/>
        </w:rPr>
        <w:t>有退</w:t>
      </w:r>
      <w:r>
        <w:rPr>
          <w:spacing w:val="-3"/>
          <w:sz w:val="22"/>
        </w:rPr>
        <w:t>保</w:t>
      </w:r>
      <w:r>
        <w:rPr>
          <w:sz w:val="22"/>
        </w:rPr>
        <w:t>的权利</w:t>
        <w:tab/>
        <w:t>4.1</w:t>
      </w:r>
    </w:p>
    <w:p>
      <w:pPr>
        <w:pStyle w:val="ListParagraph"/>
        <w:numPr>
          <w:ilvl w:val="0"/>
          <w:numId w:val="1"/>
        </w:numPr>
        <w:tabs>
          <w:tab w:pos="764" w:val="left" w:leader="none"/>
          <w:tab w:pos="9532" w:val="right" w:leader="dot"/>
        </w:tabs>
        <w:spacing w:line="240" w:lineRule="auto" w:before="123" w:after="0"/>
        <w:ind w:left="763" w:right="0" w:hanging="307"/>
        <w:jc w:val="left"/>
        <w:rPr>
          <w:sz w:val="22"/>
        </w:rPr>
      </w:pPr>
      <w:r>
        <w:rPr>
          <w:sz w:val="22"/>
        </w:rPr>
        <w:t>投保</w:t>
      </w:r>
      <w:r>
        <w:rPr>
          <w:spacing w:val="-3"/>
          <w:sz w:val="22"/>
        </w:rPr>
        <w:t>人</w:t>
      </w:r>
      <w:r>
        <w:rPr>
          <w:sz w:val="22"/>
        </w:rPr>
        <w:t>有变</w:t>
      </w:r>
      <w:r>
        <w:rPr>
          <w:spacing w:val="-3"/>
          <w:sz w:val="22"/>
        </w:rPr>
        <w:t>动</w:t>
      </w:r>
      <w:r>
        <w:rPr>
          <w:sz w:val="22"/>
        </w:rPr>
        <w:t>被保</w:t>
      </w:r>
      <w:r>
        <w:rPr>
          <w:spacing w:val="-3"/>
          <w:sz w:val="22"/>
        </w:rPr>
        <w:t>险</w:t>
      </w:r>
      <w:r>
        <w:rPr>
          <w:sz w:val="22"/>
        </w:rPr>
        <w:t>人的权利</w:t>
        <w:tab/>
        <w:t>5.5</w:t>
      </w:r>
    </w:p>
    <w:p>
      <w:pPr>
        <w:spacing w:line="580" w:lineRule="exact" w:before="538"/>
        <w:ind w:left="287" w:right="0" w:firstLine="0"/>
        <w:jc w:val="left"/>
        <w:rPr>
          <w:b/>
          <w:sz w:val="24"/>
        </w:rPr>
      </w:pPr>
      <w:r>
        <w:rPr>
          <w:rFonts w:ascii="Arial" w:hAnsi="Arial" w:eastAsia="Arial"/>
          <w:b/>
          <w:position w:val="-11"/>
          <w:sz w:val="52"/>
        </w:rPr>
        <w:t></w:t>
      </w:r>
      <w:r>
        <w:rPr>
          <w:b/>
          <w:sz w:val="24"/>
        </w:rPr>
        <w:t>投保人应当特别注意的事项</w:t>
      </w:r>
    </w:p>
    <w:p>
      <w:pPr>
        <w:pStyle w:val="ListParagraph"/>
        <w:numPr>
          <w:ilvl w:val="0"/>
          <w:numId w:val="1"/>
        </w:numPr>
        <w:tabs>
          <w:tab w:pos="764" w:val="left" w:leader="none"/>
          <w:tab w:pos="9532" w:val="right" w:leader="dot"/>
        </w:tabs>
        <w:spacing w:line="285" w:lineRule="exact" w:before="0" w:after="0"/>
        <w:ind w:left="763" w:right="0" w:hanging="307"/>
        <w:jc w:val="left"/>
        <w:rPr>
          <w:sz w:val="22"/>
        </w:rPr>
      </w:pPr>
      <w:r>
        <w:rPr>
          <w:sz w:val="22"/>
        </w:rPr>
        <w:t>在某</w:t>
      </w:r>
      <w:r>
        <w:rPr>
          <w:spacing w:val="-3"/>
          <w:sz w:val="22"/>
        </w:rPr>
        <w:t>些</w:t>
      </w:r>
      <w:r>
        <w:rPr>
          <w:sz w:val="22"/>
        </w:rPr>
        <w:t>情况</w:t>
      </w:r>
      <w:r>
        <w:rPr>
          <w:spacing w:val="-3"/>
          <w:sz w:val="22"/>
        </w:rPr>
        <w:t>下</w:t>
      </w:r>
      <w:r>
        <w:rPr>
          <w:sz w:val="22"/>
        </w:rPr>
        <w:t>，我</w:t>
      </w:r>
      <w:r>
        <w:rPr>
          <w:spacing w:val="-3"/>
          <w:sz w:val="22"/>
        </w:rPr>
        <w:t>们</w:t>
      </w:r>
      <w:r>
        <w:rPr>
          <w:sz w:val="22"/>
        </w:rPr>
        <w:t>不承担</w:t>
      </w:r>
      <w:r>
        <w:rPr>
          <w:spacing w:val="-3"/>
          <w:sz w:val="22"/>
        </w:rPr>
        <w:t>保</w:t>
      </w:r>
      <w:r>
        <w:rPr>
          <w:sz w:val="22"/>
        </w:rPr>
        <w:t>险责任</w:t>
        <w:tab/>
        <w:t>2.4</w:t>
      </w:r>
    </w:p>
    <w:p>
      <w:pPr>
        <w:pStyle w:val="ListParagraph"/>
        <w:numPr>
          <w:ilvl w:val="0"/>
          <w:numId w:val="1"/>
        </w:numPr>
        <w:tabs>
          <w:tab w:pos="764" w:val="left" w:leader="none"/>
          <w:tab w:pos="9532" w:val="right" w:leader="dot"/>
        </w:tabs>
        <w:spacing w:line="240" w:lineRule="auto" w:before="124" w:after="0"/>
        <w:ind w:left="763" w:right="0" w:hanging="307"/>
        <w:jc w:val="left"/>
        <w:rPr>
          <w:sz w:val="22"/>
        </w:rPr>
      </w:pPr>
      <w:r>
        <w:rPr>
          <w:sz w:val="22"/>
        </w:rPr>
        <w:t>保险</w:t>
      </w:r>
      <w:r>
        <w:rPr>
          <w:spacing w:val="-3"/>
          <w:sz w:val="22"/>
        </w:rPr>
        <w:t>事</w:t>
      </w:r>
      <w:r>
        <w:rPr>
          <w:sz w:val="22"/>
        </w:rPr>
        <w:t>故发</w:t>
      </w:r>
      <w:r>
        <w:rPr>
          <w:spacing w:val="-3"/>
          <w:sz w:val="22"/>
        </w:rPr>
        <w:t>生</w:t>
      </w:r>
      <w:r>
        <w:rPr>
          <w:sz w:val="22"/>
        </w:rPr>
        <w:t>后请</w:t>
      </w:r>
      <w:r>
        <w:rPr>
          <w:spacing w:val="-3"/>
          <w:sz w:val="22"/>
        </w:rPr>
        <w:t>投</w:t>
      </w:r>
      <w:r>
        <w:rPr>
          <w:sz w:val="22"/>
        </w:rPr>
        <w:t>保人及</w:t>
      </w:r>
      <w:r>
        <w:rPr>
          <w:spacing w:val="-3"/>
          <w:sz w:val="22"/>
        </w:rPr>
        <w:t>时</w:t>
      </w:r>
      <w:r>
        <w:rPr>
          <w:sz w:val="22"/>
        </w:rPr>
        <w:t>通知</w:t>
      </w:r>
      <w:r>
        <w:rPr>
          <w:spacing w:val="-3"/>
          <w:sz w:val="22"/>
        </w:rPr>
        <w:t>我</w:t>
      </w:r>
      <w:r>
        <w:rPr>
          <w:sz w:val="22"/>
        </w:rPr>
        <w:t>们</w:t>
        <w:tab/>
        <w:t>3.2</w:t>
      </w:r>
    </w:p>
    <w:p>
      <w:pPr>
        <w:pStyle w:val="ListParagraph"/>
        <w:numPr>
          <w:ilvl w:val="0"/>
          <w:numId w:val="1"/>
        </w:numPr>
        <w:tabs>
          <w:tab w:pos="764" w:val="left" w:leader="none"/>
          <w:tab w:pos="9532" w:val="right" w:leader="dot"/>
        </w:tabs>
        <w:spacing w:line="240" w:lineRule="auto" w:before="126" w:after="0"/>
        <w:ind w:left="763" w:right="0" w:hanging="307"/>
        <w:jc w:val="left"/>
        <w:rPr>
          <w:sz w:val="22"/>
        </w:rPr>
      </w:pPr>
      <w:r>
        <w:rPr>
          <w:sz w:val="22"/>
        </w:rPr>
        <w:t>退保</w:t>
      </w:r>
      <w:r>
        <w:rPr>
          <w:spacing w:val="-3"/>
          <w:sz w:val="22"/>
        </w:rPr>
        <w:t>会</w:t>
      </w:r>
      <w:r>
        <w:rPr>
          <w:sz w:val="22"/>
        </w:rPr>
        <w:t>给投</w:t>
      </w:r>
      <w:r>
        <w:rPr>
          <w:spacing w:val="-3"/>
          <w:sz w:val="22"/>
        </w:rPr>
        <w:t>保</w:t>
      </w:r>
      <w:r>
        <w:rPr>
          <w:sz w:val="22"/>
        </w:rPr>
        <w:t>人造</w:t>
      </w:r>
      <w:r>
        <w:rPr>
          <w:spacing w:val="-3"/>
          <w:sz w:val="22"/>
        </w:rPr>
        <w:t>成</w:t>
      </w:r>
      <w:r>
        <w:rPr>
          <w:sz w:val="22"/>
        </w:rPr>
        <w:t>一定的</w:t>
      </w:r>
      <w:r>
        <w:rPr>
          <w:spacing w:val="-3"/>
          <w:sz w:val="22"/>
        </w:rPr>
        <w:t>损</w:t>
      </w:r>
      <w:r>
        <w:rPr>
          <w:sz w:val="22"/>
        </w:rPr>
        <w:t>失，</w:t>
      </w:r>
      <w:r>
        <w:rPr>
          <w:spacing w:val="-3"/>
          <w:sz w:val="22"/>
        </w:rPr>
        <w:t>请</w:t>
      </w:r>
      <w:r>
        <w:rPr>
          <w:sz w:val="22"/>
        </w:rPr>
        <w:t>投保</w:t>
      </w:r>
      <w:r>
        <w:rPr>
          <w:spacing w:val="-3"/>
          <w:sz w:val="22"/>
        </w:rPr>
        <w:t>人慎</w:t>
      </w:r>
      <w:r>
        <w:rPr>
          <w:sz w:val="22"/>
        </w:rPr>
        <w:t>重决策</w:t>
        <w:tab/>
        <w:t>4.1</w:t>
      </w:r>
    </w:p>
    <w:p>
      <w:pPr>
        <w:pStyle w:val="ListParagraph"/>
        <w:numPr>
          <w:ilvl w:val="0"/>
          <w:numId w:val="1"/>
        </w:numPr>
        <w:tabs>
          <w:tab w:pos="764" w:val="left" w:leader="none"/>
          <w:tab w:pos="9532" w:val="right" w:leader="dot"/>
        </w:tabs>
        <w:spacing w:line="240" w:lineRule="auto" w:before="124" w:after="0"/>
        <w:ind w:left="763" w:right="0" w:hanging="307"/>
        <w:jc w:val="left"/>
        <w:rPr>
          <w:sz w:val="22"/>
        </w:rPr>
      </w:pPr>
      <w:r>
        <w:rPr>
          <w:sz w:val="22"/>
        </w:rPr>
        <w:t>投保</w:t>
      </w:r>
      <w:r>
        <w:rPr>
          <w:spacing w:val="-3"/>
          <w:sz w:val="22"/>
        </w:rPr>
        <w:t>人</w:t>
      </w:r>
      <w:r>
        <w:rPr>
          <w:sz w:val="22"/>
        </w:rPr>
        <w:t>有如</w:t>
      </w:r>
      <w:r>
        <w:rPr>
          <w:spacing w:val="-3"/>
          <w:sz w:val="22"/>
        </w:rPr>
        <w:t>实</w:t>
      </w:r>
      <w:r>
        <w:rPr>
          <w:sz w:val="22"/>
        </w:rPr>
        <w:t>告知</w:t>
      </w:r>
      <w:r>
        <w:rPr>
          <w:spacing w:val="-3"/>
          <w:sz w:val="22"/>
        </w:rPr>
        <w:t>的</w:t>
      </w:r>
      <w:r>
        <w:rPr>
          <w:sz w:val="22"/>
        </w:rPr>
        <w:t>义务</w:t>
        <w:tab/>
        <w:t>5.1</w:t>
      </w:r>
    </w:p>
    <w:p>
      <w:pPr>
        <w:pStyle w:val="ListParagraph"/>
        <w:numPr>
          <w:ilvl w:val="0"/>
          <w:numId w:val="1"/>
        </w:numPr>
        <w:tabs>
          <w:tab w:pos="764" w:val="left" w:leader="none"/>
          <w:tab w:pos="9532" w:val="right" w:leader="dot"/>
        </w:tabs>
        <w:spacing w:line="240" w:lineRule="auto" w:before="123" w:after="0"/>
        <w:ind w:left="763" w:right="0" w:hanging="307"/>
        <w:jc w:val="left"/>
        <w:rPr>
          <w:sz w:val="22"/>
        </w:rPr>
      </w:pPr>
      <w:r>
        <w:rPr>
          <w:sz w:val="22"/>
        </w:rPr>
        <w:t>我们</w:t>
      </w:r>
      <w:r>
        <w:rPr>
          <w:spacing w:val="-3"/>
          <w:sz w:val="22"/>
        </w:rPr>
        <w:t>对</w:t>
      </w:r>
      <w:r>
        <w:rPr>
          <w:sz w:val="22"/>
        </w:rPr>
        <w:t>一些</w:t>
      </w:r>
      <w:r>
        <w:rPr>
          <w:spacing w:val="-3"/>
          <w:sz w:val="22"/>
        </w:rPr>
        <w:t>重</w:t>
      </w:r>
      <w:r>
        <w:rPr>
          <w:sz w:val="22"/>
        </w:rPr>
        <w:t>要术</w:t>
      </w:r>
      <w:r>
        <w:rPr>
          <w:spacing w:val="-3"/>
          <w:sz w:val="22"/>
        </w:rPr>
        <w:t>语</w:t>
      </w:r>
      <w:r>
        <w:rPr>
          <w:sz w:val="22"/>
        </w:rPr>
        <w:t>进行了</w:t>
      </w:r>
      <w:r>
        <w:rPr>
          <w:spacing w:val="-3"/>
          <w:sz w:val="22"/>
        </w:rPr>
        <w:t>解</w:t>
      </w:r>
      <w:r>
        <w:rPr>
          <w:sz w:val="22"/>
        </w:rPr>
        <w:t>释，</w:t>
      </w:r>
      <w:r>
        <w:rPr>
          <w:spacing w:val="-3"/>
          <w:sz w:val="22"/>
        </w:rPr>
        <w:t>并</w:t>
      </w:r>
      <w:r>
        <w:rPr>
          <w:sz w:val="22"/>
        </w:rPr>
        <w:t>作了</w:t>
      </w:r>
      <w:r>
        <w:rPr>
          <w:spacing w:val="-3"/>
          <w:sz w:val="22"/>
        </w:rPr>
        <w:t>显著</w:t>
      </w:r>
      <w:r>
        <w:rPr>
          <w:sz w:val="22"/>
        </w:rPr>
        <w:t>标识，</w:t>
      </w:r>
      <w:r>
        <w:rPr>
          <w:spacing w:val="-3"/>
          <w:sz w:val="22"/>
        </w:rPr>
        <w:t>请</w:t>
      </w:r>
      <w:r>
        <w:rPr>
          <w:sz w:val="22"/>
        </w:rPr>
        <w:t>投保</w:t>
      </w:r>
      <w:r>
        <w:rPr>
          <w:spacing w:val="-3"/>
          <w:sz w:val="22"/>
        </w:rPr>
        <w:t>人</w:t>
      </w:r>
      <w:r>
        <w:rPr>
          <w:sz w:val="22"/>
        </w:rPr>
        <w:t>注意</w:t>
        <w:tab/>
        <w:t>6</w:t>
      </w:r>
    </w:p>
    <w:p>
      <w:pPr>
        <w:spacing w:before="538"/>
        <w:ind w:left="287" w:right="0" w:firstLine="0"/>
        <w:jc w:val="left"/>
        <w:rPr>
          <w:b/>
          <w:sz w:val="24"/>
        </w:rPr>
      </w:pPr>
      <w:r>
        <w:rPr>
          <w:rFonts w:ascii="Arial" w:hAnsi="Arial" w:eastAsia="Arial"/>
          <w:b/>
          <w:position w:val="-11"/>
          <w:sz w:val="52"/>
        </w:rPr>
        <w:t></w:t>
      </w:r>
      <w:r>
        <w:rPr>
          <w:b/>
          <w:sz w:val="24"/>
        </w:rPr>
        <w:t>条款是保险合同的重要内容，为充分保障投保人的权益，请投保人仔细阅读本条款</w:t>
      </w:r>
    </w:p>
    <w:p>
      <w:pPr>
        <w:spacing w:after="0"/>
        <w:jc w:val="left"/>
        <w:rPr>
          <w:sz w:val="24"/>
        </w:rPr>
        <w:sectPr>
          <w:type w:val="continuous"/>
          <w:pgSz w:w="11910" w:h="16850"/>
          <w:pgMar w:top="1440" w:bottom="280" w:left="960" w:right="820"/>
        </w:sectPr>
      </w:pPr>
    </w:p>
    <w:p>
      <w:pPr>
        <w:pStyle w:val="Heading1"/>
      </w:pPr>
      <w:r>
        <w:rPr/>
        <w:t>君龙团体重大疾病保险</w:t>
      </w:r>
      <w:r>
        <w:rPr>
          <w:rFonts w:ascii="Microsoft JhengHei UI" w:eastAsia="Microsoft JhengHei UI" w:hint="eastAsia"/>
        </w:rPr>
        <w:t>(2009)</w:t>
      </w:r>
      <w:r>
        <w:rPr/>
        <w:t>条款</w:t>
      </w:r>
    </w:p>
    <w:p>
      <w:pPr>
        <w:spacing w:before="226"/>
        <w:ind w:left="2098" w:right="2098" w:firstLine="0"/>
        <w:jc w:val="center"/>
        <w:rPr>
          <w:rFonts w:ascii="微软雅黑" w:eastAsia="微软雅黑" w:hint="eastAsia"/>
          <w:b/>
          <w:sz w:val="40"/>
        </w:rPr>
      </w:pPr>
      <w:r>
        <w:rPr/>
        <w:pict>
          <v:group style="position:absolute;margin-left:49.68pt;margin-top:64.967926pt;width:495.85pt;height:476.85pt;mso-position-horizontal-relative:page;mso-position-vertical-relative:paragraph;z-index:-27496" coordorigin="994,1299" coordsize="9917,9537">
            <v:shape style="position:absolute;left:993;top:1299;width:9917;height:9537" type="#_x0000_t75" stroked="false">
              <v:imagedata r:id="rId7" o:title=""/>
            </v:shape>
            <v:shape style="position:absolute;left:4304;top:10776;width:3286;height:60" type="#_x0000_t75" stroked="false">
              <v:imagedata r:id="rId8" o:title=""/>
            </v:shape>
            <v:shape style="position:absolute;left:7590;top:1359;width:3320;height:9477" type="#_x0000_t75" stroked="false">
              <v:imagedata r:id="rId9" o:title=""/>
            </v:shape>
            <w10:wrap type="none"/>
          </v:group>
        </w:pict>
      </w:r>
      <w:r>
        <w:rPr>
          <w:rFonts w:ascii="微软雅黑" w:eastAsia="微软雅黑" w:hint="eastAsia"/>
          <w:b/>
          <w:sz w:val="40"/>
        </w:rPr>
        <w:t>条 款 目 录</w:t>
      </w:r>
    </w:p>
    <w:p>
      <w:pPr>
        <w:pStyle w:val="BodyText"/>
        <w:spacing w:before="10" w:after="1"/>
        <w:rPr>
          <w:rFonts w:ascii="微软雅黑"/>
          <w:b/>
          <w:sz w:val="2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9"/>
        <w:gridCol w:w="3451"/>
        <w:gridCol w:w="3212"/>
      </w:tblGrid>
      <w:tr>
        <w:trPr>
          <w:trHeight w:val="9416" w:hRule="atLeast"/>
        </w:trPr>
        <w:tc>
          <w:tcPr>
            <w:tcW w:w="3379" w:type="dxa"/>
            <w:tcBorders>
              <w:right w:val="single" w:sz="6" w:space="0" w:color="000000"/>
            </w:tcBorders>
          </w:tcPr>
          <w:p>
            <w:pPr>
              <w:pStyle w:val="TableParagraph"/>
              <w:spacing w:before="10"/>
              <w:ind w:left="0"/>
              <w:rPr>
                <w:rFonts w:ascii="微软雅黑"/>
                <w:b/>
                <w:sz w:val="22"/>
              </w:rPr>
            </w:pPr>
          </w:p>
          <w:p>
            <w:pPr>
              <w:pStyle w:val="TableParagraph"/>
              <w:numPr>
                <w:ilvl w:val="0"/>
                <w:numId w:val="2"/>
              </w:numPr>
              <w:tabs>
                <w:tab w:pos="625" w:val="left" w:leader="none"/>
                <w:tab w:pos="626" w:val="left" w:leader="none"/>
              </w:tabs>
              <w:spacing w:line="240" w:lineRule="auto" w:before="1" w:after="0"/>
              <w:ind w:left="625" w:right="0" w:hanging="425"/>
              <w:jc w:val="left"/>
              <w:rPr>
                <w:b/>
                <w:sz w:val="22"/>
              </w:rPr>
            </w:pPr>
            <w:r>
              <w:rPr>
                <w:b/>
                <w:spacing w:val="-1"/>
                <w:w w:val="95"/>
                <w:sz w:val="22"/>
              </w:rPr>
              <w:t>投保人与我们订立的合同</w:t>
            </w:r>
          </w:p>
          <w:p>
            <w:pPr>
              <w:pStyle w:val="TableParagraph"/>
              <w:numPr>
                <w:ilvl w:val="1"/>
                <w:numId w:val="2"/>
              </w:numPr>
              <w:tabs>
                <w:tab w:pos="1191" w:val="left" w:leader="none"/>
                <w:tab w:pos="1192" w:val="left" w:leader="none"/>
              </w:tabs>
              <w:spacing w:line="240" w:lineRule="auto" w:before="142" w:after="0"/>
              <w:ind w:left="1191" w:right="0" w:hanging="566"/>
              <w:jc w:val="left"/>
              <w:rPr>
                <w:sz w:val="22"/>
              </w:rPr>
            </w:pPr>
            <w:r>
              <w:rPr>
                <w:sz w:val="22"/>
              </w:rPr>
              <w:t>合同构成</w:t>
            </w:r>
          </w:p>
          <w:p>
            <w:pPr>
              <w:pStyle w:val="TableParagraph"/>
              <w:numPr>
                <w:ilvl w:val="1"/>
                <w:numId w:val="2"/>
              </w:numPr>
              <w:tabs>
                <w:tab w:pos="1191" w:val="left" w:leader="none"/>
                <w:tab w:pos="1192" w:val="left" w:leader="none"/>
              </w:tabs>
              <w:spacing w:line="240" w:lineRule="auto" w:before="139" w:after="0"/>
              <w:ind w:left="1191" w:right="0" w:hanging="566"/>
              <w:jc w:val="left"/>
              <w:rPr>
                <w:sz w:val="22"/>
              </w:rPr>
            </w:pPr>
            <w:r>
              <w:rPr>
                <w:spacing w:val="-2"/>
                <w:sz w:val="22"/>
              </w:rPr>
              <w:t>保险合同成立与生效</w:t>
            </w:r>
          </w:p>
          <w:p>
            <w:pPr>
              <w:pStyle w:val="TableParagraph"/>
              <w:numPr>
                <w:ilvl w:val="1"/>
                <w:numId w:val="2"/>
              </w:numPr>
              <w:tabs>
                <w:tab w:pos="1191" w:val="left" w:leader="none"/>
                <w:tab w:pos="1192" w:val="left" w:leader="none"/>
              </w:tabs>
              <w:spacing w:line="240" w:lineRule="auto" w:before="139" w:after="0"/>
              <w:ind w:left="1191" w:right="0" w:hanging="566"/>
              <w:jc w:val="left"/>
              <w:rPr>
                <w:sz w:val="22"/>
              </w:rPr>
            </w:pPr>
            <w:r>
              <w:rPr>
                <w:sz w:val="22"/>
              </w:rPr>
              <w:t>投保范围</w:t>
            </w:r>
          </w:p>
          <w:p>
            <w:pPr>
              <w:pStyle w:val="TableParagraph"/>
              <w:numPr>
                <w:ilvl w:val="1"/>
                <w:numId w:val="2"/>
              </w:numPr>
              <w:tabs>
                <w:tab w:pos="1191" w:val="left" w:leader="none"/>
                <w:tab w:pos="1192" w:val="left" w:leader="none"/>
              </w:tabs>
              <w:spacing w:line="240" w:lineRule="auto" w:before="142" w:after="0"/>
              <w:ind w:left="1191" w:right="0" w:hanging="566"/>
              <w:jc w:val="left"/>
              <w:rPr>
                <w:sz w:val="22"/>
              </w:rPr>
            </w:pPr>
            <w:r>
              <w:rPr>
                <w:sz w:val="22"/>
              </w:rPr>
              <w:t>投保年龄</w:t>
            </w:r>
          </w:p>
          <w:p>
            <w:pPr>
              <w:pStyle w:val="TableParagraph"/>
              <w:numPr>
                <w:ilvl w:val="0"/>
                <w:numId w:val="2"/>
              </w:numPr>
              <w:tabs>
                <w:tab w:pos="625" w:val="left" w:leader="none"/>
                <w:tab w:pos="626" w:val="left" w:leader="none"/>
              </w:tabs>
              <w:spacing w:line="240" w:lineRule="auto" w:before="139" w:after="0"/>
              <w:ind w:left="625" w:right="0" w:hanging="425"/>
              <w:jc w:val="left"/>
              <w:rPr>
                <w:b/>
                <w:sz w:val="22"/>
              </w:rPr>
            </w:pPr>
            <w:r>
              <w:rPr>
                <w:b/>
                <w:w w:val="95"/>
                <w:sz w:val="22"/>
              </w:rPr>
              <w:t>我们提供的保障</w:t>
            </w:r>
          </w:p>
          <w:p>
            <w:pPr>
              <w:pStyle w:val="TableParagraph"/>
              <w:numPr>
                <w:ilvl w:val="1"/>
                <w:numId w:val="2"/>
              </w:numPr>
              <w:tabs>
                <w:tab w:pos="1191" w:val="left" w:leader="none"/>
                <w:tab w:pos="1192" w:val="left" w:leader="none"/>
              </w:tabs>
              <w:spacing w:line="240" w:lineRule="auto" w:before="139" w:after="0"/>
              <w:ind w:left="1191" w:right="0" w:hanging="566"/>
              <w:jc w:val="left"/>
              <w:rPr>
                <w:sz w:val="22"/>
              </w:rPr>
            </w:pPr>
            <w:r>
              <w:rPr>
                <w:spacing w:val="-1"/>
                <w:sz w:val="22"/>
              </w:rPr>
              <w:t>保险期间与续保</w:t>
            </w:r>
          </w:p>
          <w:p>
            <w:pPr>
              <w:pStyle w:val="TableParagraph"/>
              <w:numPr>
                <w:ilvl w:val="1"/>
                <w:numId w:val="2"/>
              </w:numPr>
              <w:tabs>
                <w:tab w:pos="1191" w:val="left" w:leader="none"/>
                <w:tab w:pos="1192" w:val="left" w:leader="none"/>
              </w:tabs>
              <w:spacing w:line="240" w:lineRule="auto" w:before="141" w:after="0"/>
              <w:ind w:left="1191" w:right="0" w:hanging="566"/>
              <w:jc w:val="left"/>
              <w:rPr>
                <w:sz w:val="22"/>
              </w:rPr>
            </w:pPr>
            <w:r>
              <w:rPr>
                <w:spacing w:val="-1"/>
                <w:sz w:val="22"/>
              </w:rPr>
              <w:t>基本保险金额</w:t>
            </w:r>
          </w:p>
          <w:p>
            <w:pPr>
              <w:pStyle w:val="TableParagraph"/>
              <w:numPr>
                <w:ilvl w:val="1"/>
                <w:numId w:val="2"/>
              </w:numPr>
              <w:tabs>
                <w:tab w:pos="1191" w:val="left" w:leader="none"/>
                <w:tab w:pos="1192" w:val="left" w:leader="none"/>
              </w:tabs>
              <w:spacing w:line="240" w:lineRule="auto" w:before="139" w:after="0"/>
              <w:ind w:left="1191" w:right="0" w:hanging="566"/>
              <w:jc w:val="left"/>
              <w:rPr>
                <w:sz w:val="22"/>
              </w:rPr>
            </w:pPr>
            <w:r>
              <w:rPr>
                <w:sz w:val="22"/>
              </w:rPr>
              <w:t>保险责任</w:t>
            </w:r>
          </w:p>
          <w:p>
            <w:pPr>
              <w:pStyle w:val="TableParagraph"/>
              <w:numPr>
                <w:ilvl w:val="1"/>
                <w:numId w:val="2"/>
              </w:numPr>
              <w:tabs>
                <w:tab w:pos="1191" w:val="left" w:leader="none"/>
                <w:tab w:pos="1192" w:val="left" w:leader="none"/>
              </w:tabs>
              <w:spacing w:line="240" w:lineRule="auto" w:before="139" w:after="0"/>
              <w:ind w:left="1191" w:right="0" w:hanging="566"/>
              <w:jc w:val="left"/>
              <w:rPr>
                <w:sz w:val="22"/>
              </w:rPr>
            </w:pPr>
            <w:r>
              <w:rPr>
                <w:sz w:val="22"/>
              </w:rPr>
              <w:t>责任免除</w:t>
            </w:r>
          </w:p>
          <w:p>
            <w:pPr>
              <w:pStyle w:val="TableParagraph"/>
              <w:numPr>
                <w:ilvl w:val="0"/>
                <w:numId w:val="2"/>
              </w:numPr>
              <w:tabs>
                <w:tab w:pos="625" w:val="left" w:leader="none"/>
                <w:tab w:pos="626" w:val="left" w:leader="none"/>
              </w:tabs>
              <w:spacing w:line="240" w:lineRule="auto" w:before="141" w:after="0"/>
              <w:ind w:left="625" w:right="0" w:hanging="425"/>
              <w:jc w:val="left"/>
              <w:rPr>
                <w:b/>
                <w:sz w:val="22"/>
              </w:rPr>
            </w:pPr>
            <w:r>
              <w:rPr>
                <w:b/>
                <w:spacing w:val="-1"/>
                <w:w w:val="95"/>
                <w:sz w:val="22"/>
              </w:rPr>
              <w:t>保险金的申请</w:t>
            </w:r>
          </w:p>
          <w:p>
            <w:pPr>
              <w:pStyle w:val="TableParagraph"/>
              <w:numPr>
                <w:ilvl w:val="1"/>
                <w:numId w:val="2"/>
              </w:numPr>
              <w:tabs>
                <w:tab w:pos="1191" w:val="left" w:leader="none"/>
                <w:tab w:pos="1192" w:val="left" w:leader="none"/>
              </w:tabs>
              <w:spacing w:line="240" w:lineRule="auto" w:before="139" w:after="0"/>
              <w:ind w:left="1191" w:right="0" w:hanging="566"/>
              <w:jc w:val="left"/>
              <w:rPr>
                <w:sz w:val="22"/>
              </w:rPr>
            </w:pPr>
            <w:r>
              <w:rPr>
                <w:sz w:val="22"/>
              </w:rPr>
              <w:t>受益人</w:t>
            </w:r>
          </w:p>
          <w:p>
            <w:pPr>
              <w:pStyle w:val="TableParagraph"/>
              <w:numPr>
                <w:ilvl w:val="1"/>
                <w:numId w:val="2"/>
              </w:numPr>
              <w:tabs>
                <w:tab w:pos="1191" w:val="left" w:leader="none"/>
                <w:tab w:pos="1192" w:val="left" w:leader="none"/>
              </w:tabs>
              <w:spacing w:line="240" w:lineRule="auto" w:before="140" w:after="0"/>
              <w:ind w:left="1191" w:right="0" w:hanging="566"/>
              <w:jc w:val="left"/>
              <w:rPr>
                <w:sz w:val="22"/>
              </w:rPr>
            </w:pPr>
            <w:r>
              <w:rPr>
                <w:spacing w:val="-1"/>
                <w:sz w:val="22"/>
              </w:rPr>
              <w:t>保险事故通知</w:t>
            </w:r>
          </w:p>
          <w:p>
            <w:pPr>
              <w:pStyle w:val="TableParagraph"/>
              <w:numPr>
                <w:ilvl w:val="1"/>
                <w:numId w:val="2"/>
              </w:numPr>
              <w:tabs>
                <w:tab w:pos="1191" w:val="left" w:leader="none"/>
                <w:tab w:pos="1192" w:val="left" w:leader="none"/>
              </w:tabs>
              <w:spacing w:line="240" w:lineRule="auto" w:before="139" w:after="0"/>
              <w:ind w:left="1191" w:right="0" w:hanging="566"/>
              <w:jc w:val="left"/>
              <w:rPr>
                <w:sz w:val="22"/>
              </w:rPr>
            </w:pPr>
            <w:r>
              <w:rPr>
                <w:spacing w:val="-1"/>
                <w:sz w:val="22"/>
              </w:rPr>
              <w:t>保险金申请</w:t>
            </w:r>
          </w:p>
          <w:p>
            <w:pPr>
              <w:pStyle w:val="TableParagraph"/>
              <w:numPr>
                <w:ilvl w:val="1"/>
                <w:numId w:val="2"/>
              </w:numPr>
              <w:tabs>
                <w:tab w:pos="1191" w:val="left" w:leader="none"/>
                <w:tab w:pos="1192" w:val="left" w:leader="none"/>
              </w:tabs>
              <w:spacing w:line="240" w:lineRule="auto" w:before="141" w:after="0"/>
              <w:ind w:left="1191" w:right="0" w:hanging="566"/>
              <w:jc w:val="left"/>
              <w:rPr>
                <w:sz w:val="22"/>
              </w:rPr>
            </w:pPr>
            <w:r>
              <w:rPr>
                <w:spacing w:val="-1"/>
                <w:sz w:val="22"/>
              </w:rPr>
              <w:t>保险金给付</w:t>
            </w:r>
          </w:p>
          <w:p>
            <w:pPr>
              <w:pStyle w:val="TableParagraph"/>
              <w:numPr>
                <w:ilvl w:val="1"/>
                <w:numId w:val="2"/>
              </w:numPr>
              <w:tabs>
                <w:tab w:pos="1191" w:val="left" w:leader="none"/>
                <w:tab w:pos="1192" w:val="left" w:leader="none"/>
              </w:tabs>
              <w:spacing w:line="240" w:lineRule="auto" w:before="139" w:after="0"/>
              <w:ind w:left="1191" w:right="0" w:hanging="566"/>
              <w:jc w:val="left"/>
              <w:rPr>
                <w:sz w:val="22"/>
              </w:rPr>
            </w:pPr>
            <w:r>
              <w:rPr>
                <w:sz w:val="22"/>
              </w:rPr>
              <w:t>失踪处理</w:t>
            </w:r>
          </w:p>
          <w:p>
            <w:pPr>
              <w:pStyle w:val="TableParagraph"/>
              <w:numPr>
                <w:ilvl w:val="1"/>
                <w:numId w:val="2"/>
              </w:numPr>
              <w:tabs>
                <w:tab w:pos="1191" w:val="left" w:leader="none"/>
                <w:tab w:pos="1192" w:val="left" w:leader="none"/>
              </w:tabs>
              <w:spacing w:line="240" w:lineRule="auto" w:before="139" w:after="0"/>
              <w:ind w:left="1191" w:right="0" w:hanging="566"/>
              <w:jc w:val="left"/>
              <w:rPr>
                <w:sz w:val="22"/>
              </w:rPr>
            </w:pPr>
            <w:r>
              <w:rPr>
                <w:sz w:val="22"/>
              </w:rPr>
              <w:t>诉讼时效</w:t>
            </w:r>
          </w:p>
          <w:p>
            <w:pPr>
              <w:pStyle w:val="TableParagraph"/>
              <w:numPr>
                <w:ilvl w:val="0"/>
                <w:numId w:val="2"/>
              </w:numPr>
              <w:tabs>
                <w:tab w:pos="625" w:val="left" w:leader="none"/>
                <w:tab w:pos="626" w:val="left" w:leader="none"/>
              </w:tabs>
              <w:spacing w:line="240" w:lineRule="auto" w:before="141" w:after="0"/>
              <w:ind w:left="625" w:right="0" w:hanging="425"/>
              <w:jc w:val="left"/>
              <w:rPr>
                <w:b/>
                <w:sz w:val="22"/>
              </w:rPr>
            </w:pPr>
            <w:r>
              <w:rPr>
                <w:b/>
                <w:spacing w:val="-1"/>
                <w:w w:val="95"/>
                <w:sz w:val="22"/>
              </w:rPr>
              <w:t>合同解除</w:t>
            </w:r>
          </w:p>
          <w:p>
            <w:pPr>
              <w:pStyle w:val="TableParagraph"/>
              <w:numPr>
                <w:ilvl w:val="1"/>
                <w:numId w:val="2"/>
              </w:numPr>
              <w:tabs>
                <w:tab w:pos="1191" w:val="left" w:leader="none"/>
                <w:tab w:pos="1192" w:val="left" w:leader="none"/>
              </w:tabs>
              <w:spacing w:line="355" w:lineRule="auto" w:before="139" w:after="0"/>
              <w:ind w:left="1191" w:right="101" w:hanging="566"/>
              <w:jc w:val="left"/>
              <w:rPr>
                <w:sz w:val="22"/>
              </w:rPr>
            </w:pPr>
            <w:r>
              <w:rPr>
                <w:spacing w:val="6"/>
                <w:sz w:val="22"/>
              </w:rPr>
              <w:t>投保人解除合同的手续及风险</w:t>
            </w:r>
          </w:p>
        </w:tc>
        <w:tc>
          <w:tcPr>
            <w:tcW w:w="3451" w:type="dxa"/>
            <w:tcBorders>
              <w:left w:val="single" w:sz="6" w:space="0" w:color="000000"/>
            </w:tcBorders>
          </w:tcPr>
          <w:p>
            <w:pPr>
              <w:pStyle w:val="TableParagraph"/>
              <w:spacing w:before="10"/>
              <w:ind w:left="0"/>
              <w:rPr>
                <w:rFonts w:ascii="微软雅黑"/>
                <w:b/>
                <w:sz w:val="22"/>
              </w:rPr>
            </w:pPr>
          </w:p>
          <w:p>
            <w:pPr>
              <w:pStyle w:val="TableParagraph"/>
              <w:numPr>
                <w:ilvl w:val="0"/>
                <w:numId w:val="3"/>
              </w:numPr>
              <w:tabs>
                <w:tab w:pos="524" w:val="left" w:leader="none"/>
                <w:tab w:pos="525" w:val="left" w:leader="none"/>
              </w:tabs>
              <w:spacing w:line="240" w:lineRule="auto" w:before="1" w:after="0"/>
              <w:ind w:left="524" w:right="0" w:hanging="424"/>
              <w:jc w:val="left"/>
              <w:rPr>
                <w:b/>
                <w:sz w:val="22"/>
              </w:rPr>
            </w:pPr>
            <w:r>
              <w:rPr>
                <w:b/>
                <w:w w:val="95"/>
                <w:sz w:val="22"/>
              </w:rPr>
              <w:t>其它需要关注的事项</w:t>
            </w:r>
          </w:p>
          <w:p>
            <w:pPr>
              <w:pStyle w:val="TableParagraph"/>
              <w:numPr>
                <w:ilvl w:val="1"/>
                <w:numId w:val="3"/>
              </w:numPr>
              <w:tabs>
                <w:tab w:pos="1091" w:val="left" w:leader="none"/>
                <w:tab w:pos="1092" w:val="left" w:leader="none"/>
              </w:tabs>
              <w:spacing w:line="240" w:lineRule="auto" w:before="142" w:after="0"/>
              <w:ind w:left="1091" w:right="0" w:hanging="567"/>
              <w:jc w:val="left"/>
              <w:rPr>
                <w:sz w:val="22"/>
              </w:rPr>
            </w:pPr>
            <w:r>
              <w:rPr>
                <w:spacing w:val="-2"/>
                <w:sz w:val="22"/>
              </w:rPr>
              <w:t>明确说明与如实告知</w:t>
            </w:r>
          </w:p>
          <w:p>
            <w:pPr>
              <w:pStyle w:val="TableParagraph"/>
              <w:numPr>
                <w:ilvl w:val="1"/>
                <w:numId w:val="3"/>
              </w:numPr>
              <w:tabs>
                <w:tab w:pos="1091" w:val="left" w:leader="none"/>
                <w:tab w:pos="1092" w:val="left" w:leader="none"/>
              </w:tabs>
              <w:spacing w:line="240" w:lineRule="auto" w:before="139" w:after="0"/>
              <w:ind w:left="1091" w:right="0" w:hanging="567"/>
              <w:jc w:val="left"/>
              <w:rPr>
                <w:sz w:val="22"/>
              </w:rPr>
            </w:pPr>
            <w:r>
              <w:rPr>
                <w:spacing w:val="-2"/>
                <w:sz w:val="22"/>
              </w:rPr>
              <w:t>本公司解除权的限制</w:t>
            </w:r>
          </w:p>
          <w:p>
            <w:pPr>
              <w:pStyle w:val="TableParagraph"/>
              <w:numPr>
                <w:ilvl w:val="1"/>
                <w:numId w:val="3"/>
              </w:numPr>
              <w:tabs>
                <w:tab w:pos="1091" w:val="left" w:leader="none"/>
                <w:tab w:pos="1092" w:val="left" w:leader="none"/>
              </w:tabs>
              <w:spacing w:line="240" w:lineRule="auto" w:before="139" w:after="0"/>
              <w:ind w:left="1091" w:right="0" w:hanging="567"/>
              <w:jc w:val="left"/>
              <w:rPr>
                <w:sz w:val="22"/>
              </w:rPr>
            </w:pPr>
            <w:r>
              <w:rPr>
                <w:sz w:val="22"/>
              </w:rPr>
              <w:t>年龄错误</w:t>
            </w:r>
          </w:p>
          <w:p>
            <w:pPr>
              <w:pStyle w:val="TableParagraph"/>
              <w:numPr>
                <w:ilvl w:val="1"/>
                <w:numId w:val="3"/>
              </w:numPr>
              <w:tabs>
                <w:tab w:pos="1091" w:val="left" w:leader="none"/>
                <w:tab w:pos="1092" w:val="left" w:leader="none"/>
              </w:tabs>
              <w:spacing w:line="240" w:lineRule="auto" w:before="142" w:after="0"/>
              <w:ind w:left="1091" w:right="0" w:hanging="567"/>
              <w:jc w:val="left"/>
              <w:rPr>
                <w:sz w:val="22"/>
              </w:rPr>
            </w:pPr>
            <w:r>
              <w:rPr>
                <w:spacing w:val="-1"/>
                <w:sz w:val="22"/>
              </w:rPr>
              <w:t>资料的提供</w:t>
            </w:r>
          </w:p>
          <w:p>
            <w:pPr>
              <w:pStyle w:val="TableParagraph"/>
              <w:numPr>
                <w:ilvl w:val="1"/>
                <w:numId w:val="3"/>
              </w:numPr>
              <w:tabs>
                <w:tab w:pos="1091" w:val="left" w:leader="none"/>
                <w:tab w:pos="1092" w:val="left" w:leader="none"/>
              </w:tabs>
              <w:spacing w:line="240" w:lineRule="auto" w:before="139" w:after="0"/>
              <w:ind w:left="1091" w:right="0" w:hanging="567"/>
              <w:jc w:val="left"/>
              <w:rPr>
                <w:sz w:val="22"/>
              </w:rPr>
            </w:pPr>
            <w:r>
              <w:rPr>
                <w:spacing w:val="-1"/>
                <w:sz w:val="22"/>
              </w:rPr>
              <w:t>被保险人的变动</w:t>
            </w:r>
          </w:p>
          <w:p>
            <w:pPr>
              <w:pStyle w:val="TableParagraph"/>
              <w:numPr>
                <w:ilvl w:val="1"/>
                <w:numId w:val="3"/>
              </w:numPr>
              <w:tabs>
                <w:tab w:pos="1091" w:val="left" w:leader="none"/>
                <w:tab w:pos="1092" w:val="left" w:leader="none"/>
              </w:tabs>
              <w:spacing w:line="240" w:lineRule="auto" w:before="139" w:after="0"/>
              <w:ind w:left="1091" w:right="0" w:hanging="567"/>
              <w:jc w:val="left"/>
              <w:rPr>
                <w:sz w:val="22"/>
              </w:rPr>
            </w:pPr>
            <w:r>
              <w:rPr>
                <w:sz w:val="22"/>
              </w:rPr>
              <w:t>地址变更</w:t>
            </w:r>
          </w:p>
          <w:p>
            <w:pPr>
              <w:pStyle w:val="TableParagraph"/>
              <w:numPr>
                <w:ilvl w:val="1"/>
                <w:numId w:val="3"/>
              </w:numPr>
              <w:tabs>
                <w:tab w:pos="1091" w:val="left" w:leader="none"/>
                <w:tab w:pos="1092" w:val="left" w:leader="none"/>
              </w:tabs>
              <w:spacing w:line="240" w:lineRule="auto" w:before="141" w:after="0"/>
              <w:ind w:left="1091" w:right="0" w:hanging="567"/>
              <w:jc w:val="left"/>
              <w:rPr>
                <w:sz w:val="22"/>
              </w:rPr>
            </w:pPr>
            <w:r>
              <w:rPr>
                <w:sz w:val="22"/>
              </w:rPr>
              <w:t>争议处理</w:t>
            </w:r>
          </w:p>
          <w:p>
            <w:pPr>
              <w:pStyle w:val="TableParagraph"/>
              <w:numPr>
                <w:ilvl w:val="1"/>
                <w:numId w:val="3"/>
              </w:numPr>
              <w:tabs>
                <w:tab w:pos="1091" w:val="left" w:leader="none"/>
                <w:tab w:pos="1092" w:val="left" w:leader="none"/>
              </w:tabs>
              <w:spacing w:line="240" w:lineRule="auto" w:before="139" w:after="0"/>
              <w:ind w:left="1091" w:right="0" w:hanging="567"/>
              <w:jc w:val="left"/>
              <w:rPr>
                <w:sz w:val="22"/>
              </w:rPr>
            </w:pPr>
            <w:r>
              <w:rPr>
                <w:spacing w:val="-1"/>
                <w:sz w:val="22"/>
              </w:rPr>
              <w:t>合同内容变更</w:t>
            </w:r>
          </w:p>
          <w:p>
            <w:pPr>
              <w:pStyle w:val="TableParagraph"/>
              <w:numPr>
                <w:ilvl w:val="0"/>
                <w:numId w:val="3"/>
              </w:numPr>
              <w:tabs>
                <w:tab w:pos="524" w:val="left" w:leader="none"/>
                <w:tab w:pos="525" w:val="left" w:leader="none"/>
              </w:tabs>
              <w:spacing w:line="240" w:lineRule="auto" w:before="139" w:after="0"/>
              <w:ind w:left="524" w:right="0" w:hanging="424"/>
              <w:jc w:val="left"/>
              <w:rPr>
                <w:b/>
                <w:sz w:val="22"/>
              </w:rPr>
            </w:pPr>
            <w:r>
              <w:rPr>
                <w:b/>
                <w:w w:val="95"/>
                <w:sz w:val="22"/>
              </w:rPr>
              <w:t>释义</w:t>
            </w:r>
          </w:p>
          <w:p>
            <w:pPr>
              <w:pStyle w:val="TableParagraph"/>
              <w:numPr>
                <w:ilvl w:val="1"/>
                <w:numId w:val="3"/>
              </w:numPr>
              <w:tabs>
                <w:tab w:pos="1091" w:val="left" w:leader="none"/>
                <w:tab w:pos="1092" w:val="left" w:leader="none"/>
              </w:tabs>
              <w:spacing w:line="240" w:lineRule="auto" w:before="141" w:after="0"/>
              <w:ind w:left="1091" w:right="0" w:hanging="567"/>
              <w:jc w:val="left"/>
              <w:rPr>
                <w:sz w:val="22"/>
              </w:rPr>
            </w:pPr>
            <w:r>
              <w:rPr>
                <w:sz w:val="22"/>
              </w:rPr>
              <w:t>团体</w:t>
            </w:r>
          </w:p>
          <w:p>
            <w:pPr>
              <w:pStyle w:val="TableParagraph"/>
              <w:numPr>
                <w:ilvl w:val="1"/>
                <w:numId w:val="3"/>
              </w:numPr>
              <w:tabs>
                <w:tab w:pos="1091" w:val="left" w:leader="none"/>
                <w:tab w:pos="1092" w:val="left" w:leader="none"/>
              </w:tabs>
              <w:spacing w:line="240" w:lineRule="auto" w:before="139" w:after="0"/>
              <w:ind w:left="1091" w:right="0" w:hanging="567"/>
              <w:jc w:val="left"/>
              <w:rPr>
                <w:sz w:val="22"/>
              </w:rPr>
            </w:pPr>
            <w:r>
              <w:rPr>
                <w:sz w:val="22"/>
              </w:rPr>
              <w:t>父母</w:t>
            </w:r>
          </w:p>
          <w:p>
            <w:pPr>
              <w:pStyle w:val="TableParagraph"/>
              <w:numPr>
                <w:ilvl w:val="1"/>
                <w:numId w:val="3"/>
              </w:numPr>
              <w:tabs>
                <w:tab w:pos="1091" w:val="left" w:leader="none"/>
                <w:tab w:pos="1092" w:val="left" w:leader="none"/>
              </w:tabs>
              <w:spacing w:line="240" w:lineRule="auto" w:before="140" w:after="0"/>
              <w:ind w:left="1091" w:right="0" w:hanging="567"/>
              <w:jc w:val="left"/>
              <w:rPr>
                <w:sz w:val="22"/>
              </w:rPr>
            </w:pPr>
            <w:r>
              <w:rPr>
                <w:sz w:val="22"/>
              </w:rPr>
              <w:t>子女</w:t>
            </w:r>
          </w:p>
          <w:p>
            <w:pPr>
              <w:pStyle w:val="TableParagraph"/>
              <w:numPr>
                <w:ilvl w:val="1"/>
                <w:numId w:val="3"/>
              </w:numPr>
              <w:tabs>
                <w:tab w:pos="1091" w:val="left" w:leader="none"/>
                <w:tab w:pos="1092" w:val="left" w:leader="none"/>
              </w:tabs>
              <w:spacing w:line="240" w:lineRule="auto" w:before="139" w:after="0"/>
              <w:ind w:left="1091" w:right="0" w:hanging="567"/>
              <w:jc w:val="left"/>
              <w:rPr>
                <w:sz w:val="22"/>
              </w:rPr>
            </w:pPr>
            <w:r>
              <w:rPr>
                <w:sz w:val="22"/>
              </w:rPr>
              <w:t>继子女</w:t>
            </w:r>
          </w:p>
          <w:p>
            <w:pPr>
              <w:pStyle w:val="TableParagraph"/>
              <w:numPr>
                <w:ilvl w:val="1"/>
                <w:numId w:val="3"/>
              </w:numPr>
              <w:tabs>
                <w:tab w:pos="1091" w:val="left" w:leader="none"/>
                <w:tab w:pos="1092" w:val="left" w:leader="none"/>
              </w:tabs>
              <w:spacing w:line="240" w:lineRule="auto" w:before="141" w:after="0"/>
              <w:ind w:left="1091" w:right="0" w:hanging="567"/>
              <w:jc w:val="left"/>
              <w:rPr>
                <w:sz w:val="22"/>
              </w:rPr>
            </w:pPr>
            <w:r>
              <w:rPr>
                <w:sz w:val="22"/>
              </w:rPr>
              <w:t>周岁</w:t>
            </w:r>
          </w:p>
          <w:p>
            <w:pPr>
              <w:pStyle w:val="TableParagraph"/>
              <w:numPr>
                <w:ilvl w:val="1"/>
                <w:numId w:val="3"/>
              </w:numPr>
              <w:tabs>
                <w:tab w:pos="1091" w:val="left" w:leader="none"/>
                <w:tab w:pos="1092" w:val="left" w:leader="none"/>
              </w:tabs>
              <w:spacing w:line="240" w:lineRule="auto" w:before="139" w:after="0"/>
              <w:ind w:left="1091" w:right="0" w:hanging="567"/>
              <w:jc w:val="left"/>
              <w:rPr>
                <w:sz w:val="22"/>
              </w:rPr>
            </w:pPr>
            <w:r>
              <w:rPr>
                <w:sz w:val="22"/>
              </w:rPr>
              <w:t>重大疾病</w:t>
            </w:r>
          </w:p>
          <w:p>
            <w:pPr>
              <w:pStyle w:val="TableParagraph"/>
              <w:numPr>
                <w:ilvl w:val="1"/>
                <w:numId w:val="3"/>
              </w:numPr>
              <w:tabs>
                <w:tab w:pos="1091" w:val="left" w:leader="none"/>
                <w:tab w:pos="1092" w:val="left" w:leader="none"/>
              </w:tabs>
              <w:spacing w:line="240" w:lineRule="auto" w:before="139" w:after="0"/>
              <w:ind w:left="1091" w:right="0" w:hanging="567"/>
              <w:jc w:val="left"/>
              <w:rPr>
                <w:sz w:val="22"/>
              </w:rPr>
            </w:pPr>
            <w:r>
              <w:rPr>
                <w:sz w:val="22"/>
              </w:rPr>
              <w:t>意外伤害</w:t>
            </w:r>
          </w:p>
          <w:p>
            <w:pPr>
              <w:pStyle w:val="TableParagraph"/>
              <w:numPr>
                <w:ilvl w:val="1"/>
                <w:numId w:val="3"/>
              </w:numPr>
              <w:tabs>
                <w:tab w:pos="1091" w:val="left" w:leader="none"/>
                <w:tab w:pos="1092" w:val="left" w:leader="none"/>
              </w:tabs>
              <w:spacing w:line="240" w:lineRule="auto" w:before="141" w:after="0"/>
              <w:ind w:left="1091" w:right="0" w:hanging="567"/>
              <w:jc w:val="left"/>
              <w:rPr>
                <w:sz w:val="22"/>
              </w:rPr>
            </w:pPr>
            <w:r>
              <w:rPr>
                <w:sz w:val="22"/>
              </w:rPr>
              <w:t>医院</w:t>
            </w:r>
          </w:p>
          <w:p>
            <w:pPr>
              <w:pStyle w:val="TableParagraph"/>
              <w:numPr>
                <w:ilvl w:val="1"/>
                <w:numId w:val="3"/>
              </w:numPr>
              <w:tabs>
                <w:tab w:pos="1091" w:val="left" w:leader="none"/>
                <w:tab w:pos="1092" w:val="left" w:leader="none"/>
              </w:tabs>
              <w:spacing w:line="240" w:lineRule="auto" w:before="139" w:after="0"/>
              <w:ind w:left="1091" w:right="0" w:hanging="567"/>
              <w:jc w:val="left"/>
              <w:rPr>
                <w:sz w:val="22"/>
              </w:rPr>
            </w:pPr>
            <w:r>
              <w:rPr>
                <w:sz w:val="22"/>
              </w:rPr>
              <w:t>专科医生</w:t>
            </w:r>
          </w:p>
          <w:p>
            <w:pPr>
              <w:pStyle w:val="TableParagraph"/>
              <w:numPr>
                <w:ilvl w:val="1"/>
                <w:numId w:val="3"/>
              </w:numPr>
              <w:tabs>
                <w:tab w:pos="1092" w:val="left" w:leader="none"/>
              </w:tabs>
              <w:spacing w:line="240" w:lineRule="auto" w:before="139" w:after="0"/>
              <w:ind w:left="1091" w:right="0" w:hanging="567"/>
              <w:jc w:val="left"/>
              <w:rPr>
                <w:sz w:val="22"/>
              </w:rPr>
            </w:pPr>
            <w:r>
              <w:rPr>
                <w:sz w:val="22"/>
              </w:rPr>
              <w:t>毒品</w:t>
            </w:r>
          </w:p>
        </w:tc>
        <w:tc>
          <w:tcPr>
            <w:tcW w:w="3212" w:type="dxa"/>
          </w:tcPr>
          <w:p>
            <w:pPr>
              <w:pStyle w:val="TableParagraph"/>
              <w:spacing w:before="10"/>
              <w:ind w:left="0"/>
              <w:rPr>
                <w:rFonts w:ascii="微软雅黑"/>
                <w:b/>
                <w:sz w:val="22"/>
              </w:rPr>
            </w:pPr>
          </w:p>
          <w:p>
            <w:pPr>
              <w:pStyle w:val="TableParagraph"/>
              <w:numPr>
                <w:ilvl w:val="1"/>
                <w:numId w:val="4"/>
              </w:numPr>
              <w:tabs>
                <w:tab w:pos="934" w:val="left" w:leader="none"/>
              </w:tabs>
              <w:spacing w:line="240" w:lineRule="auto" w:before="1" w:after="0"/>
              <w:ind w:left="933" w:right="0" w:hanging="566"/>
              <w:jc w:val="left"/>
              <w:rPr>
                <w:sz w:val="22"/>
              </w:rPr>
            </w:pPr>
            <w:r>
              <w:rPr>
                <w:sz w:val="22"/>
              </w:rPr>
              <w:t>酒后驾驶</w:t>
            </w:r>
          </w:p>
          <w:p>
            <w:pPr>
              <w:pStyle w:val="TableParagraph"/>
              <w:numPr>
                <w:ilvl w:val="1"/>
                <w:numId w:val="4"/>
              </w:numPr>
              <w:tabs>
                <w:tab w:pos="934" w:val="left" w:leader="none"/>
              </w:tabs>
              <w:spacing w:line="355" w:lineRule="auto" w:before="142" w:after="0"/>
              <w:ind w:left="933" w:right="200" w:hanging="566"/>
              <w:jc w:val="left"/>
              <w:rPr>
                <w:sz w:val="22"/>
              </w:rPr>
            </w:pPr>
            <w:r>
              <w:rPr>
                <w:spacing w:val="6"/>
                <w:sz w:val="22"/>
              </w:rPr>
              <w:t>无合法有效驾驶证驾驶</w:t>
            </w:r>
          </w:p>
          <w:p>
            <w:pPr>
              <w:pStyle w:val="TableParagraph"/>
              <w:numPr>
                <w:ilvl w:val="1"/>
                <w:numId w:val="4"/>
              </w:numPr>
              <w:tabs>
                <w:tab w:pos="934" w:val="left" w:leader="none"/>
              </w:tabs>
              <w:spacing w:line="240" w:lineRule="auto" w:before="34" w:after="0"/>
              <w:ind w:left="933" w:right="0" w:hanging="566"/>
              <w:jc w:val="left"/>
              <w:rPr>
                <w:sz w:val="22"/>
              </w:rPr>
            </w:pPr>
            <w:r>
              <w:rPr>
                <w:spacing w:val="-1"/>
                <w:sz w:val="22"/>
              </w:rPr>
              <w:t>无有效行驶证</w:t>
            </w:r>
          </w:p>
          <w:p>
            <w:pPr>
              <w:pStyle w:val="TableParagraph"/>
              <w:numPr>
                <w:ilvl w:val="1"/>
                <w:numId w:val="4"/>
              </w:numPr>
              <w:tabs>
                <w:tab w:pos="934" w:val="left" w:leader="none"/>
              </w:tabs>
              <w:spacing w:line="240" w:lineRule="auto" w:before="142" w:after="0"/>
              <w:ind w:left="933" w:right="0" w:hanging="566"/>
              <w:jc w:val="left"/>
              <w:rPr>
                <w:sz w:val="22"/>
              </w:rPr>
            </w:pPr>
            <w:r>
              <w:rPr>
                <w:sz w:val="22"/>
              </w:rPr>
              <w:t>机动车</w:t>
            </w:r>
          </w:p>
          <w:p>
            <w:pPr>
              <w:pStyle w:val="TableParagraph"/>
              <w:numPr>
                <w:ilvl w:val="1"/>
                <w:numId w:val="4"/>
              </w:numPr>
              <w:tabs>
                <w:tab w:pos="934" w:val="left" w:leader="none"/>
              </w:tabs>
              <w:spacing w:line="355" w:lineRule="auto" w:before="139" w:after="0"/>
              <w:ind w:left="933" w:right="200" w:hanging="566"/>
              <w:jc w:val="left"/>
              <w:rPr>
                <w:sz w:val="22"/>
              </w:rPr>
            </w:pPr>
            <w:r>
              <w:rPr>
                <w:spacing w:val="6"/>
                <w:sz w:val="22"/>
              </w:rPr>
              <w:t>感染艾滋病病毒或患艾滋病</w:t>
            </w:r>
          </w:p>
          <w:p>
            <w:pPr>
              <w:pStyle w:val="TableParagraph"/>
              <w:numPr>
                <w:ilvl w:val="1"/>
                <w:numId w:val="4"/>
              </w:numPr>
              <w:tabs>
                <w:tab w:pos="934" w:val="left" w:leader="none"/>
              </w:tabs>
              <w:spacing w:line="240" w:lineRule="auto" w:before="36" w:after="0"/>
              <w:ind w:left="933" w:right="0" w:hanging="566"/>
              <w:jc w:val="left"/>
              <w:rPr>
                <w:sz w:val="22"/>
              </w:rPr>
            </w:pPr>
            <w:r>
              <w:rPr>
                <w:spacing w:val="-1"/>
                <w:sz w:val="22"/>
              </w:rPr>
              <w:t>遗传性疾病</w:t>
            </w:r>
          </w:p>
          <w:p>
            <w:pPr>
              <w:pStyle w:val="TableParagraph"/>
              <w:numPr>
                <w:ilvl w:val="1"/>
                <w:numId w:val="4"/>
              </w:numPr>
              <w:tabs>
                <w:tab w:pos="934" w:val="left" w:leader="none"/>
              </w:tabs>
              <w:spacing w:line="355" w:lineRule="auto" w:before="139" w:after="0"/>
              <w:ind w:left="933" w:right="200" w:hanging="566"/>
              <w:jc w:val="left"/>
              <w:rPr>
                <w:sz w:val="22"/>
              </w:rPr>
            </w:pPr>
            <w:r>
              <w:rPr>
                <w:spacing w:val="6"/>
                <w:sz w:val="22"/>
              </w:rPr>
              <w:t>先天性畸形、变形或</w:t>
            </w:r>
            <w:r>
              <w:rPr>
                <w:spacing w:val="2"/>
                <w:sz w:val="22"/>
              </w:rPr>
              <w:t>染色体异常</w:t>
            </w:r>
          </w:p>
          <w:p>
            <w:pPr>
              <w:pStyle w:val="TableParagraph"/>
              <w:numPr>
                <w:ilvl w:val="1"/>
                <w:numId w:val="4"/>
              </w:numPr>
              <w:tabs>
                <w:tab w:pos="934" w:val="left" w:leader="none"/>
              </w:tabs>
              <w:spacing w:line="240" w:lineRule="auto" w:before="36" w:after="0"/>
              <w:ind w:left="933" w:right="0" w:hanging="566"/>
              <w:jc w:val="left"/>
              <w:rPr>
                <w:sz w:val="22"/>
              </w:rPr>
            </w:pPr>
            <w:r>
              <w:rPr>
                <w:spacing w:val="-1"/>
                <w:sz w:val="22"/>
              </w:rPr>
              <w:t>未满期净保险费</w:t>
            </w:r>
          </w:p>
          <w:p>
            <w:pPr>
              <w:pStyle w:val="TableParagraph"/>
              <w:numPr>
                <w:ilvl w:val="1"/>
                <w:numId w:val="4"/>
              </w:numPr>
              <w:tabs>
                <w:tab w:pos="934" w:val="left" w:leader="none"/>
              </w:tabs>
              <w:spacing w:line="240" w:lineRule="auto" w:before="139" w:after="0"/>
              <w:ind w:left="933" w:right="0" w:hanging="566"/>
              <w:jc w:val="left"/>
              <w:rPr>
                <w:sz w:val="22"/>
              </w:rPr>
            </w:pPr>
            <w:r>
              <w:rPr>
                <w:spacing w:val="-2"/>
                <w:sz w:val="22"/>
              </w:rPr>
              <w:t>肢体机能完全丧失</w:t>
            </w:r>
          </w:p>
          <w:p>
            <w:pPr>
              <w:pStyle w:val="TableParagraph"/>
              <w:numPr>
                <w:ilvl w:val="1"/>
                <w:numId w:val="4"/>
              </w:numPr>
              <w:tabs>
                <w:tab w:pos="934" w:val="left" w:leader="none"/>
              </w:tabs>
              <w:spacing w:line="355" w:lineRule="auto" w:before="139" w:after="0"/>
              <w:ind w:left="933" w:right="200" w:hanging="566"/>
              <w:jc w:val="left"/>
              <w:rPr>
                <w:sz w:val="22"/>
              </w:rPr>
            </w:pPr>
            <w:r>
              <w:rPr>
                <w:spacing w:val="6"/>
                <w:sz w:val="22"/>
              </w:rPr>
              <w:t>语言能力或咀嚼能力完全丧失</w:t>
            </w:r>
          </w:p>
          <w:p>
            <w:pPr>
              <w:pStyle w:val="TableParagraph"/>
              <w:numPr>
                <w:ilvl w:val="1"/>
                <w:numId w:val="4"/>
              </w:numPr>
              <w:tabs>
                <w:tab w:pos="934" w:val="left" w:leader="none"/>
              </w:tabs>
              <w:spacing w:line="355" w:lineRule="auto" w:before="35" w:after="0"/>
              <w:ind w:left="933" w:right="200" w:hanging="566"/>
              <w:jc w:val="left"/>
              <w:rPr>
                <w:sz w:val="22"/>
              </w:rPr>
            </w:pPr>
            <w:r>
              <w:rPr>
                <w:spacing w:val="6"/>
                <w:sz w:val="22"/>
              </w:rPr>
              <w:t>六项基本日常生活活动</w:t>
            </w:r>
          </w:p>
          <w:p>
            <w:pPr>
              <w:pStyle w:val="TableParagraph"/>
              <w:numPr>
                <w:ilvl w:val="1"/>
                <w:numId w:val="4"/>
              </w:numPr>
              <w:tabs>
                <w:tab w:pos="934" w:val="left" w:leader="none"/>
              </w:tabs>
              <w:spacing w:line="240" w:lineRule="auto" w:before="33" w:after="0"/>
              <w:ind w:left="933" w:right="0" w:hanging="566"/>
              <w:jc w:val="left"/>
              <w:rPr>
                <w:sz w:val="22"/>
              </w:rPr>
            </w:pPr>
            <w:r>
              <w:rPr>
                <w:spacing w:val="-1"/>
                <w:sz w:val="22"/>
              </w:rPr>
              <w:t>永久不可逆</w:t>
            </w:r>
          </w:p>
          <w:p>
            <w:pPr>
              <w:pStyle w:val="TableParagraph"/>
              <w:numPr>
                <w:ilvl w:val="1"/>
                <w:numId w:val="4"/>
              </w:numPr>
              <w:tabs>
                <w:tab w:pos="934" w:val="left" w:leader="none"/>
              </w:tabs>
              <w:spacing w:line="240" w:lineRule="auto" w:before="141" w:after="0"/>
              <w:ind w:left="933" w:right="0" w:hanging="566"/>
              <w:jc w:val="left"/>
              <w:rPr>
                <w:sz w:val="22"/>
              </w:rPr>
            </w:pPr>
            <w:r>
              <w:rPr>
                <w:sz w:val="22"/>
              </w:rPr>
              <w:t>手续费</w:t>
            </w:r>
          </w:p>
        </w:tc>
      </w:tr>
    </w:tbl>
    <w:p>
      <w:pPr>
        <w:spacing w:after="0" w:line="240" w:lineRule="auto"/>
        <w:jc w:val="left"/>
        <w:rPr>
          <w:sz w:val="22"/>
        </w:rPr>
        <w:sectPr>
          <w:pgSz w:w="11910" w:h="16850"/>
          <w:pgMar w:top="1360" w:bottom="280" w:left="820" w:right="820"/>
        </w:sectPr>
      </w:pPr>
    </w:p>
    <w:p>
      <w:pPr>
        <w:spacing w:line="592" w:lineRule="exact" w:before="0"/>
        <w:ind w:left="2130" w:right="0" w:firstLine="0"/>
        <w:jc w:val="left"/>
        <w:rPr>
          <w:rFonts w:ascii="微软雅黑" w:eastAsia="微软雅黑" w:hint="eastAsia"/>
          <w:b/>
          <w:sz w:val="40"/>
        </w:rPr>
      </w:pPr>
      <w:r>
        <w:rPr>
          <w:rFonts w:ascii="微软雅黑" w:eastAsia="微软雅黑" w:hint="eastAsia"/>
          <w:b/>
          <w:sz w:val="40"/>
        </w:rPr>
        <w:t>君龙团体重大疾病保险</w:t>
      </w:r>
      <w:r>
        <w:rPr>
          <w:rFonts w:ascii="Microsoft JhengHei UI" w:eastAsia="Microsoft JhengHei UI" w:hint="eastAsia"/>
          <w:b/>
          <w:sz w:val="40"/>
        </w:rPr>
        <w:t>(2009)</w:t>
      </w:r>
      <w:r>
        <w:rPr>
          <w:rFonts w:ascii="微软雅黑" w:eastAsia="微软雅黑" w:hint="eastAsia"/>
          <w:b/>
          <w:sz w:val="40"/>
        </w:rPr>
        <w:t>条款</w:t>
      </w:r>
    </w:p>
    <w:p>
      <w:pPr>
        <w:pStyle w:val="Heading3"/>
        <w:spacing w:before="295"/>
        <w:ind w:left="23"/>
        <w:jc w:val="center"/>
        <w:rPr>
          <w:rFonts w:ascii="Microsoft JhengHei UI" w:eastAsia="Microsoft JhengHei UI" w:hint="eastAsia"/>
        </w:rPr>
      </w:pPr>
      <w:r>
        <w:rPr>
          <w:rFonts w:ascii="Microsoft JhengHei UI" w:eastAsia="Microsoft JhengHei UI" w:hint="eastAsia"/>
        </w:rPr>
        <w:t>(2009</w:t>
      </w:r>
      <w:r>
        <w:rPr/>
        <w:t>年</w:t>
      </w:r>
      <w:r>
        <w:rPr>
          <w:rFonts w:ascii="Microsoft JhengHei UI" w:eastAsia="Microsoft JhengHei UI" w:hint="eastAsia"/>
        </w:rPr>
        <w:t>12</w:t>
      </w:r>
      <w:r>
        <w:rPr/>
        <w:t>月经保监会核准备案</w:t>
      </w:r>
      <w:r>
        <w:rPr>
          <w:rFonts w:ascii="Microsoft JhengHei UI" w:eastAsia="Microsoft JhengHei UI" w:hint="eastAsia"/>
        </w:rPr>
        <w:t>)</w:t>
      </w:r>
    </w:p>
    <w:p>
      <w:pPr>
        <w:pStyle w:val="BodyText"/>
        <w:spacing w:before="6"/>
        <w:rPr>
          <w:rFonts w:ascii="Microsoft JhengHei UI"/>
          <w:b/>
          <w:sz w:val="24"/>
        </w:rPr>
      </w:pPr>
    </w:p>
    <w:p>
      <w:pPr>
        <w:pStyle w:val="BodyText"/>
        <w:spacing w:line="316" w:lineRule="auto"/>
        <w:ind w:left="332" w:right="312"/>
      </w:pPr>
      <w:r>
        <w:rPr/>
        <w:t>在本条款中，“我们”、“本公司”均指君龙人寿保险有限公司，“本合同”指投保人与我们之间订立的“君龙团体重大疾病保险(2009)保险合同”。</w:t>
      </w:r>
    </w:p>
    <w:p>
      <w:pPr>
        <w:pStyle w:val="BodyText"/>
        <w:spacing w:before="12"/>
        <w:rPr>
          <w:sz w:val="26"/>
        </w:rPr>
      </w:pPr>
    </w:p>
    <w:p>
      <w:pPr>
        <w:tabs>
          <w:tab w:pos="9717" w:val="left" w:leader="none"/>
        </w:tabs>
        <w:spacing w:before="0"/>
        <w:ind w:left="19" w:right="0" w:firstLine="0"/>
        <w:jc w:val="center"/>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投保人与我们订立的合同</w:t>
      </w:r>
      <w:r>
        <w:rPr>
          <w:b/>
          <w:sz w:val="30"/>
          <w:u w:val="thick"/>
        </w:rPr>
        <w:tab/>
      </w:r>
    </w:p>
    <w:p>
      <w:pPr>
        <w:pStyle w:val="BodyText"/>
        <w:rPr>
          <w:b/>
          <w:sz w:val="20"/>
        </w:rPr>
      </w:pPr>
    </w:p>
    <w:p>
      <w:pPr>
        <w:pStyle w:val="BodyText"/>
        <w:spacing w:before="5"/>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9"/>
      </w:tblGrid>
      <w:tr>
        <w:trPr>
          <w:trHeight w:val="1630" w:hRule="atLeast"/>
        </w:trPr>
        <w:tc>
          <w:tcPr>
            <w:tcW w:w="756" w:type="dxa"/>
          </w:tcPr>
          <w:p>
            <w:pPr>
              <w:pStyle w:val="TableParagraph"/>
              <w:spacing w:line="221" w:lineRule="exact"/>
              <w:ind w:left="200"/>
              <w:rPr>
                <w:b/>
                <w:sz w:val="22"/>
              </w:rPr>
            </w:pPr>
            <w:r>
              <w:rPr>
                <w:b/>
                <w:sz w:val="22"/>
              </w:rPr>
              <w:t>1.1</w:t>
            </w:r>
          </w:p>
        </w:tc>
        <w:tc>
          <w:tcPr>
            <w:tcW w:w="1660" w:type="dxa"/>
          </w:tcPr>
          <w:p>
            <w:pPr>
              <w:pStyle w:val="TableParagraph"/>
              <w:spacing w:line="221" w:lineRule="exact"/>
              <w:ind w:left="222"/>
              <w:rPr>
                <w:b/>
                <w:sz w:val="22"/>
              </w:rPr>
            </w:pPr>
            <w:r>
              <w:rPr>
                <w:b/>
                <w:w w:val="95"/>
                <w:sz w:val="22"/>
              </w:rPr>
              <w:t>合同构成</w:t>
            </w:r>
          </w:p>
        </w:tc>
        <w:tc>
          <w:tcPr>
            <w:tcW w:w="7629" w:type="dxa"/>
          </w:tcPr>
          <w:p>
            <w:pPr>
              <w:pStyle w:val="TableParagraph"/>
              <w:spacing w:line="221" w:lineRule="exact"/>
              <w:ind w:left="112"/>
              <w:rPr>
                <w:sz w:val="22"/>
              </w:rPr>
            </w:pPr>
            <w:r>
              <w:rPr>
                <w:sz w:val="22"/>
              </w:rPr>
              <w:t>本合同是投保人与我们约定保险权利义务关系的协议，包括本保险条款、保</w:t>
            </w:r>
          </w:p>
          <w:p>
            <w:pPr>
              <w:pStyle w:val="TableParagraph"/>
              <w:spacing w:line="316" w:lineRule="auto" w:before="91"/>
              <w:ind w:left="112" w:right="207"/>
              <w:jc w:val="both"/>
              <w:rPr>
                <w:sz w:val="22"/>
              </w:rPr>
            </w:pPr>
            <w:r>
              <w:rPr>
                <w:sz w:val="22"/>
              </w:rPr>
              <w:t>险单或其它保险凭证、投保单、被保险人清单等与保险合同有关的投保文件、合法有效的声明、批注、批单及其它投保人与我们共同认可的书面协议。</w:t>
            </w:r>
          </w:p>
        </w:tc>
      </w:tr>
      <w:tr>
        <w:trPr>
          <w:trHeight w:val="1140" w:hRule="atLeast"/>
        </w:trPr>
        <w:tc>
          <w:tcPr>
            <w:tcW w:w="756" w:type="dxa"/>
          </w:tcPr>
          <w:p>
            <w:pPr>
              <w:pStyle w:val="TableParagraph"/>
              <w:spacing w:before="6"/>
              <w:ind w:left="0"/>
              <w:rPr>
                <w:b/>
                <w:sz w:val="15"/>
              </w:rPr>
            </w:pPr>
          </w:p>
          <w:p>
            <w:pPr>
              <w:pStyle w:val="TableParagraph"/>
              <w:ind w:left="200"/>
              <w:rPr>
                <w:b/>
                <w:sz w:val="22"/>
              </w:rPr>
            </w:pPr>
            <w:r>
              <w:rPr>
                <w:b/>
                <w:sz w:val="22"/>
              </w:rPr>
              <w:t>1.2</w:t>
            </w:r>
          </w:p>
        </w:tc>
        <w:tc>
          <w:tcPr>
            <w:tcW w:w="1660" w:type="dxa"/>
          </w:tcPr>
          <w:p>
            <w:pPr>
              <w:pStyle w:val="TableParagraph"/>
              <w:spacing w:before="6"/>
              <w:ind w:left="0"/>
              <w:rPr>
                <w:b/>
                <w:sz w:val="15"/>
              </w:rPr>
            </w:pPr>
          </w:p>
          <w:p>
            <w:pPr>
              <w:pStyle w:val="TableParagraph"/>
              <w:spacing w:line="316" w:lineRule="auto"/>
              <w:ind w:left="222" w:right="111"/>
              <w:rPr>
                <w:b/>
                <w:sz w:val="22"/>
              </w:rPr>
            </w:pPr>
            <w:r>
              <w:rPr>
                <w:b/>
                <w:sz w:val="22"/>
              </w:rPr>
              <w:t>保险合同成立</w:t>
            </w:r>
            <w:r>
              <w:rPr>
                <w:b/>
                <w:w w:val="95"/>
                <w:sz w:val="22"/>
              </w:rPr>
              <w:t>与生效</w:t>
            </w:r>
          </w:p>
        </w:tc>
        <w:tc>
          <w:tcPr>
            <w:tcW w:w="7629" w:type="dxa"/>
          </w:tcPr>
          <w:p>
            <w:pPr>
              <w:pStyle w:val="TableParagraph"/>
              <w:spacing w:before="6"/>
              <w:ind w:left="0"/>
              <w:rPr>
                <w:b/>
                <w:sz w:val="15"/>
              </w:rPr>
            </w:pPr>
          </w:p>
          <w:p>
            <w:pPr>
              <w:pStyle w:val="TableParagraph"/>
              <w:spacing w:line="316" w:lineRule="auto"/>
              <w:ind w:left="112" w:right="2454"/>
              <w:rPr>
                <w:sz w:val="22"/>
              </w:rPr>
            </w:pPr>
            <w:r>
              <w:rPr>
                <w:sz w:val="22"/>
              </w:rPr>
              <w:t>投保人提出保险申请、我们同意承保，本合同成立。合同生效日期在保险单上载明。</w:t>
            </w:r>
          </w:p>
        </w:tc>
      </w:tr>
      <w:tr>
        <w:trPr>
          <w:trHeight w:val="3040" w:hRule="atLeast"/>
        </w:trPr>
        <w:tc>
          <w:tcPr>
            <w:tcW w:w="756" w:type="dxa"/>
          </w:tcPr>
          <w:p>
            <w:pPr>
              <w:pStyle w:val="TableParagraph"/>
              <w:spacing w:before="6"/>
              <w:ind w:left="0"/>
              <w:rPr>
                <w:b/>
                <w:sz w:val="15"/>
              </w:rPr>
            </w:pPr>
          </w:p>
          <w:p>
            <w:pPr>
              <w:pStyle w:val="TableParagraph"/>
              <w:ind w:left="200"/>
              <w:rPr>
                <w:b/>
                <w:sz w:val="22"/>
              </w:rPr>
            </w:pPr>
            <w:r>
              <w:rPr>
                <w:b/>
                <w:sz w:val="22"/>
              </w:rPr>
              <w:t>1.3</w:t>
            </w:r>
          </w:p>
        </w:tc>
        <w:tc>
          <w:tcPr>
            <w:tcW w:w="1660" w:type="dxa"/>
          </w:tcPr>
          <w:p>
            <w:pPr>
              <w:pStyle w:val="TableParagraph"/>
              <w:spacing w:before="6"/>
              <w:ind w:left="0"/>
              <w:rPr>
                <w:b/>
                <w:sz w:val="15"/>
              </w:rPr>
            </w:pPr>
          </w:p>
          <w:p>
            <w:pPr>
              <w:pStyle w:val="TableParagraph"/>
              <w:ind w:left="222"/>
              <w:rPr>
                <w:b/>
                <w:sz w:val="22"/>
              </w:rPr>
            </w:pPr>
            <w:r>
              <w:rPr>
                <w:b/>
                <w:w w:val="95"/>
                <w:sz w:val="22"/>
              </w:rPr>
              <w:t>投保范围</w:t>
            </w:r>
          </w:p>
        </w:tc>
        <w:tc>
          <w:tcPr>
            <w:tcW w:w="7629" w:type="dxa"/>
          </w:tcPr>
          <w:p>
            <w:pPr>
              <w:pStyle w:val="TableParagraph"/>
              <w:spacing w:before="6"/>
              <w:ind w:left="0"/>
              <w:rPr>
                <w:b/>
                <w:sz w:val="15"/>
              </w:rPr>
            </w:pPr>
          </w:p>
          <w:p>
            <w:pPr>
              <w:pStyle w:val="TableParagraph"/>
              <w:numPr>
                <w:ilvl w:val="0"/>
                <w:numId w:val="5"/>
              </w:numPr>
              <w:tabs>
                <w:tab w:pos="566" w:val="left" w:leader="none"/>
              </w:tabs>
              <w:spacing w:line="316" w:lineRule="auto" w:before="0" w:after="0"/>
              <w:ind w:left="566" w:right="198" w:hanging="454"/>
              <w:jc w:val="both"/>
              <w:rPr>
                <w:sz w:val="22"/>
              </w:rPr>
            </w:pPr>
            <w:r>
              <w:rPr>
                <w:sz w:val="22"/>
              </w:rPr>
              <w:t>投保人：经被保险人同意，被保险人所在</w:t>
            </w:r>
            <w:r>
              <w:rPr>
                <w:b/>
                <w:sz w:val="22"/>
              </w:rPr>
              <w:t>团体</w:t>
            </w:r>
            <w:r>
              <w:rPr>
                <w:sz w:val="22"/>
              </w:rPr>
              <w:t>可作为投保人，为其成员</w:t>
            </w:r>
            <w:r>
              <w:rPr>
                <w:spacing w:val="-2"/>
                <w:sz w:val="22"/>
              </w:rPr>
              <w:t>向我们投保本合同。</w:t>
            </w:r>
          </w:p>
          <w:p>
            <w:pPr>
              <w:pStyle w:val="TableParagraph"/>
              <w:numPr>
                <w:ilvl w:val="0"/>
                <w:numId w:val="5"/>
              </w:numPr>
              <w:tabs>
                <w:tab w:pos="566" w:val="left" w:leader="none"/>
              </w:tabs>
              <w:spacing w:line="316" w:lineRule="auto" w:before="21" w:after="0"/>
              <w:ind w:left="566" w:right="200" w:hanging="454"/>
              <w:jc w:val="both"/>
              <w:rPr>
                <w:sz w:val="22"/>
              </w:rPr>
            </w:pPr>
            <w:r>
              <w:rPr>
                <w:sz w:val="22"/>
              </w:rPr>
              <w:t>被保险人：团体所属成员中凡满16周岁以上、60周岁以下，身体健康， 正常工作的在职员工，可作为被保险人参加本合同。年龄在60周岁以下的被保险人配偶、</w:t>
            </w:r>
            <w:r>
              <w:rPr>
                <w:b/>
                <w:sz w:val="22"/>
              </w:rPr>
              <w:t>父母</w:t>
            </w:r>
            <w:r>
              <w:rPr>
                <w:sz w:val="22"/>
              </w:rPr>
              <w:t>，或出生满28天以上、不满25周岁且未婚的</w:t>
            </w:r>
            <w:r>
              <w:rPr>
                <w:b/>
                <w:sz w:val="22"/>
              </w:rPr>
              <w:t>子女</w:t>
            </w:r>
            <w:r>
              <w:rPr>
                <w:sz w:val="22"/>
              </w:rPr>
              <w:t>或</w:t>
            </w:r>
            <w:r>
              <w:rPr>
                <w:b/>
                <w:sz w:val="22"/>
              </w:rPr>
              <w:t>继子女</w:t>
            </w:r>
            <w:r>
              <w:rPr>
                <w:sz w:val="22"/>
              </w:rPr>
              <w:t>，经我们同意并经记载于保险合同上，可作为附属被保险人参加合同。</w:t>
            </w:r>
          </w:p>
        </w:tc>
      </w:tr>
      <w:tr>
        <w:trPr>
          <w:trHeight w:val="489" w:hRule="atLeast"/>
        </w:trPr>
        <w:tc>
          <w:tcPr>
            <w:tcW w:w="756" w:type="dxa"/>
          </w:tcPr>
          <w:p>
            <w:pPr>
              <w:pStyle w:val="TableParagraph"/>
              <w:spacing w:before="5"/>
              <w:ind w:left="0"/>
              <w:rPr>
                <w:b/>
                <w:sz w:val="15"/>
              </w:rPr>
            </w:pPr>
          </w:p>
          <w:p>
            <w:pPr>
              <w:pStyle w:val="TableParagraph"/>
              <w:spacing w:line="268" w:lineRule="exact"/>
              <w:ind w:left="200"/>
              <w:rPr>
                <w:b/>
                <w:sz w:val="22"/>
              </w:rPr>
            </w:pPr>
            <w:r>
              <w:rPr>
                <w:b/>
                <w:sz w:val="22"/>
              </w:rPr>
              <w:t>1.4</w:t>
            </w:r>
          </w:p>
        </w:tc>
        <w:tc>
          <w:tcPr>
            <w:tcW w:w="1660" w:type="dxa"/>
          </w:tcPr>
          <w:p>
            <w:pPr>
              <w:pStyle w:val="TableParagraph"/>
              <w:spacing w:before="5"/>
              <w:ind w:left="0"/>
              <w:rPr>
                <w:b/>
                <w:sz w:val="15"/>
              </w:rPr>
            </w:pPr>
          </w:p>
          <w:p>
            <w:pPr>
              <w:pStyle w:val="TableParagraph"/>
              <w:spacing w:line="268" w:lineRule="exact"/>
              <w:ind w:left="222"/>
              <w:rPr>
                <w:b/>
                <w:sz w:val="22"/>
              </w:rPr>
            </w:pPr>
            <w:r>
              <w:rPr>
                <w:b/>
                <w:w w:val="95"/>
                <w:sz w:val="22"/>
              </w:rPr>
              <w:t>投保年龄</w:t>
            </w:r>
          </w:p>
        </w:tc>
        <w:tc>
          <w:tcPr>
            <w:tcW w:w="7629" w:type="dxa"/>
          </w:tcPr>
          <w:p>
            <w:pPr>
              <w:pStyle w:val="TableParagraph"/>
              <w:spacing w:before="5"/>
              <w:ind w:left="0"/>
              <w:rPr>
                <w:b/>
                <w:sz w:val="15"/>
              </w:rPr>
            </w:pPr>
          </w:p>
          <w:p>
            <w:pPr>
              <w:pStyle w:val="TableParagraph"/>
              <w:spacing w:line="268" w:lineRule="exact"/>
              <w:ind w:left="112"/>
              <w:rPr>
                <w:sz w:val="22"/>
              </w:rPr>
            </w:pPr>
            <w:r>
              <w:rPr>
                <w:sz w:val="22"/>
              </w:rPr>
              <w:t>指投保时被保险人的年龄，投保年龄以</w:t>
            </w:r>
            <w:r>
              <w:rPr>
                <w:b/>
                <w:sz w:val="22"/>
              </w:rPr>
              <w:t>周岁</w:t>
            </w:r>
            <w:r>
              <w:rPr>
                <w:sz w:val="22"/>
              </w:rPr>
              <w:t>计算。</w:t>
            </w:r>
          </w:p>
        </w:tc>
      </w:tr>
    </w:tbl>
    <w:p>
      <w:pPr>
        <w:pStyle w:val="BodyText"/>
        <w:spacing w:before="9"/>
        <w:rPr>
          <w:b/>
          <w:sz w:val="24"/>
        </w:rPr>
      </w:pPr>
    </w:p>
    <w:p>
      <w:pPr>
        <w:tabs>
          <w:tab w:pos="10001" w:val="left" w:leader="none"/>
        </w:tabs>
        <w:spacing w:before="100"/>
        <w:ind w:left="304" w:right="0" w:firstLine="0"/>
        <w:jc w:val="left"/>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我们提供的保障</w:t>
      </w:r>
      <w:r>
        <w:rPr>
          <w:b/>
          <w:sz w:val="30"/>
          <w:u w:val="thick"/>
        </w:rPr>
        <w:tab/>
      </w:r>
    </w:p>
    <w:p>
      <w:pPr>
        <w:pStyle w:val="BodyText"/>
        <w:rPr>
          <w:b/>
          <w:sz w:val="20"/>
        </w:rPr>
      </w:pPr>
    </w:p>
    <w:p>
      <w:pPr>
        <w:pStyle w:val="BodyText"/>
        <w:spacing w:before="5" w:after="1"/>
        <w:rPr>
          <w:b/>
          <w:sz w:val="21"/>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85"/>
        <w:gridCol w:w="7611"/>
      </w:tblGrid>
      <w:tr>
        <w:trPr>
          <w:trHeight w:val="1630" w:hRule="atLeast"/>
        </w:trPr>
        <w:tc>
          <w:tcPr>
            <w:tcW w:w="769" w:type="dxa"/>
          </w:tcPr>
          <w:p>
            <w:pPr>
              <w:pStyle w:val="TableParagraph"/>
              <w:spacing w:line="221" w:lineRule="exact"/>
              <w:ind w:left="181" w:right="214"/>
              <w:jc w:val="center"/>
              <w:rPr>
                <w:b/>
                <w:sz w:val="22"/>
              </w:rPr>
            </w:pPr>
            <w:r>
              <w:rPr>
                <w:b/>
                <w:sz w:val="22"/>
              </w:rPr>
              <w:t>2.1</w:t>
            </w:r>
          </w:p>
        </w:tc>
        <w:tc>
          <w:tcPr>
            <w:tcW w:w="1685" w:type="dxa"/>
          </w:tcPr>
          <w:p>
            <w:pPr>
              <w:pStyle w:val="TableParagraph"/>
              <w:spacing w:line="221" w:lineRule="exact"/>
              <w:ind w:left="235"/>
              <w:rPr>
                <w:b/>
                <w:sz w:val="22"/>
              </w:rPr>
            </w:pPr>
            <w:r>
              <w:rPr>
                <w:b/>
                <w:w w:val="95"/>
                <w:sz w:val="22"/>
              </w:rPr>
              <w:t>保险期间与续</w:t>
            </w:r>
          </w:p>
          <w:p>
            <w:pPr>
              <w:pStyle w:val="TableParagraph"/>
              <w:spacing w:before="93"/>
              <w:ind w:left="235"/>
              <w:rPr>
                <w:b/>
                <w:sz w:val="22"/>
              </w:rPr>
            </w:pPr>
            <w:r>
              <w:rPr>
                <w:b/>
                <w:w w:val="99"/>
                <w:sz w:val="22"/>
              </w:rPr>
              <w:t>保</w:t>
            </w:r>
          </w:p>
        </w:tc>
        <w:tc>
          <w:tcPr>
            <w:tcW w:w="7611" w:type="dxa"/>
          </w:tcPr>
          <w:p>
            <w:pPr>
              <w:pStyle w:val="TableParagraph"/>
              <w:spacing w:line="221" w:lineRule="exact"/>
              <w:ind w:left="124"/>
              <w:rPr>
                <w:sz w:val="22"/>
              </w:rPr>
            </w:pPr>
            <w:r>
              <w:rPr>
                <w:sz w:val="22"/>
              </w:rPr>
              <w:t>本合同的保险期间为一年，自本合同生效日的零时起到满期日的24时止。</w:t>
            </w:r>
          </w:p>
          <w:p>
            <w:pPr>
              <w:pStyle w:val="TableParagraph"/>
              <w:spacing w:line="316" w:lineRule="auto" w:before="93"/>
              <w:ind w:left="124" w:right="197"/>
              <w:jc w:val="both"/>
              <w:rPr>
                <w:sz w:val="22"/>
              </w:rPr>
            </w:pPr>
            <w:r>
              <w:rPr>
                <w:sz w:val="22"/>
              </w:rPr>
              <w:t>投保人可以在保险期间满期日的两周前，以书面形式通知我们续保，经我们同意后，续保的生效日期以合同满期日的次日零时为准。每次续保保险期间为一年。</w:t>
            </w:r>
          </w:p>
        </w:tc>
      </w:tr>
      <w:tr>
        <w:trPr>
          <w:trHeight w:val="490" w:hRule="atLeast"/>
        </w:trPr>
        <w:tc>
          <w:tcPr>
            <w:tcW w:w="769" w:type="dxa"/>
          </w:tcPr>
          <w:p>
            <w:pPr>
              <w:pStyle w:val="TableParagraph"/>
              <w:spacing w:before="6"/>
              <w:ind w:left="0"/>
              <w:rPr>
                <w:b/>
                <w:sz w:val="15"/>
              </w:rPr>
            </w:pPr>
          </w:p>
          <w:p>
            <w:pPr>
              <w:pStyle w:val="TableParagraph"/>
              <w:spacing w:line="268" w:lineRule="exact"/>
              <w:ind w:left="181" w:right="214"/>
              <w:jc w:val="center"/>
              <w:rPr>
                <w:b/>
                <w:sz w:val="22"/>
              </w:rPr>
            </w:pPr>
            <w:r>
              <w:rPr>
                <w:b/>
                <w:sz w:val="22"/>
              </w:rPr>
              <w:t>2.2</w:t>
            </w:r>
          </w:p>
        </w:tc>
        <w:tc>
          <w:tcPr>
            <w:tcW w:w="1685" w:type="dxa"/>
          </w:tcPr>
          <w:p>
            <w:pPr>
              <w:pStyle w:val="TableParagraph"/>
              <w:spacing w:before="6"/>
              <w:ind w:left="0"/>
              <w:rPr>
                <w:b/>
                <w:sz w:val="15"/>
              </w:rPr>
            </w:pPr>
          </w:p>
          <w:p>
            <w:pPr>
              <w:pStyle w:val="TableParagraph"/>
              <w:spacing w:line="268" w:lineRule="exact"/>
              <w:ind w:left="235"/>
              <w:rPr>
                <w:b/>
                <w:sz w:val="22"/>
              </w:rPr>
            </w:pPr>
            <w:r>
              <w:rPr>
                <w:b/>
                <w:w w:val="95"/>
                <w:sz w:val="22"/>
              </w:rPr>
              <w:t>基本保险金额</w:t>
            </w:r>
          </w:p>
        </w:tc>
        <w:tc>
          <w:tcPr>
            <w:tcW w:w="7611" w:type="dxa"/>
          </w:tcPr>
          <w:p>
            <w:pPr>
              <w:pStyle w:val="TableParagraph"/>
              <w:spacing w:before="6"/>
              <w:ind w:left="0"/>
              <w:rPr>
                <w:b/>
                <w:sz w:val="15"/>
              </w:rPr>
            </w:pPr>
          </w:p>
          <w:p>
            <w:pPr>
              <w:pStyle w:val="TableParagraph"/>
              <w:spacing w:line="268" w:lineRule="exact"/>
              <w:ind w:left="124"/>
              <w:rPr>
                <w:sz w:val="22"/>
              </w:rPr>
            </w:pPr>
            <w:r>
              <w:rPr>
                <w:sz w:val="22"/>
              </w:rPr>
              <w:t>本合同基本保险金额由投保人和我们约定，并在保险合同上载明。</w:t>
            </w:r>
          </w:p>
        </w:tc>
      </w:tr>
    </w:tbl>
    <w:p>
      <w:pPr>
        <w:spacing w:after="0" w:line="268" w:lineRule="exact"/>
        <w:rPr>
          <w:sz w:val="22"/>
        </w:rPr>
        <w:sectPr>
          <w:pgSz w:w="11910" w:h="16850"/>
          <w:pgMar w:top="1360" w:bottom="280" w:left="800" w:right="820"/>
        </w:sectPr>
      </w:pPr>
    </w:p>
    <w:p>
      <w:pPr>
        <w:pStyle w:val="ListParagraph"/>
        <w:numPr>
          <w:ilvl w:val="1"/>
          <w:numId w:val="6"/>
        </w:numPr>
        <w:tabs>
          <w:tab w:pos="1110" w:val="left" w:leader="none"/>
          <w:tab w:pos="1111" w:val="left" w:leader="none"/>
          <w:tab w:pos="2644" w:val="left" w:leader="none"/>
        </w:tabs>
        <w:spacing w:line="240" w:lineRule="auto" w:before="5" w:after="0"/>
        <w:ind w:left="2685" w:right="0" w:hanging="2379"/>
        <w:jc w:val="left"/>
        <w:rPr>
          <w:sz w:val="22"/>
        </w:rPr>
      </w:pPr>
      <w:r>
        <w:rPr>
          <w:b/>
          <w:sz w:val="22"/>
        </w:rPr>
        <w:t>保险责任</w:t>
        <w:tab/>
      </w:r>
      <w:r>
        <w:rPr>
          <w:sz w:val="22"/>
        </w:rPr>
        <w:t>在本合</w:t>
      </w:r>
      <w:r>
        <w:rPr>
          <w:spacing w:val="-3"/>
          <w:sz w:val="22"/>
        </w:rPr>
        <w:t>同</w:t>
      </w:r>
      <w:r>
        <w:rPr>
          <w:sz w:val="22"/>
        </w:rPr>
        <w:t>有效</w:t>
      </w:r>
      <w:r>
        <w:rPr>
          <w:spacing w:val="-3"/>
          <w:sz w:val="22"/>
        </w:rPr>
        <w:t>期</w:t>
      </w:r>
      <w:r>
        <w:rPr>
          <w:sz w:val="22"/>
        </w:rPr>
        <w:t>内，</w:t>
      </w:r>
      <w:r>
        <w:rPr>
          <w:spacing w:val="-3"/>
          <w:sz w:val="22"/>
        </w:rPr>
        <w:t>我们</w:t>
      </w:r>
      <w:r>
        <w:rPr>
          <w:sz w:val="22"/>
        </w:rPr>
        <w:t>承担如</w:t>
      </w:r>
      <w:r>
        <w:rPr>
          <w:spacing w:val="-3"/>
          <w:sz w:val="22"/>
        </w:rPr>
        <w:t>下</w:t>
      </w:r>
      <w:r>
        <w:rPr>
          <w:sz w:val="22"/>
        </w:rPr>
        <w:t>保险</w:t>
      </w:r>
      <w:r>
        <w:rPr>
          <w:spacing w:val="-3"/>
          <w:sz w:val="22"/>
        </w:rPr>
        <w:t>责</w:t>
      </w:r>
      <w:r>
        <w:rPr>
          <w:sz w:val="22"/>
        </w:rPr>
        <w:t>任：</w:t>
      </w:r>
    </w:p>
    <w:p>
      <w:pPr>
        <w:pStyle w:val="BodyText"/>
        <w:spacing w:before="12"/>
        <w:rPr>
          <w:sz w:val="30"/>
        </w:rPr>
      </w:pPr>
    </w:p>
    <w:p>
      <w:pPr>
        <w:pStyle w:val="BodyText"/>
        <w:tabs>
          <w:tab w:pos="2685" w:val="left" w:leader="none"/>
        </w:tabs>
        <w:spacing w:line="302" w:lineRule="auto"/>
        <w:ind w:left="2702" w:right="126" w:hanging="1592"/>
        <w:jc w:val="both"/>
      </w:pPr>
      <w:r>
        <w:rPr>
          <w:rFonts w:ascii="微软雅黑" w:eastAsia="微软雅黑" w:hint="eastAsia"/>
          <w:b/>
        </w:rPr>
        <w:t>等待期</w:t>
        <w:tab/>
      </w:r>
      <w:r>
        <w:rPr>
          <w:shd w:fill="9F9F9F" w:color="auto" w:val="clear"/>
        </w:rPr>
        <w:t>从本合同生效（或复效）之日起30天内，被保险人发生</w:t>
      </w:r>
      <w:r>
        <w:rPr>
          <w:b/>
          <w:shd w:fill="9F9F9F" w:color="auto" w:val="clear"/>
        </w:rPr>
        <w:t>重大疾病</w:t>
      </w:r>
      <w:r>
        <w:rPr>
          <w:shd w:fill="9F9F9F" w:color="auto" w:val="clear"/>
        </w:rPr>
        <w:t>的，我们不 承担保险责任，对该被</w:t>
      </w:r>
      <w:r>
        <w:rPr>
          <w:spacing w:val="-3"/>
          <w:shd w:fill="9F9F9F" w:color="auto" w:val="clear"/>
        </w:rPr>
        <w:t>保</w:t>
      </w:r>
      <w:r>
        <w:rPr>
          <w:shd w:fill="9F9F9F" w:color="auto" w:val="clear"/>
        </w:rPr>
        <w:t>险人保险责任</w:t>
      </w:r>
      <w:r>
        <w:rPr>
          <w:spacing w:val="-3"/>
          <w:shd w:fill="9F9F9F" w:color="auto" w:val="clear"/>
        </w:rPr>
        <w:t>终</w:t>
      </w:r>
      <w:r>
        <w:rPr>
          <w:shd w:fill="9F9F9F" w:color="auto" w:val="clear"/>
        </w:rPr>
        <w:t>止，并</w:t>
      </w:r>
      <w:r>
        <w:rPr>
          <w:spacing w:val="-3"/>
          <w:shd w:fill="9F9F9F" w:color="auto" w:val="clear"/>
        </w:rPr>
        <w:t>向</w:t>
      </w:r>
      <w:r>
        <w:rPr>
          <w:shd w:fill="9F9F9F" w:color="auto" w:val="clear"/>
        </w:rPr>
        <w:t>投保人无息退还</w:t>
      </w:r>
      <w:r>
        <w:rPr>
          <w:spacing w:val="-221"/>
          <w:shd w:fill="9F9F9F" w:color="auto" w:val="clear"/>
        </w:rPr>
        <w:t>该</w:t>
      </w:r>
      <w:r>
        <w:rPr>
          <w:shd w:fill="9F9F9F" w:color="auto" w:val="clear"/>
        </w:rPr>
        <w:t>被保险人对应的所交</w:t>
      </w:r>
      <w:r>
        <w:rPr>
          <w:spacing w:val="-3"/>
          <w:shd w:fill="9F9F9F" w:color="auto" w:val="clear"/>
        </w:rPr>
        <w:t>保</w:t>
      </w:r>
      <w:r>
        <w:rPr>
          <w:shd w:fill="9F9F9F" w:color="auto" w:val="clear"/>
        </w:rPr>
        <w:t>险费，</w:t>
      </w:r>
      <w:r>
        <w:rPr>
          <w:spacing w:val="-3"/>
          <w:shd w:fill="9F9F9F" w:color="auto" w:val="clear"/>
        </w:rPr>
        <w:t>这</w:t>
      </w:r>
      <w:r>
        <w:rPr>
          <w:shd w:fill="9F9F9F" w:color="auto" w:val="clear"/>
        </w:rPr>
        <w:t>30天的时间称</w:t>
      </w:r>
      <w:r>
        <w:rPr>
          <w:spacing w:val="-3"/>
          <w:shd w:fill="9F9F9F" w:color="auto" w:val="clear"/>
        </w:rPr>
        <w:t>为</w:t>
      </w:r>
      <w:r>
        <w:rPr>
          <w:shd w:fill="9F9F9F" w:color="auto" w:val="clear"/>
        </w:rPr>
        <w:t>等待期；若被保险人连</w:t>
      </w:r>
      <w:r>
        <w:rPr>
          <w:spacing w:val="-3"/>
          <w:shd w:fill="9F9F9F" w:color="auto" w:val="clear"/>
        </w:rPr>
        <w:t>续</w:t>
      </w:r>
      <w:r>
        <w:rPr>
          <w:shd w:fill="9F9F9F" w:color="auto" w:val="clear"/>
        </w:rPr>
        <w:t>投保本保险</w:t>
      </w:r>
      <w:r>
        <w:rPr>
          <w:spacing w:val="-1"/>
          <w:shd w:fill="9F9F9F" w:color="auto" w:val="clear"/>
        </w:rPr>
        <w:t>或因</w:t>
      </w:r>
      <w:r>
        <w:rPr>
          <w:b/>
          <w:shd w:fill="9F9F9F" w:color="auto" w:val="clear"/>
        </w:rPr>
        <w:t>意外伤害</w:t>
      </w:r>
      <w:r>
        <w:rPr>
          <w:spacing w:val="-3"/>
          <w:shd w:fill="9F9F9F" w:color="auto" w:val="clear"/>
        </w:rPr>
        <w:t>导</w:t>
      </w:r>
      <w:r>
        <w:rPr>
          <w:shd w:fill="9F9F9F" w:color="auto" w:val="clear"/>
        </w:rPr>
        <w:t>致初</w:t>
      </w:r>
      <w:r>
        <w:rPr>
          <w:spacing w:val="-3"/>
          <w:shd w:fill="9F9F9F" w:color="auto" w:val="clear"/>
        </w:rPr>
        <w:t>次</w:t>
      </w:r>
      <w:r>
        <w:rPr>
          <w:shd w:fill="9F9F9F" w:color="auto" w:val="clear"/>
        </w:rPr>
        <w:t>发生重</w:t>
      </w:r>
      <w:r>
        <w:rPr>
          <w:spacing w:val="-3"/>
          <w:shd w:fill="9F9F9F" w:color="auto" w:val="clear"/>
        </w:rPr>
        <w:t>大</w:t>
      </w:r>
      <w:r>
        <w:rPr>
          <w:shd w:fill="9F9F9F" w:color="auto" w:val="clear"/>
        </w:rPr>
        <w:t>疾病，则无</w:t>
      </w:r>
      <w:r>
        <w:rPr>
          <w:spacing w:val="-3"/>
          <w:shd w:fill="9F9F9F" w:color="auto" w:val="clear"/>
        </w:rPr>
        <w:t>等待</w:t>
      </w:r>
      <w:r>
        <w:rPr>
          <w:shd w:fill="9F9F9F" w:color="auto" w:val="clear"/>
        </w:rPr>
        <w:t>期</w:t>
      </w:r>
      <w:r>
        <w:rPr/>
        <w:t>。</w:t>
      </w:r>
    </w:p>
    <w:p>
      <w:pPr>
        <w:pStyle w:val="BodyText"/>
        <w:spacing w:before="36"/>
        <w:ind w:left="2685"/>
      </w:pPr>
      <w:r>
        <w:rPr/>
        <w:t>如果在等待期后发生保险事故，我们按照下列方式给付保险金。</w:t>
      </w:r>
    </w:p>
    <w:p>
      <w:pPr>
        <w:pStyle w:val="BodyText"/>
        <w:rPr>
          <w:sz w:val="20"/>
        </w:rPr>
      </w:pPr>
    </w:p>
    <w:p>
      <w:pPr>
        <w:spacing w:after="0"/>
        <w:rPr>
          <w:sz w:val="20"/>
        </w:rPr>
        <w:sectPr>
          <w:pgSz w:w="11910" w:h="16850"/>
          <w:pgMar w:top="1460" w:bottom="280" w:left="800" w:right="1000"/>
        </w:sectPr>
      </w:pPr>
    </w:p>
    <w:p>
      <w:pPr>
        <w:pStyle w:val="Heading3"/>
        <w:spacing w:before="143"/>
        <w:ind w:left="1110"/>
      </w:pPr>
      <w:r>
        <w:rPr/>
        <w:t>重大疾病保险金</w:t>
      </w:r>
    </w:p>
    <w:p>
      <w:pPr>
        <w:pStyle w:val="BodyText"/>
        <w:spacing w:before="1"/>
        <w:rPr>
          <w:rFonts w:ascii="微软雅黑"/>
          <w:b/>
          <w:sz w:val="12"/>
        </w:rPr>
      </w:pPr>
      <w:r>
        <w:rPr/>
        <w:br w:type="column"/>
      </w:r>
      <w:r>
        <w:rPr>
          <w:rFonts w:ascii="微软雅黑"/>
          <w:b/>
          <w:sz w:val="12"/>
        </w:rPr>
      </w:r>
    </w:p>
    <w:p>
      <w:pPr>
        <w:pStyle w:val="BodyText"/>
        <w:spacing w:line="316" w:lineRule="auto"/>
        <w:ind w:left="209" w:right="126"/>
        <w:jc w:val="both"/>
      </w:pPr>
      <w:r>
        <w:rPr/>
        <w:t>被保险人于等待期后初次发生并经</w:t>
      </w:r>
      <w:r>
        <w:rPr>
          <w:b/>
        </w:rPr>
        <w:t>医院专科医生</w:t>
      </w:r>
      <w:r>
        <w:rPr>
          <w:spacing w:val="-2"/>
        </w:rPr>
        <w:t>明确诊断确定</w:t>
      </w:r>
      <w:r>
        <w:rPr>
          <w:shd w:fill="9F9F9F" w:color="auto" w:val="clear"/>
        </w:rPr>
        <w:t>罹患本合同约定的44种重大疾病的一种或多种，我们按基本保险金额向重大疾病保险金受</w:t>
      </w:r>
      <w:r>
        <w:rPr>
          <w:spacing w:val="-221"/>
          <w:shd w:fill="9F9F9F" w:color="auto" w:val="clear"/>
        </w:rPr>
        <w:t>益</w:t>
      </w:r>
      <w:r>
        <w:rPr>
          <w:spacing w:val="-3"/>
          <w:shd w:fill="9F9F9F" w:color="auto" w:val="clear"/>
        </w:rPr>
        <w:t>人给付“重大疾病保险金”</w:t>
      </w:r>
      <w:r>
        <w:rPr/>
        <w:t>。</w:t>
      </w:r>
    </w:p>
    <w:p>
      <w:pPr>
        <w:pStyle w:val="BodyText"/>
        <w:spacing w:before="20"/>
        <w:ind w:left="209"/>
        <w:jc w:val="both"/>
      </w:pPr>
      <w:r>
        <w:rPr>
          <w:shd w:fill="9F9F9F" w:color="auto" w:val="clear"/>
        </w:rPr>
        <w:t>我们依约定给付“重大疾病保险金”后，对该被保险人保险责任终止</w:t>
      </w:r>
      <w:r>
        <w:rPr/>
        <w:t>。</w:t>
      </w:r>
    </w:p>
    <w:p>
      <w:pPr>
        <w:spacing w:after="0"/>
        <w:jc w:val="both"/>
        <w:sectPr>
          <w:type w:val="continuous"/>
          <w:pgSz w:w="11910" w:h="16850"/>
          <w:pgMar w:top="1440" w:bottom="280" w:left="800" w:right="1000"/>
          <w:cols w:num="2" w:equalWidth="0">
            <w:col w:w="2436" w:space="40"/>
            <w:col w:w="7634"/>
          </w:cols>
        </w:sectPr>
      </w:pPr>
    </w:p>
    <w:p>
      <w:pPr>
        <w:pStyle w:val="BodyText"/>
        <w:rPr>
          <w:sz w:val="20"/>
        </w:rPr>
      </w:pPr>
    </w:p>
    <w:p>
      <w:pPr>
        <w:pStyle w:val="BodyText"/>
        <w:spacing w:before="1"/>
        <w:rPr>
          <w:sz w:val="16"/>
        </w:rPr>
      </w:pPr>
    </w:p>
    <w:p>
      <w:pPr>
        <w:pStyle w:val="ListParagraph"/>
        <w:numPr>
          <w:ilvl w:val="1"/>
          <w:numId w:val="6"/>
        </w:numPr>
        <w:tabs>
          <w:tab w:pos="1110" w:val="left" w:leader="none"/>
          <w:tab w:pos="1111" w:val="left" w:leader="none"/>
          <w:tab w:pos="2685" w:val="left" w:leader="none"/>
        </w:tabs>
        <w:spacing w:line="316" w:lineRule="auto" w:before="0" w:after="0"/>
        <w:ind w:left="2685" w:right="131" w:hanging="2379"/>
        <w:jc w:val="left"/>
        <w:rPr>
          <w:sz w:val="22"/>
        </w:rPr>
      </w:pPr>
      <w:r>
        <w:rPr>
          <w:b/>
          <w:sz w:val="22"/>
        </w:rPr>
        <w:t>责任免除</w:t>
        <w:tab/>
      </w:r>
      <w:r>
        <w:rPr>
          <w:sz w:val="22"/>
          <w:shd w:fill="9F9F9F" w:color="auto" w:val="clear"/>
        </w:rPr>
        <w:t>因下列情形之一，导致被保险人重大疾病的，我们不承担给付重大疾病保险 金的责</w:t>
      </w:r>
      <w:r>
        <w:rPr>
          <w:spacing w:val="-221"/>
          <w:sz w:val="22"/>
          <w:shd w:fill="9F9F9F" w:color="auto" w:val="clear"/>
        </w:rPr>
        <w:t>任</w:t>
      </w:r>
      <w:r>
        <w:rPr>
          <w:sz w:val="22"/>
          <w:shd w:fill="9F9F9F" w:color="auto" w:val="clear"/>
        </w:rPr>
        <w:t>：</w:t>
      </w:r>
    </w:p>
    <w:p>
      <w:pPr>
        <w:pStyle w:val="ListParagraph"/>
        <w:numPr>
          <w:ilvl w:val="2"/>
          <w:numId w:val="6"/>
        </w:numPr>
        <w:tabs>
          <w:tab w:pos="3139" w:val="left" w:leader="none"/>
        </w:tabs>
        <w:spacing w:line="240" w:lineRule="auto" w:before="23" w:after="0"/>
        <w:ind w:left="3138" w:right="0" w:hanging="453"/>
        <w:jc w:val="left"/>
        <w:rPr>
          <w:sz w:val="22"/>
        </w:rPr>
      </w:pPr>
      <w:r>
        <w:rPr>
          <w:spacing w:val="-3"/>
          <w:sz w:val="22"/>
          <w:shd w:fill="9F9F9F" w:color="auto" w:val="clear"/>
        </w:rPr>
        <w:t>投保人对被保险人的故意杀害、故意伤害；</w:t>
      </w:r>
    </w:p>
    <w:p>
      <w:pPr>
        <w:pStyle w:val="ListParagraph"/>
        <w:numPr>
          <w:ilvl w:val="2"/>
          <w:numId w:val="6"/>
        </w:numPr>
        <w:tabs>
          <w:tab w:pos="3139" w:val="left" w:leader="none"/>
        </w:tabs>
        <w:spacing w:line="240" w:lineRule="auto" w:before="91" w:after="0"/>
        <w:ind w:left="3138" w:right="0" w:hanging="453"/>
        <w:jc w:val="left"/>
        <w:rPr>
          <w:sz w:val="22"/>
        </w:rPr>
      </w:pPr>
      <w:r>
        <w:rPr>
          <w:spacing w:val="-3"/>
          <w:sz w:val="22"/>
          <w:shd w:fill="9F9F9F" w:color="auto" w:val="clear"/>
        </w:rPr>
        <w:t>被保险人故意犯罪或者抗拒依法采取的刑事强制措施；</w:t>
      </w:r>
    </w:p>
    <w:p>
      <w:pPr>
        <w:pStyle w:val="ListParagraph"/>
        <w:numPr>
          <w:ilvl w:val="2"/>
          <w:numId w:val="6"/>
        </w:numPr>
        <w:tabs>
          <w:tab w:pos="3139" w:val="left" w:leader="none"/>
        </w:tabs>
        <w:spacing w:line="240" w:lineRule="auto" w:before="91" w:after="0"/>
        <w:ind w:left="3138" w:right="0" w:hanging="453"/>
        <w:jc w:val="left"/>
        <w:rPr>
          <w:sz w:val="22"/>
        </w:rPr>
      </w:pPr>
      <w:r>
        <w:rPr>
          <w:spacing w:val="-2"/>
          <w:sz w:val="22"/>
          <w:shd w:fill="9F9F9F" w:color="auto" w:val="clear"/>
        </w:rPr>
        <w:t>被保险人故意自伤；</w:t>
      </w:r>
    </w:p>
    <w:p>
      <w:pPr>
        <w:pStyle w:val="ListParagraph"/>
        <w:numPr>
          <w:ilvl w:val="2"/>
          <w:numId w:val="6"/>
        </w:numPr>
        <w:tabs>
          <w:tab w:pos="3139" w:val="left" w:leader="none"/>
        </w:tabs>
        <w:spacing w:line="240" w:lineRule="auto" w:before="93" w:after="0"/>
        <w:ind w:left="3138" w:right="0" w:hanging="453"/>
        <w:jc w:val="left"/>
        <w:rPr>
          <w:sz w:val="22"/>
        </w:rPr>
      </w:pPr>
      <w:r>
        <w:rPr>
          <w:spacing w:val="-3"/>
          <w:sz w:val="22"/>
          <w:shd w:fill="9F9F9F" w:color="auto" w:val="clear"/>
        </w:rPr>
        <w:t>被保险人主动吸食或注射</w:t>
      </w:r>
      <w:r>
        <w:rPr>
          <w:b/>
          <w:sz w:val="22"/>
          <w:shd w:fill="9F9F9F" w:color="auto" w:val="clear"/>
        </w:rPr>
        <w:t>毒品</w:t>
      </w:r>
      <w:r>
        <w:rPr>
          <w:sz w:val="22"/>
          <w:shd w:fill="9F9F9F" w:color="auto" w:val="clear"/>
        </w:rPr>
        <w:t>；</w:t>
      </w:r>
    </w:p>
    <w:p>
      <w:pPr>
        <w:pStyle w:val="ListParagraph"/>
        <w:numPr>
          <w:ilvl w:val="2"/>
          <w:numId w:val="6"/>
        </w:numPr>
        <w:tabs>
          <w:tab w:pos="3139" w:val="left" w:leader="none"/>
        </w:tabs>
        <w:spacing w:line="316" w:lineRule="auto" w:before="91" w:after="0"/>
        <w:ind w:left="3138" w:right="128" w:hanging="453"/>
        <w:jc w:val="left"/>
        <w:rPr>
          <w:sz w:val="22"/>
        </w:rPr>
      </w:pPr>
      <w:r>
        <w:rPr>
          <w:spacing w:val="5"/>
          <w:sz w:val="22"/>
          <w:shd w:fill="9F9F9F" w:color="auto" w:val="clear"/>
        </w:rPr>
        <w:t>被保险人</w:t>
      </w:r>
      <w:r>
        <w:rPr>
          <w:b/>
          <w:spacing w:val="5"/>
          <w:sz w:val="22"/>
          <w:shd w:fill="9F9F9F" w:color="auto" w:val="clear"/>
        </w:rPr>
        <w:t>酒后驾驶</w:t>
      </w:r>
      <w:r>
        <w:rPr>
          <w:spacing w:val="2"/>
          <w:sz w:val="22"/>
          <w:shd w:fill="9F9F9F" w:color="auto" w:val="clear"/>
        </w:rPr>
        <w:t>、</w:t>
      </w:r>
      <w:r>
        <w:rPr>
          <w:b/>
          <w:spacing w:val="5"/>
          <w:sz w:val="22"/>
          <w:shd w:fill="9F9F9F" w:color="auto" w:val="clear"/>
        </w:rPr>
        <w:t>无合法有效驾驶证</w:t>
      </w:r>
      <w:r>
        <w:rPr>
          <w:spacing w:val="2"/>
          <w:sz w:val="22"/>
          <w:shd w:fill="9F9F9F" w:color="auto" w:val="clear"/>
        </w:rPr>
        <w:t>驾驶，或驾驶</w:t>
      </w:r>
      <w:r>
        <w:rPr>
          <w:b/>
          <w:spacing w:val="5"/>
          <w:sz w:val="22"/>
          <w:shd w:fill="9F9F9F" w:color="auto" w:val="clear"/>
        </w:rPr>
        <w:t>无有效行驶证</w:t>
      </w:r>
      <w:r>
        <w:rPr>
          <w:sz w:val="22"/>
          <w:shd w:fill="9F9F9F" w:color="auto" w:val="clear"/>
        </w:rPr>
        <w:t>的</w:t>
      </w:r>
      <w:r>
        <w:rPr>
          <w:b/>
          <w:sz w:val="22"/>
          <w:shd w:fill="9F9F9F" w:color="auto" w:val="clear"/>
        </w:rPr>
        <w:t>机动车</w:t>
      </w:r>
      <w:r>
        <w:rPr>
          <w:sz w:val="22"/>
          <w:shd w:fill="9F9F9F" w:color="auto" w:val="clear"/>
        </w:rPr>
        <w:t>；</w:t>
      </w:r>
    </w:p>
    <w:p>
      <w:pPr>
        <w:pStyle w:val="ListParagraph"/>
        <w:numPr>
          <w:ilvl w:val="2"/>
          <w:numId w:val="6"/>
        </w:numPr>
        <w:tabs>
          <w:tab w:pos="3139" w:val="left" w:leader="none"/>
        </w:tabs>
        <w:spacing w:line="316" w:lineRule="auto" w:before="23" w:after="0"/>
        <w:ind w:left="3138" w:right="128" w:hanging="453"/>
        <w:jc w:val="left"/>
        <w:rPr>
          <w:sz w:val="22"/>
        </w:rPr>
      </w:pPr>
      <w:r>
        <w:rPr>
          <w:sz w:val="22"/>
          <w:shd w:fill="9F9F9F" w:color="auto" w:val="clear"/>
        </w:rPr>
        <w:t>被保险人</w:t>
      </w:r>
      <w:r>
        <w:rPr>
          <w:b/>
          <w:sz w:val="22"/>
          <w:shd w:fill="9F9F9F" w:color="auto" w:val="clear"/>
        </w:rPr>
        <w:t>感染艾滋病病毒或患艾滋病，</w:t>
      </w:r>
      <w:r>
        <w:rPr>
          <w:spacing w:val="-3"/>
          <w:sz w:val="22"/>
          <w:shd w:fill="9F9F9F" w:color="auto" w:val="clear"/>
        </w:rPr>
        <w:t>但是重疾定义所述经输血或因职</w:t>
      </w:r>
      <w:r>
        <w:rPr>
          <w:spacing w:val="-221"/>
          <w:sz w:val="22"/>
          <w:shd w:fill="9F9F9F" w:color="auto" w:val="clear"/>
        </w:rPr>
        <w:t>业</w:t>
      </w:r>
      <w:r>
        <w:rPr>
          <w:spacing w:val="-3"/>
          <w:sz w:val="22"/>
          <w:shd w:fill="9F9F9F" w:color="auto" w:val="clear"/>
        </w:rPr>
        <w:t>关系导致感染艾滋病病毒的除外；</w:t>
      </w:r>
    </w:p>
    <w:p>
      <w:pPr>
        <w:pStyle w:val="ListParagraph"/>
        <w:numPr>
          <w:ilvl w:val="2"/>
          <w:numId w:val="6"/>
        </w:numPr>
        <w:tabs>
          <w:tab w:pos="3139" w:val="left" w:leader="none"/>
        </w:tabs>
        <w:spacing w:line="240" w:lineRule="auto" w:before="20" w:after="0"/>
        <w:ind w:left="3138" w:right="0" w:hanging="453"/>
        <w:jc w:val="left"/>
        <w:rPr>
          <w:sz w:val="22"/>
        </w:rPr>
      </w:pPr>
      <w:r>
        <w:rPr>
          <w:spacing w:val="-3"/>
          <w:sz w:val="22"/>
          <w:shd w:fill="9F9F9F" w:color="auto" w:val="clear"/>
        </w:rPr>
        <w:t>战争、军事冲突、暴乱或武装叛乱；</w:t>
      </w:r>
    </w:p>
    <w:p>
      <w:pPr>
        <w:pStyle w:val="ListParagraph"/>
        <w:numPr>
          <w:ilvl w:val="2"/>
          <w:numId w:val="6"/>
        </w:numPr>
        <w:tabs>
          <w:tab w:pos="3139" w:val="left" w:leader="none"/>
        </w:tabs>
        <w:spacing w:line="240" w:lineRule="auto" w:before="93" w:after="0"/>
        <w:ind w:left="3138" w:right="0" w:hanging="453"/>
        <w:jc w:val="left"/>
        <w:rPr>
          <w:sz w:val="22"/>
        </w:rPr>
      </w:pPr>
      <w:r>
        <w:rPr>
          <w:spacing w:val="-3"/>
          <w:sz w:val="22"/>
          <w:shd w:fill="9F9F9F" w:color="auto" w:val="clear"/>
        </w:rPr>
        <w:t>核爆炸、核辐射或核污染；</w:t>
      </w:r>
    </w:p>
    <w:p>
      <w:pPr>
        <w:pStyle w:val="Heading3"/>
        <w:numPr>
          <w:ilvl w:val="2"/>
          <w:numId w:val="6"/>
        </w:numPr>
        <w:tabs>
          <w:tab w:pos="3139" w:val="left" w:leader="none"/>
        </w:tabs>
        <w:spacing w:line="240" w:lineRule="auto" w:before="91" w:after="0"/>
        <w:ind w:left="3138" w:right="0" w:hanging="453"/>
        <w:jc w:val="left"/>
        <w:rPr>
          <w:rFonts w:ascii="宋体" w:eastAsia="宋体" w:hint="eastAsia"/>
          <w:b w:val="0"/>
        </w:rPr>
      </w:pPr>
      <w:r>
        <w:rPr>
          <w:rFonts w:ascii="宋体" w:eastAsia="宋体" w:hint="eastAsia"/>
          <w:shd w:fill="9F9F9F" w:color="auto" w:val="clear"/>
        </w:rPr>
        <w:t>遗传性疾病</w:t>
      </w:r>
      <w:r>
        <w:rPr>
          <w:rFonts w:ascii="宋体" w:eastAsia="宋体" w:hint="eastAsia"/>
          <w:b w:val="0"/>
          <w:spacing w:val="-3"/>
          <w:shd w:fill="9F9F9F" w:color="auto" w:val="clear"/>
        </w:rPr>
        <w:t>，</w:t>
      </w:r>
      <w:r>
        <w:rPr>
          <w:rFonts w:ascii="宋体" w:eastAsia="宋体" w:hint="eastAsia"/>
          <w:shd w:fill="9F9F9F" w:color="auto" w:val="clear"/>
        </w:rPr>
        <w:t>先天性畸形、变形或者染色体异常</w:t>
      </w:r>
      <w:r>
        <w:rPr>
          <w:rFonts w:ascii="宋体" w:eastAsia="宋体" w:hint="eastAsia"/>
          <w:b w:val="0"/>
          <w:shd w:fill="9F9F9F" w:color="auto" w:val="clear"/>
        </w:rPr>
        <w:t>。</w:t>
      </w:r>
    </w:p>
    <w:p>
      <w:pPr>
        <w:pStyle w:val="BodyText"/>
        <w:spacing w:line="319" w:lineRule="auto" w:before="91"/>
        <w:ind w:left="2685" w:right="131"/>
      </w:pPr>
      <w:r>
        <w:rPr>
          <w:shd w:fill="9F9F9F" w:color="auto" w:val="clear"/>
        </w:rPr>
        <w:t>发生第(1)项情形导致被保险人重大疾病的，我们对该被保险人的保险责任终止，并向其他权利人退还本合同该被保险人的</w:t>
      </w:r>
      <w:r>
        <w:rPr>
          <w:b/>
          <w:shd w:fill="9F9F9F" w:color="auto" w:val="clear"/>
        </w:rPr>
        <w:t>未满期净保险费</w:t>
      </w:r>
      <w:r>
        <w:rPr/>
        <w:t>。</w:t>
      </w:r>
    </w:p>
    <w:p>
      <w:pPr>
        <w:pStyle w:val="BodyText"/>
        <w:spacing w:line="316" w:lineRule="auto" w:before="18"/>
        <w:ind w:left="2685" w:right="132"/>
      </w:pPr>
      <w:r>
        <w:rPr>
          <w:shd w:fill="9F9F9F" w:color="auto" w:val="clear"/>
        </w:rPr>
        <w:t>发生上述其他情形导致被保险人重大疾病的，我们对该被保险人的保险责任终止，并向投保人退还本合同该被保险人的未满期净保险费</w:t>
      </w:r>
      <w:r>
        <w:rPr/>
        <w:t>。</w:t>
      </w:r>
    </w:p>
    <w:p>
      <w:pPr>
        <w:pStyle w:val="BodyText"/>
        <w:spacing w:before="12"/>
        <w:rPr>
          <w:sz w:val="26"/>
        </w:rPr>
      </w:pPr>
    </w:p>
    <w:p>
      <w:pPr>
        <w:tabs>
          <w:tab w:pos="10001" w:val="left" w:leader="none"/>
        </w:tabs>
        <w:spacing w:before="0"/>
        <w:ind w:left="304" w:right="0" w:firstLine="0"/>
        <w:jc w:val="left"/>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保险金的申请</w:t>
      </w:r>
      <w:r>
        <w:rPr>
          <w:b/>
          <w:sz w:val="30"/>
          <w:u w:val="thick"/>
        </w:rPr>
        <w:tab/>
      </w:r>
    </w:p>
    <w:p>
      <w:pPr>
        <w:pStyle w:val="BodyText"/>
        <w:rPr>
          <w:b/>
          <w:sz w:val="20"/>
        </w:rPr>
      </w:pPr>
    </w:p>
    <w:p>
      <w:pPr>
        <w:pStyle w:val="BodyText"/>
        <w:spacing w:before="5"/>
        <w:rPr>
          <w:b/>
          <w:sz w:val="21"/>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86"/>
        <w:gridCol w:w="6741"/>
      </w:tblGrid>
      <w:tr>
        <w:trPr>
          <w:trHeight w:val="490" w:hRule="atLeast"/>
        </w:trPr>
        <w:tc>
          <w:tcPr>
            <w:tcW w:w="769" w:type="dxa"/>
          </w:tcPr>
          <w:p>
            <w:pPr>
              <w:pStyle w:val="TableParagraph"/>
              <w:spacing w:line="221" w:lineRule="exact"/>
              <w:ind w:left="181" w:right="214"/>
              <w:jc w:val="center"/>
              <w:rPr>
                <w:b/>
                <w:sz w:val="22"/>
              </w:rPr>
            </w:pPr>
            <w:r>
              <w:rPr>
                <w:b/>
                <w:sz w:val="22"/>
              </w:rPr>
              <w:t>3.1</w:t>
            </w:r>
          </w:p>
        </w:tc>
        <w:tc>
          <w:tcPr>
            <w:tcW w:w="1686" w:type="dxa"/>
          </w:tcPr>
          <w:p>
            <w:pPr>
              <w:pStyle w:val="TableParagraph"/>
              <w:spacing w:line="221" w:lineRule="exact"/>
              <w:ind w:left="235"/>
              <w:rPr>
                <w:b/>
                <w:sz w:val="22"/>
              </w:rPr>
            </w:pPr>
            <w:r>
              <w:rPr>
                <w:b/>
                <w:w w:val="95"/>
                <w:sz w:val="22"/>
              </w:rPr>
              <w:t>受益人</w:t>
            </w:r>
          </w:p>
        </w:tc>
        <w:tc>
          <w:tcPr>
            <w:tcW w:w="6741" w:type="dxa"/>
          </w:tcPr>
          <w:p>
            <w:pPr>
              <w:pStyle w:val="TableParagraph"/>
              <w:spacing w:line="221" w:lineRule="exact"/>
              <w:ind w:left="159"/>
              <w:rPr>
                <w:sz w:val="22"/>
              </w:rPr>
            </w:pPr>
            <w:r>
              <w:rPr>
                <w:sz w:val="22"/>
              </w:rPr>
              <w:t>除另有约定外，本合同重大疾病保险金的受益人为被保险人本人。</w:t>
            </w:r>
          </w:p>
        </w:tc>
      </w:tr>
      <w:tr>
        <w:trPr>
          <w:trHeight w:val="490" w:hRule="atLeast"/>
        </w:trPr>
        <w:tc>
          <w:tcPr>
            <w:tcW w:w="769" w:type="dxa"/>
          </w:tcPr>
          <w:p>
            <w:pPr>
              <w:pStyle w:val="TableParagraph"/>
              <w:spacing w:before="6"/>
              <w:ind w:left="0"/>
              <w:rPr>
                <w:b/>
                <w:sz w:val="15"/>
              </w:rPr>
            </w:pPr>
          </w:p>
          <w:p>
            <w:pPr>
              <w:pStyle w:val="TableParagraph"/>
              <w:spacing w:line="268" w:lineRule="exact"/>
              <w:ind w:left="181" w:right="214"/>
              <w:jc w:val="center"/>
              <w:rPr>
                <w:b/>
                <w:sz w:val="22"/>
              </w:rPr>
            </w:pPr>
            <w:r>
              <w:rPr>
                <w:b/>
                <w:sz w:val="22"/>
              </w:rPr>
              <w:t>3.2</w:t>
            </w:r>
          </w:p>
        </w:tc>
        <w:tc>
          <w:tcPr>
            <w:tcW w:w="1686" w:type="dxa"/>
          </w:tcPr>
          <w:p>
            <w:pPr>
              <w:pStyle w:val="TableParagraph"/>
              <w:spacing w:before="6"/>
              <w:ind w:left="0"/>
              <w:rPr>
                <w:b/>
                <w:sz w:val="15"/>
              </w:rPr>
            </w:pPr>
          </w:p>
          <w:p>
            <w:pPr>
              <w:pStyle w:val="TableParagraph"/>
              <w:spacing w:line="268" w:lineRule="exact"/>
              <w:ind w:left="235"/>
              <w:rPr>
                <w:b/>
                <w:sz w:val="22"/>
              </w:rPr>
            </w:pPr>
            <w:r>
              <w:rPr>
                <w:b/>
                <w:w w:val="95"/>
                <w:sz w:val="22"/>
              </w:rPr>
              <w:t>保险事故通知</w:t>
            </w:r>
          </w:p>
        </w:tc>
        <w:tc>
          <w:tcPr>
            <w:tcW w:w="6741" w:type="dxa"/>
          </w:tcPr>
          <w:p>
            <w:pPr>
              <w:pStyle w:val="TableParagraph"/>
              <w:spacing w:before="6"/>
              <w:ind w:left="0"/>
              <w:rPr>
                <w:b/>
                <w:sz w:val="15"/>
              </w:rPr>
            </w:pPr>
          </w:p>
          <w:p>
            <w:pPr>
              <w:pStyle w:val="TableParagraph"/>
              <w:spacing w:line="268" w:lineRule="exact"/>
              <w:ind w:left="126"/>
              <w:rPr>
                <w:sz w:val="22"/>
              </w:rPr>
            </w:pPr>
            <w:r>
              <w:rPr>
                <w:sz w:val="22"/>
              </w:rPr>
              <w:t>投保人或受益人在知道保险事故发生后应当在10日内通知我们。</w:t>
            </w:r>
          </w:p>
        </w:tc>
      </w:tr>
    </w:tbl>
    <w:p>
      <w:pPr>
        <w:spacing w:after="0" w:line="268" w:lineRule="exact"/>
        <w:rPr>
          <w:sz w:val="22"/>
        </w:rPr>
        <w:sectPr>
          <w:type w:val="continuous"/>
          <w:pgSz w:w="11910" w:h="16850"/>
          <w:pgMar w:top="1440" w:bottom="280" w:left="800" w:right="10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74"/>
        <w:gridCol w:w="7630"/>
      </w:tblGrid>
      <w:tr>
        <w:trPr>
          <w:trHeight w:val="2010" w:hRule="atLeast"/>
        </w:trPr>
        <w:tc>
          <w:tcPr>
            <w:tcW w:w="769" w:type="dxa"/>
          </w:tcPr>
          <w:p>
            <w:pPr>
              <w:pStyle w:val="TableParagraph"/>
              <w:ind w:left="0"/>
              <w:rPr>
                <w:rFonts w:ascii="Times New Roman"/>
                <w:sz w:val="22"/>
              </w:rPr>
            </w:pPr>
          </w:p>
        </w:tc>
        <w:tc>
          <w:tcPr>
            <w:tcW w:w="1674" w:type="dxa"/>
          </w:tcPr>
          <w:p>
            <w:pPr>
              <w:pStyle w:val="TableParagraph"/>
              <w:ind w:left="0"/>
              <w:rPr>
                <w:rFonts w:ascii="Times New Roman"/>
                <w:sz w:val="22"/>
              </w:rPr>
            </w:pPr>
          </w:p>
        </w:tc>
        <w:tc>
          <w:tcPr>
            <w:tcW w:w="7630" w:type="dxa"/>
          </w:tcPr>
          <w:p>
            <w:pPr>
              <w:pStyle w:val="TableParagraph"/>
              <w:spacing w:line="213" w:lineRule="exact"/>
              <w:ind w:left="138"/>
              <w:rPr>
                <w:sz w:val="22"/>
              </w:rPr>
            </w:pPr>
            <w:r>
              <w:rPr>
                <w:sz w:val="22"/>
                <w:shd w:fill="9F9F9F" w:color="auto" w:val="clear"/>
              </w:rPr>
              <w:t>如果投保人或受益人故意或者因重大过失未及时通知，致使保险事故的性</w:t>
            </w:r>
          </w:p>
          <w:p>
            <w:pPr>
              <w:pStyle w:val="TableParagraph"/>
              <w:spacing w:line="316" w:lineRule="auto" w:before="91"/>
              <w:ind w:left="138" w:right="201"/>
              <w:jc w:val="both"/>
              <w:rPr>
                <w:sz w:val="22"/>
              </w:rPr>
            </w:pPr>
            <w:r>
              <w:rPr>
                <w:sz w:val="22"/>
                <w:shd w:fill="9F9F9F" w:color="auto" w:val="clear"/>
              </w:rPr>
              <w:t>质、原因、损失程度等难以确定的，我们对无法确定的部分，不承担给付保险金的责任</w:t>
            </w:r>
            <w:r>
              <w:rPr>
                <w:sz w:val="22"/>
              </w:rPr>
              <w:t>，但我们通过其他途径已经及时知道或者应当及时知道保险事故发生或者虽未及时通知但不影响我们确定保险事故的性质、原因、损失程度</w:t>
            </w:r>
            <w:r>
              <w:rPr>
                <w:spacing w:val="-221"/>
                <w:sz w:val="22"/>
              </w:rPr>
              <w:t>的</w:t>
            </w:r>
            <w:r>
              <w:rPr>
                <w:sz w:val="22"/>
              </w:rPr>
              <w:t>除外。</w:t>
            </w:r>
          </w:p>
        </w:tc>
      </w:tr>
      <w:tr>
        <w:trPr>
          <w:trHeight w:val="743" w:hRule="atLeast"/>
        </w:trPr>
        <w:tc>
          <w:tcPr>
            <w:tcW w:w="769" w:type="dxa"/>
          </w:tcPr>
          <w:p>
            <w:pPr>
              <w:pStyle w:val="TableParagraph"/>
              <w:spacing w:before="195"/>
              <w:ind w:left="181" w:right="214"/>
              <w:jc w:val="center"/>
              <w:rPr>
                <w:b/>
                <w:sz w:val="22"/>
              </w:rPr>
            </w:pPr>
            <w:r>
              <w:rPr>
                <w:b/>
                <w:sz w:val="22"/>
              </w:rPr>
              <w:t>3.3</w:t>
            </w:r>
          </w:p>
        </w:tc>
        <w:tc>
          <w:tcPr>
            <w:tcW w:w="1674" w:type="dxa"/>
          </w:tcPr>
          <w:p>
            <w:pPr>
              <w:pStyle w:val="TableParagraph"/>
              <w:spacing w:before="195"/>
              <w:ind w:left="235"/>
              <w:rPr>
                <w:b/>
                <w:sz w:val="22"/>
              </w:rPr>
            </w:pPr>
            <w:r>
              <w:rPr>
                <w:b/>
                <w:w w:val="95"/>
                <w:sz w:val="22"/>
              </w:rPr>
              <w:t>保险金申请</w:t>
            </w:r>
          </w:p>
        </w:tc>
        <w:tc>
          <w:tcPr>
            <w:tcW w:w="7630" w:type="dxa"/>
          </w:tcPr>
          <w:p>
            <w:pPr>
              <w:pStyle w:val="TableParagraph"/>
              <w:spacing w:before="195"/>
              <w:ind w:left="171"/>
              <w:rPr>
                <w:sz w:val="22"/>
              </w:rPr>
            </w:pPr>
            <w:r>
              <w:rPr>
                <w:sz w:val="22"/>
              </w:rPr>
              <w:t>在申请保险金时，请按照下列方式办理：</w:t>
            </w:r>
          </w:p>
        </w:tc>
      </w:tr>
      <w:tr>
        <w:trPr>
          <w:trHeight w:val="3817" w:hRule="atLeast"/>
        </w:trPr>
        <w:tc>
          <w:tcPr>
            <w:tcW w:w="769" w:type="dxa"/>
          </w:tcPr>
          <w:p>
            <w:pPr>
              <w:pStyle w:val="TableParagraph"/>
              <w:ind w:left="0"/>
              <w:rPr>
                <w:rFonts w:ascii="Times New Roman"/>
                <w:sz w:val="22"/>
              </w:rPr>
            </w:pPr>
          </w:p>
        </w:tc>
        <w:tc>
          <w:tcPr>
            <w:tcW w:w="1674" w:type="dxa"/>
          </w:tcPr>
          <w:p>
            <w:pPr>
              <w:pStyle w:val="TableParagraph"/>
              <w:spacing w:before="145"/>
              <w:ind w:left="235" w:right="111"/>
              <w:rPr>
                <w:rFonts w:ascii="微软雅黑" w:eastAsia="微软雅黑" w:hint="eastAsia"/>
                <w:b/>
                <w:sz w:val="22"/>
              </w:rPr>
            </w:pPr>
            <w:r>
              <w:rPr>
                <w:rFonts w:ascii="微软雅黑" w:eastAsia="微软雅黑" w:hint="eastAsia"/>
                <w:b/>
                <w:sz w:val="22"/>
              </w:rPr>
              <w:t>重大疾病保险金的申请</w:t>
            </w:r>
          </w:p>
        </w:tc>
        <w:tc>
          <w:tcPr>
            <w:tcW w:w="7630" w:type="dxa"/>
          </w:tcPr>
          <w:p>
            <w:pPr>
              <w:pStyle w:val="TableParagraph"/>
              <w:spacing w:before="1"/>
              <w:ind w:left="0"/>
              <w:rPr>
                <w:b/>
                <w:sz w:val="16"/>
              </w:rPr>
            </w:pPr>
          </w:p>
          <w:p>
            <w:pPr>
              <w:pStyle w:val="TableParagraph"/>
              <w:spacing w:line="319" w:lineRule="auto"/>
              <w:ind w:left="138" w:right="202"/>
              <w:rPr>
                <w:sz w:val="22"/>
              </w:rPr>
            </w:pPr>
            <w:r>
              <w:rPr>
                <w:sz w:val="22"/>
              </w:rPr>
              <w:t>在申请重大疾病保险金时，申请人须填写保险金给付申请书，并提供下列证明和资料：</w:t>
            </w:r>
          </w:p>
          <w:p>
            <w:pPr>
              <w:pStyle w:val="TableParagraph"/>
              <w:numPr>
                <w:ilvl w:val="0"/>
                <w:numId w:val="7"/>
              </w:numPr>
              <w:tabs>
                <w:tab w:pos="571" w:val="left" w:leader="none"/>
              </w:tabs>
              <w:spacing w:line="240" w:lineRule="auto" w:before="19" w:after="0"/>
              <w:ind w:left="570" w:right="0" w:hanging="456"/>
              <w:jc w:val="left"/>
              <w:rPr>
                <w:sz w:val="22"/>
              </w:rPr>
            </w:pPr>
            <w:r>
              <w:rPr>
                <w:spacing w:val="-1"/>
                <w:sz w:val="22"/>
              </w:rPr>
              <w:t>保险合同；</w:t>
            </w:r>
          </w:p>
          <w:p>
            <w:pPr>
              <w:pStyle w:val="TableParagraph"/>
              <w:numPr>
                <w:ilvl w:val="0"/>
                <w:numId w:val="7"/>
              </w:numPr>
              <w:tabs>
                <w:tab w:pos="571" w:val="left" w:leader="none"/>
              </w:tabs>
              <w:spacing w:line="240" w:lineRule="auto" w:before="91" w:after="0"/>
              <w:ind w:left="570" w:right="0" w:hanging="456"/>
              <w:jc w:val="left"/>
              <w:rPr>
                <w:sz w:val="22"/>
              </w:rPr>
            </w:pPr>
            <w:r>
              <w:rPr>
                <w:spacing w:val="-3"/>
                <w:sz w:val="22"/>
              </w:rPr>
              <w:t>申请人的有效身份证件；</w:t>
            </w:r>
          </w:p>
          <w:p>
            <w:pPr>
              <w:pStyle w:val="TableParagraph"/>
              <w:numPr>
                <w:ilvl w:val="0"/>
                <w:numId w:val="7"/>
              </w:numPr>
              <w:tabs>
                <w:tab w:pos="571" w:val="left" w:leader="none"/>
              </w:tabs>
              <w:spacing w:line="316" w:lineRule="auto" w:before="93" w:after="0"/>
              <w:ind w:left="570" w:right="205" w:hanging="456"/>
              <w:jc w:val="left"/>
              <w:rPr>
                <w:sz w:val="22"/>
              </w:rPr>
            </w:pPr>
            <w:r>
              <w:rPr>
                <w:spacing w:val="-1"/>
                <w:sz w:val="22"/>
              </w:rPr>
              <w:t>医院专科医生出具的附有病理显微镜检查、血液检验及其他科学方法检</w:t>
            </w:r>
            <w:r>
              <w:rPr>
                <w:spacing w:val="-3"/>
                <w:sz w:val="22"/>
              </w:rPr>
              <w:t>验报告的疾病诊断证明书；</w:t>
            </w:r>
          </w:p>
          <w:p>
            <w:pPr>
              <w:pStyle w:val="TableParagraph"/>
              <w:numPr>
                <w:ilvl w:val="0"/>
                <w:numId w:val="7"/>
              </w:numPr>
              <w:tabs>
                <w:tab w:pos="571" w:val="left" w:leader="none"/>
              </w:tabs>
              <w:spacing w:line="316" w:lineRule="auto" w:before="20" w:after="0"/>
              <w:ind w:left="138" w:right="203" w:hanging="24"/>
              <w:jc w:val="left"/>
              <w:rPr>
                <w:sz w:val="22"/>
              </w:rPr>
            </w:pPr>
            <w:r>
              <w:rPr>
                <w:spacing w:val="-3"/>
                <w:sz w:val="22"/>
              </w:rPr>
              <w:t>所能提供的与确认保险事故的性质、原因等有关的其它证明和资料。 以上证明和资料不完整的，我们将及时一次性通知申请人补充提供有关证明和资料。</w:t>
            </w:r>
          </w:p>
        </w:tc>
      </w:tr>
      <w:tr>
        <w:trPr>
          <w:trHeight w:val="5320" w:hRule="atLeast"/>
        </w:trPr>
        <w:tc>
          <w:tcPr>
            <w:tcW w:w="769" w:type="dxa"/>
          </w:tcPr>
          <w:p>
            <w:pPr>
              <w:pStyle w:val="TableParagraph"/>
              <w:spacing w:before="195"/>
              <w:ind w:left="181" w:right="214"/>
              <w:jc w:val="center"/>
              <w:rPr>
                <w:b/>
                <w:sz w:val="22"/>
              </w:rPr>
            </w:pPr>
            <w:r>
              <w:rPr>
                <w:b/>
                <w:sz w:val="22"/>
              </w:rPr>
              <w:t>3.4</w:t>
            </w:r>
          </w:p>
        </w:tc>
        <w:tc>
          <w:tcPr>
            <w:tcW w:w="1674" w:type="dxa"/>
          </w:tcPr>
          <w:p>
            <w:pPr>
              <w:pStyle w:val="TableParagraph"/>
              <w:spacing w:before="195"/>
              <w:ind w:left="235"/>
              <w:rPr>
                <w:b/>
                <w:sz w:val="22"/>
              </w:rPr>
            </w:pPr>
            <w:r>
              <w:rPr>
                <w:b/>
                <w:w w:val="95"/>
                <w:sz w:val="22"/>
              </w:rPr>
              <w:t>保险金给付</w:t>
            </w:r>
          </w:p>
        </w:tc>
        <w:tc>
          <w:tcPr>
            <w:tcW w:w="7630" w:type="dxa"/>
          </w:tcPr>
          <w:p>
            <w:pPr>
              <w:pStyle w:val="TableParagraph"/>
              <w:spacing w:line="316" w:lineRule="auto" w:before="195"/>
              <w:ind w:left="138" w:right="198"/>
              <w:jc w:val="both"/>
              <w:rPr>
                <w:sz w:val="22"/>
              </w:rPr>
            </w:pPr>
            <w:r>
              <w:rPr>
                <w:sz w:val="22"/>
              </w:rPr>
              <w:t>我们在收到保险金给付申请书及合同约定的有关证明和资料后，将在5日内作出核定；情形复杂的，在30日内作出核定。对属于保险责任的，我们在与受益人达成给付保险金的协议后10日内，履行给付保险金义务。</w:t>
            </w:r>
          </w:p>
          <w:p>
            <w:pPr>
              <w:pStyle w:val="TableParagraph"/>
              <w:spacing w:line="316" w:lineRule="auto" w:before="23"/>
              <w:ind w:left="138" w:right="203"/>
              <w:jc w:val="both"/>
              <w:rPr>
                <w:sz w:val="22"/>
              </w:rPr>
            </w:pPr>
            <w:r>
              <w:rPr>
                <w:sz w:val="22"/>
              </w:rPr>
              <w:t>我们未及时履行前款规定义务的，除支付保险金外，应当赔偿受益人因此受到的损失。</w:t>
            </w:r>
          </w:p>
          <w:p>
            <w:pPr>
              <w:pStyle w:val="TableParagraph"/>
              <w:spacing w:line="316" w:lineRule="auto" w:before="21"/>
              <w:ind w:left="138" w:right="203"/>
              <w:jc w:val="both"/>
              <w:rPr>
                <w:sz w:val="22"/>
              </w:rPr>
            </w:pPr>
            <w:r>
              <w:rPr>
                <w:sz w:val="22"/>
              </w:rPr>
              <w:t>赔偿损失范围和损失计算方法：按我们未及时履行义务当时最近一次中国人民银行公布的金融机构人民币一年期定期存款基准利率以单利方式计算并支付逾期给付保险金的利息损失。</w:t>
            </w:r>
          </w:p>
          <w:p>
            <w:pPr>
              <w:pStyle w:val="TableParagraph"/>
              <w:spacing w:line="319" w:lineRule="auto" w:before="21"/>
              <w:ind w:left="138" w:right="204"/>
              <w:jc w:val="both"/>
              <w:rPr>
                <w:sz w:val="22"/>
              </w:rPr>
            </w:pPr>
            <w:r>
              <w:rPr>
                <w:sz w:val="22"/>
              </w:rPr>
              <w:t>对不属于保险责任的，我们自作出核定之日起3日内向受益人发出拒绝给付保险金通知书并说明理由。</w:t>
            </w:r>
          </w:p>
          <w:p>
            <w:pPr>
              <w:pStyle w:val="TableParagraph"/>
              <w:spacing w:line="316" w:lineRule="auto" w:before="19"/>
              <w:ind w:left="138" w:right="202"/>
              <w:jc w:val="both"/>
              <w:rPr>
                <w:sz w:val="22"/>
              </w:rPr>
            </w:pPr>
            <w:r>
              <w:rPr>
                <w:sz w:val="22"/>
              </w:rPr>
              <w:t>我们在收到保险金给付申请书及有关证明和资料之日起60日内，对给付保险金的数额不能确定的，根据已有证明和资料可以确定的数额先予支付；我们最终确定给付保险金的数额后，将支付相应的差额。</w:t>
            </w:r>
          </w:p>
        </w:tc>
      </w:tr>
      <w:tr>
        <w:trPr>
          <w:trHeight w:val="1250" w:hRule="atLeast"/>
        </w:trPr>
        <w:tc>
          <w:tcPr>
            <w:tcW w:w="769" w:type="dxa"/>
          </w:tcPr>
          <w:p>
            <w:pPr>
              <w:pStyle w:val="TableParagraph"/>
              <w:spacing w:before="194"/>
              <w:ind w:left="181" w:right="214"/>
              <w:jc w:val="center"/>
              <w:rPr>
                <w:b/>
                <w:sz w:val="22"/>
              </w:rPr>
            </w:pPr>
            <w:r>
              <w:rPr>
                <w:b/>
                <w:sz w:val="22"/>
              </w:rPr>
              <w:t>3.5</w:t>
            </w:r>
          </w:p>
        </w:tc>
        <w:tc>
          <w:tcPr>
            <w:tcW w:w="1674" w:type="dxa"/>
          </w:tcPr>
          <w:p>
            <w:pPr>
              <w:pStyle w:val="TableParagraph"/>
              <w:spacing w:before="194"/>
              <w:ind w:left="235"/>
              <w:rPr>
                <w:b/>
                <w:sz w:val="22"/>
              </w:rPr>
            </w:pPr>
            <w:r>
              <w:rPr>
                <w:b/>
                <w:w w:val="95"/>
                <w:sz w:val="22"/>
              </w:rPr>
              <w:t>失踪处理</w:t>
            </w:r>
          </w:p>
        </w:tc>
        <w:tc>
          <w:tcPr>
            <w:tcW w:w="7630" w:type="dxa"/>
          </w:tcPr>
          <w:p>
            <w:pPr>
              <w:pStyle w:val="TableParagraph"/>
              <w:spacing w:before="194"/>
              <w:ind w:left="138"/>
              <w:rPr>
                <w:sz w:val="22"/>
              </w:rPr>
            </w:pPr>
            <w:r>
              <w:rPr>
                <w:sz w:val="22"/>
              </w:rPr>
              <w:t>如果被保险人在本合同有效期内失踪，经法院宣告死亡，我们以判决书宣告</w:t>
            </w:r>
          </w:p>
          <w:p>
            <w:pPr>
              <w:pStyle w:val="TableParagraph"/>
              <w:spacing w:line="380" w:lineRule="atLeast" w:before="1"/>
              <w:ind w:left="138" w:right="203"/>
              <w:rPr>
                <w:sz w:val="22"/>
              </w:rPr>
            </w:pPr>
            <w:r>
              <w:rPr>
                <w:sz w:val="22"/>
              </w:rPr>
              <w:t>之日为准，退还该被保险人的未满期净保险费，本合同对该被保险人的保险责任终止。</w:t>
            </w:r>
          </w:p>
        </w:tc>
      </w:tr>
    </w:tbl>
    <w:p>
      <w:pPr>
        <w:spacing w:after="0" w:line="380" w:lineRule="atLeast"/>
        <w:rPr>
          <w:sz w:val="22"/>
        </w:rPr>
        <w:sectPr>
          <w:pgSz w:w="11910" w:h="16850"/>
          <w:pgMar w:top="1540" w:bottom="280" w:left="800" w:right="8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466"/>
        <w:gridCol w:w="7833"/>
      </w:tblGrid>
      <w:tr>
        <w:trPr>
          <w:trHeight w:val="600" w:hRule="atLeast"/>
        </w:trPr>
        <w:tc>
          <w:tcPr>
            <w:tcW w:w="769" w:type="dxa"/>
          </w:tcPr>
          <w:p>
            <w:pPr>
              <w:pStyle w:val="TableParagraph"/>
              <w:spacing w:line="213" w:lineRule="exact"/>
              <w:ind w:left="200"/>
              <w:rPr>
                <w:b/>
                <w:sz w:val="22"/>
              </w:rPr>
            </w:pPr>
            <w:r>
              <w:rPr>
                <w:b/>
                <w:sz w:val="22"/>
              </w:rPr>
              <w:t>3.6</w:t>
            </w:r>
          </w:p>
        </w:tc>
        <w:tc>
          <w:tcPr>
            <w:tcW w:w="1466" w:type="dxa"/>
          </w:tcPr>
          <w:p>
            <w:pPr>
              <w:pStyle w:val="TableParagraph"/>
              <w:spacing w:line="213" w:lineRule="exact"/>
              <w:ind w:left="235"/>
              <w:rPr>
                <w:b/>
                <w:sz w:val="22"/>
              </w:rPr>
            </w:pPr>
            <w:r>
              <w:rPr>
                <w:b/>
                <w:w w:val="95"/>
                <w:sz w:val="22"/>
              </w:rPr>
              <w:t>诉讼时效</w:t>
            </w:r>
          </w:p>
        </w:tc>
        <w:tc>
          <w:tcPr>
            <w:tcW w:w="7833" w:type="dxa"/>
          </w:tcPr>
          <w:p>
            <w:pPr>
              <w:pStyle w:val="TableParagraph"/>
              <w:spacing w:line="213" w:lineRule="exact"/>
              <w:ind w:left="346"/>
              <w:rPr>
                <w:sz w:val="22"/>
              </w:rPr>
            </w:pPr>
            <w:r>
              <w:rPr>
                <w:sz w:val="22"/>
              </w:rPr>
              <w:t>受益人向我们请求给付保险金的诉讼时效期间为2年，自其知道或者应当知</w:t>
            </w:r>
          </w:p>
          <w:p>
            <w:pPr>
              <w:pStyle w:val="TableParagraph"/>
              <w:spacing w:line="275" w:lineRule="exact" w:before="91"/>
              <w:ind w:left="346"/>
              <w:rPr>
                <w:sz w:val="22"/>
              </w:rPr>
            </w:pPr>
            <w:r>
              <w:rPr>
                <w:sz w:val="22"/>
              </w:rPr>
              <w:t>道保险事故发生之日起计算。</w:t>
            </w:r>
          </w:p>
        </w:tc>
      </w:tr>
    </w:tbl>
    <w:p>
      <w:pPr>
        <w:pStyle w:val="BodyText"/>
        <w:spacing w:before="1"/>
        <w:rPr>
          <w:b/>
          <w:sz w:val="24"/>
        </w:rPr>
      </w:pPr>
    </w:p>
    <w:p>
      <w:pPr>
        <w:tabs>
          <w:tab w:pos="10001" w:val="left" w:leader="none"/>
        </w:tabs>
        <w:spacing w:before="100"/>
        <w:ind w:left="304" w:right="0" w:firstLine="0"/>
        <w:jc w:val="left"/>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合同解除</w:t>
      </w:r>
      <w:r>
        <w:rPr>
          <w:b/>
          <w:sz w:val="30"/>
          <w:u w:val="thick"/>
        </w:rPr>
        <w:tab/>
      </w:r>
    </w:p>
    <w:p>
      <w:pPr>
        <w:pStyle w:val="BodyText"/>
        <w:rPr>
          <w:b/>
          <w:sz w:val="20"/>
        </w:rPr>
      </w:pPr>
    </w:p>
    <w:p>
      <w:pPr>
        <w:pStyle w:val="BodyText"/>
        <w:spacing w:before="4"/>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57"/>
        <w:gridCol w:w="7629"/>
      </w:tblGrid>
      <w:tr>
        <w:trPr>
          <w:trHeight w:val="2122" w:hRule="atLeast"/>
        </w:trPr>
        <w:tc>
          <w:tcPr>
            <w:tcW w:w="756" w:type="dxa"/>
          </w:tcPr>
          <w:p>
            <w:pPr>
              <w:pStyle w:val="TableParagraph"/>
              <w:spacing w:line="221" w:lineRule="exact"/>
              <w:ind w:left="200"/>
              <w:rPr>
                <w:b/>
                <w:sz w:val="22"/>
              </w:rPr>
            </w:pPr>
            <w:r>
              <w:rPr>
                <w:b/>
                <w:sz w:val="22"/>
              </w:rPr>
              <w:t>4.1</w:t>
            </w:r>
          </w:p>
        </w:tc>
        <w:tc>
          <w:tcPr>
            <w:tcW w:w="1657" w:type="dxa"/>
          </w:tcPr>
          <w:p>
            <w:pPr>
              <w:pStyle w:val="TableParagraph"/>
              <w:spacing w:line="221" w:lineRule="exact"/>
              <w:ind w:left="222"/>
              <w:rPr>
                <w:b/>
                <w:sz w:val="22"/>
              </w:rPr>
            </w:pPr>
            <w:r>
              <w:rPr>
                <w:b/>
                <w:w w:val="95"/>
                <w:sz w:val="22"/>
              </w:rPr>
              <w:t>投保人解除合</w:t>
            </w:r>
          </w:p>
          <w:p>
            <w:pPr>
              <w:pStyle w:val="TableParagraph"/>
              <w:spacing w:line="319" w:lineRule="auto" w:before="91"/>
              <w:ind w:left="222" w:right="108"/>
              <w:rPr>
                <w:b/>
                <w:sz w:val="22"/>
              </w:rPr>
            </w:pPr>
            <w:r>
              <w:rPr>
                <w:b/>
                <w:sz w:val="22"/>
              </w:rPr>
              <w:t>同的手续及风险</w:t>
            </w:r>
          </w:p>
        </w:tc>
        <w:tc>
          <w:tcPr>
            <w:tcW w:w="7629" w:type="dxa"/>
          </w:tcPr>
          <w:p>
            <w:pPr>
              <w:pStyle w:val="TableParagraph"/>
              <w:spacing w:line="221" w:lineRule="exact"/>
              <w:ind w:left="108"/>
              <w:rPr>
                <w:sz w:val="22"/>
              </w:rPr>
            </w:pPr>
            <w:r>
              <w:rPr>
                <w:sz w:val="22"/>
              </w:rPr>
              <w:t>如投保人申请解除本合同，请填写解除合同申请书并向我们提供下列资料：</w:t>
            </w:r>
          </w:p>
          <w:p>
            <w:pPr>
              <w:pStyle w:val="TableParagraph"/>
              <w:numPr>
                <w:ilvl w:val="0"/>
                <w:numId w:val="8"/>
              </w:numPr>
              <w:tabs>
                <w:tab w:pos="562" w:val="left" w:leader="none"/>
              </w:tabs>
              <w:spacing w:line="240" w:lineRule="auto" w:before="91" w:after="0"/>
              <w:ind w:left="561" w:right="0" w:hanging="453"/>
              <w:jc w:val="left"/>
              <w:rPr>
                <w:sz w:val="22"/>
              </w:rPr>
            </w:pPr>
            <w:r>
              <w:rPr>
                <w:spacing w:val="-1"/>
                <w:sz w:val="22"/>
              </w:rPr>
              <w:t>保险合同；</w:t>
            </w:r>
          </w:p>
          <w:p>
            <w:pPr>
              <w:pStyle w:val="TableParagraph"/>
              <w:numPr>
                <w:ilvl w:val="0"/>
                <w:numId w:val="8"/>
              </w:numPr>
              <w:tabs>
                <w:tab w:pos="562" w:val="left" w:leader="none"/>
              </w:tabs>
              <w:spacing w:line="240" w:lineRule="auto" w:before="93" w:after="0"/>
              <w:ind w:left="561" w:right="0" w:hanging="453"/>
              <w:jc w:val="left"/>
              <w:rPr>
                <w:sz w:val="22"/>
              </w:rPr>
            </w:pPr>
            <w:r>
              <w:rPr>
                <w:spacing w:val="-3"/>
                <w:sz w:val="22"/>
              </w:rPr>
              <w:t>投保人的有效身份证件。</w:t>
            </w:r>
          </w:p>
          <w:p>
            <w:pPr>
              <w:pStyle w:val="TableParagraph"/>
              <w:spacing w:line="316" w:lineRule="auto" w:before="91"/>
              <w:ind w:left="108" w:right="199"/>
              <w:rPr>
                <w:sz w:val="22"/>
              </w:rPr>
            </w:pPr>
            <w:r>
              <w:rPr>
                <w:sz w:val="22"/>
              </w:rPr>
              <w:t>自我们收到解除合同申请书之日起，本合同终止。我们自收到解除合同申请书之日起30日内向投保人退还本合同的未满期净保险费。</w:t>
            </w:r>
          </w:p>
          <w:p>
            <w:pPr>
              <w:pStyle w:val="TableParagraph"/>
              <w:spacing w:line="268" w:lineRule="exact" w:before="23"/>
              <w:ind w:left="108"/>
              <w:rPr>
                <w:sz w:val="22"/>
              </w:rPr>
            </w:pPr>
            <w:r>
              <w:rPr>
                <w:sz w:val="22"/>
              </w:rPr>
              <w:t>投保人解除合同会遭受一定损失。</w:t>
            </w:r>
          </w:p>
        </w:tc>
      </w:tr>
    </w:tbl>
    <w:p>
      <w:pPr>
        <w:pStyle w:val="BodyText"/>
        <w:spacing w:before="6"/>
        <w:rPr>
          <w:b/>
          <w:sz w:val="24"/>
        </w:rPr>
      </w:pPr>
    </w:p>
    <w:p>
      <w:pPr>
        <w:pStyle w:val="Heading2"/>
        <w:tabs>
          <w:tab w:pos="10001" w:val="left" w:leader="none"/>
        </w:tabs>
        <w:rPr>
          <w:u w:val="none"/>
        </w:rPr>
      </w:pPr>
      <w:r>
        <w:rPr>
          <w:rFonts w:ascii="Times New Roman" w:hAnsi="Times New Roman" w:eastAsia="Times New Roman"/>
          <w:b w:val="0"/>
          <w:spacing w:val="-92"/>
          <w:sz w:val="48"/>
          <w:u w:val="none"/>
        </w:rPr>
        <w:t> </w:t>
      </w:r>
      <w:r>
        <w:rPr>
          <w:rFonts w:ascii="Wingdings" w:hAnsi="Wingdings" w:eastAsia="Wingdings"/>
          <w:b w:val="0"/>
          <w:w w:val="95"/>
          <w:sz w:val="48"/>
          <w:u w:val="none"/>
        </w:rPr>
        <w:t></w:t>
      </w:r>
      <w:r>
        <w:rPr>
          <w:w w:val="95"/>
          <w:u w:val="thick"/>
        </w:rPr>
        <w:t>其它需要关注的事项</w:t>
      </w:r>
      <w:r>
        <w:rPr>
          <w:u w:val="thick"/>
        </w:rPr>
        <w:tab/>
      </w:r>
    </w:p>
    <w:p>
      <w:pPr>
        <w:pStyle w:val="BodyText"/>
        <w:rPr>
          <w:b/>
          <w:sz w:val="20"/>
        </w:rPr>
      </w:pPr>
    </w:p>
    <w:p>
      <w:pPr>
        <w:pStyle w:val="BodyText"/>
        <w:spacing w:before="4"/>
        <w:rPr>
          <w:b/>
          <w:sz w:val="21"/>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30"/>
      </w:tblGrid>
      <w:tr>
        <w:trPr>
          <w:trHeight w:val="6572" w:hRule="atLeast"/>
        </w:trPr>
        <w:tc>
          <w:tcPr>
            <w:tcW w:w="756" w:type="dxa"/>
          </w:tcPr>
          <w:p>
            <w:pPr>
              <w:pStyle w:val="TableParagraph"/>
              <w:spacing w:line="221" w:lineRule="exact"/>
              <w:ind w:left="200"/>
              <w:rPr>
                <w:b/>
                <w:sz w:val="22"/>
              </w:rPr>
            </w:pPr>
            <w:r>
              <w:rPr>
                <w:b/>
                <w:sz w:val="22"/>
              </w:rPr>
              <w:t>5.1</w:t>
            </w:r>
          </w:p>
        </w:tc>
        <w:tc>
          <w:tcPr>
            <w:tcW w:w="1660" w:type="dxa"/>
          </w:tcPr>
          <w:p>
            <w:pPr>
              <w:pStyle w:val="TableParagraph"/>
              <w:spacing w:line="221" w:lineRule="exact"/>
              <w:ind w:left="222"/>
              <w:rPr>
                <w:b/>
                <w:sz w:val="22"/>
              </w:rPr>
            </w:pPr>
            <w:r>
              <w:rPr>
                <w:b/>
                <w:w w:val="95"/>
                <w:sz w:val="22"/>
              </w:rPr>
              <w:t>明确说明与如</w:t>
            </w:r>
          </w:p>
          <w:p>
            <w:pPr>
              <w:pStyle w:val="TableParagraph"/>
              <w:spacing w:before="93"/>
              <w:ind w:left="222"/>
              <w:rPr>
                <w:b/>
                <w:sz w:val="22"/>
              </w:rPr>
            </w:pPr>
            <w:r>
              <w:rPr>
                <w:b/>
                <w:w w:val="95"/>
                <w:sz w:val="22"/>
              </w:rPr>
              <w:t>实告知</w:t>
            </w:r>
          </w:p>
        </w:tc>
        <w:tc>
          <w:tcPr>
            <w:tcW w:w="7630" w:type="dxa"/>
          </w:tcPr>
          <w:p>
            <w:pPr>
              <w:pStyle w:val="TableParagraph"/>
              <w:spacing w:line="221" w:lineRule="exact"/>
              <w:ind w:left="112"/>
              <w:jc w:val="both"/>
              <w:rPr>
                <w:sz w:val="22"/>
              </w:rPr>
            </w:pPr>
            <w:r>
              <w:rPr>
                <w:sz w:val="22"/>
              </w:rPr>
              <w:t>订立本合同时，我们应向投保人说明本合同的内容。</w:t>
            </w:r>
          </w:p>
          <w:p>
            <w:pPr>
              <w:pStyle w:val="TableParagraph"/>
              <w:spacing w:line="316" w:lineRule="auto" w:before="93"/>
              <w:ind w:left="112" w:right="201"/>
              <w:jc w:val="both"/>
              <w:rPr>
                <w:sz w:val="22"/>
              </w:rPr>
            </w:pPr>
            <w:r>
              <w:rPr>
                <w:sz w:val="22"/>
              </w:rPr>
              <w:t>对保险条款中免除我们责任的条款，我们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316" w:lineRule="auto" w:before="20"/>
              <w:ind w:left="112" w:right="202"/>
              <w:jc w:val="both"/>
              <w:rPr>
                <w:sz w:val="22"/>
              </w:rPr>
            </w:pPr>
            <w:r>
              <w:rPr>
                <w:sz w:val="22"/>
              </w:rPr>
              <w:t>我们就投保人或被保险人的有关情况提出书面询问，投保人应当如实告知。如果投保人故意或者因重大过失不履行前款规定的如实告知义务，足以影响我们决定是否同意承保或者提高保险费率的，我们视不如实告知的具体事项，有权解除本合同或解除本合同中被保险人资格；</w:t>
            </w:r>
          </w:p>
          <w:p>
            <w:pPr>
              <w:pStyle w:val="TableParagraph"/>
              <w:spacing w:line="316" w:lineRule="auto" w:before="20"/>
              <w:ind w:left="112" w:right="198"/>
              <w:jc w:val="both"/>
              <w:rPr>
                <w:sz w:val="22"/>
              </w:rPr>
            </w:pPr>
            <w:r>
              <w:rPr>
                <w:sz w:val="22"/>
              </w:rPr>
              <w:t>如果投保人故意不履行如实告知义务，对于解除本合同或解除本合同中被保险人资格前发生的保险事故，我们不承担给付保险金的责任，并不退还相应的保险费。</w:t>
            </w:r>
          </w:p>
          <w:p>
            <w:pPr>
              <w:pStyle w:val="TableParagraph"/>
              <w:spacing w:line="316" w:lineRule="auto" w:before="20"/>
              <w:ind w:left="112" w:right="198"/>
              <w:jc w:val="both"/>
              <w:rPr>
                <w:sz w:val="22"/>
              </w:rPr>
            </w:pPr>
            <w:r>
              <w:rPr>
                <w:sz w:val="22"/>
              </w:rPr>
              <w:t>如果投保人因重大过失未履行如实告知义务，对保险事故的发生有严重影响的，对于解除本合同或解除本合同中被保险人资格前发生的保险事故，我们不承担给付保险金的责任，但应当退还相应的保险费。</w:t>
            </w:r>
          </w:p>
          <w:p>
            <w:pPr>
              <w:pStyle w:val="TableParagraph"/>
              <w:spacing w:line="319" w:lineRule="auto" w:before="20"/>
              <w:ind w:left="112" w:right="208"/>
              <w:jc w:val="both"/>
              <w:rPr>
                <w:sz w:val="22"/>
              </w:rPr>
            </w:pPr>
            <w:r>
              <w:rPr>
                <w:sz w:val="22"/>
              </w:rPr>
              <w:t>我们在合同订立时已经知道投保人未如实告知的情况的，我们不得解除合同；发生保险事故的，我们承担给付保险金的责任。</w:t>
            </w:r>
          </w:p>
        </w:tc>
      </w:tr>
      <w:tr>
        <w:trPr>
          <w:trHeight w:val="871" w:hRule="atLeast"/>
        </w:trPr>
        <w:tc>
          <w:tcPr>
            <w:tcW w:w="756" w:type="dxa"/>
          </w:tcPr>
          <w:p>
            <w:pPr>
              <w:pStyle w:val="TableParagraph"/>
              <w:spacing w:before="5"/>
              <w:ind w:left="0"/>
              <w:rPr>
                <w:b/>
                <w:sz w:val="15"/>
              </w:rPr>
            </w:pPr>
          </w:p>
          <w:p>
            <w:pPr>
              <w:pStyle w:val="TableParagraph"/>
              <w:ind w:left="200"/>
              <w:rPr>
                <w:b/>
                <w:sz w:val="22"/>
              </w:rPr>
            </w:pPr>
            <w:r>
              <w:rPr>
                <w:b/>
                <w:sz w:val="22"/>
              </w:rPr>
              <w:t>5.2</w:t>
            </w:r>
          </w:p>
        </w:tc>
        <w:tc>
          <w:tcPr>
            <w:tcW w:w="1660" w:type="dxa"/>
          </w:tcPr>
          <w:p>
            <w:pPr>
              <w:pStyle w:val="TableParagraph"/>
              <w:spacing w:line="380" w:lineRule="atLeast" w:before="109"/>
              <w:ind w:left="222" w:right="111"/>
              <w:rPr>
                <w:b/>
                <w:sz w:val="22"/>
              </w:rPr>
            </w:pPr>
            <w:r>
              <w:rPr>
                <w:b/>
                <w:sz w:val="22"/>
              </w:rPr>
              <w:t>本公司解除权</w:t>
            </w:r>
            <w:r>
              <w:rPr>
                <w:b/>
                <w:w w:val="95"/>
                <w:sz w:val="22"/>
              </w:rPr>
              <w:t>的限制</w:t>
            </w:r>
          </w:p>
        </w:tc>
        <w:tc>
          <w:tcPr>
            <w:tcW w:w="7630" w:type="dxa"/>
          </w:tcPr>
          <w:p>
            <w:pPr>
              <w:pStyle w:val="TableParagraph"/>
              <w:spacing w:line="380" w:lineRule="atLeast" w:before="109"/>
              <w:ind w:left="112" w:right="202"/>
              <w:rPr>
                <w:sz w:val="22"/>
              </w:rPr>
            </w:pPr>
            <w:r>
              <w:rPr>
                <w:sz w:val="22"/>
              </w:rPr>
              <w:t>前条规定的合同或被保险人资格解除权，自我们知道有解除事由之日起，超过30日不行使而消灭。发生保险事故的，我们承担给付保险金的责任。</w:t>
            </w:r>
          </w:p>
        </w:tc>
      </w:tr>
    </w:tbl>
    <w:p>
      <w:pPr>
        <w:spacing w:after="0" w:line="380" w:lineRule="atLeast"/>
        <w:rPr>
          <w:sz w:val="22"/>
        </w:rPr>
        <w:sectPr>
          <w:pgSz w:w="11910" w:h="16850"/>
          <w:pgMar w:top="1540" w:bottom="280" w:left="80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59"/>
        <w:gridCol w:w="7629"/>
      </w:tblGrid>
      <w:tr>
        <w:trPr>
          <w:trHeight w:val="4290" w:hRule="atLeast"/>
        </w:trPr>
        <w:tc>
          <w:tcPr>
            <w:tcW w:w="756" w:type="dxa"/>
          </w:tcPr>
          <w:p>
            <w:pPr>
              <w:pStyle w:val="TableParagraph"/>
              <w:spacing w:line="213" w:lineRule="exact"/>
              <w:ind w:left="200"/>
              <w:rPr>
                <w:b/>
                <w:sz w:val="22"/>
              </w:rPr>
            </w:pPr>
            <w:r>
              <w:rPr>
                <w:b/>
                <w:sz w:val="22"/>
              </w:rPr>
              <w:t>5.3</w:t>
            </w:r>
          </w:p>
        </w:tc>
        <w:tc>
          <w:tcPr>
            <w:tcW w:w="1659" w:type="dxa"/>
          </w:tcPr>
          <w:p>
            <w:pPr>
              <w:pStyle w:val="TableParagraph"/>
              <w:spacing w:line="213" w:lineRule="exact"/>
              <w:ind w:left="222"/>
              <w:rPr>
                <w:b/>
                <w:sz w:val="22"/>
              </w:rPr>
            </w:pPr>
            <w:r>
              <w:rPr>
                <w:b/>
                <w:w w:val="95"/>
                <w:sz w:val="22"/>
              </w:rPr>
              <w:t>年龄错误</w:t>
            </w:r>
          </w:p>
        </w:tc>
        <w:tc>
          <w:tcPr>
            <w:tcW w:w="7629" w:type="dxa"/>
          </w:tcPr>
          <w:p>
            <w:pPr>
              <w:pStyle w:val="TableParagraph"/>
              <w:spacing w:line="213" w:lineRule="exact"/>
              <w:ind w:left="113"/>
              <w:rPr>
                <w:sz w:val="22"/>
              </w:rPr>
            </w:pPr>
            <w:r>
              <w:rPr>
                <w:sz w:val="22"/>
              </w:rPr>
              <w:t>投保人在申请投保时，应将与有效身份证件相符的被保险人的出生日期在投</w:t>
            </w:r>
          </w:p>
          <w:p>
            <w:pPr>
              <w:pStyle w:val="TableParagraph"/>
              <w:spacing w:before="91"/>
              <w:ind w:left="113"/>
              <w:rPr>
                <w:sz w:val="22"/>
              </w:rPr>
            </w:pPr>
            <w:r>
              <w:rPr>
                <w:sz w:val="22"/>
              </w:rPr>
              <w:t>保单或被保险人清单上填明，如果发生错误按照下列方式办理：</w:t>
            </w:r>
          </w:p>
          <w:p>
            <w:pPr>
              <w:pStyle w:val="TableParagraph"/>
              <w:numPr>
                <w:ilvl w:val="0"/>
                <w:numId w:val="9"/>
              </w:numPr>
              <w:tabs>
                <w:tab w:pos="567" w:val="left" w:leader="none"/>
              </w:tabs>
              <w:spacing w:line="316" w:lineRule="auto" w:before="90" w:after="0"/>
              <w:ind w:left="567" w:right="200" w:hanging="454"/>
              <w:jc w:val="both"/>
              <w:rPr>
                <w:sz w:val="22"/>
              </w:rPr>
            </w:pPr>
            <w:r>
              <w:rPr>
                <w:sz w:val="22"/>
              </w:rPr>
              <w:t>投保人申报的被保险人年龄不真实，并且其真实年龄不符合本合同约定投保年龄限制的，在保险事故发生之前我们有权解除本合同中该被保险人资格，并向投保人退还该被保险人的未满期净保险费。我们行使合同</w:t>
            </w:r>
            <w:r>
              <w:rPr>
                <w:spacing w:val="-3"/>
                <w:sz w:val="22"/>
              </w:rPr>
              <w:t>解除权适用 “本公司解除权的限制”规定。</w:t>
            </w:r>
          </w:p>
          <w:p>
            <w:pPr>
              <w:pStyle w:val="TableParagraph"/>
              <w:numPr>
                <w:ilvl w:val="0"/>
                <w:numId w:val="9"/>
              </w:numPr>
              <w:tabs>
                <w:tab w:pos="567" w:val="left" w:leader="none"/>
              </w:tabs>
              <w:spacing w:line="316" w:lineRule="auto" w:before="22" w:after="0"/>
              <w:ind w:left="567" w:right="197" w:hanging="454"/>
              <w:jc w:val="both"/>
              <w:rPr>
                <w:sz w:val="22"/>
              </w:rPr>
            </w:pPr>
            <w:r>
              <w:rPr>
                <w:sz w:val="22"/>
              </w:rPr>
              <w:t>投保人申报的被保险人年龄不真实，致使投保人实付保险费少于应付保</w:t>
            </w:r>
            <w:r>
              <w:rPr>
                <w:spacing w:val="5"/>
                <w:sz w:val="22"/>
              </w:rPr>
              <w:t>险费的，我们有权更正并要求投保人补交保险费。</w:t>
            </w:r>
            <w:r>
              <w:rPr>
                <w:spacing w:val="5"/>
                <w:sz w:val="22"/>
                <w:shd w:fill="9F9F9F" w:color="auto" w:val="clear"/>
              </w:rPr>
              <w:t>若已经发生保险事</w:t>
            </w:r>
            <w:r>
              <w:rPr>
                <w:spacing w:val="-3"/>
                <w:sz w:val="22"/>
                <w:shd w:fill="9F9F9F" w:color="auto" w:val="clear"/>
              </w:rPr>
              <w:t>故，在给付保险金时按实付保险费和应付保险费的比例给付</w:t>
            </w:r>
            <w:r>
              <w:rPr>
                <w:sz w:val="22"/>
              </w:rPr>
              <w:t>。</w:t>
            </w:r>
          </w:p>
          <w:p>
            <w:pPr>
              <w:pStyle w:val="TableParagraph"/>
              <w:numPr>
                <w:ilvl w:val="0"/>
                <w:numId w:val="9"/>
              </w:numPr>
              <w:tabs>
                <w:tab w:pos="567" w:val="left" w:leader="none"/>
              </w:tabs>
              <w:spacing w:line="316" w:lineRule="auto" w:before="22" w:after="0"/>
              <w:ind w:left="567" w:right="201" w:hanging="454"/>
              <w:jc w:val="both"/>
              <w:rPr>
                <w:sz w:val="22"/>
              </w:rPr>
            </w:pPr>
            <w:r>
              <w:rPr>
                <w:sz w:val="22"/>
              </w:rPr>
              <w:t>投保人申报的被保险人年龄不真实，致使投保人实付保险费多于应付保</w:t>
            </w:r>
            <w:r>
              <w:rPr>
                <w:spacing w:val="-3"/>
                <w:sz w:val="22"/>
              </w:rPr>
              <w:t>险费的，我们会将多收的保险费退还给投保人。</w:t>
            </w:r>
          </w:p>
        </w:tc>
      </w:tr>
      <w:tr>
        <w:trPr>
          <w:trHeight w:val="1519" w:hRule="atLeast"/>
        </w:trPr>
        <w:tc>
          <w:tcPr>
            <w:tcW w:w="756" w:type="dxa"/>
          </w:tcPr>
          <w:p>
            <w:pPr>
              <w:pStyle w:val="TableParagraph"/>
              <w:spacing w:before="195"/>
              <w:ind w:left="200"/>
              <w:rPr>
                <w:b/>
                <w:sz w:val="22"/>
              </w:rPr>
            </w:pPr>
            <w:r>
              <w:rPr>
                <w:b/>
                <w:sz w:val="22"/>
              </w:rPr>
              <w:t>5.4</w:t>
            </w:r>
          </w:p>
        </w:tc>
        <w:tc>
          <w:tcPr>
            <w:tcW w:w="1659" w:type="dxa"/>
          </w:tcPr>
          <w:p>
            <w:pPr>
              <w:pStyle w:val="TableParagraph"/>
              <w:spacing w:before="195"/>
              <w:ind w:left="222"/>
              <w:rPr>
                <w:b/>
                <w:sz w:val="22"/>
              </w:rPr>
            </w:pPr>
            <w:r>
              <w:rPr>
                <w:b/>
                <w:w w:val="95"/>
                <w:sz w:val="22"/>
              </w:rPr>
              <w:t>资料的提供</w:t>
            </w:r>
          </w:p>
        </w:tc>
        <w:tc>
          <w:tcPr>
            <w:tcW w:w="7629" w:type="dxa"/>
          </w:tcPr>
          <w:p>
            <w:pPr>
              <w:pStyle w:val="TableParagraph"/>
              <w:spacing w:line="316" w:lineRule="auto" w:before="195"/>
              <w:ind w:left="113" w:right="198"/>
              <w:jc w:val="both"/>
              <w:rPr>
                <w:sz w:val="22"/>
              </w:rPr>
            </w:pPr>
            <w:r>
              <w:rPr>
                <w:sz w:val="22"/>
              </w:rPr>
              <w:t>投保人应保存每一被保险人的个人资料，详细记录其姓名、性别、年龄、出生日期、身份证号码、交费金额以及其它与本合同有关的一切资料。必要时投保人应按我们的要求提供上述资料。</w:t>
            </w:r>
          </w:p>
        </w:tc>
      </w:tr>
      <w:tr>
        <w:trPr>
          <w:trHeight w:val="4560" w:hRule="atLeast"/>
        </w:trPr>
        <w:tc>
          <w:tcPr>
            <w:tcW w:w="756" w:type="dxa"/>
          </w:tcPr>
          <w:p>
            <w:pPr>
              <w:pStyle w:val="TableParagraph"/>
              <w:spacing w:before="195"/>
              <w:ind w:left="200"/>
              <w:rPr>
                <w:b/>
                <w:sz w:val="22"/>
              </w:rPr>
            </w:pPr>
            <w:r>
              <w:rPr>
                <w:b/>
                <w:sz w:val="22"/>
              </w:rPr>
              <w:t>5.5</w:t>
            </w:r>
          </w:p>
        </w:tc>
        <w:tc>
          <w:tcPr>
            <w:tcW w:w="1659" w:type="dxa"/>
          </w:tcPr>
          <w:p>
            <w:pPr>
              <w:pStyle w:val="TableParagraph"/>
              <w:spacing w:line="316" w:lineRule="auto" w:before="195"/>
              <w:ind w:left="222" w:right="110"/>
              <w:rPr>
                <w:b/>
                <w:sz w:val="22"/>
              </w:rPr>
            </w:pPr>
            <w:r>
              <w:rPr>
                <w:b/>
                <w:sz w:val="22"/>
              </w:rPr>
              <w:t>被保险人的变动</w:t>
            </w:r>
          </w:p>
        </w:tc>
        <w:tc>
          <w:tcPr>
            <w:tcW w:w="7629" w:type="dxa"/>
          </w:tcPr>
          <w:p>
            <w:pPr>
              <w:pStyle w:val="TableParagraph"/>
              <w:numPr>
                <w:ilvl w:val="0"/>
                <w:numId w:val="10"/>
              </w:numPr>
              <w:tabs>
                <w:tab w:pos="567" w:val="left" w:leader="none"/>
              </w:tabs>
              <w:spacing w:line="316" w:lineRule="auto" w:before="195" w:after="0"/>
              <w:ind w:left="567" w:right="199" w:hanging="454"/>
              <w:jc w:val="both"/>
              <w:rPr>
                <w:sz w:val="22"/>
              </w:rPr>
            </w:pPr>
            <w:r>
              <w:rPr>
                <w:sz w:val="22"/>
              </w:rPr>
              <w:t>投保人因所属成员变动需要增加被保险人的，应以书面形式通知我们， </w:t>
            </w:r>
            <w:r>
              <w:rPr>
                <w:spacing w:val="-3"/>
                <w:sz w:val="22"/>
              </w:rPr>
              <w:t>经我们同意后，于收取保险费的次日零时起开始承担保险责任。</w:t>
            </w:r>
          </w:p>
          <w:p>
            <w:pPr>
              <w:pStyle w:val="TableParagraph"/>
              <w:numPr>
                <w:ilvl w:val="0"/>
                <w:numId w:val="10"/>
              </w:numPr>
              <w:tabs>
                <w:tab w:pos="567" w:val="left" w:leader="none"/>
              </w:tabs>
              <w:spacing w:line="316" w:lineRule="auto" w:before="23" w:after="0"/>
              <w:ind w:left="567" w:right="197" w:hanging="454"/>
              <w:jc w:val="both"/>
              <w:rPr>
                <w:sz w:val="22"/>
              </w:rPr>
            </w:pPr>
            <w:r>
              <w:rPr>
                <w:sz w:val="22"/>
              </w:rPr>
              <w:t>投保人因被保险人离职或其它原因需要减少被保险人的，应以书面形式通知我们，我们对该被保险人所承担的保险责任自通知到达本公司当日的24时起终止；如投保人发出的通知书所提及的该被保险人退保日期在通知到达日之后，则本合同对该被保险人所承担的保险责任自该退保日</w:t>
            </w:r>
            <w:r>
              <w:rPr>
                <w:spacing w:val="5"/>
                <w:sz w:val="22"/>
              </w:rPr>
              <w:t>零时起终止。我们向投保人退还本合同中该被保险人的未满期净保险费。</w:t>
            </w:r>
          </w:p>
          <w:p>
            <w:pPr>
              <w:pStyle w:val="TableParagraph"/>
              <w:numPr>
                <w:ilvl w:val="0"/>
                <w:numId w:val="10"/>
              </w:numPr>
              <w:tabs>
                <w:tab w:pos="567" w:val="left" w:leader="none"/>
              </w:tabs>
              <w:spacing w:line="316" w:lineRule="auto" w:before="23" w:after="0"/>
              <w:ind w:left="567" w:right="196" w:hanging="454"/>
              <w:jc w:val="both"/>
              <w:rPr>
                <w:sz w:val="22"/>
              </w:rPr>
            </w:pPr>
            <w:r>
              <w:rPr>
                <w:sz w:val="22"/>
              </w:rPr>
              <w:t>被保险人的人数因减少致未达团体成员总数的75%或少于5人时，我们有权解除本合同，并向投保人退还本合同的未满期净保险费。本合同所承</w:t>
            </w:r>
            <w:r>
              <w:rPr>
                <w:spacing w:val="-3"/>
                <w:sz w:val="22"/>
              </w:rPr>
              <w:t>担的保险责任自通知到达投保人当日的</w:t>
            </w:r>
            <w:r>
              <w:rPr>
                <w:sz w:val="22"/>
              </w:rPr>
              <w:t>24</w:t>
            </w:r>
            <w:r>
              <w:rPr>
                <w:spacing w:val="-2"/>
                <w:sz w:val="22"/>
              </w:rPr>
              <w:t>时起终止。</w:t>
            </w:r>
          </w:p>
        </w:tc>
      </w:tr>
      <w:tr>
        <w:trPr>
          <w:trHeight w:val="1901" w:hRule="atLeast"/>
        </w:trPr>
        <w:tc>
          <w:tcPr>
            <w:tcW w:w="756" w:type="dxa"/>
          </w:tcPr>
          <w:p>
            <w:pPr>
              <w:pStyle w:val="TableParagraph"/>
              <w:spacing w:before="195"/>
              <w:ind w:left="200"/>
              <w:rPr>
                <w:b/>
                <w:sz w:val="22"/>
              </w:rPr>
            </w:pPr>
            <w:r>
              <w:rPr>
                <w:b/>
                <w:sz w:val="22"/>
              </w:rPr>
              <w:t>5.6</w:t>
            </w:r>
          </w:p>
        </w:tc>
        <w:tc>
          <w:tcPr>
            <w:tcW w:w="1659" w:type="dxa"/>
          </w:tcPr>
          <w:p>
            <w:pPr>
              <w:pStyle w:val="TableParagraph"/>
              <w:spacing w:before="195"/>
              <w:ind w:left="222"/>
              <w:rPr>
                <w:b/>
                <w:sz w:val="22"/>
              </w:rPr>
            </w:pPr>
            <w:r>
              <w:rPr>
                <w:b/>
                <w:w w:val="95"/>
                <w:sz w:val="22"/>
              </w:rPr>
              <w:t>地址变更</w:t>
            </w:r>
          </w:p>
        </w:tc>
        <w:tc>
          <w:tcPr>
            <w:tcW w:w="7629" w:type="dxa"/>
          </w:tcPr>
          <w:p>
            <w:pPr>
              <w:pStyle w:val="TableParagraph"/>
              <w:spacing w:line="316" w:lineRule="auto" w:before="195"/>
              <w:ind w:left="113" w:right="200"/>
              <w:jc w:val="both"/>
              <w:rPr>
                <w:sz w:val="22"/>
              </w:rPr>
            </w:pPr>
            <w:r>
              <w:rPr>
                <w:sz w:val="22"/>
              </w:rPr>
              <w:t>投保人的住所或通讯地址变更时，请及时以书面形式或双方认可的其它形式通知我们。若投保人未以书面形式或双方认可的其它形式通知我们，我们按本合同载明的最后住所或通讯地址发送的有关通知，均视为已送达给投保人。</w:t>
            </w:r>
          </w:p>
        </w:tc>
      </w:tr>
      <w:tr>
        <w:trPr>
          <w:trHeight w:val="1249" w:hRule="atLeast"/>
        </w:trPr>
        <w:tc>
          <w:tcPr>
            <w:tcW w:w="756" w:type="dxa"/>
          </w:tcPr>
          <w:p>
            <w:pPr>
              <w:pStyle w:val="TableParagraph"/>
              <w:spacing w:before="195"/>
              <w:ind w:left="200"/>
              <w:rPr>
                <w:b/>
                <w:sz w:val="22"/>
              </w:rPr>
            </w:pPr>
            <w:r>
              <w:rPr>
                <w:b/>
                <w:sz w:val="22"/>
              </w:rPr>
              <w:t>5.7</w:t>
            </w:r>
          </w:p>
        </w:tc>
        <w:tc>
          <w:tcPr>
            <w:tcW w:w="1659" w:type="dxa"/>
          </w:tcPr>
          <w:p>
            <w:pPr>
              <w:pStyle w:val="TableParagraph"/>
              <w:spacing w:before="195"/>
              <w:ind w:left="222"/>
              <w:rPr>
                <w:b/>
                <w:sz w:val="22"/>
              </w:rPr>
            </w:pPr>
            <w:r>
              <w:rPr>
                <w:b/>
                <w:w w:val="95"/>
                <w:sz w:val="22"/>
              </w:rPr>
              <w:t>争议处理</w:t>
            </w:r>
          </w:p>
        </w:tc>
        <w:tc>
          <w:tcPr>
            <w:tcW w:w="7629" w:type="dxa"/>
          </w:tcPr>
          <w:p>
            <w:pPr>
              <w:pStyle w:val="TableParagraph"/>
              <w:spacing w:line="380" w:lineRule="atLeast" w:before="103"/>
              <w:ind w:left="113" w:right="200"/>
              <w:jc w:val="both"/>
              <w:rPr>
                <w:sz w:val="22"/>
              </w:rPr>
            </w:pPr>
            <w:r>
              <w:rPr>
                <w:sz w:val="22"/>
              </w:rPr>
              <w:t>本合同履行过程中，双方发生争议时，由当事人协商解决，协商不成的，当事人可依达成的仲裁协议通过仲裁解决。无仲裁协议或者仲裁协议无效的， 可依法向人民法院提起诉讼。</w:t>
            </w:r>
          </w:p>
        </w:tc>
      </w:tr>
    </w:tbl>
    <w:p>
      <w:pPr>
        <w:spacing w:after="0" w:line="380" w:lineRule="atLeast"/>
        <w:jc w:val="both"/>
        <w:rPr>
          <w:sz w:val="22"/>
        </w:rPr>
        <w:sectPr>
          <w:pgSz w:w="11910" w:h="16850"/>
          <w:pgMar w:top="1540" w:bottom="280" w:left="820" w:right="820"/>
        </w:sectPr>
      </w:pPr>
    </w:p>
    <w:p>
      <w:pPr>
        <w:pStyle w:val="BodyText"/>
        <w:spacing w:before="11"/>
        <w:rPr>
          <w:b/>
          <w:sz w:val="23"/>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7"/>
      </w:tblGrid>
      <w:tr>
        <w:trPr>
          <w:trHeight w:val="981" w:hRule="atLeast"/>
        </w:trPr>
        <w:tc>
          <w:tcPr>
            <w:tcW w:w="756" w:type="dxa"/>
          </w:tcPr>
          <w:p>
            <w:pPr>
              <w:pStyle w:val="TableParagraph"/>
              <w:spacing w:line="221" w:lineRule="exact"/>
              <w:ind w:left="200"/>
              <w:rPr>
                <w:b/>
                <w:sz w:val="22"/>
              </w:rPr>
            </w:pPr>
            <w:r>
              <w:rPr>
                <w:b/>
                <w:sz w:val="22"/>
              </w:rPr>
              <w:t>5.8</w:t>
            </w:r>
          </w:p>
        </w:tc>
        <w:tc>
          <w:tcPr>
            <w:tcW w:w="1660" w:type="dxa"/>
          </w:tcPr>
          <w:p>
            <w:pPr>
              <w:pStyle w:val="TableParagraph"/>
              <w:spacing w:line="221" w:lineRule="exact"/>
              <w:ind w:left="222"/>
              <w:rPr>
                <w:b/>
                <w:sz w:val="22"/>
              </w:rPr>
            </w:pPr>
            <w:r>
              <w:rPr>
                <w:b/>
                <w:w w:val="95"/>
                <w:sz w:val="22"/>
              </w:rPr>
              <w:t>合同内容变更</w:t>
            </w:r>
          </w:p>
        </w:tc>
        <w:tc>
          <w:tcPr>
            <w:tcW w:w="7627" w:type="dxa"/>
          </w:tcPr>
          <w:p>
            <w:pPr>
              <w:pStyle w:val="TableParagraph"/>
              <w:spacing w:line="221" w:lineRule="exact"/>
              <w:ind w:left="112"/>
              <w:rPr>
                <w:sz w:val="22"/>
              </w:rPr>
            </w:pPr>
            <w:r>
              <w:rPr>
                <w:sz w:val="22"/>
              </w:rPr>
              <w:t>在本合同有效期内，经投保人与我们协商一致，可以变更本合同的有关内</w:t>
            </w:r>
          </w:p>
          <w:p>
            <w:pPr>
              <w:pStyle w:val="TableParagraph"/>
              <w:spacing w:line="382" w:lineRule="exact" w:before="42"/>
              <w:ind w:left="112" w:right="198"/>
              <w:rPr>
                <w:sz w:val="22"/>
              </w:rPr>
            </w:pPr>
            <w:r>
              <w:rPr>
                <w:sz w:val="22"/>
              </w:rPr>
              <w:t>容。变更本合同的，应当由我们在保险单或者其它保险凭证上批注或者附贴批单。</w:t>
            </w:r>
          </w:p>
        </w:tc>
      </w:tr>
    </w:tbl>
    <w:p>
      <w:pPr>
        <w:pStyle w:val="BodyText"/>
        <w:spacing w:before="6"/>
        <w:rPr>
          <w:b/>
          <w:sz w:val="24"/>
        </w:rPr>
      </w:pPr>
    </w:p>
    <w:p>
      <w:pPr>
        <w:tabs>
          <w:tab w:pos="9981" w:val="left" w:leader="none"/>
        </w:tabs>
        <w:spacing w:before="100"/>
        <w:ind w:left="284" w:right="0" w:firstLine="0"/>
        <w:jc w:val="left"/>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释义</w:t>
      </w:r>
      <w:r>
        <w:rPr>
          <w:b/>
          <w:sz w:val="30"/>
          <w:u w:val="thick"/>
        </w:rPr>
        <w:tab/>
      </w:r>
    </w:p>
    <w:p>
      <w:pPr>
        <w:pStyle w:val="BodyText"/>
        <w:rPr>
          <w:b/>
          <w:sz w:val="20"/>
        </w:rPr>
      </w:pPr>
    </w:p>
    <w:p>
      <w:pPr>
        <w:pStyle w:val="BodyText"/>
        <w:spacing w:before="11"/>
        <w:rPr>
          <w:b/>
          <w:sz w:val="13"/>
        </w:rPr>
      </w:pPr>
    </w:p>
    <w:p>
      <w:pPr>
        <w:pStyle w:val="ListParagraph"/>
        <w:numPr>
          <w:ilvl w:val="1"/>
          <w:numId w:val="11"/>
        </w:numPr>
        <w:tabs>
          <w:tab w:pos="1090" w:val="left" w:leader="none"/>
          <w:tab w:pos="1091" w:val="left" w:leader="none"/>
          <w:tab w:pos="2641" w:val="left" w:leader="none"/>
        </w:tabs>
        <w:spacing w:line="316" w:lineRule="auto" w:before="33" w:after="0"/>
        <w:ind w:left="2641" w:right="307" w:hanging="2329"/>
        <w:jc w:val="left"/>
        <w:rPr>
          <w:sz w:val="22"/>
        </w:rPr>
      </w:pPr>
      <w:r>
        <w:rPr>
          <w:b/>
          <w:sz w:val="22"/>
        </w:rPr>
        <w:t>团体</w:t>
        <w:tab/>
      </w:r>
      <w:r>
        <w:rPr>
          <w:sz w:val="22"/>
        </w:rPr>
        <w:t>指中华人民共和国境内具有5名以上（含5名）成员且非因购买保险而组织的 合法团</w:t>
      </w:r>
      <w:r>
        <w:rPr>
          <w:spacing w:val="-3"/>
          <w:sz w:val="22"/>
        </w:rPr>
        <w:t>体</w:t>
      </w:r>
      <w:r>
        <w:rPr>
          <w:sz w:val="22"/>
        </w:rPr>
        <w:t>。包</w:t>
      </w:r>
      <w:r>
        <w:rPr>
          <w:spacing w:val="-3"/>
          <w:sz w:val="22"/>
        </w:rPr>
        <w:t>括</w:t>
      </w:r>
      <w:r>
        <w:rPr>
          <w:sz w:val="22"/>
        </w:rPr>
        <w:t>国家</w:t>
      </w:r>
      <w:r>
        <w:rPr>
          <w:spacing w:val="-3"/>
          <w:sz w:val="22"/>
        </w:rPr>
        <w:t>机关</w:t>
      </w:r>
      <w:r>
        <w:rPr>
          <w:sz w:val="22"/>
        </w:rPr>
        <w:t>、院校</w:t>
      </w:r>
      <w:r>
        <w:rPr>
          <w:spacing w:val="-3"/>
          <w:sz w:val="22"/>
        </w:rPr>
        <w:t>、</w:t>
      </w:r>
      <w:r>
        <w:rPr>
          <w:sz w:val="22"/>
        </w:rPr>
        <w:t>企事</w:t>
      </w:r>
      <w:r>
        <w:rPr>
          <w:spacing w:val="-3"/>
          <w:sz w:val="22"/>
        </w:rPr>
        <w:t>业</w:t>
      </w:r>
      <w:r>
        <w:rPr>
          <w:sz w:val="22"/>
        </w:rPr>
        <w:t>单位</w:t>
      </w:r>
      <w:r>
        <w:rPr>
          <w:spacing w:val="-3"/>
          <w:sz w:val="22"/>
        </w:rPr>
        <w:t>、行</w:t>
      </w:r>
      <w:r>
        <w:rPr>
          <w:sz w:val="22"/>
        </w:rPr>
        <w:t>业组织</w:t>
      </w:r>
      <w:r>
        <w:rPr>
          <w:spacing w:val="-3"/>
          <w:sz w:val="22"/>
        </w:rPr>
        <w:t>、</w:t>
      </w:r>
      <w:r>
        <w:rPr>
          <w:sz w:val="22"/>
        </w:rPr>
        <w:t>职业</w:t>
      </w:r>
      <w:r>
        <w:rPr>
          <w:spacing w:val="-3"/>
          <w:sz w:val="22"/>
        </w:rPr>
        <w:t>工</w:t>
      </w:r>
      <w:r>
        <w:rPr>
          <w:sz w:val="22"/>
        </w:rPr>
        <w:t>会等。</w:t>
      </w:r>
    </w:p>
    <w:p>
      <w:pPr>
        <w:pStyle w:val="BodyText"/>
        <w:spacing w:before="9"/>
        <w:rPr>
          <w:sz w:val="30"/>
        </w:rPr>
      </w:pPr>
    </w:p>
    <w:p>
      <w:pPr>
        <w:pStyle w:val="ListParagraph"/>
        <w:numPr>
          <w:ilvl w:val="1"/>
          <w:numId w:val="11"/>
        </w:numPr>
        <w:tabs>
          <w:tab w:pos="1090" w:val="left" w:leader="none"/>
          <w:tab w:pos="1091" w:val="left" w:leader="none"/>
          <w:tab w:pos="2641" w:val="left" w:leader="none"/>
        </w:tabs>
        <w:spacing w:line="240" w:lineRule="auto" w:before="1" w:after="0"/>
        <w:ind w:left="2641" w:right="0" w:hanging="2329"/>
        <w:jc w:val="left"/>
        <w:rPr>
          <w:sz w:val="22"/>
        </w:rPr>
      </w:pPr>
      <w:r>
        <w:rPr>
          <w:b/>
          <w:sz w:val="22"/>
        </w:rPr>
        <w:t>父母</w:t>
        <w:tab/>
      </w:r>
      <w:r>
        <w:rPr>
          <w:sz w:val="22"/>
        </w:rPr>
        <w:t>指被保</w:t>
      </w:r>
      <w:r>
        <w:rPr>
          <w:spacing w:val="-3"/>
          <w:sz w:val="22"/>
        </w:rPr>
        <w:t>险</w:t>
      </w:r>
      <w:r>
        <w:rPr>
          <w:sz w:val="22"/>
        </w:rPr>
        <w:t>人的</w:t>
      </w:r>
      <w:r>
        <w:rPr>
          <w:spacing w:val="-3"/>
          <w:sz w:val="22"/>
        </w:rPr>
        <w:t>亲</w:t>
      </w:r>
      <w:r>
        <w:rPr>
          <w:sz w:val="22"/>
        </w:rPr>
        <w:t>生父</w:t>
      </w:r>
      <w:r>
        <w:rPr>
          <w:spacing w:val="-3"/>
          <w:sz w:val="22"/>
        </w:rPr>
        <w:t>母及</w:t>
      </w:r>
      <w:r>
        <w:rPr>
          <w:sz w:val="22"/>
        </w:rPr>
        <w:t>养父母</w:t>
      </w:r>
      <w:r>
        <w:rPr>
          <w:spacing w:val="-3"/>
          <w:sz w:val="22"/>
        </w:rPr>
        <w:t>，</w:t>
      </w:r>
      <w:r>
        <w:rPr>
          <w:sz w:val="22"/>
        </w:rPr>
        <w:t>但不</w:t>
      </w:r>
      <w:r>
        <w:rPr>
          <w:spacing w:val="-3"/>
          <w:sz w:val="22"/>
        </w:rPr>
        <w:t>包</w:t>
      </w:r>
      <w:r>
        <w:rPr>
          <w:sz w:val="22"/>
        </w:rPr>
        <w:t>括已</w:t>
      </w:r>
      <w:r>
        <w:rPr>
          <w:spacing w:val="-3"/>
          <w:sz w:val="22"/>
        </w:rPr>
        <w:t>终止</w:t>
      </w:r>
      <w:r>
        <w:rPr>
          <w:sz w:val="22"/>
        </w:rPr>
        <w:t>收养关</w:t>
      </w:r>
      <w:r>
        <w:rPr>
          <w:spacing w:val="-3"/>
          <w:sz w:val="22"/>
        </w:rPr>
        <w:t>系</w:t>
      </w:r>
      <w:r>
        <w:rPr>
          <w:sz w:val="22"/>
        </w:rPr>
        <w:t>的养</w:t>
      </w:r>
      <w:r>
        <w:rPr>
          <w:spacing w:val="-3"/>
          <w:sz w:val="22"/>
        </w:rPr>
        <w:t>父</w:t>
      </w:r>
      <w:r>
        <w:rPr>
          <w:sz w:val="22"/>
        </w:rPr>
        <w:t>母。</w:t>
      </w:r>
    </w:p>
    <w:p>
      <w:pPr>
        <w:pStyle w:val="BodyText"/>
      </w:pPr>
    </w:p>
    <w:p>
      <w:pPr>
        <w:pStyle w:val="ListParagraph"/>
        <w:numPr>
          <w:ilvl w:val="1"/>
          <w:numId w:val="11"/>
        </w:numPr>
        <w:tabs>
          <w:tab w:pos="1090" w:val="left" w:leader="none"/>
          <w:tab w:pos="1091" w:val="left" w:leader="none"/>
          <w:tab w:pos="2641" w:val="left" w:leader="none"/>
        </w:tabs>
        <w:spacing w:line="319" w:lineRule="auto" w:before="182" w:after="0"/>
        <w:ind w:left="2641" w:right="306" w:hanging="2329"/>
        <w:jc w:val="left"/>
        <w:rPr>
          <w:sz w:val="22"/>
        </w:rPr>
      </w:pPr>
      <w:r>
        <w:rPr>
          <w:b/>
          <w:sz w:val="22"/>
        </w:rPr>
        <w:t>子女</w:t>
        <w:tab/>
      </w:r>
      <w:r>
        <w:rPr>
          <w:sz w:val="22"/>
        </w:rPr>
        <w:t>指被保险人的婚生子女及养子女，但不包括已被收养的婚生子女</w:t>
      </w:r>
      <w:r>
        <w:rPr>
          <w:spacing w:val="5"/>
          <w:sz w:val="22"/>
        </w:rPr>
        <w:t>及</w:t>
      </w:r>
      <w:r>
        <w:rPr>
          <w:sz w:val="22"/>
        </w:rPr>
        <w:t>终止收养 关系的</w:t>
      </w:r>
      <w:r>
        <w:rPr>
          <w:spacing w:val="-3"/>
          <w:sz w:val="22"/>
        </w:rPr>
        <w:t>养</w:t>
      </w:r>
      <w:r>
        <w:rPr>
          <w:sz w:val="22"/>
        </w:rPr>
        <w:t>子女。</w:t>
      </w:r>
    </w:p>
    <w:p>
      <w:pPr>
        <w:pStyle w:val="BodyText"/>
        <w:spacing w:before="4"/>
        <w:rPr>
          <w:sz w:val="30"/>
        </w:rPr>
      </w:pPr>
    </w:p>
    <w:p>
      <w:pPr>
        <w:pStyle w:val="ListParagraph"/>
        <w:numPr>
          <w:ilvl w:val="1"/>
          <w:numId w:val="11"/>
        </w:numPr>
        <w:tabs>
          <w:tab w:pos="1090" w:val="left" w:leader="none"/>
          <w:tab w:pos="1091" w:val="left" w:leader="none"/>
          <w:tab w:pos="2641" w:val="left" w:leader="none"/>
        </w:tabs>
        <w:spacing w:line="240" w:lineRule="auto" w:before="0" w:after="0"/>
        <w:ind w:left="2641" w:right="0" w:hanging="2329"/>
        <w:jc w:val="left"/>
        <w:rPr>
          <w:sz w:val="22"/>
        </w:rPr>
      </w:pPr>
      <w:r>
        <w:rPr>
          <w:b/>
          <w:sz w:val="22"/>
        </w:rPr>
        <w:t>继子女</w:t>
        <w:tab/>
      </w:r>
      <w:r>
        <w:rPr>
          <w:sz w:val="22"/>
        </w:rPr>
        <w:t>指被保</w:t>
      </w:r>
      <w:r>
        <w:rPr>
          <w:spacing w:val="-3"/>
          <w:sz w:val="22"/>
        </w:rPr>
        <w:t>险</w:t>
      </w:r>
      <w:r>
        <w:rPr>
          <w:sz w:val="22"/>
        </w:rPr>
        <w:t>人的</w:t>
      </w:r>
      <w:r>
        <w:rPr>
          <w:spacing w:val="-3"/>
          <w:sz w:val="22"/>
        </w:rPr>
        <w:t>现</w:t>
      </w:r>
      <w:r>
        <w:rPr>
          <w:sz w:val="22"/>
        </w:rPr>
        <w:t>在配</w:t>
      </w:r>
      <w:r>
        <w:rPr>
          <w:spacing w:val="-3"/>
          <w:sz w:val="22"/>
        </w:rPr>
        <w:t>偶与</w:t>
      </w:r>
      <w:r>
        <w:rPr>
          <w:sz w:val="22"/>
        </w:rPr>
        <w:t>其前夫</w:t>
      </w:r>
      <w:r>
        <w:rPr>
          <w:spacing w:val="-3"/>
          <w:sz w:val="22"/>
        </w:rPr>
        <w:t>或</w:t>
      </w:r>
      <w:r>
        <w:rPr>
          <w:sz w:val="22"/>
        </w:rPr>
        <w:t>前妻</w:t>
      </w:r>
      <w:r>
        <w:rPr>
          <w:spacing w:val="-3"/>
          <w:sz w:val="22"/>
        </w:rPr>
        <w:t>所</w:t>
      </w:r>
      <w:r>
        <w:rPr>
          <w:sz w:val="22"/>
        </w:rPr>
        <w:t>生或</w:t>
      </w:r>
      <w:r>
        <w:rPr>
          <w:spacing w:val="-3"/>
          <w:sz w:val="22"/>
        </w:rPr>
        <w:t>收养</w:t>
      </w:r>
      <w:r>
        <w:rPr>
          <w:sz w:val="22"/>
        </w:rPr>
        <w:t>的子女。</w:t>
      </w:r>
    </w:p>
    <w:p>
      <w:pPr>
        <w:pStyle w:val="BodyText"/>
      </w:pPr>
    </w:p>
    <w:p>
      <w:pPr>
        <w:pStyle w:val="ListParagraph"/>
        <w:numPr>
          <w:ilvl w:val="1"/>
          <w:numId w:val="11"/>
        </w:numPr>
        <w:tabs>
          <w:tab w:pos="1090" w:val="left" w:leader="none"/>
          <w:tab w:pos="1091" w:val="left" w:leader="none"/>
          <w:tab w:pos="2641" w:val="left" w:leader="none"/>
        </w:tabs>
        <w:spacing w:line="316" w:lineRule="auto" w:before="184" w:after="0"/>
        <w:ind w:left="2641" w:right="308" w:hanging="2329"/>
        <w:jc w:val="left"/>
        <w:rPr>
          <w:sz w:val="22"/>
        </w:rPr>
      </w:pPr>
      <w:r>
        <w:rPr>
          <w:b/>
          <w:sz w:val="22"/>
        </w:rPr>
        <w:t>周岁</w:t>
        <w:tab/>
      </w:r>
      <w:r>
        <w:rPr>
          <w:sz w:val="22"/>
        </w:rPr>
        <w:t>指按有效身份证件中记载的出生日期计算的年龄，自出生之日起为零周岁， 每经过</w:t>
      </w:r>
      <w:r>
        <w:rPr>
          <w:spacing w:val="-3"/>
          <w:sz w:val="22"/>
        </w:rPr>
        <w:t>一</w:t>
      </w:r>
      <w:r>
        <w:rPr>
          <w:sz w:val="22"/>
        </w:rPr>
        <w:t>年增</w:t>
      </w:r>
      <w:r>
        <w:rPr>
          <w:spacing w:val="-3"/>
          <w:sz w:val="22"/>
        </w:rPr>
        <w:t>加</w:t>
      </w:r>
      <w:r>
        <w:rPr>
          <w:sz w:val="22"/>
        </w:rPr>
        <w:t>一岁</w:t>
      </w:r>
      <w:r>
        <w:rPr>
          <w:spacing w:val="-3"/>
          <w:sz w:val="22"/>
        </w:rPr>
        <w:t>，不</w:t>
      </w:r>
      <w:r>
        <w:rPr>
          <w:sz w:val="22"/>
        </w:rPr>
        <w:t>足一年</w:t>
      </w:r>
      <w:r>
        <w:rPr>
          <w:spacing w:val="-3"/>
          <w:sz w:val="22"/>
        </w:rPr>
        <w:t>的</w:t>
      </w:r>
      <w:r>
        <w:rPr>
          <w:sz w:val="22"/>
        </w:rPr>
        <w:t>不计。</w:t>
      </w:r>
    </w:p>
    <w:p>
      <w:pPr>
        <w:pStyle w:val="BodyText"/>
        <w:spacing w:before="10"/>
        <w:rPr>
          <w:sz w:val="30"/>
        </w:rPr>
      </w:pPr>
    </w:p>
    <w:p>
      <w:pPr>
        <w:pStyle w:val="ListParagraph"/>
        <w:numPr>
          <w:ilvl w:val="1"/>
          <w:numId w:val="11"/>
        </w:numPr>
        <w:tabs>
          <w:tab w:pos="1090" w:val="left" w:leader="none"/>
          <w:tab w:pos="1091" w:val="left" w:leader="none"/>
          <w:tab w:pos="2641" w:val="left" w:leader="none"/>
        </w:tabs>
        <w:spacing w:line="240" w:lineRule="auto" w:before="0" w:after="0"/>
        <w:ind w:left="2641" w:right="0" w:hanging="2329"/>
        <w:jc w:val="left"/>
        <w:rPr>
          <w:sz w:val="22"/>
        </w:rPr>
      </w:pPr>
      <w:r>
        <w:rPr>
          <w:b/>
          <w:sz w:val="22"/>
        </w:rPr>
        <w:t>重大疾病</w:t>
        <w:tab/>
      </w:r>
      <w:r>
        <w:rPr>
          <w:sz w:val="22"/>
        </w:rPr>
        <w:t>指符合</w:t>
      </w:r>
      <w:r>
        <w:rPr>
          <w:spacing w:val="-3"/>
          <w:sz w:val="22"/>
        </w:rPr>
        <w:t>下</w:t>
      </w:r>
      <w:r>
        <w:rPr>
          <w:sz w:val="22"/>
        </w:rPr>
        <w:t>列定</w:t>
      </w:r>
      <w:r>
        <w:rPr>
          <w:spacing w:val="-3"/>
          <w:sz w:val="22"/>
        </w:rPr>
        <w:t>义</w:t>
      </w:r>
      <w:r>
        <w:rPr>
          <w:sz w:val="22"/>
        </w:rPr>
        <w:t>的疾病:</w:t>
      </w:r>
    </w:p>
    <w:p>
      <w:pPr>
        <w:pStyle w:val="BodyText"/>
        <w:spacing w:before="1"/>
        <w:rPr>
          <w:sz w:val="31"/>
        </w:rPr>
      </w:pPr>
    </w:p>
    <w:p>
      <w:pPr>
        <w:pStyle w:val="BodyText"/>
        <w:spacing w:line="302" w:lineRule="auto" w:before="1"/>
        <w:ind w:left="2641" w:right="310" w:hanging="1551"/>
        <w:jc w:val="both"/>
      </w:pPr>
      <w:r>
        <w:rPr>
          <w:rFonts w:ascii="微软雅黑" w:eastAsia="微软雅黑" w:hint="eastAsia"/>
          <w:b/>
        </w:rPr>
        <w:t>恶性肿瘤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34"/>
        <w:ind w:left="2641"/>
      </w:pPr>
      <w:r>
        <w:rPr>
          <w:shd w:fill="9F9F9F" w:color="auto" w:val="clear"/>
        </w:rPr>
        <w:t>下列疾病不在保障范围内：</w:t>
      </w:r>
    </w:p>
    <w:p>
      <w:pPr>
        <w:pStyle w:val="ListParagraph"/>
        <w:numPr>
          <w:ilvl w:val="2"/>
          <w:numId w:val="11"/>
        </w:numPr>
        <w:tabs>
          <w:tab w:pos="3095" w:val="left" w:leader="none"/>
        </w:tabs>
        <w:spacing w:line="240" w:lineRule="auto" w:before="91" w:after="0"/>
        <w:ind w:left="2641" w:right="0" w:firstLine="0"/>
        <w:jc w:val="left"/>
        <w:rPr>
          <w:sz w:val="22"/>
        </w:rPr>
      </w:pPr>
      <w:r>
        <w:rPr>
          <w:sz w:val="22"/>
          <w:shd w:fill="9F9F9F" w:color="auto" w:val="clear"/>
        </w:rPr>
        <w:t>原位癌；</w:t>
      </w:r>
    </w:p>
    <w:p>
      <w:pPr>
        <w:pStyle w:val="ListParagraph"/>
        <w:numPr>
          <w:ilvl w:val="2"/>
          <w:numId w:val="11"/>
        </w:numPr>
        <w:tabs>
          <w:tab w:pos="3095" w:val="left" w:leader="none"/>
        </w:tabs>
        <w:spacing w:line="240" w:lineRule="auto" w:before="94" w:after="0"/>
        <w:ind w:left="2641" w:right="0" w:firstLine="0"/>
        <w:jc w:val="left"/>
        <w:rPr>
          <w:sz w:val="22"/>
        </w:rPr>
      </w:pPr>
      <w:r>
        <w:rPr>
          <w:spacing w:val="-13"/>
          <w:sz w:val="22"/>
          <w:shd w:fill="9F9F9F" w:color="auto" w:val="clear"/>
        </w:rPr>
        <w:t>相当于 </w:t>
      </w:r>
      <w:r>
        <w:rPr>
          <w:sz w:val="22"/>
          <w:shd w:fill="9F9F9F" w:color="auto" w:val="clear"/>
        </w:rPr>
        <w:t>Binet</w:t>
      </w:r>
      <w:r>
        <w:rPr>
          <w:spacing w:val="-20"/>
          <w:sz w:val="22"/>
          <w:shd w:fill="9F9F9F" w:color="auto" w:val="clear"/>
        </w:rPr>
        <w:t> 分期方案 </w:t>
      </w:r>
      <w:r>
        <w:rPr>
          <w:sz w:val="22"/>
          <w:shd w:fill="9F9F9F" w:color="auto" w:val="clear"/>
        </w:rPr>
        <w:t>A</w:t>
      </w:r>
      <w:r>
        <w:rPr>
          <w:spacing w:val="-9"/>
          <w:sz w:val="22"/>
          <w:shd w:fill="9F9F9F" w:color="auto" w:val="clear"/>
        </w:rPr>
        <w:t> 期程度的慢性淋巴细胞白血病；</w:t>
      </w:r>
    </w:p>
    <w:p>
      <w:pPr>
        <w:pStyle w:val="ListParagraph"/>
        <w:numPr>
          <w:ilvl w:val="2"/>
          <w:numId w:val="11"/>
        </w:numPr>
        <w:tabs>
          <w:tab w:pos="3095" w:val="left" w:leader="none"/>
        </w:tabs>
        <w:spacing w:line="240" w:lineRule="auto" w:before="91" w:after="0"/>
        <w:ind w:left="2641" w:right="0" w:firstLine="0"/>
        <w:jc w:val="left"/>
        <w:rPr>
          <w:sz w:val="22"/>
        </w:rPr>
      </w:pPr>
      <w:r>
        <w:rPr>
          <w:spacing w:val="-14"/>
          <w:sz w:val="22"/>
          <w:shd w:fill="9F9F9F" w:color="auto" w:val="clear"/>
        </w:rPr>
        <w:t>相当于 </w:t>
      </w:r>
      <w:r>
        <w:rPr>
          <w:sz w:val="22"/>
          <w:shd w:fill="9F9F9F" w:color="auto" w:val="clear"/>
        </w:rPr>
        <w:t>Ann</w:t>
      </w:r>
      <w:r>
        <w:rPr>
          <w:spacing w:val="2"/>
          <w:sz w:val="22"/>
          <w:shd w:fill="9F9F9F" w:color="auto" w:val="clear"/>
        </w:rPr>
        <w:t> </w:t>
      </w:r>
      <w:r>
        <w:rPr>
          <w:sz w:val="22"/>
          <w:shd w:fill="9F9F9F" w:color="auto" w:val="clear"/>
        </w:rPr>
        <w:t>Arbor</w:t>
      </w:r>
      <w:r>
        <w:rPr>
          <w:spacing w:val="-19"/>
          <w:sz w:val="22"/>
          <w:shd w:fill="9F9F9F" w:color="auto" w:val="clear"/>
        </w:rPr>
        <w:t> 分期方案 </w:t>
      </w:r>
      <w:r>
        <w:rPr>
          <w:sz w:val="22"/>
          <w:shd w:fill="9F9F9F" w:color="auto" w:val="clear"/>
        </w:rPr>
        <w:t>I</w:t>
      </w:r>
      <w:r>
        <w:rPr>
          <w:spacing w:val="-9"/>
          <w:sz w:val="22"/>
          <w:shd w:fill="9F9F9F" w:color="auto" w:val="clear"/>
        </w:rPr>
        <w:t> 期程度的何杰金氏病；</w:t>
      </w:r>
    </w:p>
    <w:p>
      <w:pPr>
        <w:pStyle w:val="ListParagraph"/>
        <w:numPr>
          <w:ilvl w:val="2"/>
          <w:numId w:val="11"/>
        </w:numPr>
        <w:tabs>
          <w:tab w:pos="3095" w:val="left" w:leader="none"/>
        </w:tabs>
        <w:spacing w:line="240" w:lineRule="auto" w:before="91" w:after="0"/>
        <w:ind w:left="2641" w:right="0" w:firstLine="0"/>
        <w:jc w:val="left"/>
        <w:rPr>
          <w:sz w:val="22"/>
        </w:rPr>
      </w:pPr>
      <w:r>
        <w:rPr>
          <w:sz w:val="22"/>
          <w:shd w:fill="9F9F9F" w:color="auto" w:val="clear"/>
        </w:rPr>
        <w:t>皮肤癌</w:t>
      </w:r>
      <w:r>
        <w:rPr>
          <w:spacing w:val="-3"/>
          <w:sz w:val="22"/>
          <w:shd w:fill="9F9F9F" w:color="auto" w:val="clear"/>
        </w:rPr>
        <w:t>（不包括恶性黑色素瘤及已发生转移的皮肤癌</w:t>
      </w:r>
      <w:r>
        <w:rPr>
          <w:sz w:val="22"/>
          <w:shd w:fill="9F9F9F" w:color="auto" w:val="clear"/>
        </w:rPr>
        <w:t>）；</w:t>
      </w:r>
    </w:p>
    <w:p>
      <w:pPr>
        <w:pStyle w:val="ListParagraph"/>
        <w:numPr>
          <w:ilvl w:val="2"/>
          <w:numId w:val="11"/>
        </w:numPr>
        <w:tabs>
          <w:tab w:pos="3095" w:val="left" w:leader="none"/>
        </w:tabs>
        <w:spacing w:line="240" w:lineRule="auto" w:before="93" w:after="0"/>
        <w:ind w:left="2641" w:right="0" w:firstLine="0"/>
        <w:jc w:val="left"/>
        <w:rPr>
          <w:sz w:val="22"/>
        </w:rPr>
      </w:pPr>
      <w:r>
        <w:rPr>
          <w:sz w:val="22"/>
          <w:shd w:fill="9F9F9F" w:color="auto" w:val="clear"/>
        </w:rPr>
        <w:t>TNM</w:t>
      </w:r>
      <w:r>
        <w:rPr>
          <w:spacing w:val="-22"/>
          <w:sz w:val="22"/>
          <w:shd w:fill="9F9F9F" w:color="auto" w:val="clear"/>
        </w:rPr>
        <w:t> 分期为 </w:t>
      </w:r>
      <w:r>
        <w:rPr>
          <w:sz w:val="22"/>
          <w:shd w:fill="9F9F9F" w:color="auto" w:val="clear"/>
        </w:rPr>
        <w:t>T1N0M0</w:t>
      </w:r>
      <w:r>
        <w:rPr>
          <w:spacing w:val="-8"/>
          <w:sz w:val="22"/>
          <w:shd w:fill="9F9F9F" w:color="auto" w:val="clear"/>
        </w:rPr>
        <w:t> 期或更轻分期的前列腺癌</w:t>
      </w:r>
      <w:r>
        <w:rPr>
          <w:spacing w:val="-3"/>
          <w:sz w:val="22"/>
          <w:shd w:fill="9F9F9F" w:color="auto" w:val="clear"/>
        </w:rPr>
        <w:t>（注</w:t>
      </w:r>
      <w:r>
        <w:rPr>
          <w:sz w:val="22"/>
          <w:shd w:fill="9F9F9F" w:color="auto" w:val="clear"/>
        </w:rPr>
        <w:t>）；</w:t>
      </w:r>
    </w:p>
    <w:p>
      <w:pPr>
        <w:pStyle w:val="ListParagraph"/>
        <w:numPr>
          <w:ilvl w:val="2"/>
          <w:numId w:val="11"/>
        </w:numPr>
        <w:tabs>
          <w:tab w:pos="3095" w:val="left" w:leader="none"/>
        </w:tabs>
        <w:spacing w:line="316" w:lineRule="auto" w:before="91" w:after="0"/>
        <w:ind w:left="2641" w:right="2547" w:firstLine="0"/>
        <w:jc w:val="left"/>
        <w:rPr>
          <w:sz w:val="22"/>
        </w:rPr>
      </w:pPr>
      <w:r>
        <w:rPr>
          <w:spacing w:val="-3"/>
          <w:sz w:val="22"/>
          <w:shd w:fill="9F9F9F" w:color="auto" w:val="clear"/>
        </w:rPr>
        <w:t>感染艾滋病病毒或患艾滋病期间所患恶性肿瘤。</w:t>
      </w:r>
      <w:r>
        <w:rPr>
          <w:spacing w:val="-221"/>
          <w:sz w:val="22"/>
          <w:shd w:fill="9F9F9F" w:color="auto" w:val="clear"/>
        </w:rPr>
        <w:t>注</w:t>
      </w:r>
      <w:r>
        <w:rPr>
          <w:spacing w:val="-3"/>
          <w:sz w:val="22"/>
          <w:shd w:fill="9F9F9F" w:color="auto" w:val="clear"/>
        </w:rPr>
        <w:t>：如果为女性重大疾病保险，则不包括此项</w:t>
      </w:r>
      <w:r>
        <w:rPr>
          <w:sz w:val="22"/>
        </w:rPr>
        <w:t>。</w:t>
      </w:r>
    </w:p>
    <w:p>
      <w:pPr>
        <w:pStyle w:val="BodyText"/>
        <w:spacing w:before="9"/>
        <w:rPr>
          <w:sz w:val="25"/>
        </w:rPr>
      </w:pPr>
    </w:p>
    <w:p>
      <w:pPr>
        <w:pStyle w:val="BodyText"/>
        <w:tabs>
          <w:tab w:pos="2641" w:val="left" w:leader="none"/>
        </w:tabs>
        <w:spacing w:before="1"/>
        <w:ind w:left="1090"/>
      </w:pPr>
      <w:r>
        <w:rPr>
          <w:rFonts w:ascii="微软雅黑" w:eastAsia="微软雅黑" w:hint="eastAsia"/>
          <w:b/>
        </w:rPr>
        <w:t>急性心肌梗塞</w:t>
        <w:tab/>
      </w:r>
      <w:r>
        <w:rPr/>
        <w:t>指因冠状动脉阻塞导致的相应区域供血不足造成部分心肌坏死。须满足下列</w:t>
      </w:r>
    </w:p>
    <w:p>
      <w:pPr>
        <w:spacing w:after="0"/>
        <w:sectPr>
          <w:pgSz w:w="11910" w:h="16850"/>
          <w:pgMar w:top="1600" w:bottom="280" w:left="82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0"/>
        <w:gridCol w:w="7633"/>
      </w:tblGrid>
      <w:tr>
        <w:trPr>
          <w:trHeight w:val="2753" w:hRule="atLeast"/>
        </w:trPr>
        <w:tc>
          <w:tcPr>
            <w:tcW w:w="1650" w:type="dxa"/>
          </w:tcPr>
          <w:p>
            <w:pPr>
              <w:pStyle w:val="TableParagraph"/>
              <w:ind w:left="0"/>
              <w:rPr>
                <w:rFonts w:ascii="Times New Roman"/>
                <w:sz w:val="22"/>
              </w:rPr>
            </w:pPr>
          </w:p>
        </w:tc>
        <w:tc>
          <w:tcPr>
            <w:tcW w:w="7633" w:type="dxa"/>
          </w:tcPr>
          <w:p>
            <w:pPr>
              <w:pStyle w:val="TableParagraph"/>
              <w:spacing w:line="213" w:lineRule="exact"/>
              <w:rPr>
                <w:sz w:val="22"/>
              </w:rPr>
            </w:pPr>
            <w:r>
              <w:rPr>
                <w:sz w:val="22"/>
              </w:rPr>
              <w:t>至少三项条件：</w:t>
            </w:r>
          </w:p>
          <w:p>
            <w:pPr>
              <w:pStyle w:val="TableParagraph"/>
              <w:numPr>
                <w:ilvl w:val="0"/>
                <w:numId w:val="12"/>
              </w:numPr>
              <w:tabs>
                <w:tab w:pos="554" w:val="left" w:leader="none"/>
              </w:tabs>
              <w:spacing w:line="240" w:lineRule="auto" w:before="91" w:after="0"/>
              <w:ind w:left="553" w:right="0" w:hanging="453"/>
              <w:jc w:val="left"/>
              <w:rPr>
                <w:sz w:val="22"/>
              </w:rPr>
            </w:pPr>
            <w:r>
              <w:rPr>
                <w:spacing w:val="-3"/>
                <w:sz w:val="22"/>
              </w:rPr>
              <w:t>典型临床表现，例如急性胸痛等；</w:t>
            </w:r>
          </w:p>
          <w:p>
            <w:pPr>
              <w:pStyle w:val="TableParagraph"/>
              <w:numPr>
                <w:ilvl w:val="0"/>
                <w:numId w:val="12"/>
              </w:numPr>
              <w:tabs>
                <w:tab w:pos="554" w:val="left" w:leader="none"/>
              </w:tabs>
              <w:spacing w:line="240" w:lineRule="auto" w:before="90" w:after="0"/>
              <w:ind w:left="553" w:right="0" w:hanging="453"/>
              <w:jc w:val="left"/>
              <w:rPr>
                <w:sz w:val="22"/>
              </w:rPr>
            </w:pPr>
            <w:r>
              <w:rPr>
                <w:spacing w:val="-3"/>
                <w:sz w:val="22"/>
              </w:rPr>
              <w:t>新近的心电图改变提示急性心肌梗塞；</w:t>
            </w:r>
          </w:p>
          <w:p>
            <w:pPr>
              <w:pStyle w:val="TableParagraph"/>
              <w:numPr>
                <w:ilvl w:val="0"/>
                <w:numId w:val="12"/>
              </w:numPr>
              <w:tabs>
                <w:tab w:pos="554" w:val="left" w:leader="none"/>
              </w:tabs>
              <w:spacing w:line="316" w:lineRule="auto" w:before="93" w:after="0"/>
              <w:ind w:left="553" w:right="219" w:hanging="453"/>
              <w:jc w:val="left"/>
              <w:rPr>
                <w:sz w:val="22"/>
              </w:rPr>
            </w:pPr>
            <w:r>
              <w:rPr>
                <w:sz w:val="22"/>
              </w:rPr>
              <w:t>心肌酶或肌钙蛋白有诊断意义的升高，或呈符合急性心肌梗塞的动态性变化；</w:t>
            </w:r>
          </w:p>
          <w:p>
            <w:pPr>
              <w:pStyle w:val="TableParagraph"/>
              <w:numPr>
                <w:ilvl w:val="0"/>
                <w:numId w:val="12"/>
              </w:numPr>
              <w:tabs>
                <w:tab w:pos="554" w:val="left" w:leader="none"/>
              </w:tabs>
              <w:spacing w:line="240" w:lineRule="auto" w:before="21" w:after="0"/>
              <w:ind w:left="553" w:right="0" w:hanging="453"/>
              <w:jc w:val="left"/>
              <w:rPr>
                <w:sz w:val="22"/>
              </w:rPr>
            </w:pPr>
            <w:r>
              <w:rPr>
                <w:spacing w:val="15"/>
                <w:sz w:val="22"/>
              </w:rPr>
              <w:t>发病</w:t>
            </w:r>
            <w:r>
              <w:rPr>
                <w:spacing w:val="6"/>
                <w:sz w:val="22"/>
              </w:rPr>
              <w:t>90</w:t>
            </w:r>
            <w:r>
              <w:rPr>
                <w:spacing w:val="12"/>
                <w:sz w:val="22"/>
              </w:rPr>
              <w:t>天后，经检查证实左心室功能降低，如左心室射血分数低于</w:t>
            </w:r>
          </w:p>
          <w:p>
            <w:pPr>
              <w:pStyle w:val="TableParagraph"/>
              <w:spacing w:before="94"/>
              <w:ind w:left="536" w:right="6506"/>
              <w:jc w:val="center"/>
              <w:rPr>
                <w:sz w:val="22"/>
              </w:rPr>
            </w:pPr>
            <w:r>
              <w:rPr>
                <w:sz w:val="22"/>
              </w:rPr>
              <w:t>50%。</w:t>
            </w:r>
          </w:p>
        </w:tc>
      </w:tr>
      <w:tr>
        <w:trPr>
          <w:trHeight w:val="3040" w:hRule="atLeast"/>
        </w:trPr>
        <w:tc>
          <w:tcPr>
            <w:tcW w:w="1650" w:type="dxa"/>
          </w:tcPr>
          <w:p>
            <w:pPr>
              <w:pStyle w:val="TableParagraph"/>
              <w:spacing w:before="145"/>
              <w:ind w:left="0" w:right="123"/>
              <w:jc w:val="right"/>
              <w:rPr>
                <w:rFonts w:ascii="微软雅黑" w:eastAsia="微软雅黑" w:hint="eastAsia"/>
                <w:b/>
                <w:sz w:val="22"/>
              </w:rPr>
            </w:pPr>
            <w:r>
              <w:rPr>
                <w:rFonts w:ascii="微软雅黑" w:eastAsia="微软雅黑" w:hint="eastAsia"/>
                <w:b/>
                <w:sz w:val="22"/>
              </w:rPr>
              <w:t>脑中风后遗症</w:t>
            </w:r>
          </w:p>
        </w:tc>
        <w:tc>
          <w:tcPr>
            <w:tcW w:w="7633" w:type="dxa"/>
          </w:tcPr>
          <w:p>
            <w:pPr>
              <w:pStyle w:val="TableParagraph"/>
              <w:spacing w:before="1"/>
              <w:ind w:left="0"/>
              <w:rPr>
                <w:sz w:val="16"/>
              </w:rPr>
            </w:pPr>
          </w:p>
          <w:p>
            <w:pPr>
              <w:pStyle w:val="TableParagraph"/>
              <w:spacing w:line="316" w:lineRule="auto"/>
              <w:ind w:right="217"/>
              <w:jc w:val="both"/>
              <w:rPr>
                <w:sz w:val="22"/>
              </w:rPr>
            </w:pPr>
            <w:r>
              <w:rPr>
                <w:sz w:val="22"/>
              </w:rPr>
              <w:t>指因脑血管的突发病变引起脑血管出血、栓塞或梗塞，并导致神经系统永久</w:t>
            </w:r>
            <w:r>
              <w:rPr>
                <w:spacing w:val="-4"/>
                <w:sz w:val="22"/>
              </w:rPr>
              <w:t>性的功能障碍。神经系统永久性的功能障碍，指疾病确诊 </w:t>
            </w:r>
            <w:r>
              <w:rPr>
                <w:sz w:val="22"/>
              </w:rPr>
              <w:t>180</w:t>
            </w:r>
            <w:r>
              <w:rPr>
                <w:spacing w:val="-6"/>
                <w:sz w:val="22"/>
              </w:rPr>
              <w:t> 天后，仍遗留</w:t>
            </w:r>
            <w:r>
              <w:rPr>
                <w:spacing w:val="-5"/>
                <w:sz w:val="22"/>
              </w:rPr>
              <w:t>下列一种或一种以上障碍：</w:t>
            </w:r>
          </w:p>
          <w:p>
            <w:pPr>
              <w:pStyle w:val="TableParagraph"/>
              <w:numPr>
                <w:ilvl w:val="0"/>
                <w:numId w:val="13"/>
              </w:numPr>
              <w:tabs>
                <w:tab w:pos="554" w:val="left" w:leader="none"/>
              </w:tabs>
              <w:spacing w:line="240" w:lineRule="auto" w:before="20" w:after="0"/>
              <w:ind w:left="553" w:right="0" w:hanging="453"/>
              <w:jc w:val="left"/>
              <w:rPr>
                <w:sz w:val="22"/>
              </w:rPr>
            </w:pPr>
            <w:r>
              <w:rPr>
                <w:spacing w:val="-1"/>
                <w:sz w:val="22"/>
              </w:rPr>
              <w:t>一肢或一肢以上</w:t>
            </w:r>
            <w:r>
              <w:rPr>
                <w:b/>
                <w:sz w:val="22"/>
              </w:rPr>
              <w:t>肢体机能完全丧失</w:t>
            </w:r>
            <w:r>
              <w:rPr>
                <w:sz w:val="22"/>
              </w:rPr>
              <w:t>；</w:t>
            </w:r>
          </w:p>
          <w:p>
            <w:pPr>
              <w:pStyle w:val="TableParagraph"/>
              <w:numPr>
                <w:ilvl w:val="0"/>
                <w:numId w:val="13"/>
              </w:numPr>
              <w:tabs>
                <w:tab w:pos="554" w:val="left" w:leader="none"/>
              </w:tabs>
              <w:spacing w:line="240" w:lineRule="auto" w:before="93" w:after="0"/>
              <w:ind w:left="553" w:right="0" w:hanging="453"/>
              <w:jc w:val="left"/>
              <w:rPr>
                <w:sz w:val="22"/>
              </w:rPr>
            </w:pPr>
            <w:r>
              <w:rPr>
                <w:b/>
                <w:sz w:val="22"/>
              </w:rPr>
              <w:t>语言能力或咀嚼吞咽能力完全丧失</w:t>
            </w:r>
            <w:r>
              <w:rPr>
                <w:sz w:val="22"/>
              </w:rPr>
              <w:t>；</w:t>
            </w:r>
          </w:p>
          <w:p>
            <w:pPr>
              <w:pStyle w:val="TableParagraph"/>
              <w:numPr>
                <w:ilvl w:val="0"/>
                <w:numId w:val="13"/>
              </w:numPr>
              <w:tabs>
                <w:tab w:pos="554" w:val="left" w:leader="none"/>
              </w:tabs>
              <w:spacing w:line="316" w:lineRule="auto" w:before="91" w:after="0"/>
              <w:ind w:left="553" w:right="213" w:hanging="453"/>
              <w:jc w:val="left"/>
              <w:rPr>
                <w:sz w:val="22"/>
              </w:rPr>
            </w:pPr>
            <w:r>
              <w:rPr>
                <w:sz w:val="22"/>
              </w:rPr>
              <w:t>自主生活能力完全丧失，无法独立完成</w:t>
            </w:r>
            <w:r>
              <w:rPr>
                <w:b/>
                <w:sz w:val="22"/>
              </w:rPr>
              <w:t>六项基本日常生活活动</w:t>
            </w:r>
            <w:r>
              <w:rPr>
                <w:sz w:val="22"/>
              </w:rPr>
              <w:t>中的三项</w:t>
            </w:r>
            <w:r>
              <w:rPr>
                <w:spacing w:val="-1"/>
                <w:sz w:val="22"/>
              </w:rPr>
              <w:t>或三项以上。</w:t>
            </w:r>
          </w:p>
        </w:tc>
      </w:tr>
      <w:tr>
        <w:trPr>
          <w:trHeight w:val="2280" w:hRule="atLeast"/>
        </w:trPr>
        <w:tc>
          <w:tcPr>
            <w:tcW w:w="1650" w:type="dxa"/>
          </w:tcPr>
          <w:p>
            <w:pPr>
              <w:pStyle w:val="TableParagraph"/>
              <w:spacing w:before="146"/>
              <w:ind w:left="200" w:right="97"/>
              <w:jc w:val="both"/>
              <w:rPr>
                <w:rFonts w:ascii="微软雅黑" w:eastAsia="微软雅黑" w:hint="eastAsia"/>
                <w:b/>
                <w:sz w:val="22"/>
              </w:rPr>
            </w:pPr>
            <w:r>
              <w:rPr>
                <w:rFonts w:ascii="微软雅黑" w:eastAsia="微软雅黑" w:hint="eastAsia"/>
                <w:b/>
                <w:sz w:val="22"/>
              </w:rPr>
              <w:t>重大器官移植术或造血干细胞移植术</w:t>
            </w:r>
          </w:p>
        </w:tc>
        <w:tc>
          <w:tcPr>
            <w:tcW w:w="7633" w:type="dxa"/>
          </w:tcPr>
          <w:p>
            <w:pPr>
              <w:pStyle w:val="TableParagraph"/>
              <w:spacing w:before="2"/>
              <w:ind w:left="0"/>
              <w:rPr>
                <w:sz w:val="16"/>
              </w:rPr>
            </w:pPr>
          </w:p>
          <w:p>
            <w:pPr>
              <w:pStyle w:val="TableParagraph"/>
              <w:spacing w:line="316" w:lineRule="auto"/>
              <w:ind w:right="217"/>
              <w:jc w:val="both"/>
              <w:rPr>
                <w:sz w:val="22"/>
              </w:rPr>
            </w:pPr>
            <w:r>
              <w:rPr>
                <w:sz w:val="22"/>
              </w:rPr>
              <w:t>重大器官移植术，指因相应器官功能衰竭，已经实施了肾脏、肝脏、心脏或肺脏的异体移植手术。</w:t>
            </w:r>
          </w:p>
          <w:p>
            <w:pPr>
              <w:pStyle w:val="TableParagraph"/>
              <w:spacing w:line="316" w:lineRule="auto" w:before="23"/>
              <w:ind w:right="215"/>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920" w:hRule="atLeast"/>
        </w:trPr>
        <w:tc>
          <w:tcPr>
            <w:tcW w:w="1650" w:type="dxa"/>
          </w:tcPr>
          <w:p>
            <w:pPr>
              <w:pStyle w:val="TableParagraph"/>
              <w:spacing w:before="146"/>
              <w:ind w:left="200" w:right="97"/>
              <w:jc w:val="both"/>
              <w:rPr>
                <w:rFonts w:ascii="微软雅黑" w:eastAsia="微软雅黑" w:hint="eastAsia"/>
                <w:b/>
                <w:sz w:val="22"/>
              </w:rPr>
            </w:pPr>
            <w:r>
              <w:rPr>
                <w:rFonts w:ascii="微软雅黑" w:eastAsia="微软雅黑" w:hint="eastAsia"/>
                <w:b/>
                <w:sz w:val="22"/>
              </w:rPr>
              <w:t>冠状动脉搭桥术（或称冠状动脉旁路移植术）</w:t>
            </w:r>
          </w:p>
        </w:tc>
        <w:tc>
          <w:tcPr>
            <w:tcW w:w="7633" w:type="dxa"/>
          </w:tcPr>
          <w:p>
            <w:pPr>
              <w:pStyle w:val="TableParagraph"/>
              <w:spacing w:before="2"/>
              <w:ind w:left="0"/>
              <w:rPr>
                <w:sz w:val="16"/>
              </w:rPr>
            </w:pPr>
          </w:p>
          <w:p>
            <w:pPr>
              <w:pStyle w:val="TableParagraph"/>
              <w:spacing w:line="316" w:lineRule="auto"/>
              <w:ind w:right="217"/>
              <w:rPr>
                <w:sz w:val="22"/>
              </w:rPr>
            </w:pPr>
            <w:r>
              <w:rPr>
                <w:sz w:val="22"/>
              </w:rPr>
              <w:t>指为治疗严重的冠心病，实际实施了开胸进行的冠状动脉血管旁路移植的手术。</w:t>
            </w:r>
          </w:p>
          <w:p>
            <w:pPr>
              <w:pStyle w:val="TableParagraph"/>
              <w:spacing w:line="316" w:lineRule="auto" w:before="23"/>
              <w:ind w:right="217"/>
              <w:rPr>
                <w:sz w:val="22"/>
              </w:rPr>
            </w:pPr>
            <w:r>
              <w:rPr>
                <w:sz w:val="22"/>
                <w:shd w:fill="9F9F9F" w:color="auto" w:val="clear"/>
              </w:rPr>
              <w:t>冠状动脉支架植入术、心导管球囊扩张术、激光射频技术及其它非开胸的介入手术、腔镜手术不在保障范围内</w:t>
            </w:r>
            <w:r>
              <w:rPr>
                <w:sz w:val="22"/>
              </w:rPr>
              <w:t>。</w:t>
            </w:r>
          </w:p>
        </w:tc>
      </w:tr>
      <w:tr>
        <w:trPr>
          <w:trHeight w:val="1900" w:hRule="atLeast"/>
        </w:trPr>
        <w:tc>
          <w:tcPr>
            <w:tcW w:w="1650" w:type="dxa"/>
          </w:tcPr>
          <w:p>
            <w:pPr>
              <w:pStyle w:val="TableParagraph"/>
              <w:spacing w:before="126"/>
              <w:ind w:left="200" w:right="97"/>
              <w:jc w:val="both"/>
              <w:rPr>
                <w:rFonts w:ascii="微软雅黑" w:eastAsia="微软雅黑" w:hint="eastAsia"/>
                <w:b/>
                <w:sz w:val="22"/>
              </w:rPr>
            </w:pPr>
            <w:r>
              <w:rPr>
                <w:rFonts w:ascii="微软雅黑" w:eastAsia="微软雅黑" w:hint="eastAsia"/>
                <w:b/>
                <w:sz w:val="22"/>
              </w:rPr>
              <w:t>终末期肾病（ 或称慢性肾功能衰竭尿毒症期）</w:t>
            </w:r>
          </w:p>
        </w:tc>
        <w:tc>
          <w:tcPr>
            <w:tcW w:w="7633" w:type="dxa"/>
          </w:tcPr>
          <w:p>
            <w:pPr>
              <w:pStyle w:val="TableParagraph"/>
              <w:spacing w:before="192"/>
              <w:rPr>
                <w:sz w:val="22"/>
              </w:rPr>
            </w:pPr>
            <w:r>
              <w:rPr>
                <w:sz w:val="22"/>
              </w:rPr>
              <w:t>指双肾功能慢性不可逆性衰竭，达到尿毒症期，经诊断后已经进行了至少</w:t>
            </w:r>
          </w:p>
          <w:p>
            <w:pPr>
              <w:pStyle w:val="TableParagraph"/>
              <w:spacing w:before="91"/>
              <w:rPr>
                <w:sz w:val="22"/>
              </w:rPr>
            </w:pPr>
            <w:r>
              <w:rPr>
                <w:sz w:val="22"/>
              </w:rPr>
              <w:t>90 天的规律性透析治疗或实施了肾脏移植手术。</w:t>
            </w:r>
          </w:p>
        </w:tc>
      </w:tr>
      <w:tr>
        <w:trPr>
          <w:trHeight w:val="1120" w:hRule="atLeast"/>
        </w:trPr>
        <w:tc>
          <w:tcPr>
            <w:tcW w:w="1650" w:type="dxa"/>
          </w:tcPr>
          <w:p>
            <w:pPr>
              <w:pStyle w:val="TableParagraph"/>
              <w:spacing w:before="125"/>
              <w:ind w:left="0" w:right="123"/>
              <w:jc w:val="right"/>
              <w:rPr>
                <w:rFonts w:ascii="微软雅黑" w:eastAsia="微软雅黑" w:hint="eastAsia"/>
                <w:b/>
                <w:sz w:val="22"/>
              </w:rPr>
            </w:pPr>
            <w:r>
              <w:rPr>
                <w:rFonts w:ascii="微软雅黑" w:eastAsia="微软雅黑" w:hint="eastAsia"/>
                <w:b/>
                <w:sz w:val="22"/>
              </w:rPr>
              <w:t>多个肢体缺失</w:t>
            </w:r>
          </w:p>
        </w:tc>
        <w:tc>
          <w:tcPr>
            <w:tcW w:w="7633" w:type="dxa"/>
          </w:tcPr>
          <w:p>
            <w:pPr>
              <w:pStyle w:val="TableParagraph"/>
              <w:spacing w:line="319" w:lineRule="auto" w:before="191"/>
              <w:ind w:right="217"/>
              <w:rPr>
                <w:sz w:val="22"/>
              </w:rPr>
            </w:pPr>
            <w:r>
              <w:rPr>
                <w:sz w:val="22"/>
              </w:rPr>
              <w:t>指因疾病或意外伤害导致两个或两个以上肢体自腕关节或踝关节近端（靠近躯干端）以上完全性断离。</w:t>
            </w:r>
          </w:p>
        </w:tc>
      </w:tr>
      <w:tr>
        <w:trPr>
          <w:trHeight w:val="545" w:hRule="atLeast"/>
        </w:trPr>
        <w:tc>
          <w:tcPr>
            <w:tcW w:w="1650" w:type="dxa"/>
          </w:tcPr>
          <w:p>
            <w:pPr>
              <w:pStyle w:val="TableParagraph"/>
              <w:spacing w:before="145"/>
              <w:ind w:left="0" w:right="97"/>
              <w:jc w:val="right"/>
              <w:rPr>
                <w:rFonts w:ascii="微软雅黑" w:eastAsia="微软雅黑" w:hint="eastAsia"/>
                <w:b/>
                <w:sz w:val="22"/>
              </w:rPr>
            </w:pPr>
            <w:r>
              <w:rPr>
                <w:rFonts w:ascii="微软雅黑" w:eastAsia="微软雅黑" w:hint="eastAsia"/>
                <w:b/>
                <w:sz w:val="22"/>
              </w:rPr>
              <w:t>急性或亚急性</w:t>
            </w:r>
          </w:p>
        </w:tc>
        <w:tc>
          <w:tcPr>
            <w:tcW w:w="7633" w:type="dxa"/>
          </w:tcPr>
          <w:p>
            <w:pPr>
              <w:pStyle w:val="TableParagraph"/>
              <w:spacing w:before="1"/>
              <w:ind w:left="0"/>
              <w:rPr>
                <w:sz w:val="16"/>
              </w:rPr>
            </w:pPr>
          </w:p>
          <w:p>
            <w:pPr>
              <w:pStyle w:val="TableParagraph"/>
              <w:rPr>
                <w:sz w:val="22"/>
              </w:rPr>
            </w:pPr>
            <w:r>
              <w:rPr>
                <w:sz w:val="22"/>
              </w:rPr>
              <w:t>指因肝炎病毒感染引起肝脏组织弥漫性坏死，导致急性肝功能衰竭，且经血</w:t>
            </w:r>
          </w:p>
        </w:tc>
      </w:tr>
    </w:tbl>
    <w:p>
      <w:pPr>
        <w:spacing w:after="0"/>
        <w:rPr>
          <w:sz w:val="22"/>
        </w:rPr>
        <w:sectPr>
          <w:pgSz w:w="11910" w:h="16850"/>
          <w:pgMar w:top="1540" w:bottom="280" w:left="160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0"/>
        <w:gridCol w:w="7616"/>
      </w:tblGrid>
      <w:tr>
        <w:trPr>
          <w:trHeight w:val="2026" w:hRule="atLeast"/>
        </w:trPr>
        <w:tc>
          <w:tcPr>
            <w:tcW w:w="1650" w:type="dxa"/>
          </w:tcPr>
          <w:p>
            <w:pPr>
              <w:pStyle w:val="TableParagraph"/>
              <w:spacing w:line="280" w:lineRule="exact"/>
              <w:ind w:left="200"/>
              <w:rPr>
                <w:rFonts w:ascii="微软雅黑" w:eastAsia="微软雅黑" w:hint="eastAsia"/>
                <w:b/>
                <w:sz w:val="22"/>
              </w:rPr>
            </w:pPr>
            <w:r>
              <w:rPr>
                <w:rFonts w:ascii="微软雅黑" w:eastAsia="微软雅黑" w:hint="eastAsia"/>
                <w:b/>
                <w:sz w:val="22"/>
              </w:rPr>
              <w:t>重症肝炎</w:t>
            </w:r>
          </w:p>
        </w:tc>
        <w:tc>
          <w:tcPr>
            <w:tcW w:w="7616" w:type="dxa"/>
          </w:tcPr>
          <w:p>
            <w:pPr>
              <w:pStyle w:val="TableParagraph"/>
              <w:spacing w:line="253" w:lineRule="exact"/>
              <w:rPr>
                <w:sz w:val="22"/>
              </w:rPr>
            </w:pPr>
            <w:r>
              <w:rPr>
                <w:sz w:val="22"/>
              </w:rPr>
              <w:t>清学或病毒学检查证实，并须满足下列全部条件：</w:t>
            </w:r>
          </w:p>
          <w:p>
            <w:pPr>
              <w:pStyle w:val="TableParagraph"/>
              <w:numPr>
                <w:ilvl w:val="0"/>
                <w:numId w:val="14"/>
              </w:numPr>
              <w:tabs>
                <w:tab w:pos="554" w:val="left" w:leader="none"/>
              </w:tabs>
              <w:spacing w:line="240" w:lineRule="auto" w:before="91" w:after="0"/>
              <w:ind w:left="553" w:right="0" w:hanging="453"/>
              <w:jc w:val="left"/>
              <w:rPr>
                <w:sz w:val="22"/>
              </w:rPr>
            </w:pPr>
            <w:r>
              <w:rPr>
                <w:spacing w:val="-3"/>
                <w:sz w:val="22"/>
              </w:rPr>
              <w:t>重度黄疸或黄疸迅速加重；</w:t>
            </w:r>
          </w:p>
          <w:p>
            <w:pPr>
              <w:pStyle w:val="TableParagraph"/>
              <w:numPr>
                <w:ilvl w:val="0"/>
                <w:numId w:val="14"/>
              </w:numPr>
              <w:tabs>
                <w:tab w:pos="554" w:val="left" w:leader="none"/>
              </w:tabs>
              <w:spacing w:line="240" w:lineRule="auto" w:before="90" w:after="0"/>
              <w:ind w:left="553" w:right="0" w:hanging="453"/>
              <w:jc w:val="left"/>
              <w:rPr>
                <w:sz w:val="22"/>
              </w:rPr>
            </w:pPr>
            <w:r>
              <w:rPr>
                <w:spacing w:val="-1"/>
                <w:sz w:val="22"/>
              </w:rPr>
              <w:t>肝性脑病；</w:t>
            </w:r>
          </w:p>
          <w:p>
            <w:pPr>
              <w:pStyle w:val="TableParagraph"/>
              <w:numPr>
                <w:ilvl w:val="0"/>
                <w:numId w:val="14"/>
              </w:numPr>
              <w:tabs>
                <w:tab w:pos="554" w:val="left" w:leader="none"/>
              </w:tabs>
              <w:spacing w:line="240" w:lineRule="auto" w:before="93" w:after="0"/>
              <w:ind w:left="553" w:right="0" w:hanging="453"/>
              <w:jc w:val="left"/>
              <w:rPr>
                <w:sz w:val="22"/>
              </w:rPr>
            </w:pPr>
            <w:r>
              <w:rPr>
                <w:sz w:val="22"/>
              </w:rPr>
              <w:t>B</w:t>
            </w:r>
            <w:r>
              <w:rPr>
                <w:spacing w:val="-8"/>
                <w:sz w:val="22"/>
              </w:rPr>
              <w:t> 超或其它影像学检查显示肝脏体积急速萎缩；</w:t>
            </w:r>
          </w:p>
          <w:p>
            <w:pPr>
              <w:pStyle w:val="TableParagraph"/>
              <w:numPr>
                <w:ilvl w:val="0"/>
                <w:numId w:val="14"/>
              </w:numPr>
              <w:tabs>
                <w:tab w:pos="554" w:val="left" w:leader="none"/>
              </w:tabs>
              <w:spacing w:line="240" w:lineRule="auto" w:before="91" w:after="0"/>
              <w:ind w:left="553" w:right="0" w:hanging="453"/>
              <w:jc w:val="left"/>
              <w:rPr>
                <w:sz w:val="22"/>
              </w:rPr>
            </w:pPr>
            <w:r>
              <w:rPr>
                <w:spacing w:val="-3"/>
                <w:sz w:val="22"/>
              </w:rPr>
              <w:t>肝功能指标进行性恶化。</w:t>
            </w:r>
          </w:p>
        </w:tc>
      </w:tr>
      <w:tr>
        <w:trPr>
          <w:trHeight w:val="3040" w:hRule="atLeast"/>
        </w:trPr>
        <w:tc>
          <w:tcPr>
            <w:tcW w:w="1650" w:type="dxa"/>
          </w:tcPr>
          <w:p>
            <w:pPr>
              <w:pStyle w:val="TableParagraph"/>
              <w:spacing w:before="153"/>
              <w:ind w:left="200"/>
              <w:rPr>
                <w:rFonts w:ascii="微软雅黑" w:eastAsia="微软雅黑" w:hint="eastAsia"/>
                <w:b/>
                <w:sz w:val="22"/>
              </w:rPr>
            </w:pPr>
            <w:r>
              <w:rPr>
                <w:rFonts w:ascii="微软雅黑" w:eastAsia="微软雅黑" w:hint="eastAsia"/>
                <w:b/>
                <w:sz w:val="22"/>
              </w:rPr>
              <w:t>良性脑肿瘤</w:t>
            </w:r>
          </w:p>
        </w:tc>
        <w:tc>
          <w:tcPr>
            <w:tcW w:w="7616" w:type="dxa"/>
          </w:tcPr>
          <w:p>
            <w:pPr>
              <w:pStyle w:val="TableParagraph"/>
              <w:spacing w:before="9"/>
              <w:ind w:left="0"/>
              <w:rPr>
                <w:sz w:val="16"/>
              </w:rPr>
            </w:pPr>
          </w:p>
          <w:p>
            <w:pPr>
              <w:pStyle w:val="TableParagraph"/>
              <w:spacing w:line="316" w:lineRule="auto"/>
              <w:ind w:right="197"/>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numPr>
                <w:ilvl w:val="0"/>
                <w:numId w:val="15"/>
              </w:numPr>
              <w:tabs>
                <w:tab w:pos="554" w:val="left" w:leader="none"/>
              </w:tabs>
              <w:spacing w:line="240" w:lineRule="auto" w:before="20" w:after="0"/>
              <w:ind w:left="553" w:right="0" w:hanging="453"/>
              <w:jc w:val="both"/>
              <w:rPr>
                <w:sz w:val="22"/>
              </w:rPr>
            </w:pPr>
            <w:r>
              <w:rPr>
                <w:spacing w:val="-3"/>
                <w:sz w:val="22"/>
              </w:rPr>
              <w:t>实际实施了开颅进行的脑肿瘤完全切除或部分切除的手术；</w:t>
            </w:r>
          </w:p>
          <w:p>
            <w:pPr>
              <w:pStyle w:val="TableParagraph"/>
              <w:numPr>
                <w:ilvl w:val="0"/>
                <w:numId w:val="15"/>
              </w:numPr>
              <w:tabs>
                <w:tab w:pos="554" w:val="left" w:leader="none"/>
              </w:tabs>
              <w:spacing w:line="240" w:lineRule="auto" w:before="90" w:after="0"/>
              <w:ind w:left="553" w:right="0" w:hanging="453"/>
              <w:jc w:val="both"/>
              <w:rPr>
                <w:sz w:val="22"/>
              </w:rPr>
            </w:pPr>
            <w:r>
              <w:rPr>
                <w:spacing w:val="-3"/>
                <w:sz w:val="22"/>
              </w:rPr>
              <w:t>实际实施了对脑肿瘤进行的放射治疗。</w:t>
            </w:r>
          </w:p>
          <w:p>
            <w:pPr>
              <w:pStyle w:val="TableParagraph"/>
              <w:spacing w:before="93"/>
              <w:jc w:val="both"/>
              <w:rPr>
                <w:sz w:val="22"/>
              </w:rPr>
            </w:pPr>
            <w:r>
              <w:rPr>
                <w:sz w:val="22"/>
                <w:shd w:fill="9F9F9F" w:color="auto" w:val="clear"/>
              </w:rPr>
              <w:t>脑垂体瘤、脑囊肿、脑血管性疾病不在保障范围内</w:t>
            </w:r>
            <w:r>
              <w:rPr>
                <w:sz w:val="22"/>
              </w:rPr>
              <w:t>。</w:t>
            </w:r>
          </w:p>
        </w:tc>
      </w:tr>
      <w:tr>
        <w:trPr>
          <w:trHeight w:val="2660" w:hRule="atLeast"/>
        </w:trPr>
        <w:tc>
          <w:tcPr>
            <w:tcW w:w="1650" w:type="dxa"/>
          </w:tcPr>
          <w:p>
            <w:pPr>
              <w:pStyle w:val="TableParagraph"/>
              <w:spacing w:before="152"/>
              <w:ind w:left="200" w:right="97"/>
              <w:rPr>
                <w:rFonts w:ascii="微软雅黑" w:eastAsia="微软雅黑" w:hint="eastAsia"/>
                <w:b/>
                <w:sz w:val="22"/>
              </w:rPr>
            </w:pPr>
            <w:r>
              <w:rPr>
                <w:rFonts w:ascii="微软雅黑" w:eastAsia="微软雅黑" w:hint="eastAsia"/>
                <w:b/>
                <w:sz w:val="22"/>
              </w:rPr>
              <w:t>慢性肝功能衰竭失代偿期</w:t>
            </w:r>
          </w:p>
        </w:tc>
        <w:tc>
          <w:tcPr>
            <w:tcW w:w="7616" w:type="dxa"/>
          </w:tcPr>
          <w:p>
            <w:pPr>
              <w:pStyle w:val="TableParagraph"/>
              <w:spacing w:before="8"/>
              <w:ind w:left="0"/>
              <w:rPr>
                <w:sz w:val="16"/>
              </w:rPr>
            </w:pPr>
          </w:p>
          <w:p>
            <w:pPr>
              <w:pStyle w:val="TableParagraph"/>
              <w:rPr>
                <w:sz w:val="22"/>
              </w:rPr>
            </w:pPr>
            <w:r>
              <w:rPr>
                <w:sz w:val="22"/>
              </w:rPr>
              <w:t>指因慢性肝脏疾病导致肝功能衰竭。须满足下列全部条件：</w:t>
            </w:r>
          </w:p>
          <w:p>
            <w:pPr>
              <w:pStyle w:val="TableParagraph"/>
              <w:numPr>
                <w:ilvl w:val="0"/>
                <w:numId w:val="16"/>
              </w:numPr>
              <w:tabs>
                <w:tab w:pos="554" w:val="left" w:leader="none"/>
              </w:tabs>
              <w:spacing w:line="240" w:lineRule="auto" w:before="93" w:after="0"/>
              <w:ind w:left="100" w:right="0" w:firstLine="0"/>
              <w:jc w:val="left"/>
              <w:rPr>
                <w:sz w:val="22"/>
              </w:rPr>
            </w:pPr>
            <w:r>
              <w:rPr>
                <w:spacing w:val="-1"/>
                <w:sz w:val="22"/>
              </w:rPr>
              <w:t>持续性黄疸；</w:t>
            </w:r>
          </w:p>
          <w:p>
            <w:pPr>
              <w:pStyle w:val="TableParagraph"/>
              <w:numPr>
                <w:ilvl w:val="0"/>
                <w:numId w:val="16"/>
              </w:numPr>
              <w:tabs>
                <w:tab w:pos="554" w:val="left" w:leader="none"/>
              </w:tabs>
              <w:spacing w:line="240" w:lineRule="auto" w:before="91" w:after="0"/>
              <w:ind w:left="100" w:right="0" w:firstLine="0"/>
              <w:jc w:val="left"/>
              <w:rPr>
                <w:sz w:val="22"/>
              </w:rPr>
            </w:pPr>
            <w:r>
              <w:rPr>
                <w:sz w:val="22"/>
              </w:rPr>
              <w:t>腹水；</w:t>
            </w:r>
          </w:p>
          <w:p>
            <w:pPr>
              <w:pStyle w:val="TableParagraph"/>
              <w:numPr>
                <w:ilvl w:val="0"/>
                <w:numId w:val="16"/>
              </w:numPr>
              <w:tabs>
                <w:tab w:pos="554" w:val="left" w:leader="none"/>
              </w:tabs>
              <w:spacing w:line="240" w:lineRule="auto" w:before="91" w:after="0"/>
              <w:ind w:left="100" w:right="0" w:firstLine="0"/>
              <w:jc w:val="left"/>
              <w:rPr>
                <w:sz w:val="22"/>
              </w:rPr>
            </w:pPr>
            <w:r>
              <w:rPr>
                <w:spacing w:val="-1"/>
                <w:sz w:val="22"/>
              </w:rPr>
              <w:t>肝性脑病；</w:t>
            </w:r>
          </w:p>
          <w:p>
            <w:pPr>
              <w:pStyle w:val="TableParagraph"/>
              <w:numPr>
                <w:ilvl w:val="0"/>
                <w:numId w:val="16"/>
              </w:numPr>
              <w:tabs>
                <w:tab w:pos="554" w:val="left" w:leader="none"/>
              </w:tabs>
              <w:spacing w:line="316" w:lineRule="auto" w:before="93" w:after="0"/>
              <w:ind w:left="100" w:right="2219" w:firstLine="0"/>
              <w:jc w:val="left"/>
              <w:rPr>
                <w:sz w:val="22"/>
              </w:rPr>
            </w:pPr>
            <w:r>
              <w:rPr>
                <w:spacing w:val="-3"/>
                <w:sz w:val="22"/>
              </w:rPr>
              <w:t>充血性脾肿大伴脾功能亢进或食管胃底静脉曲张。</w:t>
            </w:r>
            <w:r>
              <w:rPr>
                <w:spacing w:val="-3"/>
                <w:sz w:val="22"/>
                <w:shd w:fill="9F9F9F" w:color="auto" w:val="clear"/>
              </w:rPr>
              <w:t>因酗酒或药物滥用导致的肝功能衰竭不在保障范围内</w:t>
            </w:r>
            <w:r>
              <w:rPr>
                <w:sz w:val="22"/>
              </w:rPr>
              <w:t>。</w:t>
            </w:r>
          </w:p>
        </w:tc>
      </w:tr>
      <w:tr>
        <w:trPr>
          <w:trHeight w:val="2659" w:hRule="atLeast"/>
        </w:trPr>
        <w:tc>
          <w:tcPr>
            <w:tcW w:w="1650" w:type="dxa"/>
          </w:tcPr>
          <w:p>
            <w:pPr>
              <w:pStyle w:val="TableParagraph"/>
              <w:spacing w:before="153"/>
              <w:ind w:left="200" w:right="97"/>
              <w:rPr>
                <w:rFonts w:ascii="微软雅黑" w:eastAsia="微软雅黑" w:hint="eastAsia"/>
                <w:b/>
                <w:sz w:val="22"/>
              </w:rPr>
            </w:pPr>
            <w:r>
              <w:rPr>
                <w:rFonts w:ascii="微软雅黑" w:eastAsia="微软雅黑" w:hint="eastAsia"/>
                <w:b/>
                <w:sz w:val="22"/>
              </w:rPr>
              <w:t>脑炎后遗症或脑膜炎后遗症</w:t>
            </w:r>
          </w:p>
        </w:tc>
        <w:tc>
          <w:tcPr>
            <w:tcW w:w="7616" w:type="dxa"/>
          </w:tcPr>
          <w:p>
            <w:pPr>
              <w:pStyle w:val="TableParagraph"/>
              <w:spacing w:before="9"/>
              <w:ind w:left="0"/>
              <w:rPr>
                <w:sz w:val="16"/>
              </w:rPr>
            </w:pPr>
          </w:p>
          <w:p>
            <w:pPr>
              <w:pStyle w:val="TableParagraph"/>
              <w:spacing w:line="316" w:lineRule="auto"/>
              <w:ind w:right="199"/>
              <w:rPr>
                <w:sz w:val="22"/>
              </w:rPr>
            </w:pPr>
            <w:r>
              <w:rPr>
                <w:sz w:val="22"/>
              </w:rPr>
              <w:t>指因患脑炎或脑膜炎导致的神经系统永久性的功能障碍。神经系统永久性的功能障碍，指疾病确诊 180 天后，仍遗留下列一种或一种以上障碍：</w:t>
            </w:r>
          </w:p>
          <w:p>
            <w:pPr>
              <w:pStyle w:val="TableParagraph"/>
              <w:numPr>
                <w:ilvl w:val="0"/>
                <w:numId w:val="17"/>
              </w:numPr>
              <w:tabs>
                <w:tab w:pos="554" w:val="left" w:leader="none"/>
              </w:tabs>
              <w:spacing w:line="240" w:lineRule="auto" w:before="20" w:after="0"/>
              <w:ind w:left="553" w:right="0" w:hanging="453"/>
              <w:jc w:val="left"/>
              <w:rPr>
                <w:sz w:val="22"/>
              </w:rPr>
            </w:pPr>
            <w:r>
              <w:rPr>
                <w:spacing w:val="-3"/>
                <w:sz w:val="22"/>
              </w:rPr>
              <w:t>一肢或一肢以上肢体机能完全丧失；</w:t>
            </w:r>
          </w:p>
          <w:p>
            <w:pPr>
              <w:pStyle w:val="TableParagraph"/>
              <w:numPr>
                <w:ilvl w:val="0"/>
                <w:numId w:val="17"/>
              </w:numPr>
              <w:tabs>
                <w:tab w:pos="554" w:val="left" w:leader="none"/>
              </w:tabs>
              <w:spacing w:line="240" w:lineRule="auto" w:before="93" w:after="0"/>
              <w:ind w:left="553" w:right="0" w:hanging="453"/>
              <w:jc w:val="left"/>
              <w:rPr>
                <w:sz w:val="22"/>
              </w:rPr>
            </w:pPr>
            <w:r>
              <w:rPr>
                <w:spacing w:val="-3"/>
                <w:sz w:val="22"/>
              </w:rPr>
              <w:t>语言能力或咀嚼吞咽能力完全丧失；</w:t>
            </w:r>
          </w:p>
          <w:p>
            <w:pPr>
              <w:pStyle w:val="TableParagraph"/>
              <w:numPr>
                <w:ilvl w:val="0"/>
                <w:numId w:val="17"/>
              </w:numPr>
              <w:tabs>
                <w:tab w:pos="554" w:val="left" w:leader="none"/>
              </w:tabs>
              <w:spacing w:line="316" w:lineRule="auto" w:before="90" w:after="0"/>
              <w:ind w:left="553" w:right="202" w:hanging="453"/>
              <w:jc w:val="left"/>
              <w:rPr>
                <w:sz w:val="22"/>
              </w:rPr>
            </w:pPr>
            <w:r>
              <w:rPr>
                <w:sz w:val="22"/>
              </w:rPr>
              <w:t>自主生活能力完全丧失，无法独立完成六项基本日常生活活动中的三项</w:t>
            </w:r>
            <w:r>
              <w:rPr>
                <w:spacing w:val="-1"/>
                <w:sz w:val="22"/>
              </w:rPr>
              <w:t>或三项以上。</w:t>
            </w:r>
          </w:p>
        </w:tc>
      </w:tr>
      <w:tr>
        <w:trPr>
          <w:trHeight w:val="1901" w:hRule="atLeast"/>
        </w:trPr>
        <w:tc>
          <w:tcPr>
            <w:tcW w:w="1650" w:type="dxa"/>
          </w:tcPr>
          <w:p>
            <w:pPr>
              <w:pStyle w:val="TableParagraph"/>
              <w:spacing w:before="153"/>
              <w:ind w:left="200"/>
              <w:rPr>
                <w:rFonts w:ascii="微软雅黑" w:eastAsia="微软雅黑" w:hint="eastAsia"/>
                <w:b/>
                <w:sz w:val="22"/>
              </w:rPr>
            </w:pPr>
            <w:r>
              <w:rPr>
                <w:rFonts w:ascii="微软雅黑" w:eastAsia="微软雅黑" w:hint="eastAsia"/>
                <w:b/>
                <w:sz w:val="22"/>
              </w:rPr>
              <w:t>深度昏迷</w:t>
            </w:r>
          </w:p>
        </w:tc>
        <w:tc>
          <w:tcPr>
            <w:tcW w:w="7616" w:type="dxa"/>
          </w:tcPr>
          <w:p>
            <w:pPr>
              <w:pStyle w:val="TableParagraph"/>
              <w:spacing w:before="9"/>
              <w:ind w:left="0"/>
              <w:rPr>
                <w:sz w:val="16"/>
              </w:rPr>
            </w:pPr>
          </w:p>
          <w:p>
            <w:pPr>
              <w:pStyle w:val="TableParagraph"/>
              <w:spacing w:line="316" w:lineRule="auto"/>
              <w:ind w:right="196"/>
              <w:jc w:val="both"/>
              <w:rPr>
                <w:sz w:val="22"/>
              </w:rPr>
            </w:pPr>
            <w:r>
              <w:rPr>
                <w:sz w:val="22"/>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TableParagraph"/>
              <w:spacing w:before="20"/>
              <w:jc w:val="both"/>
              <w:rPr>
                <w:sz w:val="22"/>
              </w:rPr>
            </w:pPr>
            <w:r>
              <w:rPr>
                <w:sz w:val="22"/>
                <w:shd w:fill="9F9F9F" w:color="auto" w:val="clear"/>
              </w:rPr>
              <w:t>因酗酒或药物滥用导致的深度昏迷不在保障范围内</w:t>
            </w:r>
            <w:r>
              <w:rPr>
                <w:sz w:val="22"/>
              </w:rPr>
              <w:t>。</w:t>
            </w:r>
          </w:p>
        </w:tc>
      </w:tr>
      <w:tr>
        <w:trPr>
          <w:trHeight w:val="1265" w:hRule="atLeast"/>
        </w:trPr>
        <w:tc>
          <w:tcPr>
            <w:tcW w:w="1650" w:type="dxa"/>
          </w:tcPr>
          <w:p>
            <w:pPr>
              <w:pStyle w:val="TableParagraph"/>
              <w:spacing w:before="153"/>
              <w:ind w:left="200"/>
              <w:rPr>
                <w:rFonts w:ascii="微软雅黑" w:eastAsia="微软雅黑" w:hint="eastAsia"/>
                <w:b/>
                <w:sz w:val="22"/>
              </w:rPr>
            </w:pPr>
            <w:r>
              <w:rPr>
                <w:rFonts w:ascii="微软雅黑" w:eastAsia="微软雅黑" w:hint="eastAsia"/>
                <w:b/>
                <w:sz w:val="22"/>
              </w:rPr>
              <w:t>双耳失聪</w:t>
            </w:r>
          </w:p>
        </w:tc>
        <w:tc>
          <w:tcPr>
            <w:tcW w:w="7616" w:type="dxa"/>
          </w:tcPr>
          <w:p>
            <w:pPr>
              <w:pStyle w:val="TableParagraph"/>
              <w:spacing w:before="9"/>
              <w:ind w:left="0"/>
              <w:rPr>
                <w:sz w:val="16"/>
              </w:rPr>
            </w:pPr>
          </w:p>
          <w:p>
            <w:pPr>
              <w:pStyle w:val="TableParagraph"/>
              <w:rPr>
                <w:sz w:val="22"/>
              </w:rPr>
            </w:pPr>
            <w:r>
              <w:rPr>
                <w:sz w:val="22"/>
              </w:rPr>
              <w:t>指因疾病或意外伤害导致双耳听力</w:t>
            </w:r>
            <w:r>
              <w:rPr>
                <w:b/>
                <w:sz w:val="22"/>
              </w:rPr>
              <w:t>永久不可逆</w:t>
            </w:r>
            <w:r>
              <w:rPr>
                <w:sz w:val="22"/>
              </w:rPr>
              <w:t>性丧失，在 500 赫兹、1000</w:t>
            </w:r>
          </w:p>
          <w:p>
            <w:pPr>
              <w:pStyle w:val="TableParagraph"/>
              <w:spacing w:line="380" w:lineRule="atLeast"/>
              <w:ind w:right="202"/>
              <w:rPr>
                <w:sz w:val="22"/>
              </w:rPr>
            </w:pPr>
            <w:r>
              <w:rPr>
                <w:spacing w:val="-10"/>
                <w:sz w:val="22"/>
              </w:rPr>
              <w:t>赫兹和 </w:t>
            </w:r>
            <w:r>
              <w:rPr>
                <w:sz w:val="22"/>
              </w:rPr>
              <w:t>2000</w:t>
            </w:r>
            <w:r>
              <w:rPr>
                <w:spacing w:val="-9"/>
                <w:sz w:val="22"/>
              </w:rPr>
              <w:t> 赫兹语音频率下，平均听阈大于 </w:t>
            </w:r>
            <w:r>
              <w:rPr>
                <w:sz w:val="22"/>
              </w:rPr>
              <w:t>90</w:t>
            </w:r>
            <w:r>
              <w:rPr>
                <w:spacing w:val="-8"/>
                <w:sz w:val="22"/>
              </w:rPr>
              <w:t> 分贝，且经纯音听力测试、</w:t>
            </w:r>
            <w:r>
              <w:rPr>
                <w:spacing w:val="-5"/>
                <w:sz w:val="22"/>
              </w:rPr>
              <w:t>声导抗检测或听觉诱发电位检测等证实。</w:t>
            </w:r>
          </w:p>
        </w:tc>
      </w:tr>
    </w:tbl>
    <w:p>
      <w:pPr>
        <w:spacing w:after="0" w:line="380" w:lineRule="atLeast"/>
        <w:rPr>
          <w:sz w:val="22"/>
        </w:rPr>
        <w:sectPr>
          <w:pgSz w:w="11910" w:h="16850"/>
          <w:pgMar w:top="1500" w:bottom="280" w:left="1600" w:right="820"/>
        </w:sectPr>
      </w:pPr>
    </w:p>
    <w:p>
      <w:pPr>
        <w:pStyle w:val="BodyText"/>
        <w:spacing w:before="5"/>
        <w:ind w:left="1781"/>
      </w:pPr>
      <w:r>
        <w:rPr>
          <w:shd w:fill="9F9F9F" w:color="auto" w:val="clear"/>
        </w:rPr>
        <w:t>在 0 至 3 周岁保单周年日期间，被保险人双耳失聪不在保障范围内</w:t>
      </w:r>
      <w:r>
        <w:rPr/>
        <w:t>。</w:t>
      </w:r>
    </w:p>
    <w:p>
      <w:pPr>
        <w:pStyle w:val="BodyText"/>
        <w:spacing w:before="12"/>
        <w:rPr>
          <w:sz w:val="30"/>
        </w:rPr>
      </w:pPr>
    </w:p>
    <w:p>
      <w:pPr>
        <w:spacing w:line="283" w:lineRule="auto" w:before="0"/>
        <w:ind w:left="1781" w:right="110" w:hanging="1551"/>
        <w:jc w:val="both"/>
        <w:rPr>
          <w:sz w:val="22"/>
        </w:rPr>
      </w:pPr>
      <w:r>
        <w:rPr>
          <w:rFonts w:ascii="微软雅黑" w:eastAsia="微软雅黑" w:hint="eastAsia"/>
          <w:b/>
          <w:sz w:val="22"/>
        </w:rPr>
        <w:t>双目失明       </w:t>
      </w:r>
      <w:r>
        <w:rPr>
          <w:sz w:val="22"/>
        </w:rPr>
        <w:t>指因疾病或意外伤害导致双眼视力永久不可逆性丧失，双眼中较好眼须满足下列至少一项条件：</w:t>
      </w:r>
    </w:p>
    <w:p>
      <w:pPr>
        <w:pStyle w:val="ListParagraph"/>
        <w:numPr>
          <w:ilvl w:val="0"/>
          <w:numId w:val="18"/>
        </w:numPr>
        <w:tabs>
          <w:tab w:pos="2235" w:val="left" w:leader="none"/>
        </w:tabs>
        <w:spacing w:line="240" w:lineRule="auto" w:before="51" w:after="0"/>
        <w:ind w:left="2234" w:right="0" w:hanging="453"/>
        <w:jc w:val="left"/>
        <w:rPr>
          <w:sz w:val="22"/>
        </w:rPr>
      </w:pPr>
      <w:r>
        <w:rPr>
          <w:spacing w:val="-2"/>
          <w:sz w:val="22"/>
        </w:rPr>
        <w:t>眼球缺失或摘除；</w:t>
      </w:r>
    </w:p>
    <w:p>
      <w:pPr>
        <w:pStyle w:val="ListParagraph"/>
        <w:numPr>
          <w:ilvl w:val="0"/>
          <w:numId w:val="18"/>
        </w:numPr>
        <w:tabs>
          <w:tab w:pos="2235" w:val="left" w:leader="none"/>
        </w:tabs>
        <w:spacing w:line="319" w:lineRule="auto" w:before="91" w:after="0"/>
        <w:ind w:left="2234" w:right="110" w:hanging="453"/>
        <w:jc w:val="left"/>
        <w:rPr>
          <w:sz w:val="22"/>
        </w:rPr>
      </w:pPr>
      <w:r>
        <w:rPr>
          <w:spacing w:val="7"/>
          <w:sz w:val="22"/>
        </w:rPr>
        <w:t>矫正视力低于 </w:t>
      </w:r>
      <w:r>
        <w:rPr>
          <w:sz w:val="22"/>
        </w:rPr>
        <w:t>0.02（采用国际标准视力表，如果使用其它视力表应进</w:t>
      </w:r>
      <w:r>
        <w:rPr>
          <w:spacing w:val="-1"/>
          <w:sz w:val="22"/>
        </w:rPr>
        <w:t>行换算</w:t>
      </w:r>
      <w:r>
        <w:rPr>
          <w:sz w:val="22"/>
        </w:rPr>
        <w:t>）；</w:t>
      </w:r>
    </w:p>
    <w:p>
      <w:pPr>
        <w:pStyle w:val="ListParagraph"/>
        <w:numPr>
          <w:ilvl w:val="0"/>
          <w:numId w:val="18"/>
        </w:numPr>
        <w:tabs>
          <w:tab w:pos="2235" w:val="left" w:leader="none"/>
        </w:tabs>
        <w:spacing w:line="240" w:lineRule="auto" w:before="18" w:after="0"/>
        <w:ind w:left="2234" w:right="0" w:hanging="453"/>
        <w:jc w:val="left"/>
        <w:rPr>
          <w:sz w:val="22"/>
        </w:rPr>
      </w:pPr>
      <w:r>
        <w:rPr>
          <w:spacing w:val="-9"/>
          <w:sz w:val="22"/>
        </w:rPr>
        <w:t>视野半径小于 </w:t>
      </w:r>
      <w:r>
        <w:rPr>
          <w:sz w:val="22"/>
        </w:rPr>
        <w:t>5</w:t>
      </w:r>
      <w:r>
        <w:rPr>
          <w:spacing w:val="-19"/>
          <w:sz w:val="22"/>
        </w:rPr>
        <w:t> 度。</w:t>
      </w:r>
    </w:p>
    <w:p>
      <w:pPr>
        <w:pStyle w:val="BodyText"/>
        <w:spacing w:before="1"/>
        <w:rPr>
          <w:sz w:val="31"/>
        </w:rPr>
      </w:pPr>
    </w:p>
    <w:p>
      <w:pPr>
        <w:pStyle w:val="BodyText"/>
        <w:tabs>
          <w:tab w:pos="1781" w:val="left" w:leader="none"/>
        </w:tabs>
        <w:spacing w:line="295" w:lineRule="auto"/>
        <w:ind w:left="1781" w:right="109" w:hanging="1551"/>
        <w:jc w:val="both"/>
      </w:pPr>
      <w:r>
        <w:rPr>
          <w:rFonts w:ascii="微软雅黑" w:eastAsia="微软雅黑" w:hint="eastAsia"/>
          <w:b/>
        </w:rPr>
        <w:t>瘫痪</w:t>
        <w:tab/>
      </w:r>
      <w:r>
        <w:rPr/>
        <w:t>指因疾病或意外伤害导致两肢或两肢以上肢体机能永久完全丧失。肢体机能 永久完</w:t>
      </w:r>
      <w:r>
        <w:rPr>
          <w:spacing w:val="-3"/>
        </w:rPr>
        <w:t>全</w:t>
      </w:r>
      <w:r>
        <w:rPr/>
        <w:t>丧失</w:t>
      </w:r>
      <w:r>
        <w:rPr>
          <w:spacing w:val="-3"/>
        </w:rPr>
        <w:t>，</w:t>
      </w:r>
      <w:r>
        <w:rPr/>
        <w:t>指疾</w:t>
      </w:r>
      <w:r>
        <w:rPr>
          <w:spacing w:val="-3"/>
        </w:rPr>
        <w:t>病确</w:t>
      </w:r>
      <w:r>
        <w:rPr/>
        <w:t>诊</w:t>
      </w:r>
      <w:r>
        <w:rPr>
          <w:spacing w:val="-37"/>
        </w:rPr>
        <w:t> </w:t>
      </w:r>
      <w:r>
        <w:rPr/>
        <w:t>180</w:t>
      </w:r>
      <w:r>
        <w:rPr>
          <w:spacing w:val="-37"/>
        </w:rPr>
        <w:t> </w:t>
      </w:r>
      <w:r>
        <w:rPr/>
        <w:t>天后或</w:t>
      </w:r>
      <w:r>
        <w:rPr>
          <w:spacing w:val="-3"/>
        </w:rPr>
        <w:t>意</w:t>
      </w:r>
      <w:r>
        <w:rPr/>
        <w:t>外伤</w:t>
      </w:r>
      <w:r>
        <w:rPr>
          <w:spacing w:val="-3"/>
        </w:rPr>
        <w:t>害发</w:t>
      </w:r>
      <w:r>
        <w:rPr/>
        <w:t>生</w:t>
      </w:r>
      <w:r>
        <w:rPr>
          <w:spacing w:val="-37"/>
        </w:rPr>
        <w:t> </w:t>
      </w:r>
      <w:r>
        <w:rPr/>
        <w:t>180</w:t>
      </w:r>
      <w:r>
        <w:rPr>
          <w:spacing w:val="-37"/>
        </w:rPr>
        <w:t> </w:t>
      </w:r>
      <w:r>
        <w:rPr/>
        <w:t>天后，</w:t>
      </w:r>
      <w:r>
        <w:rPr>
          <w:spacing w:val="-3"/>
        </w:rPr>
        <w:t>每</w:t>
      </w:r>
      <w:r>
        <w:rPr/>
        <w:t>肢三</w:t>
      </w:r>
      <w:r>
        <w:rPr>
          <w:spacing w:val="-3"/>
        </w:rPr>
        <w:t>大</w:t>
      </w:r>
      <w:r>
        <w:rPr/>
        <w:t>关节中的</w:t>
      </w:r>
      <w:r>
        <w:rPr>
          <w:spacing w:val="-3"/>
        </w:rPr>
        <w:t>两</w:t>
      </w:r>
      <w:r>
        <w:rPr/>
        <w:t>大关</w:t>
      </w:r>
      <w:r>
        <w:rPr>
          <w:spacing w:val="-3"/>
        </w:rPr>
        <w:t>节</w:t>
      </w:r>
      <w:r>
        <w:rPr/>
        <w:t>仍然</w:t>
      </w:r>
      <w:r>
        <w:rPr>
          <w:spacing w:val="-3"/>
        </w:rPr>
        <w:t>完全</w:t>
      </w:r>
      <w:r>
        <w:rPr/>
        <w:t>僵硬，</w:t>
      </w:r>
      <w:r>
        <w:rPr>
          <w:spacing w:val="-3"/>
        </w:rPr>
        <w:t>或</w:t>
      </w:r>
      <w:r>
        <w:rPr/>
        <w:t>不能</w:t>
      </w:r>
      <w:r>
        <w:rPr>
          <w:spacing w:val="-3"/>
        </w:rPr>
        <w:t>随</w:t>
      </w:r>
      <w:r>
        <w:rPr/>
        <w:t>意识</w:t>
      </w:r>
      <w:r>
        <w:rPr>
          <w:spacing w:val="-3"/>
        </w:rPr>
        <w:t>活动</w:t>
      </w:r>
      <w:r>
        <w:rPr/>
        <w:t>。</w:t>
      </w:r>
    </w:p>
    <w:p>
      <w:pPr>
        <w:pStyle w:val="BodyText"/>
        <w:spacing w:before="3"/>
        <w:rPr>
          <w:sz w:val="27"/>
        </w:rPr>
      </w:pPr>
    </w:p>
    <w:p>
      <w:pPr>
        <w:pStyle w:val="BodyText"/>
        <w:spacing w:line="280" w:lineRule="auto"/>
        <w:ind w:left="1781" w:right="116" w:hanging="1551"/>
        <w:jc w:val="both"/>
      </w:pPr>
      <w:r>
        <w:rPr>
          <w:rFonts w:ascii="微软雅黑" w:eastAsia="微软雅黑" w:hint="eastAsia"/>
          <w:b/>
        </w:rPr>
        <w:t>心脏瓣膜手术 </w:t>
      </w:r>
      <w:r>
        <w:rPr/>
        <w:t>指为治疗心脏瓣膜疾病，实际实施了开胸进行的心脏瓣膜置换或修复的手术。</w:t>
      </w:r>
    </w:p>
    <w:p>
      <w:pPr>
        <w:pStyle w:val="BodyText"/>
        <w:spacing w:before="3"/>
        <w:rPr>
          <w:sz w:val="28"/>
        </w:rPr>
      </w:pPr>
    </w:p>
    <w:p>
      <w:pPr>
        <w:spacing w:after="0"/>
        <w:rPr>
          <w:sz w:val="28"/>
        </w:rPr>
        <w:sectPr>
          <w:pgSz w:w="11910" w:h="16850"/>
          <w:pgMar w:top="1460" w:bottom="280" w:left="1680" w:right="1020"/>
        </w:sectPr>
      </w:pPr>
    </w:p>
    <w:p>
      <w:pPr>
        <w:pStyle w:val="Heading3"/>
      </w:pPr>
      <w:r>
        <w:rPr/>
        <w:t>严重阿尔茨海默病</w:t>
      </w:r>
    </w:p>
    <w:p>
      <w:pPr>
        <w:pStyle w:val="BodyText"/>
        <w:spacing w:line="316" w:lineRule="auto" w:before="65"/>
        <w:ind w:left="159" w:right="108"/>
        <w:jc w:val="both"/>
      </w:pPr>
      <w:r>
        <w:rPr/>
        <w:br w:type="column"/>
      </w: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BodyText"/>
        <w:spacing w:before="22"/>
        <w:ind w:left="159"/>
      </w:pPr>
      <w:r>
        <w:rPr>
          <w:shd w:fill="9F9F9F" w:color="auto" w:val="clear"/>
        </w:rPr>
        <w:t>神经官能症和精神疾病不在保障范围内</w:t>
      </w:r>
      <w:r>
        <w:rPr/>
        <w:t>。</w:t>
      </w:r>
    </w:p>
    <w:p>
      <w:pPr>
        <w:pStyle w:val="BodyText"/>
        <w:spacing w:line="316" w:lineRule="auto" w:before="90"/>
        <w:ind w:left="159" w:right="162"/>
        <w:jc w:val="both"/>
      </w:pPr>
      <w:r>
        <w:rPr>
          <w:spacing w:val="-25"/>
          <w:shd w:fill="9F9F9F" w:color="auto" w:val="clear"/>
        </w:rPr>
        <w:t>在 </w:t>
      </w:r>
      <w:r>
        <w:rPr>
          <w:shd w:fill="9F9F9F" w:color="auto" w:val="clear"/>
        </w:rPr>
        <w:t>70</w:t>
      </w:r>
      <w:r>
        <w:rPr>
          <w:spacing w:val="-12"/>
          <w:shd w:fill="9F9F9F" w:color="auto" w:val="clear"/>
        </w:rPr>
        <w:t> 周岁以上</w:t>
      </w:r>
      <w:r>
        <w:rPr>
          <w:spacing w:val="-3"/>
          <w:shd w:fill="9F9F9F" w:color="auto" w:val="clear"/>
        </w:rPr>
        <w:t>（</w:t>
      </w:r>
      <w:r>
        <w:rPr>
          <w:spacing w:val="-25"/>
          <w:shd w:fill="9F9F9F" w:color="auto" w:val="clear"/>
        </w:rPr>
        <w:t>含 </w:t>
      </w:r>
      <w:r>
        <w:rPr>
          <w:shd w:fill="9F9F9F" w:color="auto" w:val="clear"/>
        </w:rPr>
        <w:t>70</w:t>
      </w:r>
      <w:r>
        <w:rPr>
          <w:spacing w:val="-19"/>
          <w:shd w:fill="9F9F9F" w:color="auto" w:val="clear"/>
        </w:rPr>
        <w:t> 周岁</w:t>
      </w:r>
      <w:r>
        <w:rPr>
          <w:shd w:fill="9F9F9F" w:color="auto" w:val="clear"/>
        </w:rPr>
        <w:t>），</w:t>
      </w:r>
      <w:r>
        <w:rPr>
          <w:spacing w:val="-3"/>
          <w:shd w:fill="9F9F9F" w:color="auto" w:val="clear"/>
        </w:rPr>
        <w:t>被保险人罹患严重阿尔茨海默病不在保障范</w:t>
      </w:r>
      <w:r>
        <w:rPr>
          <w:spacing w:val="-220"/>
          <w:shd w:fill="9F9F9F" w:color="auto" w:val="clear"/>
        </w:rPr>
        <w:t>围</w:t>
      </w:r>
      <w:r>
        <w:rPr>
          <w:shd w:fill="9F9F9F" w:color="auto" w:val="clear"/>
        </w:rPr>
        <w:t>内</w:t>
      </w:r>
      <w:r>
        <w:rPr/>
        <w:t>。</w:t>
      </w:r>
    </w:p>
    <w:p>
      <w:pPr>
        <w:spacing w:after="0" w:line="316" w:lineRule="auto"/>
        <w:jc w:val="both"/>
        <w:sectPr>
          <w:type w:val="continuous"/>
          <w:pgSz w:w="11910" w:h="16850"/>
          <w:pgMar w:top="1440" w:bottom="280" w:left="1680" w:right="1020"/>
          <w:cols w:num="2" w:equalWidth="0">
            <w:col w:w="1582" w:space="40"/>
            <w:col w:w="7588"/>
          </w:cols>
        </w:sectPr>
      </w:pPr>
    </w:p>
    <w:p>
      <w:pPr>
        <w:pStyle w:val="BodyText"/>
        <w:spacing w:before="9"/>
        <w:rPr>
          <w:sz w:val="25"/>
        </w:rPr>
      </w:pPr>
    </w:p>
    <w:p>
      <w:pPr>
        <w:pStyle w:val="BodyText"/>
        <w:spacing w:line="297" w:lineRule="auto"/>
        <w:ind w:left="1781" w:right="108" w:hanging="1551"/>
        <w:jc w:val="both"/>
      </w:pPr>
      <w:r>
        <w:rPr>
          <w:rFonts w:ascii="微软雅黑" w:eastAsia="微软雅黑" w:hint="eastAsia"/>
          <w:b/>
        </w:rPr>
        <w:t>严重脑损伤    </w:t>
      </w:r>
      <w:r>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BodyText"/>
        <w:spacing w:before="38"/>
        <w:ind w:left="1781"/>
      </w:pPr>
      <w:r>
        <w:rPr/>
        <w:t>180 天后，仍遗留下列一种或一种以上障碍：</w:t>
      </w:r>
    </w:p>
    <w:p>
      <w:pPr>
        <w:pStyle w:val="ListParagraph"/>
        <w:numPr>
          <w:ilvl w:val="0"/>
          <w:numId w:val="19"/>
        </w:numPr>
        <w:tabs>
          <w:tab w:pos="2235" w:val="left" w:leader="none"/>
        </w:tabs>
        <w:spacing w:line="240" w:lineRule="auto" w:before="91" w:after="0"/>
        <w:ind w:left="2234" w:right="0" w:hanging="453"/>
        <w:jc w:val="left"/>
        <w:rPr>
          <w:sz w:val="22"/>
        </w:rPr>
      </w:pPr>
      <w:r>
        <w:rPr>
          <w:spacing w:val="-3"/>
          <w:sz w:val="22"/>
        </w:rPr>
        <w:t>一肢或一肢以上肢体机能完全丧失；</w:t>
      </w:r>
    </w:p>
    <w:p>
      <w:pPr>
        <w:pStyle w:val="ListParagraph"/>
        <w:numPr>
          <w:ilvl w:val="0"/>
          <w:numId w:val="19"/>
        </w:numPr>
        <w:tabs>
          <w:tab w:pos="2235" w:val="left" w:leader="none"/>
        </w:tabs>
        <w:spacing w:line="240" w:lineRule="auto" w:before="93" w:after="0"/>
        <w:ind w:left="2234" w:right="0" w:hanging="453"/>
        <w:jc w:val="left"/>
        <w:rPr>
          <w:sz w:val="22"/>
        </w:rPr>
      </w:pPr>
      <w:r>
        <w:rPr>
          <w:spacing w:val="-3"/>
          <w:sz w:val="22"/>
        </w:rPr>
        <w:t>语言能力或咀嚼吞咽能力完全丧失；</w:t>
      </w:r>
    </w:p>
    <w:p>
      <w:pPr>
        <w:pStyle w:val="ListParagraph"/>
        <w:numPr>
          <w:ilvl w:val="0"/>
          <w:numId w:val="19"/>
        </w:numPr>
        <w:tabs>
          <w:tab w:pos="2235" w:val="left" w:leader="none"/>
        </w:tabs>
        <w:spacing w:line="316" w:lineRule="auto" w:before="91" w:after="0"/>
        <w:ind w:left="2234" w:right="111" w:hanging="453"/>
        <w:jc w:val="left"/>
        <w:rPr>
          <w:sz w:val="22"/>
        </w:rPr>
      </w:pPr>
      <w:r>
        <w:rPr>
          <w:sz w:val="22"/>
        </w:rPr>
        <w:t>自主生活能力完全丧失，无法独立完成六项基本日常生活活动中的三项</w:t>
      </w:r>
      <w:r>
        <w:rPr>
          <w:spacing w:val="-1"/>
          <w:sz w:val="22"/>
        </w:rPr>
        <w:t>或三项以上。</w:t>
      </w:r>
    </w:p>
    <w:p>
      <w:pPr>
        <w:pStyle w:val="BodyText"/>
        <w:spacing w:before="9"/>
        <w:rPr>
          <w:sz w:val="25"/>
        </w:rPr>
      </w:pPr>
    </w:p>
    <w:p>
      <w:pPr>
        <w:pStyle w:val="BodyText"/>
        <w:spacing w:line="280" w:lineRule="auto"/>
        <w:ind w:left="1781" w:right="110" w:hanging="1551"/>
        <w:jc w:val="both"/>
      </w:pPr>
      <w:r>
        <w:rPr>
          <w:rFonts w:ascii="微软雅黑" w:eastAsia="微软雅黑" w:hint="eastAsia"/>
          <w:b/>
        </w:rPr>
        <w:t>严重帕金森病 </w:t>
      </w:r>
      <w:r>
        <w:rPr/>
        <w:t>是一种中枢神经系统的退行性疾病，临床表现为震颤麻痹、共济失调等。须满足下列全部条件：</w:t>
      </w:r>
    </w:p>
    <w:p>
      <w:pPr>
        <w:spacing w:after="0" w:line="280" w:lineRule="auto"/>
        <w:jc w:val="both"/>
        <w:sectPr>
          <w:type w:val="continuous"/>
          <w:pgSz w:w="11910" w:h="16850"/>
          <w:pgMar w:top="1440" w:bottom="280" w:left="1680" w:right="1020"/>
        </w:sectPr>
      </w:pPr>
    </w:p>
    <w:p>
      <w:pPr>
        <w:pStyle w:val="ListParagraph"/>
        <w:numPr>
          <w:ilvl w:val="0"/>
          <w:numId w:val="20"/>
        </w:numPr>
        <w:tabs>
          <w:tab w:pos="2235" w:val="left" w:leader="none"/>
        </w:tabs>
        <w:spacing w:line="240" w:lineRule="auto" w:before="5" w:after="0"/>
        <w:ind w:left="2234" w:right="0" w:hanging="453"/>
        <w:jc w:val="left"/>
        <w:rPr>
          <w:sz w:val="22"/>
        </w:rPr>
      </w:pPr>
      <w:r>
        <w:rPr>
          <w:spacing w:val="-3"/>
          <w:sz w:val="22"/>
        </w:rPr>
        <w:t>药物治疗无法控制病情；</w:t>
      </w:r>
    </w:p>
    <w:p>
      <w:pPr>
        <w:pStyle w:val="ListParagraph"/>
        <w:numPr>
          <w:ilvl w:val="0"/>
          <w:numId w:val="20"/>
        </w:numPr>
        <w:tabs>
          <w:tab w:pos="2235" w:val="left" w:leader="none"/>
        </w:tabs>
        <w:spacing w:line="316" w:lineRule="auto" w:before="91" w:after="0"/>
        <w:ind w:left="2234" w:right="131" w:hanging="453"/>
        <w:jc w:val="left"/>
        <w:rPr>
          <w:sz w:val="22"/>
        </w:rPr>
      </w:pPr>
      <w:r>
        <w:rPr>
          <w:sz w:val="22"/>
        </w:rPr>
        <w:t>自主生活能力完全丧失，无法独立完成六项基本日常生活活动中的三项</w:t>
      </w:r>
      <w:r>
        <w:rPr>
          <w:spacing w:val="-1"/>
          <w:sz w:val="22"/>
        </w:rPr>
        <w:t>或三项以上。</w:t>
      </w:r>
    </w:p>
    <w:p>
      <w:pPr>
        <w:pStyle w:val="BodyText"/>
        <w:spacing w:before="23"/>
        <w:ind w:left="1781"/>
      </w:pPr>
      <w:r>
        <w:rPr>
          <w:shd w:fill="9F9F9F" w:color="auto" w:val="clear"/>
        </w:rPr>
        <w:t>继发性帕金森综合征不在保障范围内</w:t>
      </w:r>
      <w:r>
        <w:rPr/>
        <w:t>。</w:t>
      </w:r>
    </w:p>
    <w:p>
      <w:pPr>
        <w:pStyle w:val="BodyText"/>
        <w:spacing w:line="316" w:lineRule="auto" w:before="91"/>
        <w:ind w:left="1781" w:right="129"/>
      </w:pPr>
      <w:r>
        <w:rPr>
          <w:shd w:fill="9F9F9F" w:color="auto" w:val="clear"/>
        </w:rPr>
        <w:t>在 70 周岁以上（含 70 周岁），被保险人罹患严重帕金森病不在保障范围内</w:t>
      </w:r>
      <w:r>
        <w:rPr/>
        <w:t>。</w:t>
      </w:r>
    </w:p>
    <w:p>
      <w:pPr>
        <w:pStyle w:val="BodyText"/>
        <w:spacing w:before="9"/>
        <w:rPr>
          <w:sz w:val="25"/>
        </w:rPr>
      </w:pPr>
    </w:p>
    <w:p>
      <w:pPr>
        <w:pStyle w:val="BodyText"/>
        <w:tabs>
          <w:tab w:pos="1781" w:val="left" w:leader="none"/>
        </w:tabs>
        <w:spacing w:line="280" w:lineRule="auto"/>
        <w:ind w:left="1781" w:right="128" w:hanging="1551"/>
      </w:pPr>
      <w:r>
        <w:rPr>
          <w:rFonts w:ascii="微软雅黑" w:hAnsi="微软雅黑" w:eastAsia="微软雅黑" w:hint="eastAsia"/>
          <w:b/>
        </w:rPr>
        <w:t>严重Ⅲ度烧伤</w:t>
        <w:tab/>
      </w:r>
      <w:r>
        <w:rPr>
          <w:spacing w:val="2"/>
        </w:rPr>
        <w:t>指烧伤程度为Ⅲ度，</w:t>
      </w:r>
      <w:r>
        <w:rPr/>
        <w:t>且</w:t>
      </w:r>
      <w:r>
        <w:rPr>
          <w:spacing w:val="2"/>
        </w:rPr>
        <w:t>Ⅲ度</w:t>
      </w:r>
      <w:r>
        <w:rPr>
          <w:spacing w:val="5"/>
        </w:rPr>
        <w:t>烧</w:t>
      </w:r>
      <w:r>
        <w:rPr>
          <w:spacing w:val="2"/>
        </w:rPr>
        <w:t>伤的面积达到</w:t>
      </w:r>
      <w:r>
        <w:rPr/>
        <w:t>全</w:t>
      </w:r>
      <w:r>
        <w:rPr>
          <w:spacing w:val="2"/>
        </w:rPr>
        <w:t>身体表面积</w:t>
      </w:r>
      <w:r>
        <w:rPr/>
        <w:t>的</w:t>
      </w:r>
      <w:r>
        <w:rPr>
          <w:spacing w:val="37"/>
        </w:rPr>
        <w:t> </w:t>
      </w:r>
      <w:r>
        <w:rPr/>
        <w:t>20％或</w:t>
      </w:r>
      <w:r>
        <w:rPr>
          <w:spacing w:val="33"/>
        </w:rPr>
        <w:t> </w:t>
      </w:r>
      <w:r>
        <w:rPr/>
        <w:t>20%以上。体</w:t>
      </w:r>
      <w:r>
        <w:rPr>
          <w:spacing w:val="-3"/>
        </w:rPr>
        <w:t>表</w:t>
      </w:r>
      <w:r>
        <w:rPr/>
        <w:t>面积</w:t>
      </w:r>
      <w:r>
        <w:rPr>
          <w:spacing w:val="-3"/>
        </w:rPr>
        <w:t>根</w:t>
      </w:r>
      <w:r>
        <w:rPr/>
        <w:t>据《</w:t>
      </w:r>
      <w:r>
        <w:rPr>
          <w:spacing w:val="-3"/>
        </w:rPr>
        <w:t>中国</w:t>
      </w:r>
      <w:r>
        <w:rPr/>
        <w:t>新九分</w:t>
      </w:r>
      <w:r>
        <w:rPr>
          <w:spacing w:val="-3"/>
        </w:rPr>
        <w:t>法</w:t>
      </w:r>
      <w:r>
        <w:rPr/>
        <w:t>》计</w:t>
      </w:r>
      <w:r>
        <w:rPr>
          <w:spacing w:val="-3"/>
        </w:rPr>
        <w:t>算</w:t>
      </w:r>
      <w:r>
        <w:rPr/>
        <w:t>。</w:t>
      </w:r>
    </w:p>
    <w:p>
      <w:pPr>
        <w:pStyle w:val="BodyText"/>
        <w:spacing w:before="3"/>
        <w:rPr>
          <w:sz w:val="28"/>
        </w:rPr>
      </w:pPr>
    </w:p>
    <w:p>
      <w:pPr>
        <w:spacing w:after="0"/>
        <w:rPr>
          <w:sz w:val="28"/>
        </w:rPr>
        <w:sectPr>
          <w:pgSz w:w="11910" w:h="16850"/>
          <w:pgMar w:top="1460" w:bottom="280" w:left="1680" w:right="1000"/>
        </w:sectPr>
      </w:pPr>
    </w:p>
    <w:p>
      <w:pPr>
        <w:pStyle w:val="Heading3"/>
      </w:pPr>
      <w:r>
        <w:rPr/>
        <w:t>严重原发性肺动脉高压</w:t>
      </w:r>
    </w:p>
    <w:p>
      <w:pPr>
        <w:pStyle w:val="BodyText"/>
        <w:spacing w:line="316" w:lineRule="auto" w:before="66"/>
        <w:ind w:left="159" w:right="130"/>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316" w:lineRule="auto"/>
        <w:jc w:val="both"/>
        <w:sectPr>
          <w:type w:val="continuous"/>
          <w:pgSz w:w="11910" w:h="16850"/>
          <w:pgMar w:top="1440" w:bottom="280" w:left="1680" w:right="1000"/>
          <w:cols w:num="2" w:equalWidth="0">
            <w:col w:w="1582" w:space="40"/>
            <w:col w:w="7608"/>
          </w:cols>
        </w:sectPr>
      </w:pPr>
    </w:p>
    <w:p>
      <w:pPr>
        <w:pStyle w:val="BodyText"/>
        <w:spacing w:before="7"/>
        <w:rPr>
          <w:sz w:val="25"/>
        </w:rPr>
      </w:pPr>
    </w:p>
    <w:p>
      <w:pPr>
        <w:spacing w:after="0"/>
        <w:rPr>
          <w:sz w:val="25"/>
        </w:rPr>
        <w:sectPr>
          <w:type w:val="continuous"/>
          <w:pgSz w:w="11910" w:h="16850"/>
          <w:pgMar w:top="1440" w:bottom="280" w:left="1680" w:right="1000"/>
        </w:sectPr>
      </w:pPr>
    </w:p>
    <w:p>
      <w:pPr>
        <w:pStyle w:val="Heading3"/>
      </w:pPr>
      <w:r>
        <w:rPr/>
        <w:t>严重运动神经元病</w:t>
      </w:r>
    </w:p>
    <w:p>
      <w:pPr>
        <w:pStyle w:val="BodyText"/>
        <w:spacing w:line="316" w:lineRule="auto" w:before="66"/>
        <w:ind w:left="159" w:right="126"/>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16" w:lineRule="auto"/>
        <w:jc w:val="both"/>
        <w:sectPr>
          <w:type w:val="continuous"/>
          <w:pgSz w:w="11910" w:h="16850"/>
          <w:pgMar w:top="1440" w:bottom="280" w:left="1680" w:right="1000"/>
          <w:cols w:num="2" w:equalWidth="0">
            <w:col w:w="1582" w:space="40"/>
            <w:col w:w="7608"/>
          </w:cols>
        </w:sectPr>
      </w:pPr>
    </w:p>
    <w:p>
      <w:pPr>
        <w:pStyle w:val="BodyText"/>
        <w:spacing w:before="10"/>
        <w:rPr>
          <w:sz w:val="25"/>
        </w:rPr>
      </w:pPr>
    </w:p>
    <w:p>
      <w:pPr>
        <w:pStyle w:val="BodyText"/>
        <w:tabs>
          <w:tab w:pos="1781" w:val="left" w:leader="none"/>
        </w:tabs>
        <w:ind w:left="230"/>
      </w:pPr>
      <w:r>
        <w:rPr>
          <w:rFonts w:ascii="微软雅黑" w:eastAsia="微软雅黑" w:hint="eastAsia"/>
          <w:b/>
        </w:rPr>
        <w:t>语言能力丧失</w:t>
        <w:tab/>
      </w:r>
      <w:r>
        <w:rPr>
          <w:spacing w:val="7"/>
        </w:rPr>
        <w:t>指</w:t>
      </w:r>
      <w:r>
        <w:rPr>
          <w:spacing w:val="5"/>
        </w:rPr>
        <w:t>因</w:t>
      </w:r>
      <w:r>
        <w:rPr>
          <w:spacing w:val="7"/>
        </w:rPr>
        <w:t>疾</w:t>
      </w:r>
      <w:r>
        <w:rPr>
          <w:spacing w:val="5"/>
        </w:rPr>
        <w:t>病</w:t>
      </w:r>
      <w:r>
        <w:rPr>
          <w:spacing w:val="7"/>
        </w:rPr>
        <w:t>或</w:t>
      </w:r>
      <w:r>
        <w:rPr>
          <w:spacing w:val="5"/>
        </w:rPr>
        <w:t>意</w:t>
      </w:r>
      <w:r>
        <w:rPr>
          <w:spacing w:val="7"/>
        </w:rPr>
        <w:t>外</w:t>
      </w:r>
      <w:r>
        <w:rPr>
          <w:spacing w:val="5"/>
        </w:rPr>
        <w:t>伤</w:t>
      </w:r>
      <w:r>
        <w:rPr>
          <w:spacing w:val="7"/>
        </w:rPr>
        <w:t>害</w:t>
      </w:r>
      <w:r>
        <w:rPr>
          <w:spacing w:val="5"/>
        </w:rPr>
        <w:t>导</w:t>
      </w:r>
      <w:r>
        <w:rPr>
          <w:spacing w:val="7"/>
        </w:rPr>
        <w:t>致</w:t>
      </w:r>
      <w:r>
        <w:rPr>
          <w:spacing w:val="5"/>
        </w:rPr>
        <w:t>完</w:t>
      </w:r>
      <w:r>
        <w:rPr>
          <w:spacing w:val="7"/>
        </w:rPr>
        <w:t>全</w:t>
      </w:r>
      <w:r>
        <w:rPr>
          <w:spacing w:val="5"/>
        </w:rPr>
        <w:t>丧</w:t>
      </w:r>
      <w:r>
        <w:rPr>
          <w:spacing w:val="7"/>
        </w:rPr>
        <w:t>失</w:t>
      </w:r>
      <w:r>
        <w:rPr>
          <w:spacing w:val="5"/>
        </w:rPr>
        <w:t>语</w:t>
      </w:r>
      <w:r>
        <w:rPr>
          <w:spacing w:val="7"/>
        </w:rPr>
        <w:t>言</w:t>
      </w:r>
      <w:r>
        <w:rPr>
          <w:spacing w:val="5"/>
        </w:rPr>
        <w:t>能</w:t>
      </w:r>
      <w:r>
        <w:rPr>
          <w:spacing w:val="7"/>
        </w:rPr>
        <w:t>力</w:t>
      </w:r>
      <w:r>
        <w:rPr>
          <w:spacing w:val="5"/>
        </w:rPr>
        <w:t>，</w:t>
      </w:r>
      <w:r>
        <w:rPr>
          <w:spacing w:val="7"/>
        </w:rPr>
        <w:t>经</w:t>
      </w:r>
      <w:r>
        <w:rPr>
          <w:spacing w:val="5"/>
        </w:rPr>
        <w:t>过</w:t>
      </w:r>
      <w:r>
        <w:rPr>
          <w:spacing w:val="7"/>
        </w:rPr>
        <w:t>积</w:t>
      </w:r>
      <w:r>
        <w:rPr>
          <w:spacing w:val="5"/>
        </w:rPr>
        <w:t>极</w:t>
      </w:r>
      <w:r>
        <w:rPr>
          <w:spacing w:val="7"/>
        </w:rPr>
        <w:t>治</w:t>
      </w:r>
      <w:r>
        <w:rPr>
          <w:spacing w:val="5"/>
        </w:rPr>
        <w:t>疗至</w:t>
      </w:r>
      <w:r>
        <w:rPr/>
        <w:t>少</w:t>
      </w:r>
      <w:r>
        <w:rPr>
          <w:spacing w:val="43"/>
        </w:rPr>
        <w:t> </w:t>
      </w:r>
      <w:r>
        <w:rPr/>
        <w:t>12</w:t>
      </w:r>
      <w:r>
        <w:rPr>
          <w:spacing w:val="31"/>
        </w:rPr>
        <w:t> </w:t>
      </w:r>
      <w:r>
        <w:rPr>
          <w:spacing w:val="7"/>
        </w:rPr>
        <w:t>个月</w:t>
      </w:r>
    </w:p>
    <w:p>
      <w:pPr>
        <w:pStyle w:val="BodyText"/>
        <w:spacing w:line="319" w:lineRule="auto" w:before="64"/>
        <w:ind w:left="1781" w:right="843"/>
      </w:pPr>
      <w:r>
        <w:rPr/>
        <w:t>（声带完全切除不受此时间限制），仍无法通过现有医疗手段恢复。</w:t>
      </w:r>
      <w:r>
        <w:rPr>
          <w:shd w:fill="9F9F9F" w:color="auto" w:val="clear"/>
        </w:rPr>
        <w:t>精神心理因素所致的语言能力丧失不在保障范围内</w:t>
      </w:r>
      <w:r>
        <w:rPr/>
        <w:t>。</w:t>
      </w:r>
    </w:p>
    <w:p>
      <w:pPr>
        <w:pStyle w:val="BodyText"/>
        <w:spacing w:before="18"/>
        <w:ind w:left="1781"/>
      </w:pPr>
      <w:r>
        <w:rPr>
          <w:shd w:fill="9F9F9F" w:color="auto" w:val="clear"/>
        </w:rPr>
        <w:t>在 0 至 3 周岁保单周年日期间，被保险人语言能力丧失不在保障范围内</w:t>
      </w:r>
      <w:r>
        <w:rPr/>
        <w:t>。</w:t>
      </w:r>
    </w:p>
    <w:p>
      <w:pPr>
        <w:pStyle w:val="BodyText"/>
        <w:rPr>
          <w:sz w:val="20"/>
        </w:rPr>
      </w:pPr>
    </w:p>
    <w:p>
      <w:pPr>
        <w:spacing w:after="0"/>
        <w:rPr>
          <w:sz w:val="20"/>
        </w:rPr>
        <w:sectPr>
          <w:type w:val="continuous"/>
          <w:pgSz w:w="11910" w:h="16850"/>
          <w:pgMar w:top="1440" w:bottom="280" w:left="1680" w:right="1000"/>
        </w:sectPr>
      </w:pPr>
    </w:p>
    <w:p>
      <w:pPr>
        <w:pStyle w:val="Heading3"/>
        <w:spacing w:before="145"/>
      </w:pPr>
      <w:r>
        <w:rPr/>
        <w:t>重型再生障碍性贫血</w:t>
      </w:r>
    </w:p>
    <w:p>
      <w:pPr>
        <w:pStyle w:val="BodyText"/>
        <w:spacing w:before="3"/>
        <w:rPr>
          <w:rFonts w:ascii="微软雅黑"/>
          <w:b/>
          <w:sz w:val="12"/>
        </w:rPr>
      </w:pPr>
      <w:r>
        <w:rPr/>
        <w:br w:type="column"/>
      </w:r>
      <w:r>
        <w:rPr>
          <w:rFonts w:ascii="微软雅黑"/>
          <w:b/>
          <w:sz w:val="12"/>
        </w:rPr>
      </w:r>
    </w:p>
    <w:p>
      <w:pPr>
        <w:pStyle w:val="BodyText"/>
        <w:spacing w:line="316" w:lineRule="auto"/>
        <w:ind w:left="159" w:right="130"/>
      </w:pPr>
      <w:r>
        <w:rPr/>
        <w:t>指因骨髓造血功能慢性持续性衰竭导致的贫血、中性粒细胞减少及血小板减少。须满足下列全部条件：</w:t>
      </w:r>
    </w:p>
    <w:p>
      <w:pPr>
        <w:pStyle w:val="ListParagraph"/>
        <w:numPr>
          <w:ilvl w:val="0"/>
          <w:numId w:val="21"/>
        </w:numPr>
        <w:tabs>
          <w:tab w:pos="614" w:val="left" w:leader="none"/>
        </w:tabs>
        <w:spacing w:line="240" w:lineRule="auto" w:before="20" w:after="0"/>
        <w:ind w:left="613" w:right="0" w:hanging="454"/>
        <w:jc w:val="left"/>
        <w:rPr>
          <w:sz w:val="22"/>
        </w:rPr>
      </w:pPr>
      <w:r>
        <w:rPr>
          <w:spacing w:val="-3"/>
          <w:sz w:val="22"/>
        </w:rPr>
        <w:t>骨髓穿刺检查或骨髓活检结果支持诊断；</w:t>
      </w:r>
    </w:p>
    <w:p>
      <w:pPr>
        <w:pStyle w:val="ListParagraph"/>
        <w:numPr>
          <w:ilvl w:val="0"/>
          <w:numId w:val="21"/>
        </w:numPr>
        <w:tabs>
          <w:tab w:pos="614" w:val="left" w:leader="none"/>
        </w:tabs>
        <w:spacing w:line="240" w:lineRule="auto" w:before="93" w:after="0"/>
        <w:ind w:left="613" w:right="0" w:hanging="454"/>
        <w:jc w:val="left"/>
        <w:rPr>
          <w:sz w:val="22"/>
        </w:rPr>
      </w:pPr>
      <w:r>
        <w:rPr>
          <w:spacing w:val="-3"/>
          <w:sz w:val="22"/>
        </w:rPr>
        <w:t>外周血象须具备以下三项条件：</w:t>
      </w:r>
    </w:p>
    <w:p>
      <w:pPr>
        <w:pStyle w:val="BodyText"/>
        <w:spacing w:before="91"/>
        <w:ind w:left="613"/>
      </w:pPr>
      <w:r>
        <w:rPr/>
        <w:t>① 中性粒细胞绝对值≤0.5×10</w:t>
      </w:r>
      <w:r>
        <w:rPr>
          <w:position w:val="11"/>
          <w:sz w:val="11"/>
        </w:rPr>
        <w:t>9</w:t>
      </w:r>
      <w:r>
        <w:rPr/>
        <w:t>/L ；</w:t>
      </w:r>
    </w:p>
    <w:p>
      <w:pPr>
        <w:pStyle w:val="BodyText"/>
        <w:spacing w:before="92"/>
        <w:ind w:left="613"/>
      </w:pPr>
      <w:r>
        <w:rPr/>
        <w:t>② 网织红细胞＜1%；</w:t>
      </w:r>
    </w:p>
    <w:p>
      <w:pPr>
        <w:pStyle w:val="BodyText"/>
        <w:spacing w:before="94"/>
        <w:ind w:left="613"/>
      </w:pPr>
      <w:r>
        <w:rPr/>
        <w:t>③ 血小板绝对值≤20×10</w:t>
      </w:r>
      <w:r>
        <w:rPr>
          <w:position w:val="11"/>
          <w:sz w:val="11"/>
        </w:rPr>
        <w:t>9</w:t>
      </w:r>
      <w:r>
        <w:rPr/>
        <w:t>/L。</w:t>
      </w:r>
    </w:p>
    <w:p>
      <w:pPr>
        <w:spacing w:after="0"/>
        <w:sectPr>
          <w:type w:val="continuous"/>
          <w:pgSz w:w="11910" w:h="16850"/>
          <w:pgMar w:top="1440" w:bottom="280" w:left="1680" w:right="1000"/>
          <w:cols w:num="2" w:equalWidth="0">
            <w:col w:w="1582" w:space="40"/>
            <w:col w:w="7608"/>
          </w:cols>
        </w:sectPr>
      </w:pPr>
    </w:p>
    <w:p>
      <w:pPr>
        <w:pStyle w:val="BodyText"/>
        <w:rPr>
          <w:sz w:val="20"/>
        </w:rPr>
      </w:pPr>
    </w:p>
    <w:p>
      <w:pPr>
        <w:pStyle w:val="BodyText"/>
        <w:spacing w:line="297" w:lineRule="auto" w:before="143"/>
        <w:ind w:left="1781" w:right="130" w:hanging="1551"/>
        <w:jc w:val="both"/>
      </w:pPr>
      <w:r>
        <w:rPr>
          <w:rFonts w:ascii="微软雅黑" w:eastAsia="微软雅黑" w:hint="eastAsia"/>
          <w:b/>
        </w:rPr>
        <w:t>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38"/>
        <w:ind w:left="1781"/>
      </w:pPr>
      <w:r>
        <w:rPr>
          <w:shd w:fill="9F9F9F" w:color="auto" w:val="clear"/>
        </w:rPr>
        <w:t>动脉内血管成形术不在保障范围内</w:t>
      </w:r>
      <w:r>
        <w:rPr/>
        <w:t>。</w:t>
      </w:r>
    </w:p>
    <w:p>
      <w:pPr>
        <w:spacing w:after="0"/>
        <w:sectPr>
          <w:type w:val="continuous"/>
          <w:pgSz w:w="11910" w:h="16850"/>
          <w:pgMar w:top="1440" w:bottom="280" w:left="1680" w:right="1000"/>
        </w:sectPr>
      </w:pPr>
    </w:p>
    <w:p>
      <w:pPr>
        <w:pStyle w:val="BodyText"/>
        <w:spacing w:before="1"/>
        <w:rPr>
          <w:rFonts w:ascii="Times New Roman"/>
          <w:sz w:val="27"/>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9"/>
        <w:gridCol w:w="7599"/>
      </w:tblGrid>
      <w:tr>
        <w:trPr>
          <w:trHeight w:val="1234" w:hRule="atLeast"/>
        </w:trPr>
        <w:tc>
          <w:tcPr>
            <w:tcW w:w="1669" w:type="dxa"/>
          </w:tcPr>
          <w:p>
            <w:pPr>
              <w:pStyle w:val="TableParagraph"/>
              <w:ind w:left="0"/>
              <w:rPr>
                <w:rFonts w:ascii="Times New Roman"/>
                <w:sz w:val="22"/>
              </w:rPr>
            </w:pPr>
          </w:p>
        </w:tc>
        <w:tc>
          <w:tcPr>
            <w:tcW w:w="7599" w:type="dxa"/>
          </w:tcPr>
          <w:p>
            <w:pPr>
              <w:pStyle w:val="TableParagraph"/>
              <w:spacing w:line="221" w:lineRule="exact"/>
              <w:ind w:left="81"/>
              <w:rPr>
                <w:b/>
                <w:sz w:val="22"/>
              </w:rPr>
            </w:pPr>
            <w:r>
              <w:rPr>
                <w:b/>
                <w:sz w:val="22"/>
              </w:rPr>
              <w:t>以上是中国保险行业协会与中国医师协会制定的《重大疾病保险疾病定义使</w:t>
            </w:r>
          </w:p>
          <w:p>
            <w:pPr>
              <w:pStyle w:val="TableParagraph"/>
              <w:spacing w:before="91"/>
              <w:ind w:left="81"/>
              <w:rPr>
                <w:b/>
                <w:sz w:val="22"/>
              </w:rPr>
            </w:pPr>
            <w:r>
              <w:rPr>
                <w:b/>
                <w:sz w:val="22"/>
              </w:rPr>
              <w:t>用规范》所规范的重大疾病种类，以下是本公司为扩大保障范围所增设的</w:t>
            </w:r>
          </w:p>
          <w:p>
            <w:pPr>
              <w:pStyle w:val="TableParagraph"/>
              <w:spacing w:before="93"/>
              <w:ind w:left="81"/>
              <w:rPr>
                <w:b/>
                <w:sz w:val="22"/>
              </w:rPr>
            </w:pPr>
            <w:r>
              <w:rPr>
                <w:b/>
                <w:sz w:val="22"/>
              </w:rPr>
              <w:t>19 种重大疾病。</w:t>
            </w:r>
          </w:p>
        </w:tc>
      </w:tr>
      <w:tr>
        <w:trPr>
          <w:trHeight w:val="2661" w:hRule="atLeast"/>
        </w:trPr>
        <w:tc>
          <w:tcPr>
            <w:tcW w:w="1669" w:type="dxa"/>
          </w:tcPr>
          <w:p>
            <w:pPr>
              <w:pStyle w:val="TableParagraph"/>
              <w:spacing w:before="152"/>
              <w:ind w:left="200" w:right="116"/>
              <w:rPr>
                <w:rFonts w:ascii="微软雅黑" w:eastAsia="微软雅黑" w:hint="eastAsia"/>
                <w:b/>
                <w:sz w:val="22"/>
              </w:rPr>
            </w:pPr>
            <w:r>
              <w:rPr>
                <w:rFonts w:ascii="微软雅黑" w:eastAsia="微软雅黑" w:hint="eastAsia"/>
                <w:b/>
                <w:sz w:val="22"/>
              </w:rPr>
              <w:t>慢性呼吸功能衰竭</w:t>
            </w:r>
          </w:p>
        </w:tc>
        <w:tc>
          <w:tcPr>
            <w:tcW w:w="7599" w:type="dxa"/>
          </w:tcPr>
          <w:p>
            <w:pPr>
              <w:pStyle w:val="TableParagraph"/>
              <w:spacing w:before="10"/>
              <w:ind w:left="0"/>
              <w:rPr>
                <w:rFonts w:ascii="Times New Roman"/>
                <w:sz w:val="18"/>
              </w:rPr>
            </w:pPr>
          </w:p>
          <w:p>
            <w:pPr>
              <w:pStyle w:val="TableParagraph"/>
              <w:spacing w:line="319" w:lineRule="auto" w:before="1"/>
              <w:ind w:left="81" w:right="198"/>
              <w:rPr>
                <w:sz w:val="22"/>
              </w:rPr>
            </w:pPr>
            <w:r>
              <w:rPr>
                <w:sz w:val="22"/>
              </w:rPr>
              <w:t>慢性肺部疾病导致永久不可逆性的慢性呼吸功能衰竭，必须符合下列所有条件：</w:t>
            </w:r>
          </w:p>
          <w:p>
            <w:pPr>
              <w:pStyle w:val="TableParagraph"/>
              <w:numPr>
                <w:ilvl w:val="0"/>
                <w:numId w:val="22"/>
              </w:numPr>
              <w:tabs>
                <w:tab w:pos="535" w:val="left" w:leader="none"/>
              </w:tabs>
              <w:spacing w:line="240" w:lineRule="auto" w:before="18" w:after="0"/>
              <w:ind w:left="534" w:right="0" w:hanging="453"/>
              <w:jc w:val="left"/>
              <w:rPr>
                <w:sz w:val="22"/>
              </w:rPr>
            </w:pPr>
            <w:r>
              <w:rPr>
                <w:spacing w:val="-2"/>
                <w:sz w:val="22"/>
              </w:rPr>
              <w:t>休息时出现呼吸困难；</w:t>
            </w:r>
          </w:p>
          <w:p>
            <w:pPr>
              <w:pStyle w:val="TableParagraph"/>
              <w:numPr>
                <w:ilvl w:val="0"/>
                <w:numId w:val="22"/>
              </w:numPr>
              <w:tabs>
                <w:tab w:pos="535" w:val="left" w:leader="none"/>
              </w:tabs>
              <w:spacing w:line="240" w:lineRule="auto" w:before="90" w:after="0"/>
              <w:ind w:left="534" w:right="0" w:hanging="453"/>
              <w:jc w:val="left"/>
              <w:rPr>
                <w:sz w:val="22"/>
              </w:rPr>
            </w:pPr>
            <w:r>
              <w:rPr>
                <w:spacing w:val="-1"/>
                <w:position w:val="1"/>
                <w:sz w:val="22"/>
              </w:rPr>
              <w:t>动脉血氧分压 </w:t>
            </w:r>
            <w:r>
              <w:rPr>
                <w:position w:val="1"/>
                <w:sz w:val="22"/>
              </w:rPr>
              <w:t>（PaO </w:t>
            </w:r>
            <w:r>
              <w:rPr>
                <w:sz w:val="11"/>
              </w:rPr>
              <w:t>2</w:t>
            </w:r>
            <w:r>
              <w:rPr>
                <w:position w:val="1"/>
                <w:sz w:val="22"/>
              </w:rPr>
              <w:t>）&lt; 50mmHg；</w:t>
            </w:r>
          </w:p>
          <w:p>
            <w:pPr>
              <w:pStyle w:val="TableParagraph"/>
              <w:numPr>
                <w:ilvl w:val="0"/>
                <w:numId w:val="22"/>
              </w:numPr>
              <w:tabs>
                <w:tab w:pos="535" w:val="left" w:leader="none"/>
              </w:tabs>
              <w:spacing w:line="240" w:lineRule="auto" w:before="93" w:after="0"/>
              <w:ind w:left="534" w:right="0" w:hanging="453"/>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22"/>
              </w:numPr>
              <w:tabs>
                <w:tab w:pos="535" w:val="left" w:leader="none"/>
              </w:tabs>
              <w:spacing w:line="240" w:lineRule="auto" w:before="91" w:after="0"/>
              <w:ind w:left="534" w:right="0" w:hanging="453"/>
              <w:jc w:val="left"/>
              <w:rPr>
                <w:sz w:val="22"/>
              </w:rPr>
            </w:pPr>
            <w:r>
              <w:rPr>
                <w:spacing w:val="-3"/>
                <w:sz w:val="22"/>
              </w:rPr>
              <w:t>因缺氧必须接受持续的输氧治疗。</w:t>
            </w:r>
          </w:p>
        </w:tc>
      </w:tr>
      <w:tr>
        <w:trPr>
          <w:trHeight w:val="2280" w:hRule="atLeast"/>
        </w:trPr>
        <w:tc>
          <w:tcPr>
            <w:tcW w:w="1669" w:type="dxa"/>
          </w:tcPr>
          <w:p>
            <w:pPr>
              <w:pStyle w:val="TableParagraph"/>
              <w:spacing w:before="153"/>
              <w:ind w:left="200" w:right="116"/>
              <w:rPr>
                <w:rFonts w:ascii="微软雅黑" w:eastAsia="微软雅黑" w:hint="eastAsia"/>
                <w:b/>
                <w:sz w:val="22"/>
              </w:rPr>
            </w:pPr>
            <w:r>
              <w:rPr>
                <w:rFonts w:ascii="微软雅黑" w:eastAsia="微软雅黑" w:hint="eastAsia"/>
                <w:b/>
                <w:sz w:val="22"/>
              </w:rPr>
              <w:t>严重多发性硬化</w:t>
            </w:r>
          </w:p>
        </w:tc>
        <w:tc>
          <w:tcPr>
            <w:tcW w:w="7599" w:type="dxa"/>
          </w:tcPr>
          <w:p>
            <w:pPr>
              <w:pStyle w:val="TableParagraph"/>
              <w:ind w:left="0"/>
              <w:rPr>
                <w:rFonts w:ascii="Times New Roman"/>
                <w:sz w:val="19"/>
              </w:rPr>
            </w:pPr>
          </w:p>
          <w:p>
            <w:pPr>
              <w:pStyle w:val="TableParagraph"/>
              <w:spacing w:line="316" w:lineRule="auto"/>
              <w:ind w:left="81" w:right="202"/>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3"/>
              </w:numPr>
              <w:tabs>
                <w:tab w:pos="535" w:val="left" w:leader="none"/>
              </w:tabs>
              <w:spacing w:line="240" w:lineRule="auto" w:before="22" w:after="0"/>
              <w:ind w:left="534" w:right="0" w:hanging="453"/>
              <w:jc w:val="both"/>
              <w:rPr>
                <w:sz w:val="22"/>
              </w:rPr>
            </w:pPr>
            <w:r>
              <w:rPr>
                <w:spacing w:val="-3"/>
                <w:sz w:val="22"/>
              </w:rPr>
              <w:t>移动：自己从一个房间移动到另一个房间；或者</w:t>
            </w:r>
          </w:p>
          <w:p>
            <w:pPr>
              <w:pStyle w:val="TableParagraph"/>
              <w:numPr>
                <w:ilvl w:val="0"/>
                <w:numId w:val="23"/>
              </w:numPr>
              <w:tabs>
                <w:tab w:pos="535" w:val="left" w:leader="none"/>
              </w:tabs>
              <w:spacing w:line="240" w:lineRule="auto" w:before="90" w:after="0"/>
              <w:ind w:left="534" w:right="0" w:hanging="453"/>
              <w:jc w:val="both"/>
              <w:rPr>
                <w:sz w:val="22"/>
              </w:rPr>
            </w:pPr>
            <w:r>
              <w:rPr>
                <w:spacing w:val="-3"/>
                <w:sz w:val="22"/>
              </w:rPr>
              <w:t>进食：自己从已准备好的碗或碟中取食物放入口中。</w:t>
            </w:r>
          </w:p>
        </w:tc>
      </w:tr>
      <w:tr>
        <w:trPr>
          <w:trHeight w:val="1900" w:hRule="atLeast"/>
        </w:trPr>
        <w:tc>
          <w:tcPr>
            <w:tcW w:w="1669" w:type="dxa"/>
          </w:tcPr>
          <w:p>
            <w:pPr>
              <w:pStyle w:val="TableParagraph"/>
              <w:spacing w:before="153"/>
              <w:ind w:left="200"/>
              <w:rPr>
                <w:rFonts w:ascii="微软雅黑" w:eastAsia="微软雅黑" w:hint="eastAsia"/>
                <w:b/>
                <w:sz w:val="22"/>
              </w:rPr>
            </w:pPr>
            <w:r>
              <w:rPr>
                <w:rFonts w:ascii="微软雅黑" w:eastAsia="微软雅黑" w:hint="eastAsia"/>
                <w:b/>
                <w:sz w:val="22"/>
              </w:rPr>
              <w:t>严重冠心病</w:t>
            </w:r>
          </w:p>
        </w:tc>
        <w:tc>
          <w:tcPr>
            <w:tcW w:w="7599" w:type="dxa"/>
          </w:tcPr>
          <w:p>
            <w:pPr>
              <w:pStyle w:val="TableParagraph"/>
              <w:ind w:left="0"/>
              <w:rPr>
                <w:rFonts w:ascii="Times New Roman"/>
                <w:sz w:val="19"/>
              </w:rPr>
            </w:pPr>
          </w:p>
          <w:p>
            <w:pPr>
              <w:pStyle w:val="TableParagraph"/>
              <w:spacing w:line="316" w:lineRule="auto"/>
              <w:ind w:left="81" w:right="198"/>
              <w:jc w:val="both"/>
              <w:rPr>
                <w:sz w:val="22"/>
              </w:rPr>
            </w:pPr>
            <w:r>
              <w:rPr>
                <w:sz w:val="22"/>
              </w:rPr>
              <w:t>指根据冠状动脉造影检查结果确诊的三支主要血管严重狭窄性病变（至少一</w:t>
            </w:r>
            <w:r>
              <w:rPr>
                <w:spacing w:val="1"/>
                <w:sz w:val="22"/>
              </w:rPr>
              <w:t>支血管管腔直径减少 </w:t>
            </w:r>
            <w:r>
              <w:rPr>
                <w:sz w:val="22"/>
              </w:rPr>
              <w:t>75</w:t>
            </w:r>
            <w:r>
              <w:rPr>
                <w:spacing w:val="0"/>
                <w:sz w:val="22"/>
              </w:rPr>
              <w:t>％以上和其他两支血管管腔直径减少 </w:t>
            </w:r>
            <w:r>
              <w:rPr>
                <w:sz w:val="22"/>
              </w:rPr>
              <w:t>60％以上）。冠状动脉的主要血管指左冠状动脉主干、前降支、左旋支及右冠状动脉。</w:t>
            </w:r>
            <w:r>
              <w:rPr>
                <w:sz w:val="22"/>
                <w:shd w:fill="9F9F9F" w:color="auto" w:val="clear"/>
              </w:rPr>
              <w:t>前</w:t>
            </w:r>
            <w:r>
              <w:rPr>
                <w:spacing w:val="-221"/>
                <w:sz w:val="22"/>
                <w:shd w:fill="9F9F9F" w:color="auto" w:val="clear"/>
              </w:rPr>
              <w:t>降</w:t>
            </w:r>
            <w:r>
              <w:rPr>
                <w:spacing w:val="-3"/>
                <w:sz w:val="22"/>
                <w:shd w:fill="9F9F9F" w:color="auto" w:val="clear"/>
              </w:rPr>
              <w:t>支、左旋支及右冠状动脉的分支血管的狭窄不作为本保障的衡量指标</w:t>
            </w:r>
            <w:r>
              <w:rPr>
                <w:sz w:val="22"/>
              </w:rPr>
              <w:t>。</w:t>
            </w:r>
          </w:p>
        </w:tc>
      </w:tr>
      <w:tr>
        <w:trPr>
          <w:trHeight w:val="1520" w:hRule="atLeast"/>
        </w:trPr>
        <w:tc>
          <w:tcPr>
            <w:tcW w:w="1669" w:type="dxa"/>
          </w:tcPr>
          <w:p>
            <w:pPr>
              <w:pStyle w:val="TableParagraph"/>
              <w:spacing w:before="152"/>
              <w:ind w:left="200"/>
              <w:rPr>
                <w:rFonts w:ascii="微软雅黑" w:eastAsia="微软雅黑" w:hint="eastAsia"/>
                <w:b/>
                <w:sz w:val="22"/>
              </w:rPr>
            </w:pPr>
            <w:r>
              <w:rPr>
                <w:rFonts w:ascii="微软雅黑" w:eastAsia="微软雅黑" w:hint="eastAsia"/>
                <w:b/>
                <w:sz w:val="22"/>
              </w:rPr>
              <w:t>严重心肌病</w:t>
            </w:r>
          </w:p>
        </w:tc>
        <w:tc>
          <w:tcPr>
            <w:tcW w:w="7599" w:type="dxa"/>
          </w:tcPr>
          <w:p>
            <w:pPr>
              <w:pStyle w:val="TableParagraph"/>
              <w:spacing w:before="10"/>
              <w:ind w:left="0"/>
              <w:rPr>
                <w:rFonts w:ascii="Times New Roman"/>
                <w:sz w:val="18"/>
              </w:rPr>
            </w:pPr>
          </w:p>
          <w:p>
            <w:pPr>
              <w:pStyle w:val="TableParagraph"/>
              <w:spacing w:line="316" w:lineRule="auto" w:before="1"/>
              <w:ind w:left="81" w:right="199"/>
              <w:jc w:val="both"/>
              <w:rPr>
                <w:sz w:val="22"/>
              </w:rPr>
            </w:pPr>
            <w:r>
              <w:rPr>
                <w:sz w:val="22"/>
              </w:rPr>
              <w:t>指被保人因心肌病导致慢性心功能损害造成永久不可逆性的心功能衰竭。心功能衰竭程度达到纽约心脏病学会的心功能分级标准之心功能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3546" w:hRule="atLeast"/>
        </w:trPr>
        <w:tc>
          <w:tcPr>
            <w:tcW w:w="1669" w:type="dxa"/>
          </w:tcPr>
          <w:p>
            <w:pPr>
              <w:pStyle w:val="TableParagraph"/>
              <w:spacing w:before="153"/>
              <w:ind w:left="200" w:right="115"/>
              <w:rPr>
                <w:rFonts w:ascii="微软雅黑" w:eastAsia="微软雅黑" w:hint="eastAsia"/>
                <w:b/>
                <w:sz w:val="22"/>
              </w:rPr>
            </w:pPr>
            <w:r>
              <w:rPr>
                <w:rFonts w:ascii="微软雅黑" w:eastAsia="微软雅黑" w:hint="eastAsia"/>
                <w:b/>
                <w:spacing w:val="1"/>
                <w:sz w:val="22"/>
              </w:rPr>
              <w:t>系统性红斑狼疮 － </w:t>
            </w:r>
            <w:r>
              <w:rPr>
                <w:rFonts w:ascii="Microsoft JhengHei UI" w:eastAsia="Microsoft JhengHei UI" w:hint="eastAsia"/>
                <w:b/>
                <w:spacing w:val="1"/>
                <w:sz w:val="22"/>
              </w:rPr>
              <w:t>III</w:t>
            </w:r>
            <w:r>
              <w:rPr>
                <w:rFonts w:ascii="Microsoft JhengHei UI" w:eastAsia="Microsoft JhengHei UI" w:hint="eastAsia"/>
                <w:b/>
                <w:spacing w:val="13"/>
                <w:sz w:val="22"/>
              </w:rPr>
              <w:t> </w:t>
            </w:r>
            <w:r>
              <w:rPr>
                <w:rFonts w:ascii="微软雅黑" w:eastAsia="微软雅黑" w:hint="eastAsia"/>
                <w:b/>
                <w:sz w:val="22"/>
              </w:rPr>
              <w:t>型 或</w:t>
            </w:r>
          </w:p>
          <w:p>
            <w:pPr>
              <w:pStyle w:val="TableParagraph"/>
              <w:ind w:left="200" w:right="79"/>
              <w:rPr>
                <w:rFonts w:ascii="微软雅黑" w:eastAsia="微软雅黑" w:hint="eastAsia"/>
                <w:b/>
                <w:sz w:val="22"/>
              </w:rPr>
            </w:pPr>
            <w:r>
              <w:rPr>
                <w:rFonts w:ascii="Microsoft JhengHei UI" w:eastAsia="Microsoft JhengHei UI" w:hint="eastAsia"/>
                <w:b/>
                <w:sz w:val="22"/>
              </w:rPr>
              <w:t>III </w:t>
            </w:r>
            <w:r>
              <w:rPr>
                <w:rFonts w:ascii="微软雅黑" w:eastAsia="微软雅黑" w:hint="eastAsia"/>
                <w:b/>
                <w:sz w:val="22"/>
              </w:rPr>
              <w:t>型以上狼疮性肾炎</w:t>
            </w:r>
          </w:p>
        </w:tc>
        <w:tc>
          <w:tcPr>
            <w:tcW w:w="7599" w:type="dxa"/>
          </w:tcPr>
          <w:p>
            <w:pPr>
              <w:pStyle w:val="TableParagraph"/>
              <w:ind w:left="0"/>
              <w:rPr>
                <w:rFonts w:ascii="Times New Roman"/>
                <w:sz w:val="19"/>
              </w:rPr>
            </w:pPr>
          </w:p>
          <w:p>
            <w:pPr>
              <w:pStyle w:val="TableParagraph"/>
              <w:spacing w:line="316" w:lineRule="auto"/>
              <w:ind w:left="81" w:right="201"/>
              <w:rPr>
                <w:sz w:val="22"/>
              </w:rPr>
            </w:pPr>
            <w:r>
              <w:rPr>
                <w:sz w:val="22"/>
              </w:rPr>
              <w:t>系统性红斑狼疮是由多种因素引起，累及多系统的自身免疫性疾病。其特点是生成自身抗体对抗多种自身抗原。多见于育龄妇女。</w:t>
            </w:r>
          </w:p>
          <w:p>
            <w:pPr>
              <w:pStyle w:val="TableParagraph"/>
              <w:spacing w:before="21"/>
              <w:ind w:left="81"/>
              <w:rPr>
                <w:sz w:val="22"/>
              </w:rPr>
            </w:pPr>
            <w:r>
              <w:rPr>
                <w:sz w:val="22"/>
                <w:shd w:fill="9F9F9F" w:color="auto" w:val="clear"/>
              </w:rPr>
              <w:t>本保单所指的系统性红斑狼疮仅限于累及肾脏（经肾脏活检确认的，符合</w:t>
            </w:r>
          </w:p>
          <w:p>
            <w:pPr>
              <w:pStyle w:val="TableParagraph"/>
              <w:spacing w:line="316" w:lineRule="auto" w:before="94"/>
              <w:ind w:left="81" w:right="202"/>
              <w:jc w:val="both"/>
              <w:rPr>
                <w:sz w:val="22"/>
              </w:rPr>
            </w:pPr>
            <w:r>
              <w:rPr>
                <w:sz w:val="22"/>
                <w:shd w:fill="9F9F9F" w:color="auto" w:val="clear"/>
              </w:rPr>
              <w:t>WHO</w:t>
            </w:r>
            <w:r>
              <w:rPr>
                <w:spacing w:val="-10"/>
                <w:sz w:val="22"/>
                <w:shd w:fill="9F9F9F" w:color="auto" w:val="clear"/>
              </w:rPr>
              <w:t> 诊断标准定义 </w:t>
            </w:r>
            <w:r>
              <w:rPr>
                <w:sz w:val="22"/>
                <w:shd w:fill="9F9F9F" w:color="auto" w:val="clear"/>
              </w:rPr>
              <w:t>III</w:t>
            </w:r>
            <w:r>
              <w:rPr>
                <w:spacing w:val="-17"/>
                <w:sz w:val="22"/>
                <w:shd w:fill="9F9F9F" w:color="auto" w:val="clear"/>
              </w:rPr>
              <w:t> 型或 </w:t>
            </w:r>
            <w:r>
              <w:rPr>
                <w:sz w:val="22"/>
                <w:shd w:fill="9F9F9F" w:color="auto" w:val="clear"/>
              </w:rPr>
              <w:t>III</w:t>
            </w:r>
            <w:r>
              <w:rPr>
                <w:spacing w:val="-6"/>
                <w:sz w:val="22"/>
                <w:shd w:fill="9F9F9F" w:color="auto" w:val="clear"/>
              </w:rPr>
              <w:t> 型以上狼疮性肾炎</w:t>
            </w:r>
            <w:r>
              <w:rPr>
                <w:sz w:val="22"/>
                <w:shd w:fill="9F9F9F" w:color="auto" w:val="clear"/>
              </w:rPr>
              <w:t>）</w:t>
            </w:r>
            <w:r>
              <w:rPr>
                <w:spacing w:val="-3"/>
                <w:sz w:val="22"/>
                <w:shd w:fill="9F9F9F" w:color="auto" w:val="clear"/>
              </w:rPr>
              <w:t>的系统性红斑狼疮。其他类型的红斑性狼疮，如盘状狼疮、仅累及血液及关节的狼疮不在本保单保</w:t>
            </w:r>
            <w:r>
              <w:rPr>
                <w:spacing w:val="-1"/>
                <w:sz w:val="22"/>
                <w:shd w:fill="9F9F9F" w:color="auto" w:val="clear"/>
              </w:rPr>
              <w:t>障范围内</w:t>
            </w:r>
            <w:r>
              <w:rPr>
                <w:sz w:val="22"/>
              </w:rPr>
              <w:t>。</w:t>
            </w:r>
          </w:p>
          <w:p>
            <w:pPr>
              <w:pStyle w:val="TableParagraph"/>
              <w:spacing w:before="23"/>
              <w:ind w:left="81"/>
              <w:jc w:val="both"/>
              <w:rPr>
                <w:sz w:val="22"/>
              </w:rPr>
            </w:pPr>
            <w:r>
              <w:rPr>
                <w:sz w:val="22"/>
              </w:rPr>
              <w:t>世界卫生组织（WHO）狼疮性肾炎分型：</w:t>
            </w:r>
          </w:p>
          <w:p>
            <w:pPr>
              <w:pStyle w:val="TableParagraph"/>
              <w:numPr>
                <w:ilvl w:val="0"/>
                <w:numId w:val="24"/>
              </w:numPr>
              <w:tabs>
                <w:tab w:pos="247" w:val="left" w:leader="none"/>
              </w:tabs>
              <w:spacing w:line="240" w:lineRule="auto" w:before="91" w:after="0"/>
              <w:ind w:left="246" w:right="0" w:hanging="165"/>
              <w:jc w:val="both"/>
              <w:rPr>
                <w:sz w:val="22"/>
              </w:rPr>
            </w:pPr>
            <w:r>
              <w:rPr>
                <w:spacing w:val="-1"/>
                <w:sz w:val="22"/>
              </w:rPr>
              <w:t>型    微小病变型</w:t>
            </w:r>
          </w:p>
          <w:p>
            <w:pPr>
              <w:pStyle w:val="TableParagraph"/>
              <w:numPr>
                <w:ilvl w:val="0"/>
                <w:numId w:val="24"/>
              </w:numPr>
              <w:tabs>
                <w:tab w:pos="358" w:val="left" w:leader="none"/>
              </w:tabs>
              <w:spacing w:line="268" w:lineRule="exact" w:before="91" w:after="0"/>
              <w:ind w:left="357" w:right="0" w:hanging="276"/>
              <w:jc w:val="both"/>
              <w:rPr>
                <w:sz w:val="22"/>
              </w:rPr>
            </w:pPr>
            <w:r>
              <w:rPr>
                <w:spacing w:val="-1"/>
                <w:sz w:val="22"/>
              </w:rPr>
              <w:t>型   系膜病变型</w:t>
            </w:r>
          </w:p>
        </w:tc>
      </w:tr>
    </w:tbl>
    <w:p>
      <w:pPr>
        <w:spacing w:after="0" w:line="268" w:lineRule="exact"/>
        <w:jc w:val="both"/>
        <w:rPr>
          <w:sz w:val="22"/>
        </w:rPr>
        <w:sectPr>
          <w:pgSz w:w="11910" w:h="16850"/>
          <w:pgMar w:top="1600" w:bottom="280" w:left="1600" w:right="820"/>
        </w:sectPr>
      </w:pPr>
    </w:p>
    <w:p>
      <w:pPr>
        <w:pStyle w:val="ListParagraph"/>
        <w:numPr>
          <w:ilvl w:val="0"/>
          <w:numId w:val="25"/>
        </w:numPr>
        <w:tabs>
          <w:tab w:pos="2168" w:val="left" w:leader="none"/>
          <w:tab w:pos="2607" w:val="left" w:leader="none"/>
        </w:tabs>
        <w:spacing w:line="240" w:lineRule="auto" w:before="5" w:after="0"/>
        <w:ind w:left="2167" w:right="0" w:hanging="386"/>
        <w:jc w:val="left"/>
        <w:rPr>
          <w:sz w:val="22"/>
        </w:rPr>
      </w:pPr>
      <w:r>
        <w:rPr>
          <w:sz w:val="22"/>
        </w:rPr>
        <w:t>型</w:t>
        <w:tab/>
        <w:t>局灶</w:t>
      </w:r>
      <w:r>
        <w:rPr>
          <w:spacing w:val="-3"/>
          <w:sz w:val="22"/>
        </w:rPr>
        <w:t>及</w:t>
      </w:r>
      <w:r>
        <w:rPr>
          <w:sz w:val="22"/>
        </w:rPr>
        <w:t>节段</w:t>
      </w:r>
      <w:r>
        <w:rPr>
          <w:spacing w:val="-3"/>
          <w:sz w:val="22"/>
        </w:rPr>
        <w:t>增生</w:t>
      </w:r>
      <w:r>
        <w:rPr>
          <w:sz w:val="22"/>
        </w:rPr>
        <w:t>型</w:t>
      </w:r>
    </w:p>
    <w:p>
      <w:pPr>
        <w:pStyle w:val="ListParagraph"/>
        <w:numPr>
          <w:ilvl w:val="0"/>
          <w:numId w:val="25"/>
        </w:numPr>
        <w:tabs>
          <w:tab w:pos="2058" w:val="left" w:leader="none"/>
          <w:tab w:pos="2607" w:val="left" w:leader="none"/>
        </w:tabs>
        <w:spacing w:line="240" w:lineRule="auto" w:before="91" w:after="0"/>
        <w:ind w:left="2057" w:right="0" w:hanging="276"/>
        <w:jc w:val="left"/>
        <w:rPr>
          <w:sz w:val="22"/>
        </w:rPr>
      </w:pPr>
      <w:r>
        <w:rPr>
          <w:sz w:val="22"/>
        </w:rPr>
        <w:t>型</w:t>
        <w:tab/>
        <w:t>弥漫</w:t>
      </w:r>
      <w:r>
        <w:rPr>
          <w:spacing w:val="-3"/>
          <w:sz w:val="22"/>
        </w:rPr>
        <w:t>增</w:t>
      </w:r>
      <w:r>
        <w:rPr>
          <w:sz w:val="22"/>
        </w:rPr>
        <w:t>生型</w:t>
      </w:r>
    </w:p>
    <w:p>
      <w:pPr>
        <w:pStyle w:val="ListParagraph"/>
        <w:numPr>
          <w:ilvl w:val="0"/>
          <w:numId w:val="25"/>
        </w:numPr>
        <w:tabs>
          <w:tab w:pos="1947" w:val="left" w:leader="none"/>
          <w:tab w:pos="2607" w:val="left" w:leader="none"/>
        </w:tabs>
        <w:spacing w:line="240" w:lineRule="auto" w:before="91" w:after="0"/>
        <w:ind w:left="1946" w:right="0" w:hanging="165"/>
        <w:jc w:val="left"/>
        <w:rPr>
          <w:sz w:val="22"/>
        </w:rPr>
      </w:pPr>
      <w:r>
        <w:rPr>
          <w:sz w:val="22"/>
        </w:rPr>
        <w:t>型</w:t>
        <w:tab/>
        <w:t>膜型</w:t>
      </w:r>
    </w:p>
    <w:p>
      <w:pPr>
        <w:pStyle w:val="ListParagraph"/>
        <w:numPr>
          <w:ilvl w:val="0"/>
          <w:numId w:val="25"/>
        </w:numPr>
        <w:tabs>
          <w:tab w:pos="2058" w:val="left" w:leader="none"/>
          <w:tab w:pos="2607" w:val="left" w:leader="none"/>
        </w:tabs>
        <w:spacing w:line="240" w:lineRule="auto" w:before="93" w:after="0"/>
        <w:ind w:left="2057" w:right="0" w:hanging="276"/>
        <w:jc w:val="left"/>
        <w:rPr>
          <w:sz w:val="22"/>
        </w:rPr>
      </w:pPr>
      <w:r>
        <w:rPr>
          <w:sz w:val="22"/>
        </w:rPr>
        <w:t>型</w:t>
        <w:tab/>
        <w:t>肾小</w:t>
      </w:r>
      <w:r>
        <w:rPr>
          <w:spacing w:val="-3"/>
          <w:sz w:val="22"/>
        </w:rPr>
        <w:t>球</w:t>
      </w:r>
      <w:r>
        <w:rPr>
          <w:sz w:val="22"/>
        </w:rPr>
        <w:t>硬化型</w:t>
      </w:r>
    </w:p>
    <w:p>
      <w:pPr>
        <w:pStyle w:val="BodyText"/>
        <w:rPr>
          <w:sz w:val="20"/>
        </w:rPr>
      </w:pPr>
    </w:p>
    <w:p>
      <w:pPr>
        <w:spacing w:after="0"/>
        <w:rPr>
          <w:sz w:val="20"/>
        </w:rPr>
        <w:sectPr>
          <w:pgSz w:w="11910" w:h="16850"/>
          <w:pgMar w:top="1460" w:bottom="280" w:left="1680" w:right="1020"/>
        </w:sectPr>
      </w:pPr>
    </w:p>
    <w:p>
      <w:pPr>
        <w:pStyle w:val="Heading3"/>
        <w:spacing w:before="142"/>
        <w:jc w:val="both"/>
      </w:pPr>
      <w:r>
        <w:rPr/>
        <w:t>经输血导致的人类免疫缺陷病毒（</w:t>
      </w:r>
      <w:r>
        <w:rPr>
          <w:rFonts w:ascii="Microsoft JhengHei UI" w:eastAsia="Microsoft JhengHei UI" w:hint="eastAsia"/>
        </w:rPr>
        <w:t>HIV</w:t>
      </w:r>
      <w:r>
        <w:rPr/>
        <w:t>） 感染</w:t>
      </w:r>
    </w:p>
    <w:p>
      <w:pPr>
        <w:pStyle w:val="BodyText"/>
        <w:rPr>
          <w:rFonts w:ascii="微软雅黑"/>
          <w:b/>
          <w:sz w:val="12"/>
        </w:rPr>
      </w:pPr>
      <w:r>
        <w:rPr/>
        <w:br w:type="column"/>
      </w:r>
      <w:r>
        <w:rPr>
          <w:rFonts w:ascii="微软雅黑"/>
          <w:b/>
          <w:sz w:val="12"/>
        </w:rPr>
      </w:r>
    </w:p>
    <w:p>
      <w:pPr>
        <w:pStyle w:val="BodyText"/>
        <w:spacing w:before="1"/>
        <w:ind w:left="156"/>
      </w:pPr>
      <w:r>
        <w:rPr/>
        <w:t>被保险人感染上人类免疫缺陷病毒（HIV）并且满足下列全部条件：</w:t>
      </w:r>
    </w:p>
    <w:p>
      <w:pPr>
        <w:pStyle w:val="ListParagraph"/>
        <w:numPr>
          <w:ilvl w:val="0"/>
          <w:numId w:val="26"/>
        </w:numPr>
        <w:tabs>
          <w:tab w:pos="611" w:val="left" w:leader="none"/>
        </w:tabs>
        <w:spacing w:line="240" w:lineRule="auto" w:before="94" w:after="0"/>
        <w:ind w:left="610" w:right="0" w:hanging="454"/>
        <w:jc w:val="left"/>
        <w:rPr>
          <w:sz w:val="22"/>
        </w:rPr>
      </w:pPr>
      <w:r>
        <w:rPr>
          <w:spacing w:val="-5"/>
          <w:sz w:val="22"/>
        </w:rPr>
        <w:t>在保障起始日或复效日之后，被保险人因输血而感染 </w:t>
      </w:r>
      <w:r>
        <w:rPr>
          <w:sz w:val="22"/>
        </w:rPr>
        <w:t>HIV；</w:t>
      </w:r>
    </w:p>
    <w:p>
      <w:pPr>
        <w:pStyle w:val="ListParagraph"/>
        <w:numPr>
          <w:ilvl w:val="0"/>
          <w:numId w:val="26"/>
        </w:numPr>
        <w:tabs>
          <w:tab w:pos="611" w:val="left" w:leader="none"/>
        </w:tabs>
        <w:spacing w:line="316" w:lineRule="auto" w:before="91" w:after="0"/>
        <w:ind w:left="610" w:right="111" w:hanging="454"/>
        <w:jc w:val="left"/>
        <w:rPr>
          <w:sz w:val="22"/>
        </w:rPr>
      </w:pPr>
      <w:r>
        <w:rPr>
          <w:sz w:val="22"/>
        </w:rPr>
        <w:t>提供输血治疗的输血中心或医院出具该项输血感染属医疗责任事故的报</w:t>
      </w:r>
      <w:r>
        <w:rPr>
          <w:spacing w:val="-3"/>
          <w:sz w:val="22"/>
        </w:rPr>
        <w:t>告，或者法院终审裁定为医疗责任并且不准上诉；</w:t>
      </w:r>
    </w:p>
    <w:p>
      <w:pPr>
        <w:pStyle w:val="ListParagraph"/>
        <w:numPr>
          <w:ilvl w:val="0"/>
          <w:numId w:val="26"/>
        </w:numPr>
        <w:tabs>
          <w:tab w:pos="611" w:val="left" w:leader="none"/>
        </w:tabs>
        <w:spacing w:line="240" w:lineRule="auto" w:before="23" w:after="0"/>
        <w:ind w:left="610" w:right="0" w:hanging="454"/>
        <w:jc w:val="left"/>
        <w:rPr>
          <w:sz w:val="22"/>
        </w:rPr>
      </w:pPr>
      <w:r>
        <w:rPr>
          <w:spacing w:val="-3"/>
          <w:sz w:val="22"/>
        </w:rPr>
        <w:t>受感染的被保险人不是血友病患者。</w:t>
      </w:r>
    </w:p>
    <w:p>
      <w:pPr>
        <w:pStyle w:val="BodyText"/>
        <w:spacing w:line="316" w:lineRule="auto" w:before="92"/>
        <w:ind w:left="156" w:right="44"/>
      </w:pPr>
      <w:r>
        <w:rPr>
          <w:shd w:fill="9F9F9F" w:color="auto" w:val="clear"/>
        </w:rPr>
        <w:t>在任何治愈艾滋病（AIDS）或阻止 HIV 病毒作用的疗法被发现以后，或能防止 AIDS 发生的医疗方法被研究出来以后，本保障将不再予以赔付</w:t>
      </w:r>
      <w:r>
        <w:rPr/>
        <w:t>。</w:t>
      </w:r>
    </w:p>
    <w:p>
      <w:pPr>
        <w:pStyle w:val="BodyText"/>
        <w:spacing w:line="316" w:lineRule="auto" w:before="23"/>
        <w:ind w:left="156" w:right="110"/>
      </w:pPr>
      <w:r>
        <w:rPr/>
        <w:t>保险公司必须拥有获得使用被保险人的所有血液样本的权利和能够对这些样本进行独立检验的权利。</w:t>
      </w:r>
    </w:p>
    <w:p>
      <w:pPr>
        <w:spacing w:after="0" w:line="316" w:lineRule="auto"/>
        <w:sectPr>
          <w:type w:val="continuous"/>
          <w:pgSz w:w="11910" w:h="16850"/>
          <w:pgMar w:top="1440" w:bottom="280" w:left="1680" w:right="1020"/>
          <w:cols w:num="2" w:equalWidth="0">
            <w:col w:w="1585" w:space="40"/>
            <w:col w:w="7585"/>
          </w:cols>
        </w:sectPr>
      </w:pPr>
    </w:p>
    <w:p>
      <w:pPr>
        <w:pStyle w:val="BodyText"/>
        <w:spacing w:before="9"/>
        <w:rPr>
          <w:sz w:val="25"/>
        </w:rPr>
      </w:pPr>
    </w:p>
    <w:p>
      <w:pPr>
        <w:spacing w:after="0"/>
        <w:rPr>
          <w:sz w:val="25"/>
        </w:rPr>
        <w:sectPr>
          <w:type w:val="continuous"/>
          <w:pgSz w:w="11910" w:h="16850"/>
          <w:pgMar w:top="1440" w:bottom="280" w:left="1680" w:right="1020"/>
        </w:sectPr>
      </w:pPr>
    </w:p>
    <w:p>
      <w:pPr>
        <w:pStyle w:val="Heading3"/>
        <w:jc w:val="both"/>
      </w:pPr>
      <w:r>
        <w:rPr>
          <w:spacing w:val="1"/>
        </w:rPr>
        <w:t>因职业关系导致的人类免疫</w:t>
      </w:r>
      <w:r>
        <w:rPr>
          <w:spacing w:val="60"/>
        </w:rPr>
        <w:t>缺陷病毒</w:t>
      </w:r>
      <w:r>
        <w:rPr/>
        <w:t>（ </w:t>
      </w:r>
      <w:r>
        <w:rPr>
          <w:rFonts w:ascii="Microsoft JhengHei UI" w:eastAsia="Microsoft JhengHei UI" w:hint="eastAsia"/>
          <w:spacing w:val="-2"/>
        </w:rPr>
        <w:t>HIV</w:t>
      </w:r>
      <w:r>
        <w:rPr>
          <w:spacing w:val="-2"/>
        </w:rPr>
        <w:t>）感染</w:t>
      </w:r>
    </w:p>
    <w:p>
      <w:pPr>
        <w:pStyle w:val="BodyText"/>
        <w:spacing w:line="316" w:lineRule="auto" w:before="66"/>
        <w:ind w:left="94" w:right="110"/>
      </w:pPr>
      <w:r>
        <w:rPr/>
        <w:br w:type="column"/>
      </w:r>
      <w:r>
        <w:rPr/>
        <w:t>被保险人在其常规职业工作过程中遭遇外伤，或者职业需要处理血液或者其他体液时感染上人类免疫缺陷病毒（HIV）。</w:t>
      </w:r>
    </w:p>
    <w:p>
      <w:pPr>
        <w:pStyle w:val="BodyText"/>
        <w:spacing w:before="20"/>
        <w:ind w:left="94"/>
      </w:pPr>
      <w:r>
        <w:rPr/>
        <w:t>必须满足下列全部条件：</w:t>
      </w:r>
    </w:p>
    <w:p>
      <w:pPr>
        <w:pStyle w:val="ListParagraph"/>
        <w:numPr>
          <w:ilvl w:val="0"/>
          <w:numId w:val="27"/>
        </w:numPr>
        <w:tabs>
          <w:tab w:pos="548" w:val="left" w:leader="none"/>
        </w:tabs>
        <w:spacing w:line="316" w:lineRule="auto" w:before="93" w:after="0"/>
        <w:ind w:left="547" w:right="111" w:hanging="453"/>
        <w:jc w:val="left"/>
        <w:rPr>
          <w:sz w:val="22"/>
        </w:rPr>
      </w:pPr>
      <w:r>
        <w:rPr>
          <w:sz w:val="22"/>
        </w:rPr>
        <w:t>感染必须是在被保险人正在从事其职业工作中发生，该职业必须属于以</w:t>
      </w:r>
      <w:r>
        <w:rPr>
          <w:spacing w:val="-2"/>
          <w:sz w:val="22"/>
        </w:rPr>
        <w:t>下列表内的职业；</w:t>
      </w:r>
    </w:p>
    <w:p>
      <w:pPr>
        <w:pStyle w:val="ListParagraph"/>
        <w:numPr>
          <w:ilvl w:val="0"/>
          <w:numId w:val="27"/>
        </w:numPr>
        <w:tabs>
          <w:tab w:pos="548" w:val="left" w:leader="none"/>
        </w:tabs>
        <w:spacing w:line="240" w:lineRule="auto" w:before="21" w:after="0"/>
        <w:ind w:left="547" w:right="0" w:hanging="453"/>
        <w:jc w:val="left"/>
        <w:rPr>
          <w:sz w:val="22"/>
        </w:rPr>
      </w:pPr>
      <w:r>
        <w:rPr>
          <w:spacing w:val="-7"/>
          <w:sz w:val="22"/>
        </w:rPr>
        <w:t>血清转化必须出现在事故发生后的 </w:t>
      </w:r>
      <w:r>
        <w:rPr>
          <w:sz w:val="22"/>
        </w:rPr>
        <w:t>6 个月以内；</w:t>
      </w:r>
    </w:p>
    <w:p>
      <w:pPr>
        <w:pStyle w:val="ListParagraph"/>
        <w:numPr>
          <w:ilvl w:val="0"/>
          <w:numId w:val="27"/>
        </w:numPr>
        <w:tabs>
          <w:tab w:pos="548" w:val="left" w:leader="none"/>
        </w:tabs>
        <w:spacing w:line="316" w:lineRule="auto" w:before="93" w:after="0"/>
        <w:ind w:left="547" w:right="108" w:hanging="453"/>
        <w:jc w:val="left"/>
        <w:rPr>
          <w:sz w:val="22"/>
        </w:rPr>
      </w:pPr>
      <w:r>
        <w:rPr>
          <w:spacing w:val="0"/>
          <w:sz w:val="22"/>
        </w:rPr>
        <w:t>必须提供被保险人在所报事故发生后的 </w:t>
      </w:r>
      <w:r>
        <w:rPr>
          <w:sz w:val="22"/>
        </w:rPr>
        <w:t>5</w:t>
      </w:r>
      <w:r>
        <w:rPr>
          <w:spacing w:val="0"/>
          <w:sz w:val="22"/>
        </w:rPr>
        <w:t> 天以内进行的检查报告，该</w:t>
      </w:r>
      <w:r>
        <w:rPr>
          <w:spacing w:val="-7"/>
          <w:sz w:val="22"/>
        </w:rPr>
        <w:t>报告必须显示被保险人血液 </w:t>
      </w:r>
      <w:r>
        <w:rPr>
          <w:sz w:val="22"/>
        </w:rPr>
        <w:t>HIV</w:t>
      </w:r>
      <w:r>
        <w:rPr>
          <w:spacing w:val="-1"/>
          <w:sz w:val="22"/>
        </w:rPr>
        <w:t> 病毒阴性和</w:t>
      </w:r>
      <w:r>
        <w:rPr>
          <w:sz w:val="22"/>
        </w:rPr>
        <w:t>/</w:t>
      </w:r>
      <w:r>
        <w:rPr>
          <w:spacing w:val="-27"/>
          <w:sz w:val="22"/>
        </w:rPr>
        <w:t>或 </w:t>
      </w:r>
      <w:r>
        <w:rPr>
          <w:sz w:val="22"/>
        </w:rPr>
        <w:t>HIV 抗体阴性；</w:t>
      </w:r>
    </w:p>
    <w:p>
      <w:pPr>
        <w:pStyle w:val="ListParagraph"/>
        <w:numPr>
          <w:ilvl w:val="0"/>
          <w:numId w:val="27"/>
        </w:numPr>
        <w:tabs>
          <w:tab w:pos="548" w:val="left" w:leader="none"/>
        </w:tabs>
        <w:spacing w:line="240" w:lineRule="auto" w:before="20" w:after="0"/>
        <w:ind w:left="547" w:right="0" w:hanging="453"/>
        <w:jc w:val="left"/>
        <w:rPr>
          <w:sz w:val="22"/>
        </w:rPr>
      </w:pPr>
      <w:r>
        <w:rPr>
          <w:spacing w:val="2"/>
          <w:sz w:val="22"/>
        </w:rPr>
        <w:t>必须在事故发生后的 </w:t>
      </w:r>
      <w:r>
        <w:rPr>
          <w:sz w:val="22"/>
        </w:rPr>
        <w:t>12</w:t>
      </w:r>
      <w:r>
        <w:rPr>
          <w:spacing w:val="1"/>
          <w:sz w:val="22"/>
        </w:rPr>
        <w:t> 个月内证实被保险人体内存在 </w:t>
      </w:r>
      <w:r>
        <w:rPr>
          <w:sz w:val="22"/>
        </w:rPr>
        <w:t>HIV</w:t>
      </w:r>
      <w:r>
        <w:rPr>
          <w:spacing w:val="3"/>
          <w:sz w:val="22"/>
        </w:rPr>
        <w:t> 病毒或者</w:t>
      </w:r>
    </w:p>
    <w:p>
      <w:pPr>
        <w:pStyle w:val="BodyText"/>
        <w:spacing w:line="316" w:lineRule="auto" w:before="93"/>
        <w:ind w:left="94" w:right="5550" w:firstLine="453"/>
      </w:pPr>
      <w:r>
        <w:rPr/>
        <w:t>HIV 抗体。职业限制如下所示:</w:t>
      </w:r>
    </w:p>
    <w:p>
      <w:pPr>
        <w:pStyle w:val="BodyText"/>
        <w:tabs>
          <w:tab w:pos="2406" w:val="left" w:leader="none"/>
        </w:tabs>
        <w:spacing w:before="20"/>
        <w:ind w:left="94"/>
      </w:pPr>
      <w:r>
        <w:rPr/>
        <w:t>医生和</w:t>
      </w:r>
      <w:r>
        <w:rPr>
          <w:spacing w:val="-3"/>
        </w:rPr>
        <w:t>牙</w:t>
      </w:r>
      <w:r>
        <w:rPr/>
        <w:t>科医生</w:t>
        <w:tab/>
        <w:t>护士</w:t>
      </w:r>
    </w:p>
    <w:p>
      <w:pPr>
        <w:pStyle w:val="BodyText"/>
        <w:tabs>
          <w:tab w:pos="2406" w:val="left" w:leader="none"/>
        </w:tabs>
        <w:spacing w:before="93"/>
        <w:ind w:left="94"/>
      </w:pPr>
      <w:r>
        <w:rPr/>
        <w:t>医院化</w:t>
      </w:r>
      <w:r>
        <w:rPr>
          <w:spacing w:val="-3"/>
        </w:rPr>
        <w:t>验</w:t>
      </w:r>
      <w:r>
        <w:rPr/>
        <w:t>室工</w:t>
      </w:r>
      <w:r>
        <w:rPr>
          <w:spacing w:val="-3"/>
        </w:rPr>
        <w:t>作</w:t>
      </w:r>
      <w:r>
        <w:rPr/>
        <w:t>人员</w:t>
        <w:tab/>
        <w:t>医院护工</w:t>
      </w:r>
    </w:p>
    <w:p>
      <w:pPr>
        <w:pStyle w:val="BodyText"/>
        <w:tabs>
          <w:tab w:pos="2406" w:val="left" w:leader="none"/>
        </w:tabs>
        <w:spacing w:line="316" w:lineRule="auto" w:before="91"/>
        <w:ind w:left="94" w:right="3568"/>
      </w:pPr>
      <w:r>
        <w:rPr/>
        <w:t>医生助</w:t>
      </w:r>
      <w:r>
        <w:rPr>
          <w:spacing w:val="-3"/>
        </w:rPr>
        <w:t>理</w:t>
      </w:r>
      <w:r>
        <w:rPr/>
        <w:t>和牙</w:t>
      </w:r>
      <w:r>
        <w:rPr>
          <w:spacing w:val="-3"/>
        </w:rPr>
        <w:t>医</w:t>
      </w:r>
      <w:r>
        <w:rPr/>
        <w:t>助理</w:t>
        <w:tab/>
        <w:t>救护车</w:t>
      </w:r>
      <w:r>
        <w:rPr>
          <w:spacing w:val="-3"/>
        </w:rPr>
        <w:t>工</w:t>
      </w:r>
      <w:r>
        <w:rPr/>
        <w:t>作人员 助产士</w:t>
        <w:tab/>
        <w:t>消防队员</w:t>
      </w:r>
    </w:p>
    <w:p>
      <w:pPr>
        <w:pStyle w:val="BodyText"/>
        <w:tabs>
          <w:tab w:pos="2406" w:val="left" w:leader="none"/>
        </w:tabs>
        <w:spacing w:before="23"/>
        <w:ind w:left="94"/>
      </w:pPr>
      <w:r>
        <w:rPr/>
        <w:t>警察</w:t>
        <w:tab/>
        <w:t>狱警</w:t>
      </w:r>
    </w:p>
    <w:p>
      <w:pPr>
        <w:spacing w:after="0"/>
        <w:sectPr>
          <w:type w:val="continuous"/>
          <w:pgSz w:w="11910" w:h="16850"/>
          <w:pgMar w:top="1440" w:bottom="280" w:left="1680" w:right="1020"/>
          <w:cols w:num="2" w:equalWidth="0">
            <w:col w:w="1647" w:space="40"/>
            <w:col w:w="7523"/>
          </w:cols>
        </w:sectPr>
      </w:pPr>
    </w:p>
    <w:p>
      <w:pPr>
        <w:pStyle w:val="BodyText"/>
        <w:rPr>
          <w:sz w:val="20"/>
        </w:rPr>
      </w:pPr>
    </w:p>
    <w:p>
      <w:pPr>
        <w:pStyle w:val="BodyText"/>
        <w:spacing w:line="302" w:lineRule="auto" w:before="143"/>
        <w:ind w:left="1781" w:right="107" w:hanging="1551"/>
        <w:jc w:val="both"/>
      </w:pPr>
      <w:r>
        <w:rPr>
          <w:rFonts w:ascii="微软雅黑" w:eastAsia="微软雅黑" w:hint="eastAsia"/>
          <w:b/>
          <w:spacing w:val="3"/>
        </w:rPr>
        <w:t>脊髓灰质炎    </w:t>
      </w:r>
      <w:r>
        <w:rPr/>
        <w:t>脊髓灰质炎是由于脊髓灰质炎病毒感染所致的瘫痪性疾病，临床表现为运动功能损害或呼吸无力。脊髓灰质炎必须明确诊断。</w:t>
      </w:r>
      <w:r>
        <w:rPr>
          <w:shd w:fill="9F9F9F" w:color="auto" w:val="clear"/>
        </w:rPr>
        <w:t>本保单仅对脊髓灰质炎造成的神经系统功能损害导致被保险人一肢或一肢以上肢体机能永久完全丧失</w:t>
      </w:r>
      <w:r>
        <w:rPr>
          <w:spacing w:val="-1"/>
          <w:shd w:fill="9F9F9F" w:color="auto" w:val="clear"/>
        </w:rPr>
        <w:t>的情况予</w:t>
      </w:r>
      <w:r>
        <w:rPr>
          <w:spacing w:val="-221"/>
          <w:shd w:fill="9F9F9F" w:color="auto" w:val="clear"/>
        </w:rPr>
        <w:t>以</w:t>
      </w:r>
      <w:r>
        <w:rPr>
          <w:shd w:fill="9F9F9F" w:color="auto" w:val="clear"/>
        </w:rPr>
        <w:t>理赔</w:t>
      </w:r>
      <w:r>
        <w:rPr>
          <w:spacing w:val="-4"/>
        </w:rPr>
        <w:t>。肢体机能永久完全丧失，指疾病确诊 </w:t>
      </w:r>
      <w:r>
        <w:rPr/>
        <w:t>180</w:t>
      </w:r>
      <w:r>
        <w:rPr>
          <w:spacing w:val="-5"/>
        </w:rPr>
        <w:t> 天后，每肢三大</w:t>
      </w:r>
    </w:p>
    <w:p>
      <w:pPr>
        <w:spacing w:after="0" w:line="302" w:lineRule="auto"/>
        <w:jc w:val="both"/>
        <w:sectPr>
          <w:type w:val="continuous"/>
          <w:pgSz w:w="11910" w:h="16850"/>
          <w:pgMar w:top="1440" w:bottom="280" w:left="1680" w:right="10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0"/>
        <w:gridCol w:w="7616"/>
      </w:tblGrid>
      <w:tr>
        <w:trPr>
          <w:trHeight w:val="473" w:hRule="atLeast"/>
        </w:trPr>
        <w:tc>
          <w:tcPr>
            <w:tcW w:w="1650" w:type="dxa"/>
          </w:tcPr>
          <w:p>
            <w:pPr>
              <w:pStyle w:val="TableParagraph"/>
              <w:ind w:left="0"/>
              <w:rPr>
                <w:rFonts w:ascii="Times New Roman"/>
                <w:sz w:val="22"/>
              </w:rPr>
            </w:pPr>
          </w:p>
        </w:tc>
        <w:tc>
          <w:tcPr>
            <w:tcW w:w="7616" w:type="dxa"/>
          </w:tcPr>
          <w:p>
            <w:pPr>
              <w:pStyle w:val="TableParagraph"/>
              <w:spacing w:line="213" w:lineRule="exact"/>
              <w:rPr>
                <w:sz w:val="22"/>
              </w:rPr>
            </w:pPr>
            <w:r>
              <w:rPr>
                <w:sz w:val="22"/>
              </w:rPr>
              <w:t>关节中的两大关节仍然完全僵硬，或不能随意识活动。</w:t>
            </w:r>
          </w:p>
        </w:tc>
      </w:tr>
      <w:tr>
        <w:trPr>
          <w:trHeight w:val="2660" w:hRule="atLeast"/>
        </w:trPr>
        <w:tc>
          <w:tcPr>
            <w:tcW w:w="1650" w:type="dxa"/>
          </w:tcPr>
          <w:p>
            <w:pPr>
              <w:pStyle w:val="TableParagraph"/>
              <w:spacing w:before="145"/>
              <w:ind w:left="200" w:right="97"/>
              <w:rPr>
                <w:rFonts w:ascii="微软雅黑" w:eastAsia="微软雅黑" w:hint="eastAsia"/>
                <w:b/>
                <w:sz w:val="22"/>
              </w:rPr>
            </w:pPr>
            <w:r>
              <w:rPr>
                <w:rFonts w:ascii="微软雅黑" w:eastAsia="微软雅黑" w:hint="eastAsia"/>
                <w:b/>
                <w:sz w:val="22"/>
              </w:rPr>
              <w:t>全身性重症肌无力</w:t>
            </w:r>
          </w:p>
        </w:tc>
        <w:tc>
          <w:tcPr>
            <w:tcW w:w="7616" w:type="dxa"/>
          </w:tcPr>
          <w:p>
            <w:pPr>
              <w:pStyle w:val="TableParagraph"/>
              <w:spacing w:before="1"/>
              <w:ind w:left="0"/>
              <w:rPr>
                <w:sz w:val="16"/>
              </w:rPr>
            </w:pPr>
          </w:p>
          <w:p>
            <w:pPr>
              <w:pStyle w:val="TableParagraph"/>
              <w:spacing w:line="316" w:lineRule="auto"/>
              <w:ind w:right="200"/>
              <w:jc w:val="both"/>
              <w:rPr>
                <w:sz w:val="22"/>
              </w:rPr>
            </w:pPr>
            <w:r>
              <w:rPr>
                <w:sz w:val="22"/>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numPr>
                <w:ilvl w:val="0"/>
                <w:numId w:val="28"/>
              </w:numPr>
              <w:tabs>
                <w:tab w:pos="554" w:val="left" w:leader="none"/>
              </w:tabs>
              <w:spacing w:line="240" w:lineRule="auto" w:before="20" w:after="0"/>
              <w:ind w:left="553" w:right="0" w:hanging="453"/>
              <w:jc w:val="left"/>
              <w:rPr>
                <w:sz w:val="22"/>
              </w:rPr>
            </w:pPr>
            <w:r>
              <w:rPr>
                <w:spacing w:val="-3"/>
                <w:sz w:val="22"/>
              </w:rPr>
              <w:t>经药物治疗和胸腺切除治疗一年以上仍无法控制病情；</w:t>
            </w:r>
          </w:p>
          <w:p>
            <w:pPr>
              <w:pStyle w:val="TableParagraph"/>
              <w:numPr>
                <w:ilvl w:val="0"/>
                <w:numId w:val="28"/>
              </w:numPr>
              <w:tabs>
                <w:tab w:pos="554" w:val="left" w:leader="none"/>
              </w:tabs>
              <w:spacing w:line="316" w:lineRule="auto" w:before="93" w:after="0"/>
              <w:ind w:left="553" w:right="202" w:hanging="453"/>
              <w:jc w:val="left"/>
              <w:rPr>
                <w:sz w:val="22"/>
              </w:rPr>
            </w:pPr>
            <w:r>
              <w:rPr>
                <w:sz w:val="22"/>
              </w:rPr>
              <w:t>自主生活能力完全丧失，无法独立完成六项基本日常生活活动中的三项</w:t>
            </w:r>
            <w:r>
              <w:rPr>
                <w:spacing w:val="-1"/>
                <w:sz w:val="22"/>
              </w:rPr>
              <w:t>或三项以上。</w:t>
            </w:r>
          </w:p>
        </w:tc>
      </w:tr>
      <w:tr>
        <w:trPr>
          <w:trHeight w:val="4180" w:hRule="atLeast"/>
        </w:trPr>
        <w:tc>
          <w:tcPr>
            <w:tcW w:w="1650" w:type="dxa"/>
          </w:tcPr>
          <w:p>
            <w:pPr>
              <w:pStyle w:val="TableParagraph"/>
              <w:spacing w:before="146"/>
              <w:ind w:left="200" w:right="97"/>
              <w:rPr>
                <w:rFonts w:ascii="微软雅黑" w:eastAsia="微软雅黑" w:hint="eastAsia"/>
                <w:b/>
                <w:sz w:val="22"/>
              </w:rPr>
            </w:pPr>
            <w:r>
              <w:rPr>
                <w:rFonts w:ascii="微软雅黑" w:eastAsia="微软雅黑" w:hint="eastAsia"/>
                <w:b/>
                <w:sz w:val="22"/>
              </w:rPr>
              <w:t>严重类风湿性关节炎</w:t>
            </w:r>
          </w:p>
        </w:tc>
        <w:tc>
          <w:tcPr>
            <w:tcW w:w="7616" w:type="dxa"/>
          </w:tcPr>
          <w:p>
            <w:pPr>
              <w:pStyle w:val="TableParagraph"/>
              <w:spacing w:before="2"/>
              <w:ind w:left="0"/>
              <w:rPr>
                <w:sz w:val="16"/>
              </w:rPr>
            </w:pPr>
          </w:p>
          <w:p>
            <w:pPr>
              <w:pStyle w:val="TableParagraph"/>
              <w:spacing w:line="316" w:lineRule="auto"/>
              <w:ind w:right="198"/>
              <w:jc w:val="both"/>
              <w:rPr>
                <w:sz w:val="22"/>
              </w:rPr>
            </w:pPr>
            <w:r>
              <w:rPr>
                <w:spacing w:val="5"/>
                <w:sz w:val="22"/>
              </w:rPr>
              <w:t>类风湿性关节炎为广泛分布的慢性进行性多关节病变，表现为关节严重变形，侵犯至少三个主要关节或关节组【如：双手（多手指）关节、双足（多足趾）关节、双腕关节、双膝关节和双髋关节】。类风湿性关节炎必须明确</w:t>
            </w:r>
            <w:r>
              <w:rPr>
                <w:spacing w:val="-4"/>
                <w:sz w:val="22"/>
              </w:rPr>
              <w:t>诊断并且已经达到类风湿性关节炎功能分级 </w:t>
            </w:r>
            <w:r>
              <w:rPr>
                <w:sz w:val="22"/>
              </w:rPr>
              <w:t>III</w:t>
            </w:r>
            <w:r>
              <w:rPr>
                <w:spacing w:val="-5"/>
                <w:sz w:val="22"/>
              </w:rPr>
              <w:t> 级以上的功能障碍</w:t>
            </w:r>
            <w:r>
              <w:rPr>
                <w:sz w:val="22"/>
              </w:rPr>
              <w:t>（</w:t>
            </w:r>
            <w:r>
              <w:rPr>
                <w:spacing w:val="-2"/>
                <w:sz w:val="22"/>
              </w:rPr>
              <w:t>关节活</w:t>
            </w:r>
            <w:r>
              <w:rPr>
                <w:spacing w:val="-3"/>
                <w:sz w:val="22"/>
              </w:rPr>
              <w:t>动严重限制，不能完成大部分的日常工作和活动）并且满足下列全部条件：</w:t>
            </w:r>
          </w:p>
          <w:p>
            <w:pPr>
              <w:pStyle w:val="TableParagraph"/>
              <w:numPr>
                <w:ilvl w:val="0"/>
                <w:numId w:val="29"/>
              </w:numPr>
              <w:tabs>
                <w:tab w:pos="554" w:val="left" w:leader="none"/>
              </w:tabs>
              <w:spacing w:line="240" w:lineRule="auto" w:before="20" w:after="0"/>
              <w:ind w:left="553" w:right="0" w:hanging="453"/>
              <w:jc w:val="both"/>
              <w:rPr>
                <w:sz w:val="22"/>
              </w:rPr>
            </w:pPr>
            <w:r>
              <w:rPr>
                <w:sz w:val="22"/>
              </w:rPr>
              <w:t>晨僵；</w:t>
            </w:r>
          </w:p>
          <w:p>
            <w:pPr>
              <w:pStyle w:val="TableParagraph"/>
              <w:numPr>
                <w:ilvl w:val="0"/>
                <w:numId w:val="29"/>
              </w:numPr>
              <w:tabs>
                <w:tab w:pos="554" w:val="left" w:leader="none"/>
              </w:tabs>
              <w:spacing w:line="240" w:lineRule="auto" w:before="93" w:after="0"/>
              <w:ind w:left="553" w:right="0" w:hanging="453"/>
              <w:jc w:val="both"/>
              <w:rPr>
                <w:sz w:val="22"/>
              </w:rPr>
            </w:pPr>
            <w:r>
              <w:rPr>
                <w:spacing w:val="-1"/>
                <w:sz w:val="22"/>
              </w:rPr>
              <w:t>对称性关节炎；</w:t>
            </w:r>
          </w:p>
          <w:p>
            <w:pPr>
              <w:pStyle w:val="TableParagraph"/>
              <w:numPr>
                <w:ilvl w:val="0"/>
                <w:numId w:val="29"/>
              </w:numPr>
              <w:tabs>
                <w:tab w:pos="554" w:val="left" w:leader="none"/>
              </w:tabs>
              <w:spacing w:line="240" w:lineRule="auto" w:before="91" w:after="0"/>
              <w:ind w:left="553" w:right="0" w:hanging="453"/>
              <w:jc w:val="both"/>
              <w:rPr>
                <w:sz w:val="22"/>
              </w:rPr>
            </w:pPr>
            <w:r>
              <w:rPr>
                <w:spacing w:val="-2"/>
                <w:sz w:val="22"/>
              </w:rPr>
              <w:t>类风湿性皮下结节；</w:t>
            </w:r>
          </w:p>
          <w:p>
            <w:pPr>
              <w:pStyle w:val="TableParagraph"/>
              <w:numPr>
                <w:ilvl w:val="0"/>
                <w:numId w:val="29"/>
              </w:numPr>
              <w:tabs>
                <w:tab w:pos="554" w:val="left" w:leader="none"/>
              </w:tabs>
              <w:spacing w:line="240" w:lineRule="auto" w:before="91" w:after="0"/>
              <w:ind w:left="553" w:right="0" w:hanging="453"/>
              <w:jc w:val="both"/>
              <w:rPr>
                <w:sz w:val="22"/>
              </w:rPr>
            </w:pPr>
            <w:r>
              <w:rPr>
                <w:spacing w:val="-2"/>
                <w:sz w:val="22"/>
              </w:rPr>
              <w:t>类风湿因子滴度升高；</w:t>
            </w:r>
          </w:p>
          <w:p>
            <w:pPr>
              <w:pStyle w:val="TableParagraph"/>
              <w:numPr>
                <w:ilvl w:val="0"/>
                <w:numId w:val="29"/>
              </w:numPr>
              <w:tabs>
                <w:tab w:pos="554" w:val="left" w:leader="none"/>
              </w:tabs>
              <w:spacing w:line="240" w:lineRule="auto" w:before="93" w:after="0"/>
              <w:ind w:left="553" w:right="0" w:hanging="453"/>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tc>
      </w:tr>
      <w:tr>
        <w:trPr>
          <w:trHeight w:val="3420" w:hRule="atLeast"/>
        </w:trPr>
        <w:tc>
          <w:tcPr>
            <w:tcW w:w="1650" w:type="dxa"/>
          </w:tcPr>
          <w:p>
            <w:pPr>
              <w:pStyle w:val="TableParagraph"/>
              <w:spacing w:before="145"/>
              <w:ind w:left="200"/>
              <w:rPr>
                <w:rFonts w:ascii="微软雅黑" w:eastAsia="微软雅黑" w:hint="eastAsia"/>
                <w:b/>
                <w:sz w:val="22"/>
              </w:rPr>
            </w:pPr>
            <w:r>
              <w:rPr>
                <w:rFonts w:ascii="Microsoft JhengHei UI" w:eastAsia="Microsoft JhengHei UI" w:hint="eastAsia"/>
                <w:b/>
                <w:sz w:val="22"/>
              </w:rPr>
              <w:t>1 </w:t>
            </w:r>
            <w:r>
              <w:rPr>
                <w:rFonts w:ascii="微软雅黑" w:eastAsia="微软雅黑" w:hint="eastAsia"/>
                <w:b/>
                <w:sz w:val="22"/>
              </w:rPr>
              <w:t>型糖尿病</w:t>
            </w:r>
          </w:p>
        </w:tc>
        <w:tc>
          <w:tcPr>
            <w:tcW w:w="7616" w:type="dxa"/>
          </w:tcPr>
          <w:p>
            <w:pPr>
              <w:pStyle w:val="TableParagraph"/>
              <w:spacing w:before="1"/>
              <w:ind w:left="0"/>
              <w:rPr>
                <w:sz w:val="16"/>
              </w:rPr>
            </w:pPr>
          </w:p>
          <w:p>
            <w:pPr>
              <w:pStyle w:val="TableParagraph"/>
              <w:spacing w:line="316" w:lineRule="auto"/>
              <w:ind w:right="196"/>
              <w:jc w:val="both"/>
              <w:rPr>
                <w:sz w:val="22"/>
              </w:rPr>
            </w:pPr>
            <w:r>
              <w:rPr>
                <w:sz w:val="22"/>
              </w:rPr>
              <w:t>1 型糖尿病的特征为由于胰岛素分泌绝对不足引起严重胰岛素缺乏导致慢性血糖升高，需要依赖外源性胰岛素进行机体的葡萄糖代谢和维持生命。被保</w:t>
            </w:r>
            <w:r>
              <w:rPr>
                <w:spacing w:val="-11"/>
                <w:sz w:val="22"/>
              </w:rPr>
              <w:t>险人的 </w:t>
            </w:r>
            <w:r>
              <w:rPr>
                <w:sz w:val="22"/>
              </w:rPr>
              <w:t>1</w:t>
            </w:r>
            <w:r>
              <w:rPr>
                <w:spacing w:val="-10"/>
                <w:sz w:val="22"/>
              </w:rPr>
              <w:t> 型糖尿病必须明确诊断，而且有血胰岛素测定及血 </w:t>
            </w:r>
            <w:r>
              <w:rPr>
                <w:sz w:val="22"/>
              </w:rPr>
              <w:t>C</w:t>
            </w:r>
            <w:r>
              <w:rPr>
                <w:spacing w:val="-18"/>
                <w:sz w:val="22"/>
              </w:rPr>
              <w:t> 肽或尿 </w:t>
            </w:r>
            <w:r>
              <w:rPr>
                <w:sz w:val="22"/>
              </w:rPr>
              <w:t>C</w:t>
            </w:r>
            <w:r>
              <w:rPr>
                <w:spacing w:val="-15"/>
                <w:sz w:val="22"/>
              </w:rPr>
              <w:t> 肽测</w:t>
            </w:r>
            <w:r>
              <w:rPr>
                <w:spacing w:val="-8"/>
                <w:sz w:val="22"/>
              </w:rPr>
              <w:t>定结果支持诊断，并且满足下列全部条件：</w:t>
            </w:r>
          </w:p>
          <w:p>
            <w:pPr>
              <w:pStyle w:val="TableParagraph"/>
              <w:numPr>
                <w:ilvl w:val="0"/>
                <w:numId w:val="30"/>
              </w:numPr>
              <w:tabs>
                <w:tab w:pos="554" w:val="left" w:leader="none"/>
              </w:tabs>
              <w:spacing w:line="240" w:lineRule="auto" w:before="23" w:after="0"/>
              <w:ind w:left="553" w:right="0" w:hanging="453"/>
              <w:jc w:val="both"/>
              <w:rPr>
                <w:sz w:val="22"/>
              </w:rPr>
            </w:pPr>
            <w:r>
              <w:rPr>
                <w:spacing w:val="-5"/>
                <w:sz w:val="22"/>
              </w:rPr>
              <w:t>已经持续性地接受外源性胰岛素注射治疗连续 </w:t>
            </w:r>
            <w:r>
              <w:rPr>
                <w:sz w:val="22"/>
              </w:rPr>
              <w:t>180</w:t>
            </w:r>
            <w:r>
              <w:rPr>
                <w:spacing w:val="-11"/>
                <w:sz w:val="22"/>
              </w:rPr>
              <w:t> 天以上；</w:t>
            </w:r>
          </w:p>
          <w:p>
            <w:pPr>
              <w:pStyle w:val="TableParagraph"/>
              <w:numPr>
                <w:ilvl w:val="0"/>
                <w:numId w:val="30"/>
              </w:numPr>
              <w:tabs>
                <w:tab w:pos="554" w:val="left" w:leader="none"/>
              </w:tabs>
              <w:spacing w:line="240" w:lineRule="auto" w:before="91" w:after="0"/>
              <w:ind w:left="553" w:right="0" w:hanging="453"/>
              <w:jc w:val="both"/>
              <w:rPr>
                <w:sz w:val="22"/>
              </w:rPr>
            </w:pPr>
            <w:r>
              <w:rPr>
                <w:spacing w:val="-3"/>
                <w:sz w:val="22"/>
              </w:rPr>
              <w:t>因需要已经接受了下列治疗：</w:t>
            </w:r>
          </w:p>
          <w:p>
            <w:pPr>
              <w:pStyle w:val="TableParagraph"/>
              <w:numPr>
                <w:ilvl w:val="1"/>
                <w:numId w:val="30"/>
              </w:numPr>
              <w:tabs>
                <w:tab w:pos="776" w:val="left" w:leader="none"/>
              </w:tabs>
              <w:spacing w:line="240" w:lineRule="auto" w:before="91" w:after="0"/>
              <w:ind w:left="775" w:right="0" w:hanging="222"/>
              <w:jc w:val="left"/>
              <w:rPr>
                <w:sz w:val="22"/>
              </w:rPr>
            </w:pPr>
            <w:r>
              <w:rPr>
                <w:spacing w:val="-3"/>
                <w:sz w:val="22"/>
              </w:rPr>
              <w:t>因严重心律失常植入了心脏起搏器；或</w:t>
            </w:r>
          </w:p>
          <w:p>
            <w:pPr>
              <w:pStyle w:val="TableParagraph"/>
              <w:numPr>
                <w:ilvl w:val="1"/>
                <w:numId w:val="30"/>
              </w:numPr>
              <w:tabs>
                <w:tab w:pos="776" w:val="left" w:leader="none"/>
              </w:tabs>
              <w:spacing w:line="240" w:lineRule="auto" w:before="93" w:after="0"/>
              <w:ind w:left="775" w:right="0" w:hanging="222"/>
              <w:jc w:val="left"/>
              <w:rPr>
                <w:sz w:val="22"/>
              </w:rPr>
            </w:pPr>
            <w:r>
              <w:rPr>
                <w:spacing w:val="-3"/>
                <w:sz w:val="22"/>
              </w:rPr>
              <w:t>因坏疽自跖趾关节或以上切除了一趾或多趾。</w:t>
            </w:r>
          </w:p>
        </w:tc>
      </w:tr>
      <w:tr>
        <w:trPr>
          <w:trHeight w:val="1520" w:hRule="atLeast"/>
        </w:trPr>
        <w:tc>
          <w:tcPr>
            <w:tcW w:w="1650" w:type="dxa"/>
          </w:tcPr>
          <w:p>
            <w:pPr>
              <w:pStyle w:val="TableParagraph"/>
              <w:spacing w:before="145"/>
              <w:ind w:left="200"/>
              <w:rPr>
                <w:rFonts w:ascii="微软雅黑" w:eastAsia="微软雅黑" w:hint="eastAsia"/>
                <w:b/>
                <w:sz w:val="22"/>
              </w:rPr>
            </w:pPr>
            <w:r>
              <w:rPr>
                <w:rFonts w:ascii="微软雅黑" w:eastAsia="微软雅黑" w:hint="eastAsia"/>
                <w:b/>
                <w:sz w:val="22"/>
              </w:rPr>
              <w:t>严重克隆病</w:t>
            </w:r>
          </w:p>
        </w:tc>
        <w:tc>
          <w:tcPr>
            <w:tcW w:w="7616" w:type="dxa"/>
          </w:tcPr>
          <w:p>
            <w:pPr>
              <w:pStyle w:val="TableParagraph"/>
              <w:spacing w:before="1"/>
              <w:ind w:left="0"/>
              <w:rPr>
                <w:sz w:val="16"/>
              </w:rPr>
            </w:pPr>
          </w:p>
          <w:p>
            <w:pPr>
              <w:pStyle w:val="TableParagraph"/>
              <w:spacing w:line="316" w:lineRule="auto"/>
              <w:ind w:right="200"/>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1265" w:hRule="atLeast"/>
        </w:trPr>
        <w:tc>
          <w:tcPr>
            <w:tcW w:w="1650" w:type="dxa"/>
          </w:tcPr>
          <w:p>
            <w:pPr>
              <w:pStyle w:val="TableParagraph"/>
              <w:spacing w:before="146"/>
              <w:ind w:left="200" w:right="97"/>
              <w:rPr>
                <w:rFonts w:ascii="微软雅黑" w:eastAsia="微软雅黑" w:hint="eastAsia"/>
                <w:b/>
                <w:sz w:val="22"/>
              </w:rPr>
            </w:pPr>
            <w:r>
              <w:rPr>
                <w:rFonts w:ascii="微软雅黑" w:eastAsia="微软雅黑" w:hint="eastAsia"/>
                <w:b/>
                <w:sz w:val="22"/>
              </w:rPr>
              <w:t>严重溃疡性结肠炎</w:t>
            </w:r>
          </w:p>
        </w:tc>
        <w:tc>
          <w:tcPr>
            <w:tcW w:w="7616" w:type="dxa"/>
          </w:tcPr>
          <w:p>
            <w:pPr>
              <w:pStyle w:val="TableParagraph"/>
              <w:spacing w:line="380" w:lineRule="atLeast" w:before="119"/>
              <w:ind w:right="197"/>
              <w:jc w:val="both"/>
              <w:rPr>
                <w:sz w:val="22"/>
              </w:rPr>
            </w:pPr>
            <w:r>
              <w:rPr>
                <w:sz w:val="22"/>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w:t>
            </w:r>
          </w:p>
        </w:tc>
      </w:tr>
    </w:tbl>
    <w:p>
      <w:pPr>
        <w:spacing w:after="0" w:line="380" w:lineRule="atLeast"/>
        <w:jc w:val="both"/>
        <w:rPr>
          <w:sz w:val="22"/>
        </w:rPr>
        <w:sectPr>
          <w:pgSz w:w="11910" w:h="16850"/>
          <w:pgMar w:top="1540" w:bottom="280" w:left="1600" w:right="820"/>
        </w:sectPr>
      </w:pPr>
    </w:p>
    <w:p>
      <w:pPr>
        <w:pStyle w:val="BodyText"/>
        <w:spacing w:before="5"/>
        <w:ind w:left="2441"/>
      </w:pPr>
      <w:r>
        <w:rPr/>
        <w:t>断，并且被保险人已经接受了结肠切除和/或回肠造瘘术。</w:t>
      </w:r>
    </w:p>
    <w:p>
      <w:pPr>
        <w:pStyle w:val="BodyText"/>
        <w:rPr>
          <w:sz w:val="20"/>
        </w:rPr>
      </w:pPr>
    </w:p>
    <w:p>
      <w:pPr>
        <w:spacing w:after="0"/>
        <w:rPr>
          <w:sz w:val="20"/>
        </w:rPr>
        <w:sectPr>
          <w:pgSz w:w="11910" w:h="16850"/>
          <w:pgMar w:top="1460" w:bottom="280" w:left="1020" w:right="1020"/>
        </w:sectPr>
      </w:pPr>
    </w:p>
    <w:p>
      <w:pPr>
        <w:pStyle w:val="Heading3"/>
        <w:spacing w:before="143"/>
        <w:ind w:left="890"/>
      </w:pPr>
      <w:r>
        <w:rPr>
          <w:rFonts w:ascii="Microsoft JhengHei UI" w:eastAsia="Microsoft JhengHei UI" w:hint="eastAsia"/>
        </w:rPr>
        <w:t>II </w:t>
      </w:r>
      <w:r>
        <w:rPr/>
        <w:t>级重症急性胰腺炎</w:t>
      </w:r>
    </w:p>
    <w:p>
      <w:pPr>
        <w:pStyle w:val="BodyText"/>
        <w:spacing w:before="1"/>
        <w:rPr>
          <w:rFonts w:ascii="微软雅黑"/>
          <w:b/>
          <w:sz w:val="12"/>
        </w:rPr>
      </w:pPr>
      <w:r>
        <w:rPr/>
        <w:br w:type="column"/>
      </w:r>
      <w:r>
        <w:rPr>
          <w:rFonts w:ascii="微软雅黑"/>
          <w:b/>
          <w:sz w:val="12"/>
        </w:rPr>
      </w:r>
    </w:p>
    <w:p>
      <w:pPr>
        <w:pStyle w:val="BodyText"/>
        <w:spacing w:line="319" w:lineRule="auto"/>
        <w:ind w:left="156" w:right="43"/>
      </w:pPr>
      <w:r>
        <w:rPr/>
        <w:t>Ⅱ级重症急性胰腺炎是指急性胰腺炎伴有脏器功能障碍。被保险人所患的Ⅱ 级重症急性胰腺炎必须明确诊断，按 APACHEⅡ评分达到 8 分或 8 分以上和</w:t>
      </w:r>
    </w:p>
    <w:p>
      <w:pPr>
        <w:pStyle w:val="BodyText"/>
        <w:spacing w:line="316" w:lineRule="auto" w:before="18"/>
        <w:ind w:left="156" w:right="109"/>
      </w:pPr>
      <w:r>
        <w:rPr/>
        <w:t>Balthazar 分级系统达到Ⅱ级或Ⅱ级以上，并且接受了外科剖腹手术治疗， 以进行坏死组织清除、坏死病灶切除或胰腺切除。</w:t>
      </w:r>
    </w:p>
    <w:p>
      <w:pPr>
        <w:pStyle w:val="BodyText"/>
        <w:spacing w:line="316" w:lineRule="auto" w:before="23"/>
        <w:ind w:left="156" w:right="106"/>
      </w:pPr>
      <w:r>
        <w:rPr>
          <w:shd w:fill="9F9F9F" w:color="auto" w:val="clear"/>
        </w:rPr>
        <w:t>因酗酒或饮酒过量所致的急性坏死性胰腺炎以及腹腔镜手术不在本合同保障范围内</w:t>
      </w:r>
      <w:r>
        <w:rPr/>
        <w:t>。</w:t>
      </w:r>
    </w:p>
    <w:p>
      <w:pPr>
        <w:spacing w:after="0" w:line="316" w:lineRule="auto"/>
        <w:sectPr>
          <w:type w:val="continuous"/>
          <w:pgSz w:w="11910" w:h="16850"/>
          <w:pgMar w:top="1440" w:bottom="280" w:left="1020" w:right="1020"/>
          <w:cols w:num="2" w:equalWidth="0">
            <w:col w:w="2245" w:space="40"/>
            <w:col w:w="7585"/>
          </w:cols>
        </w:sectPr>
      </w:pPr>
    </w:p>
    <w:p>
      <w:pPr>
        <w:pStyle w:val="BodyText"/>
        <w:spacing w:before="9"/>
        <w:rPr>
          <w:sz w:val="25"/>
        </w:rPr>
      </w:pPr>
    </w:p>
    <w:p>
      <w:pPr>
        <w:pStyle w:val="BodyText"/>
        <w:spacing w:line="302" w:lineRule="auto" w:before="1"/>
        <w:ind w:left="2441" w:right="107" w:hanging="1551"/>
        <w:jc w:val="both"/>
      </w:pPr>
      <w:r>
        <w:rPr>
          <w:rFonts w:ascii="微软雅黑" w:eastAsia="微软雅黑" w:hint="eastAsia"/>
          <w:b/>
          <w:spacing w:val="0"/>
        </w:rPr>
        <w:t>肌营养不良症 </w:t>
      </w:r>
      <w:r>
        <w:rPr/>
        <w:t>肌营养不良症是一组遗传性肌肉变性性病变，临床特征为与神经系统无关的肌肉无力和肌肉萎缩。</w:t>
      </w:r>
      <w:r>
        <w:rPr>
          <w:shd w:fill="9F9F9F" w:color="auto" w:val="clear"/>
        </w:rPr>
        <w:t>本合同仅对肌营养不良症已造成永久不可逆性的神经系统功能损害导致被保险人自主生活能力完全丧失，无法独立完成六项基本</w:t>
      </w:r>
      <w:r>
        <w:rPr>
          <w:spacing w:val="-3"/>
          <w:shd w:fill="9F9F9F" w:color="auto" w:val="clear"/>
        </w:rPr>
        <w:t>日常生活活动中的三项或三项以上</w:t>
      </w:r>
      <w:r>
        <w:rPr>
          <w:spacing w:val="-221"/>
          <w:shd w:fill="9F9F9F" w:color="auto" w:val="clear"/>
        </w:rPr>
        <w:t>的</w:t>
      </w:r>
      <w:r>
        <w:rPr>
          <w:spacing w:val="-3"/>
          <w:shd w:fill="9F9F9F" w:color="auto" w:val="clear"/>
        </w:rPr>
        <w:t>情况予以理赔</w:t>
      </w:r>
      <w:r>
        <w:rPr/>
        <w:t>。</w:t>
      </w:r>
    </w:p>
    <w:p>
      <w:pPr>
        <w:pStyle w:val="BodyText"/>
        <w:spacing w:before="7"/>
        <w:rPr>
          <w:sz w:val="26"/>
        </w:rPr>
      </w:pPr>
    </w:p>
    <w:p>
      <w:pPr>
        <w:pStyle w:val="BodyText"/>
        <w:spacing w:line="302" w:lineRule="auto" w:before="1"/>
        <w:ind w:left="2441" w:right="108" w:hanging="1551"/>
        <w:jc w:val="both"/>
      </w:pPr>
      <w:r>
        <w:rPr>
          <w:rFonts w:ascii="微软雅黑" w:eastAsia="微软雅黑" w:hint="eastAsia"/>
          <w:b/>
        </w:rPr>
        <w:t>植物人状态     </w:t>
      </w:r>
      <w:r>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w:t>
      </w:r>
      <w:r>
        <w:rPr>
          <w:shd w:fill="9F9F9F" w:color="auto" w:val="clear"/>
        </w:rPr>
        <w:t>植物人状态必须持续 30 天以上方可申请理赔</w:t>
      </w:r>
      <w:r>
        <w:rPr/>
        <w:t>。</w:t>
      </w:r>
    </w:p>
    <w:p>
      <w:pPr>
        <w:pStyle w:val="BodyText"/>
        <w:spacing w:before="10"/>
        <w:rPr>
          <w:sz w:val="26"/>
        </w:rPr>
      </w:pPr>
    </w:p>
    <w:p>
      <w:pPr>
        <w:pStyle w:val="BodyText"/>
        <w:spacing w:line="297" w:lineRule="auto"/>
        <w:ind w:left="2441" w:right="108" w:hanging="1551"/>
        <w:jc w:val="both"/>
      </w:pPr>
      <w:r>
        <w:rPr>
          <w:rFonts w:ascii="微软雅黑" w:eastAsia="微软雅黑" w:hint="eastAsia"/>
          <w:b/>
        </w:rPr>
        <w:t>独立能力丧失 </w:t>
      </w:r>
      <w:r>
        <w:rPr/>
        <w:t>指疾病或外伤造成被保险人至少持续 6 个月以上完全无能力完成(无论有无他人辅助)六项日常生活活动中的三项或以上。被保险人的日常生活活动能力丧失必须是永久性的。</w:t>
      </w:r>
    </w:p>
    <w:p>
      <w:pPr>
        <w:pStyle w:val="BodyText"/>
        <w:spacing w:before="11"/>
        <w:rPr>
          <w:sz w:val="26"/>
        </w:rPr>
      </w:pPr>
    </w:p>
    <w:p>
      <w:pPr>
        <w:spacing w:after="0"/>
        <w:rPr>
          <w:sz w:val="26"/>
        </w:rPr>
        <w:sectPr>
          <w:type w:val="continuous"/>
          <w:pgSz w:w="11910" w:h="16850"/>
          <w:pgMar w:top="1440" w:bottom="280" w:left="1020" w:right="1020"/>
        </w:sectPr>
      </w:pPr>
    </w:p>
    <w:p>
      <w:pPr>
        <w:pStyle w:val="Heading3"/>
        <w:ind w:left="890"/>
        <w:jc w:val="both"/>
      </w:pPr>
      <w:r>
        <w:rPr/>
        <w:t>非阿尔茨海默病所致严重痴呆</w:t>
      </w:r>
    </w:p>
    <w:p>
      <w:pPr>
        <w:pStyle w:val="BodyText"/>
        <w:spacing w:line="316" w:lineRule="auto" w:before="66"/>
        <w:ind w:left="159" w:right="108"/>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316" w:lineRule="auto"/>
        <w:jc w:val="both"/>
        <w:sectPr>
          <w:type w:val="continuous"/>
          <w:pgSz w:w="11910" w:h="16850"/>
          <w:pgMar w:top="1440" w:bottom="280" w:left="1020" w:right="1020"/>
          <w:cols w:num="2" w:equalWidth="0">
            <w:col w:w="2242" w:space="40"/>
            <w:col w:w="7588"/>
          </w:cols>
        </w:sectPr>
      </w:pPr>
    </w:p>
    <w:p>
      <w:pPr>
        <w:pStyle w:val="BodyText"/>
        <w:spacing w:before="8"/>
        <w:rPr>
          <w:sz w:val="25"/>
        </w:rPr>
      </w:pPr>
    </w:p>
    <w:p>
      <w:pPr>
        <w:pStyle w:val="BodyText"/>
        <w:spacing w:line="297" w:lineRule="auto"/>
        <w:ind w:left="2441" w:right="106" w:hanging="1551"/>
        <w:jc w:val="both"/>
      </w:pPr>
      <w:r>
        <w:rPr>
          <w:rFonts w:ascii="微软雅黑" w:eastAsia="微软雅黑" w:hint="eastAsia"/>
          <w:b/>
        </w:rPr>
        <w:t>肺源性心脏病 </w:t>
      </w: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1"/>
        <w:rPr>
          <w:sz w:val="32"/>
        </w:rPr>
      </w:pPr>
    </w:p>
    <w:p>
      <w:pPr>
        <w:pStyle w:val="ListParagraph"/>
        <w:numPr>
          <w:ilvl w:val="1"/>
          <w:numId w:val="11"/>
        </w:numPr>
        <w:tabs>
          <w:tab w:pos="890" w:val="left" w:leader="none"/>
          <w:tab w:pos="891" w:val="left" w:leader="none"/>
          <w:tab w:pos="2441" w:val="left" w:leader="none"/>
        </w:tabs>
        <w:spacing w:line="316" w:lineRule="auto" w:before="0" w:after="0"/>
        <w:ind w:left="2441" w:right="110" w:hanging="2329"/>
        <w:jc w:val="left"/>
        <w:rPr>
          <w:sz w:val="22"/>
        </w:rPr>
      </w:pPr>
      <w:r>
        <w:rPr>
          <w:b/>
          <w:sz w:val="22"/>
        </w:rPr>
        <w:t>意外伤害</w:t>
        <w:tab/>
      </w:r>
      <w:r>
        <w:rPr>
          <w:sz w:val="22"/>
        </w:rPr>
        <w:t>指遭受外来的、突发的、非本意的、非疾病的客观事件直接致使身体受到的 伤害。</w:t>
      </w:r>
    </w:p>
    <w:p>
      <w:pPr>
        <w:spacing w:after="0" w:line="316" w:lineRule="auto"/>
        <w:jc w:val="left"/>
        <w:rPr>
          <w:sz w:val="22"/>
        </w:rPr>
        <w:sectPr>
          <w:type w:val="continuous"/>
          <w:pgSz w:w="11910" w:h="16850"/>
          <w:pgMar w:top="1440" w:bottom="280" w:left="1020" w:right="10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
        <w:gridCol w:w="1617"/>
        <w:gridCol w:w="7467"/>
      </w:tblGrid>
      <w:tr>
        <w:trPr>
          <w:trHeight w:val="2389" w:hRule="atLeast"/>
        </w:trPr>
        <w:tc>
          <w:tcPr>
            <w:tcW w:w="661" w:type="dxa"/>
          </w:tcPr>
          <w:p>
            <w:pPr>
              <w:pStyle w:val="TableParagraph"/>
              <w:spacing w:line="213" w:lineRule="exact"/>
              <w:ind w:left="50"/>
              <w:rPr>
                <w:b/>
                <w:sz w:val="22"/>
              </w:rPr>
            </w:pPr>
            <w:r>
              <w:rPr>
                <w:b/>
                <w:sz w:val="22"/>
              </w:rPr>
              <w:t>6.8</w:t>
            </w:r>
          </w:p>
        </w:tc>
        <w:tc>
          <w:tcPr>
            <w:tcW w:w="1617" w:type="dxa"/>
          </w:tcPr>
          <w:p>
            <w:pPr>
              <w:pStyle w:val="TableParagraph"/>
              <w:spacing w:line="213" w:lineRule="exact"/>
              <w:ind w:left="167"/>
              <w:rPr>
                <w:b/>
                <w:sz w:val="22"/>
              </w:rPr>
            </w:pPr>
            <w:r>
              <w:rPr>
                <w:b/>
                <w:w w:val="95"/>
                <w:sz w:val="22"/>
              </w:rPr>
              <w:t>医院</w:t>
            </w:r>
          </w:p>
        </w:tc>
        <w:tc>
          <w:tcPr>
            <w:tcW w:w="7467" w:type="dxa"/>
          </w:tcPr>
          <w:p>
            <w:pPr>
              <w:pStyle w:val="TableParagraph"/>
              <w:spacing w:line="213" w:lineRule="exact"/>
              <w:rPr>
                <w:sz w:val="22"/>
              </w:rPr>
            </w:pPr>
            <w:r>
              <w:rPr>
                <w:sz w:val="22"/>
              </w:rPr>
              <w:t>指经中华人民共和国卫生行政部门评审确定的二级或以上的公立医院，</w:t>
            </w:r>
            <w:r>
              <w:rPr>
                <w:sz w:val="22"/>
                <w:shd w:fill="9F9F9F" w:color="auto" w:val="clear"/>
              </w:rPr>
              <w:t>但不</w:t>
            </w:r>
          </w:p>
          <w:p>
            <w:pPr>
              <w:pStyle w:val="TableParagraph"/>
              <w:spacing w:line="316" w:lineRule="auto" w:before="91"/>
              <w:ind w:right="50"/>
              <w:jc w:val="both"/>
              <w:rPr>
                <w:sz w:val="22"/>
              </w:rPr>
            </w:pPr>
            <w:r>
              <w:rPr>
                <w:sz w:val="22"/>
                <w:shd w:fill="9F9F9F" w:color="auto" w:val="clear"/>
              </w:rPr>
              <w:t>包括精神病院及专供康复、护理、疗养、戒酒、戒毒、养老等非以直接诊治</w:t>
            </w:r>
            <w:r>
              <w:rPr>
                <w:spacing w:val="-221"/>
                <w:sz w:val="22"/>
                <w:shd w:fill="9F9F9F" w:color="auto" w:val="clear"/>
              </w:rPr>
              <w:t>病</w:t>
            </w:r>
            <w:r>
              <w:rPr>
                <w:sz w:val="22"/>
                <w:shd w:fill="9F9F9F" w:color="auto" w:val="clear"/>
              </w:rPr>
              <w:t>人为目的的医疗机构</w:t>
            </w:r>
            <w:r>
              <w:rPr>
                <w:sz w:val="22"/>
              </w:rPr>
              <w:t>，该医院必须具有符合国家有关医院管理规则设置标 </w:t>
            </w:r>
            <w:r>
              <w:rPr>
                <w:spacing w:val="5"/>
                <w:sz w:val="22"/>
              </w:rPr>
              <w:t>准的医疗设施，且全天</w:t>
            </w:r>
            <w:r>
              <w:rPr>
                <w:spacing w:val="1"/>
                <w:sz w:val="22"/>
              </w:rPr>
              <w:t>24</w:t>
            </w:r>
            <w:r>
              <w:rPr>
                <w:spacing w:val="5"/>
                <w:sz w:val="22"/>
              </w:rPr>
              <w:t>小时有合格的医师和护士驻院提供医疗和护理服务，当被保险人因遭受意外伤害事故须急救时不受此限，但经急救处理伤情</w:t>
            </w:r>
            <w:r>
              <w:rPr>
                <w:spacing w:val="-3"/>
                <w:sz w:val="22"/>
              </w:rPr>
              <w:t>稳定后，必须及时转入本合同所指医院治疗。</w:t>
            </w:r>
          </w:p>
        </w:tc>
      </w:tr>
      <w:tr>
        <w:trPr>
          <w:trHeight w:val="2280" w:hRule="atLeast"/>
        </w:trPr>
        <w:tc>
          <w:tcPr>
            <w:tcW w:w="661" w:type="dxa"/>
          </w:tcPr>
          <w:p>
            <w:pPr>
              <w:pStyle w:val="TableParagraph"/>
              <w:spacing w:before="195"/>
              <w:ind w:left="50"/>
              <w:rPr>
                <w:b/>
                <w:sz w:val="22"/>
              </w:rPr>
            </w:pPr>
            <w:r>
              <w:rPr>
                <w:b/>
                <w:sz w:val="22"/>
              </w:rPr>
              <w:t>6.9</w:t>
            </w:r>
          </w:p>
        </w:tc>
        <w:tc>
          <w:tcPr>
            <w:tcW w:w="1617" w:type="dxa"/>
          </w:tcPr>
          <w:p>
            <w:pPr>
              <w:pStyle w:val="TableParagraph"/>
              <w:spacing w:before="195"/>
              <w:ind w:left="167"/>
              <w:rPr>
                <w:b/>
                <w:sz w:val="22"/>
              </w:rPr>
            </w:pPr>
            <w:r>
              <w:rPr>
                <w:b/>
                <w:w w:val="95"/>
                <w:sz w:val="22"/>
              </w:rPr>
              <w:t>专科医生</w:t>
            </w:r>
          </w:p>
        </w:tc>
        <w:tc>
          <w:tcPr>
            <w:tcW w:w="7467" w:type="dxa"/>
          </w:tcPr>
          <w:p>
            <w:pPr>
              <w:pStyle w:val="TableParagraph"/>
              <w:spacing w:before="195"/>
              <w:rPr>
                <w:sz w:val="22"/>
              </w:rPr>
            </w:pPr>
            <w:r>
              <w:rPr>
                <w:sz w:val="22"/>
              </w:rPr>
              <w:t>专科医生应当满足以下四项资格条件：（1）具有有效的中华人民共和国</w:t>
            </w:r>
          </w:p>
          <w:p>
            <w:pPr>
              <w:pStyle w:val="TableParagraph"/>
              <w:spacing w:line="316" w:lineRule="auto" w:before="91"/>
              <w:ind w:right="50"/>
              <w:jc w:val="both"/>
              <w:rPr>
                <w:sz w:val="22"/>
              </w:rPr>
            </w:pPr>
            <w:r>
              <w:rPr>
                <w:sz w:val="22"/>
              </w:rPr>
              <w:t>《医师资格证书》；（2）具有有效的中华人民共和国《医师执业证书》， 并按期到相关部门登记注册；（3）具有有效的中华人民共和国主治医师或主治医师以上的职称的《医师职称证书》；（4）在二级或二级以上医院的相应科室从事临床工作三年以上。</w:t>
            </w:r>
          </w:p>
        </w:tc>
      </w:tr>
      <w:tr>
        <w:trPr>
          <w:trHeight w:val="1900" w:hRule="atLeast"/>
        </w:trPr>
        <w:tc>
          <w:tcPr>
            <w:tcW w:w="661" w:type="dxa"/>
          </w:tcPr>
          <w:p>
            <w:pPr>
              <w:pStyle w:val="TableParagraph"/>
              <w:spacing w:before="195"/>
              <w:ind w:left="50"/>
              <w:rPr>
                <w:b/>
                <w:sz w:val="22"/>
              </w:rPr>
            </w:pPr>
            <w:r>
              <w:rPr>
                <w:b/>
                <w:sz w:val="22"/>
              </w:rPr>
              <w:t>6.10</w:t>
            </w:r>
          </w:p>
        </w:tc>
        <w:tc>
          <w:tcPr>
            <w:tcW w:w="1617" w:type="dxa"/>
          </w:tcPr>
          <w:p>
            <w:pPr>
              <w:pStyle w:val="TableParagraph"/>
              <w:spacing w:before="195"/>
              <w:ind w:left="167"/>
              <w:rPr>
                <w:b/>
                <w:sz w:val="22"/>
              </w:rPr>
            </w:pPr>
            <w:r>
              <w:rPr>
                <w:b/>
                <w:w w:val="95"/>
                <w:sz w:val="22"/>
              </w:rPr>
              <w:t>毒品</w:t>
            </w:r>
          </w:p>
        </w:tc>
        <w:tc>
          <w:tcPr>
            <w:tcW w:w="7467" w:type="dxa"/>
          </w:tcPr>
          <w:p>
            <w:pPr>
              <w:pStyle w:val="TableParagraph"/>
              <w:spacing w:line="316" w:lineRule="auto" w:before="195"/>
              <w:ind w:right="51"/>
              <w:jc w:val="both"/>
              <w:rPr>
                <w:sz w:val="22"/>
              </w:rPr>
            </w:pP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处方药品。</w:t>
            </w:r>
          </w:p>
        </w:tc>
      </w:tr>
      <w:tr>
        <w:trPr>
          <w:trHeight w:val="1519" w:hRule="atLeast"/>
        </w:trPr>
        <w:tc>
          <w:tcPr>
            <w:tcW w:w="661" w:type="dxa"/>
          </w:tcPr>
          <w:p>
            <w:pPr>
              <w:pStyle w:val="TableParagraph"/>
              <w:spacing w:before="195"/>
              <w:ind w:left="50"/>
              <w:rPr>
                <w:b/>
                <w:sz w:val="22"/>
              </w:rPr>
            </w:pPr>
            <w:r>
              <w:rPr>
                <w:b/>
                <w:sz w:val="22"/>
              </w:rPr>
              <w:t>6.11</w:t>
            </w:r>
          </w:p>
        </w:tc>
        <w:tc>
          <w:tcPr>
            <w:tcW w:w="1617" w:type="dxa"/>
          </w:tcPr>
          <w:p>
            <w:pPr>
              <w:pStyle w:val="TableParagraph"/>
              <w:spacing w:before="195"/>
              <w:ind w:left="167"/>
              <w:rPr>
                <w:b/>
                <w:sz w:val="22"/>
              </w:rPr>
            </w:pPr>
            <w:r>
              <w:rPr>
                <w:b/>
                <w:w w:val="95"/>
                <w:sz w:val="22"/>
              </w:rPr>
              <w:t>酒后驾驶</w:t>
            </w:r>
          </w:p>
        </w:tc>
        <w:tc>
          <w:tcPr>
            <w:tcW w:w="7467" w:type="dxa"/>
          </w:tcPr>
          <w:p>
            <w:pPr>
              <w:pStyle w:val="TableParagraph"/>
              <w:spacing w:line="316" w:lineRule="auto" w:before="195"/>
              <w:ind w:right="51"/>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2660" w:hRule="atLeast"/>
        </w:trPr>
        <w:tc>
          <w:tcPr>
            <w:tcW w:w="661" w:type="dxa"/>
          </w:tcPr>
          <w:p>
            <w:pPr>
              <w:pStyle w:val="TableParagraph"/>
              <w:spacing w:before="195"/>
              <w:ind w:left="50"/>
              <w:rPr>
                <w:b/>
                <w:sz w:val="22"/>
              </w:rPr>
            </w:pPr>
            <w:r>
              <w:rPr>
                <w:b/>
                <w:sz w:val="22"/>
              </w:rPr>
              <w:t>6.12</w:t>
            </w:r>
          </w:p>
        </w:tc>
        <w:tc>
          <w:tcPr>
            <w:tcW w:w="1617" w:type="dxa"/>
          </w:tcPr>
          <w:p>
            <w:pPr>
              <w:pStyle w:val="TableParagraph"/>
              <w:spacing w:line="316" w:lineRule="auto" w:before="195"/>
              <w:ind w:left="167" w:right="97"/>
              <w:rPr>
                <w:b/>
                <w:sz w:val="22"/>
              </w:rPr>
            </w:pPr>
            <w:r>
              <w:rPr>
                <w:b/>
                <w:sz w:val="22"/>
              </w:rPr>
              <w:t>无合法有效驾</w:t>
            </w:r>
            <w:r>
              <w:rPr>
                <w:b/>
                <w:w w:val="95"/>
                <w:sz w:val="22"/>
              </w:rPr>
              <w:t>驶证驾驶</w:t>
            </w:r>
          </w:p>
        </w:tc>
        <w:tc>
          <w:tcPr>
            <w:tcW w:w="7467" w:type="dxa"/>
          </w:tcPr>
          <w:p>
            <w:pPr>
              <w:pStyle w:val="TableParagraph"/>
              <w:spacing w:before="195"/>
              <w:rPr>
                <w:sz w:val="22"/>
              </w:rPr>
            </w:pPr>
            <w:r>
              <w:rPr>
                <w:sz w:val="22"/>
              </w:rPr>
              <w:t>指下列情形之一：</w:t>
            </w:r>
          </w:p>
          <w:p>
            <w:pPr>
              <w:pStyle w:val="TableParagraph"/>
              <w:numPr>
                <w:ilvl w:val="0"/>
                <w:numId w:val="31"/>
              </w:numPr>
              <w:tabs>
                <w:tab w:pos="554" w:val="left" w:leader="none"/>
              </w:tabs>
              <w:spacing w:line="240" w:lineRule="auto" w:before="91" w:after="0"/>
              <w:ind w:left="554" w:right="0" w:hanging="454"/>
              <w:jc w:val="left"/>
              <w:rPr>
                <w:sz w:val="22"/>
              </w:rPr>
            </w:pPr>
            <w:r>
              <w:rPr>
                <w:spacing w:val="-2"/>
                <w:sz w:val="22"/>
              </w:rPr>
              <w:t>没有取得驾驶资格；</w:t>
            </w:r>
          </w:p>
          <w:p>
            <w:pPr>
              <w:pStyle w:val="TableParagraph"/>
              <w:numPr>
                <w:ilvl w:val="0"/>
                <w:numId w:val="31"/>
              </w:numPr>
              <w:tabs>
                <w:tab w:pos="554" w:val="left" w:leader="none"/>
              </w:tabs>
              <w:spacing w:line="240" w:lineRule="auto" w:before="94" w:after="0"/>
              <w:ind w:left="554" w:right="0" w:hanging="454"/>
              <w:jc w:val="left"/>
              <w:rPr>
                <w:sz w:val="22"/>
              </w:rPr>
            </w:pPr>
            <w:r>
              <w:rPr>
                <w:spacing w:val="-3"/>
                <w:sz w:val="22"/>
              </w:rPr>
              <w:t>驾驶与驾驶证准驾车型不相符合的车辆；</w:t>
            </w:r>
          </w:p>
          <w:p>
            <w:pPr>
              <w:pStyle w:val="TableParagraph"/>
              <w:numPr>
                <w:ilvl w:val="0"/>
                <w:numId w:val="31"/>
              </w:numPr>
              <w:tabs>
                <w:tab w:pos="554" w:val="left" w:leader="none"/>
              </w:tabs>
              <w:spacing w:line="240" w:lineRule="auto" w:before="91" w:after="0"/>
              <w:ind w:left="554" w:right="0" w:hanging="454"/>
              <w:jc w:val="left"/>
              <w:rPr>
                <w:sz w:val="22"/>
              </w:rPr>
            </w:pPr>
            <w:r>
              <w:rPr>
                <w:spacing w:val="-3"/>
                <w:sz w:val="22"/>
              </w:rPr>
              <w:t>持审验不合格的驾驶证驾驶；</w:t>
            </w:r>
          </w:p>
          <w:p>
            <w:pPr>
              <w:pStyle w:val="TableParagraph"/>
              <w:numPr>
                <w:ilvl w:val="0"/>
                <w:numId w:val="31"/>
              </w:numPr>
              <w:tabs>
                <w:tab w:pos="554" w:val="left" w:leader="none"/>
              </w:tabs>
              <w:spacing w:line="319" w:lineRule="auto" w:before="91" w:after="0"/>
              <w:ind w:left="554" w:right="52" w:hanging="454"/>
              <w:jc w:val="left"/>
              <w:rPr>
                <w:sz w:val="22"/>
              </w:rPr>
            </w:pPr>
            <w:r>
              <w:rPr>
                <w:sz w:val="22"/>
              </w:rPr>
              <w:t>持学习驾驶证学习驾车时，无教练员随车指导，或不按指定时间、路线</w:t>
            </w:r>
            <w:r>
              <w:rPr>
                <w:spacing w:val="-1"/>
                <w:sz w:val="22"/>
              </w:rPr>
              <w:t>学习驾车。</w:t>
            </w:r>
          </w:p>
        </w:tc>
      </w:tr>
      <w:tr>
        <w:trPr>
          <w:trHeight w:val="1520" w:hRule="atLeast"/>
        </w:trPr>
        <w:tc>
          <w:tcPr>
            <w:tcW w:w="661" w:type="dxa"/>
          </w:tcPr>
          <w:p>
            <w:pPr>
              <w:pStyle w:val="TableParagraph"/>
              <w:spacing w:before="194"/>
              <w:ind w:left="50"/>
              <w:rPr>
                <w:b/>
                <w:sz w:val="22"/>
              </w:rPr>
            </w:pPr>
            <w:r>
              <w:rPr>
                <w:b/>
                <w:sz w:val="22"/>
              </w:rPr>
              <w:t>6.13</w:t>
            </w:r>
          </w:p>
        </w:tc>
        <w:tc>
          <w:tcPr>
            <w:tcW w:w="1617" w:type="dxa"/>
          </w:tcPr>
          <w:p>
            <w:pPr>
              <w:pStyle w:val="TableParagraph"/>
              <w:spacing w:before="194"/>
              <w:ind w:left="167"/>
              <w:rPr>
                <w:b/>
                <w:sz w:val="22"/>
              </w:rPr>
            </w:pPr>
            <w:r>
              <w:rPr>
                <w:b/>
                <w:w w:val="95"/>
                <w:sz w:val="22"/>
              </w:rPr>
              <w:t>无有效行驶证</w:t>
            </w:r>
          </w:p>
        </w:tc>
        <w:tc>
          <w:tcPr>
            <w:tcW w:w="7467" w:type="dxa"/>
          </w:tcPr>
          <w:p>
            <w:pPr>
              <w:pStyle w:val="TableParagraph"/>
              <w:spacing w:before="194"/>
              <w:rPr>
                <w:sz w:val="22"/>
              </w:rPr>
            </w:pPr>
            <w:r>
              <w:rPr>
                <w:sz w:val="22"/>
              </w:rPr>
              <w:t>指下列情形之一：</w:t>
            </w:r>
          </w:p>
          <w:p>
            <w:pPr>
              <w:pStyle w:val="TableParagraph"/>
              <w:numPr>
                <w:ilvl w:val="0"/>
                <w:numId w:val="32"/>
              </w:numPr>
              <w:tabs>
                <w:tab w:pos="554" w:val="left" w:leader="none"/>
              </w:tabs>
              <w:spacing w:line="240" w:lineRule="auto" w:before="93" w:after="0"/>
              <w:ind w:left="554" w:right="0" w:hanging="454"/>
              <w:jc w:val="left"/>
              <w:rPr>
                <w:sz w:val="22"/>
              </w:rPr>
            </w:pPr>
            <w:r>
              <w:rPr>
                <w:spacing w:val="-3"/>
                <w:sz w:val="22"/>
              </w:rPr>
              <w:t>机动车被依法注销登记的；</w:t>
            </w:r>
          </w:p>
          <w:p>
            <w:pPr>
              <w:pStyle w:val="TableParagraph"/>
              <w:numPr>
                <w:ilvl w:val="0"/>
                <w:numId w:val="32"/>
              </w:numPr>
              <w:tabs>
                <w:tab w:pos="554" w:val="left" w:leader="none"/>
              </w:tabs>
              <w:spacing w:line="240" w:lineRule="auto" w:before="91" w:after="0"/>
              <w:ind w:left="554" w:right="0" w:hanging="454"/>
              <w:jc w:val="left"/>
              <w:rPr>
                <w:sz w:val="22"/>
              </w:rPr>
            </w:pPr>
            <w:r>
              <w:rPr>
                <w:spacing w:val="-3"/>
                <w:sz w:val="22"/>
              </w:rPr>
              <w:t>未依法按时进行或通过机动车安全技术检验。</w:t>
            </w:r>
          </w:p>
        </w:tc>
      </w:tr>
      <w:tr>
        <w:trPr>
          <w:trHeight w:val="869" w:hRule="atLeast"/>
        </w:trPr>
        <w:tc>
          <w:tcPr>
            <w:tcW w:w="661" w:type="dxa"/>
          </w:tcPr>
          <w:p>
            <w:pPr>
              <w:pStyle w:val="TableParagraph"/>
              <w:spacing w:before="195"/>
              <w:ind w:left="50"/>
              <w:rPr>
                <w:b/>
                <w:sz w:val="22"/>
              </w:rPr>
            </w:pPr>
            <w:r>
              <w:rPr>
                <w:b/>
                <w:sz w:val="22"/>
              </w:rPr>
              <w:t>6.14</w:t>
            </w:r>
          </w:p>
        </w:tc>
        <w:tc>
          <w:tcPr>
            <w:tcW w:w="1617" w:type="dxa"/>
          </w:tcPr>
          <w:p>
            <w:pPr>
              <w:pStyle w:val="TableParagraph"/>
              <w:spacing w:before="195"/>
              <w:ind w:left="167"/>
              <w:rPr>
                <w:b/>
                <w:sz w:val="22"/>
              </w:rPr>
            </w:pPr>
            <w:r>
              <w:rPr>
                <w:b/>
                <w:w w:val="95"/>
                <w:sz w:val="22"/>
              </w:rPr>
              <w:t>机动车</w:t>
            </w:r>
          </w:p>
        </w:tc>
        <w:tc>
          <w:tcPr>
            <w:tcW w:w="7467" w:type="dxa"/>
          </w:tcPr>
          <w:p>
            <w:pPr>
              <w:pStyle w:val="TableParagraph"/>
              <w:spacing w:line="380" w:lineRule="atLeast" w:before="103"/>
              <w:ind w:right="51"/>
              <w:rPr>
                <w:sz w:val="22"/>
              </w:rPr>
            </w:pPr>
            <w:r>
              <w:rPr>
                <w:sz w:val="22"/>
              </w:rPr>
              <w:t>指以动力装置驱动或者牵引，供人员乘用或者用于运送物品以及进行工程专项作业的轮式车辆。</w:t>
            </w:r>
          </w:p>
        </w:tc>
      </w:tr>
    </w:tbl>
    <w:p>
      <w:pPr>
        <w:spacing w:after="0" w:line="380" w:lineRule="atLeast"/>
        <w:rPr>
          <w:sz w:val="22"/>
        </w:rPr>
        <w:sectPr>
          <w:pgSz w:w="11910" w:h="16850"/>
          <w:pgMar w:top="1540" w:bottom="280" w:left="98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17"/>
        <w:gridCol w:w="7629"/>
      </w:tblGrid>
      <w:tr>
        <w:trPr>
          <w:trHeight w:val="2010" w:hRule="atLeast"/>
        </w:trPr>
        <w:tc>
          <w:tcPr>
            <w:tcW w:w="811" w:type="dxa"/>
          </w:tcPr>
          <w:p>
            <w:pPr>
              <w:pStyle w:val="TableParagraph"/>
              <w:spacing w:line="213" w:lineRule="exact"/>
              <w:ind w:left="179" w:right="147"/>
              <w:jc w:val="center"/>
              <w:rPr>
                <w:b/>
                <w:sz w:val="22"/>
              </w:rPr>
            </w:pPr>
            <w:r>
              <w:rPr>
                <w:b/>
                <w:sz w:val="22"/>
              </w:rPr>
              <w:t>6.15</w:t>
            </w:r>
          </w:p>
        </w:tc>
        <w:tc>
          <w:tcPr>
            <w:tcW w:w="1617" w:type="dxa"/>
          </w:tcPr>
          <w:p>
            <w:pPr>
              <w:pStyle w:val="TableParagraph"/>
              <w:spacing w:line="213" w:lineRule="exact"/>
              <w:ind w:left="167"/>
              <w:rPr>
                <w:b/>
                <w:sz w:val="22"/>
              </w:rPr>
            </w:pPr>
            <w:r>
              <w:rPr>
                <w:b/>
                <w:sz w:val="22"/>
              </w:rPr>
              <w:t>感染艾滋病病</w:t>
            </w:r>
          </w:p>
          <w:p>
            <w:pPr>
              <w:pStyle w:val="TableParagraph"/>
              <w:spacing w:before="91"/>
              <w:ind w:left="167"/>
              <w:rPr>
                <w:b/>
                <w:sz w:val="22"/>
              </w:rPr>
            </w:pPr>
            <w:r>
              <w:rPr>
                <w:b/>
                <w:w w:val="95"/>
                <w:sz w:val="22"/>
              </w:rPr>
              <w:t>毒或患艾滋病</w:t>
            </w:r>
          </w:p>
        </w:tc>
        <w:tc>
          <w:tcPr>
            <w:tcW w:w="7629" w:type="dxa"/>
          </w:tcPr>
          <w:p>
            <w:pPr>
              <w:pStyle w:val="TableParagraph"/>
              <w:spacing w:line="213" w:lineRule="exact"/>
              <w:rPr>
                <w:sz w:val="22"/>
              </w:rPr>
            </w:pPr>
            <w:r>
              <w:rPr>
                <w:sz w:val="22"/>
              </w:rPr>
              <w:t>艾滋病病毒指人类免疫缺陷病毒，英文缩写为HIV。艾滋病指人类免疫缺陷</w:t>
            </w:r>
          </w:p>
          <w:p>
            <w:pPr>
              <w:pStyle w:val="TableParagraph"/>
              <w:spacing w:before="91"/>
              <w:rPr>
                <w:sz w:val="22"/>
              </w:rPr>
            </w:pPr>
            <w:r>
              <w:rPr>
                <w:sz w:val="22"/>
              </w:rPr>
              <w:t>病毒引起的获得性免疫缺陷综合症，英文缩写为AIDS。</w:t>
            </w:r>
          </w:p>
          <w:p>
            <w:pPr>
              <w:pStyle w:val="TableParagraph"/>
              <w:spacing w:line="316" w:lineRule="auto" w:before="90"/>
              <w:ind w:right="213"/>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1140" w:hRule="atLeast"/>
        </w:trPr>
        <w:tc>
          <w:tcPr>
            <w:tcW w:w="811" w:type="dxa"/>
          </w:tcPr>
          <w:p>
            <w:pPr>
              <w:pStyle w:val="TableParagraph"/>
              <w:spacing w:before="195"/>
              <w:ind w:left="179" w:right="146"/>
              <w:jc w:val="center"/>
              <w:rPr>
                <w:b/>
                <w:sz w:val="22"/>
              </w:rPr>
            </w:pPr>
            <w:r>
              <w:rPr>
                <w:b/>
                <w:sz w:val="22"/>
              </w:rPr>
              <w:t>6.16</w:t>
            </w:r>
          </w:p>
        </w:tc>
        <w:tc>
          <w:tcPr>
            <w:tcW w:w="1617" w:type="dxa"/>
          </w:tcPr>
          <w:p>
            <w:pPr>
              <w:pStyle w:val="TableParagraph"/>
              <w:spacing w:before="195"/>
              <w:ind w:left="167"/>
              <w:rPr>
                <w:b/>
                <w:sz w:val="22"/>
              </w:rPr>
            </w:pPr>
            <w:r>
              <w:rPr>
                <w:b/>
                <w:w w:val="95"/>
                <w:sz w:val="22"/>
              </w:rPr>
              <w:t>遗传性疾病</w:t>
            </w:r>
          </w:p>
        </w:tc>
        <w:tc>
          <w:tcPr>
            <w:tcW w:w="7629" w:type="dxa"/>
          </w:tcPr>
          <w:p>
            <w:pPr>
              <w:pStyle w:val="TableParagraph"/>
              <w:spacing w:line="316" w:lineRule="auto" w:before="195"/>
              <w:ind w:right="213"/>
              <w:rPr>
                <w:sz w:val="22"/>
              </w:rPr>
            </w:pPr>
            <w:r>
              <w:rPr>
                <w:sz w:val="22"/>
              </w:rPr>
              <w:t>指生殖细胞或受精卵的遗传物质（染色体和基因）发生突变或畸变所引起的疾病，通常具有由亲代传至后代的垂直传递的特征。</w:t>
            </w:r>
          </w:p>
        </w:tc>
      </w:tr>
      <w:tr>
        <w:trPr>
          <w:trHeight w:val="1519" w:hRule="atLeast"/>
        </w:trPr>
        <w:tc>
          <w:tcPr>
            <w:tcW w:w="811" w:type="dxa"/>
          </w:tcPr>
          <w:p>
            <w:pPr>
              <w:pStyle w:val="TableParagraph"/>
              <w:spacing w:before="195"/>
              <w:ind w:left="179" w:right="146"/>
              <w:jc w:val="center"/>
              <w:rPr>
                <w:b/>
                <w:sz w:val="22"/>
              </w:rPr>
            </w:pPr>
            <w:r>
              <w:rPr>
                <w:b/>
                <w:sz w:val="22"/>
              </w:rPr>
              <w:t>6.17</w:t>
            </w:r>
          </w:p>
        </w:tc>
        <w:tc>
          <w:tcPr>
            <w:tcW w:w="1617" w:type="dxa"/>
          </w:tcPr>
          <w:p>
            <w:pPr>
              <w:pStyle w:val="TableParagraph"/>
              <w:spacing w:line="316" w:lineRule="auto" w:before="195"/>
              <w:ind w:left="167" w:right="97"/>
              <w:jc w:val="both"/>
              <w:rPr>
                <w:b/>
                <w:sz w:val="22"/>
              </w:rPr>
            </w:pPr>
            <w:r>
              <w:rPr>
                <w:b/>
                <w:sz w:val="22"/>
              </w:rPr>
              <w:t>先天性畸形、变形或染色体</w:t>
            </w:r>
            <w:r>
              <w:rPr>
                <w:b/>
                <w:w w:val="95"/>
                <w:sz w:val="22"/>
              </w:rPr>
              <w:t>异常</w:t>
            </w:r>
          </w:p>
        </w:tc>
        <w:tc>
          <w:tcPr>
            <w:tcW w:w="7629" w:type="dxa"/>
          </w:tcPr>
          <w:p>
            <w:pPr>
              <w:pStyle w:val="TableParagraph"/>
              <w:spacing w:line="316" w:lineRule="auto" w:before="195"/>
              <w:ind w:right="209"/>
              <w:rPr>
                <w:sz w:val="22"/>
              </w:rPr>
            </w:pPr>
            <w:r>
              <w:rPr>
                <w:sz w:val="22"/>
              </w:rPr>
              <w:t>被保险人出生时就具有的畸形、变形或染色体异常。先天性畸形、变形和染色体异常依照世界卫生组织《疾病和有关健康问题的国际统计分类》（ICD-</w:t>
            </w:r>
          </w:p>
          <w:p>
            <w:pPr>
              <w:pStyle w:val="TableParagraph"/>
              <w:spacing w:before="20"/>
              <w:rPr>
                <w:sz w:val="22"/>
              </w:rPr>
            </w:pPr>
            <w:r>
              <w:rPr>
                <w:sz w:val="22"/>
              </w:rPr>
              <w:t>10）确定。</w:t>
            </w:r>
          </w:p>
        </w:tc>
      </w:tr>
      <w:tr>
        <w:trPr>
          <w:trHeight w:val="1139" w:hRule="atLeast"/>
        </w:trPr>
        <w:tc>
          <w:tcPr>
            <w:tcW w:w="811" w:type="dxa"/>
          </w:tcPr>
          <w:p>
            <w:pPr>
              <w:pStyle w:val="TableParagraph"/>
              <w:spacing w:before="195"/>
              <w:ind w:left="179" w:right="146"/>
              <w:jc w:val="center"/>
              <w:rPr>
                <w:b/>
                <w:sz w:val="22"/>
              </w:rPr>
            </w:pPr>
            <w:r>
              <w:rPr>
                <w:b/>
                <w:sz w:val="22"/>
              </w:rPr>
              <w:t>6.18</w:t>
            </w:r>
          </w:p>
        </w:tc>
        <w:tc>
          <w:tcPr>
            <w:tcW w:w="1617" w:type="dxa"/>
          </w:tcPr>
          <w:p>
            <w:pPr>
              <w:pStyle w:val="TableParagraph"/>
              <w:spacing w:line="316" w:lineRule="auto" w:before="195"/>
              <w:ind w:left="167" w:right="97"/>
              <w:rPr>
                <w:b/>
                <w:sz w:val="22"/>
              </w:rPr>
            </w:pPr>
            <w:r>
              <w:rPr>
                <w:b/>
                <w:sz w:val="22"/>
              </w:rPr>
              <w:t>未满期净保险费</w:t>
            </w:r>
          </w:p>
        </w:tc>
        <w:tc>
          <w:tcPr>
            <w:tcW w:w="7629" w:type="dxa"/>
          </w:tcPr>
          <w:p>
            <w:pPr>
              <w:pStyle w:val="TableParagraph"/>
              <w:spacing w:line="316" w:lineRule="auto" w:before="195"/>
              <w:ind w:right="197"/>
              <w:rPr>
                <w:sz w:val="22"/>
              </w:rPr>
            </w:pPr>
            <w:r>
              <w:rPr>
                <w:spacing w:val="13"/>
                <w:sz w:val="22"/>
              </w:rPr>
              <w:t>其计算公式为“</w:t>
            </w:r>
            <w:r>
              <w:rPr>
                <w:spacing w:val="8"/>
                <w:sz w:val="22"/>
              </w:rPr>
              <w:t>（</w:t>
            </w:r>
            <w:r>
              <w:rPr>
                <w:spacing w:val="0"/>
                <w:sz w:val="22"/>
              </w:rPr>
              <w:t> 期交保险费-</w:t>
            </w:r>
            <w:r>
              <w:rPr>
                <w:b/>
                <w:spacing w:val="17"/>
                <w:sz w:val="22"/>
              </w:rPr>
              <w:t>手续费</w:t>
            </w:r>
            <w:r>
              <w:rPr>
                <w:spacing w:val="11"/>
                <w:sz w:val="22"/>
              </w:rPr>
              <w:t>）*（</w:t>
            </w:r>
            <w:r>
              <w:rPr>
                <w:spacing w:val="-80"/>
                <w:sz w:val="22"/>
              </w:rPr>
              <w:t> </w:t>
            </w:r>
            <w:r>
              <w:rPr>
                <w:spacing w:val="5"/>
                <w:sz w:val="22"/>
              </w:rPr>
              <w:t>1</w:t>
            </w:r>
            <w:r>
              <w:rPr>
                <w:spacing w:val="12"/>
                <w:sz w:val="22"/>
              </w:rPr>
              <w:t>-当期已经过天数</w:t>
            </w:r>
            <w:r>
              <w:rPr>
                <w:sz w:val="22"/>
              </w:rPr>
              <w:t>/</w:t>
            </w:r>
            <w:r>
              <w:rPr>
                <w:spacing w:val="-9"/>
                <w:sz w:val="22"/>
              </w:rPr>
              <w:t> 整期天</w:t>
            </w:r>
            <w:r>
              <w:rPr>
                <w:spacing w:val="-1"/>
                <w:sz w:val="22"/>
              </w:rPr>
              <w:t>数）”</w:t>
            </w:r>
            <w:r>
              <w:rPr>
                <w:spacing w:val="-3"/>
                <w:sz w:val="22"/>
              </w:rPr>
              <w:t>，经过天数不足一天的按一天计算。</w:t>
            </w:r>
          </w:p>
        </w:tc>
      </w:tr>
      <w:tr>
        <w:trPr>
          <w:trHeight w:val="1140" w:hRule="atLeast"/>
        </w:trPr>
        <w:tc>
          <w:tcPr>
            <w:tcW w:w="811" w:type="dxa"/>
          </w:tcPr>
          <w:p>
            <w:pPr>
              <w:pStyle w:val="TableParagraph"/>
              <w:spacing w:before="195"/>
              <w:ind w:left="179" w:right="146"/>
              <w:jc w:val="center"/>
              <w:rPr>
                <w:b/>
                <w:sz w:val="22"/>
              </w:rPr>
            </w:pPr>
            <w:r>
              <w:rPr>
                <w:b/>
                <w:sz w:val="22"/>
              </w:rPr>
              <w:t>6.19</w:t>
            </w:r>
          </w:p>
        </w:tc>
        <w:tc>
          <w:tcPr>
            <w:tcW w:w="1617" w:type="dxa"/>
          </w:tcPr>
          <w:p>
            <w:pPr>
              <w:pStyle w:val="TableParagraph"/>
              <w:spacing w:line="316" w:lineRule="auto" w:before="195"/>
              <w:ind w:left="167" w:right="97"/>
              <w:rPr>
                <w:b/>
                <w:sz w:val="22"/>
              </w:rPr>
            </w:pPr>
            <w:r>
              <w:rPr>
                <w:b/>
                <w:sz w:val="22"/>
              </w:rPr>
              <w:t>肢体机能完全</w:t>
            </w:r>
            <w:r>
              <w:rPr>
                <w:b/>
                <w:w w:val="95"/>
                <w:sz w:val="22"/>
              </w:rPr>
              <w:t>丧失</w:t>
            </w:r>
          </w:p>
        </w:tc>
        <w:tc>
          <w:tcPr>
            <w:tcW w:w="7629" w:type="dxa"/>
          </w:tcPr>
          <w:p>
            <w:pPr>
              <w:pStyle w:val="TableParagraph"/>
              <w:spacing w:line="316" w:lineRule="auto" w:before="195"/>
              <w:ind w:right="213"/>
              <w:rPr>
                <w:sz w:val="22"/>
              </w:rPr>
            </w:pPr>
            <w:r>
              <w:rPr>
                <w:sz w:val="22"/>
              </w:rPr>
              <w:t>指肢体的三大关节中的两大关节僵硬，或不能随意识活动。肢体是指包括肩关节的整个上肢包括髋关节的整个下肢。</w:t>
            </w:r>
          </w:p>
        </w:tc>
      </w:tr>
      <w:tr>
        <w:trPr>
          <w:trHeight w:val="1901" w:hRule="atLeast"/>
        </w:trPr>
        <w:tc>
          <w:tcPr>
            <w:tcW w:w="811" w:type="dxa"/>
          </w:tcPr>
          <w:p>
            <w:pPr>
              <w:pStyle w:val="TableParagraph"/>
              <w:spacing w:before="195"/>
              <w:ind w:left="179" w:right="146"/>
              <w:jc w:val="center"/>
              <w:rPr>
                <w:b/>
                <w:sz w:val="22"/>
              </w:rPr>
            </w:pPr>
            <w:r>
              <w:rPr>
                <w:b/>
                <w:sz w:val="22"/>
              </w:rPr>
              <w:t>6.20</w:t>
            </w:r>
          </w:p>
        </w:tc>
        <w:tc>
          <w:tcPr>
            <w:tcW w:w="1617" w:type="dxa"/>
          </w:tcPr>
          <w:p>
            <w:pPr>
              <w:pStyle w:val="TableParagraph"/>
              <w:spacing w:line="316" w:lineRule="auto" w:before="195"/>
              <w:ind w:left="167" w:right="97"/>
              <w:jc w:val="both"/>
              <w:rPr>
                <w:b/>
                <w:sz w:val="22"/>
              </w:rPr>
            </w:pPr>
            <w:r>
              <w:rPr>
                <w:b/>
                <w:sz w:val="22"/>
              </w:rPr>
              <w:t>语言能力或咀嚼吞咽能力完</w:t>
            </w:r>
            <w:r>
              <w:rPr>
                <w:b/>
                <w:w w:val="95"/>
                <w:sz w:val="22"/>
              </w:rPr>
              <w:t>全丧失</w:t>
            </w:r>
          </w:p>
        </w:tc>
        <w:tc>
          <w:tcPr>
            <w:tcW w:w="7629" w:type="dxa"/>
          </w:tcPr>
          <w:p>
            <w:pPr>
              <w:pStyle w:val="TableParagraph"/>
              <w:spacing w:line="316" w:lineRule="auto" w:before="195"/>
              <w:ind w:right="211"/>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3040" w:hRule="atLeast"/>
        </w:trPr>
        <w:tc>
          <w:tcPr>
            <w:tcW w:w="811" w:type="dxa"/>
          </w:tcPr>
          <w:p>
            <w:pPr>
              <w:pStyle w:val="TableParagraph"/>
              <w:spacing w:before="195"/>
              <w:ind w:left="179" w:right="146"/>
              <w:jc w:val="center"/>
              <w:rPr>
                <w:b/>
                <w:sz w:val="22"/>
              </w:rPr>
            </w:pPr>
            <w:r>
              <w:rPr>
                <w:b/>
                <w:sz w:val="22"/>
              </w:rPr>
              <w:t>6.21</w:t>
            </w:r>
          </w:p>
        </w:tc>
        <w:tc>
          <w:tcPr>
            <w:tcW w:w="1617" w:type="dxa"/>
          </w:tcPr>
          <w:p>
            <w:pPr>
              <w:pStyle w:val="TableParagraph"/>
              <w:spacing w:line="316" w:lineRule="auto" w:before="195"/>
              <w:ind w:left="167" w:right="97"/>
              <w:rPr>
                <w:b/>
                <w:sz w:val="22"/>
              </w:rPr>
            </w:pPr>
            <w:r>
              <w:rPr>
                <w:b/>
                <w:sz w:val="22"/>
              </w:rPr>
              <w:t>六项基本日常</w:t>
            </w:r>
            <w:r>
              <w:rPr>
                <w:b/>
                <w:w w:val="95"/>
                <w:sz w:val="22"/>
              </w:rPr>
              <w:t>生活活动</w:t>
            </w:r>
          </w:p>
        </w:tc>
        <w:tc>
          <w:tcPr>
            <w:tcW w:w="7629" w:type="dxa"/>
          </w:tcPr>
          <w:p>
            <w:pPr>
              <w:pStyle w:val="TableParagraph"/>
              <w:spacing w:before="195"/>
              <w:rPr>
                <w:sz w:val="22"/>
              </w:rPr>
            </w:pPr>
            <w:r>
              <w:rPr>
                <w:sz w:val="22"/>
              </w:rPr>
              <w:t>六项基本日常生活活动是指：</w:t>
            </w:r>
          </w:p>
          <w:p>
            <w:pPr>
              <w:pStyle w:val="TableParagraph"/>
              <w:numPr>
                <w:ilvl w:val="0"/>
                <w:numId w:val="33"/>
              </w:numPr>
              <w:tabs>
                <w:tab w:pos="554" w:val="left" w:leader="none"/>
              </w:tabs>
              <w:spacing w:line="240" w:lineRule="auto" w:before="91" w:after="0"/>
              <w:ind w:left="554" w:right="0" w:hanging="454"/>
              <w:jc w:val="left"/>
              <w:rPr>
                <w:sz w:val="22"/>
              </w:rPr>
            </w:pPr>
            <w:r>
              <w:rPr>
                <w:spacing w:val="-3"/>
                <w:sz w:val="22"/>
              </w:rPr>
              <w:t>穿衣：自己能够穿衣及脱衣；</w:t>
            </w:r>
          </w:p>
          <w:p>
            <w:pPr>
              <w:pStyle w:val="TableParagraph"/>
              <w:numPr>
                <w:ilvl w:val="0"/>
                <w:numId w:val="33"/>
              </w:numPr>
              <w:tabs>
                <w:tab w:pos="554" w:val="left" w:leader="none"/>
              </w:tabs>
              <w:spacing w:line="240" w:lineRule="auto" w:before="91" w:after="0"/>
              <w:ind w:left="554" w:right="0" w:hanging="454"/>
              <w:jc w:val="left"/>
              <w:rPr>
                <w:sz w:val="22"/>
              </w:rPr>
            </w:pPr>
            <w:r>
              <w:rPr>
                <w:spacing w:val="-3"/>
                <w:sz w:val="22"/>
              </w:rPr>
              <w:t>移动：自己从一个房间到另一个房间；</w:t>
            </w:r>
          </w:p>
          <w:p>
            <w:pPr>
              <w:pStyle w:val="TableParagraph"/>
              <w:numPr>
                <w:ilvl w:val="0"/>
                <w:numId w:val="33"/>
              </w:numPr>
              <w:tabs>
                <w:tab w:pos="554" w:val="left" w:leader="none"/>
              </w:tabs>
              <w:spacing w:line="240" w:lineRule="auto" w:before="93" w:after="0"/>
              <w:ind w:left="554" w:right="0" w:hanging="454"/>
              <w:jc w:val="left"/>
              <w:rPr>
                <w:sz w:val="22"/>
              </w:rPr>
            </w:pPr>
            <w:r>
              <w:rPr>
                <w:spacing w:val="-3"/>
                <w:sz w:val="22"/>
              </w:rPr>
              <w:t>行动：自己上下床或上下轮椅；</w:t>
            </w:r>
          </w:p>
          <w:p>
            <w:pPr>
              <w:pStyle w:val="TableParagraph"/>
              <w:numPr>
                <w:ilvl w:val="0"/>
                <w:numId w:val="33"/>
              </w:numPr>
              <w:tabs>
                <w:tab w:pos="554" w:val="left" w:leader="none"/>
              </w:tabs>
              <w:spacing w:line="240" w:lineRule="auto" w:before="91" w:after="0"/>
              <w:ind w:left="554" w:right="0" w:hanging="454"/>
              <w:jc w:val="left"/>
              <w:rPr>
                <w:sz w:val="22"/>
              </w:rPr>
            </w:pPr>
            <w:r>
              <w:rPr>
                <w:spacing w:val="-3"/>
                <w:sz w:val="22"/>
              </w:rPr>
              <w:t>如厕：自己控制进行大小便；</w:t>
            </w:r>
          </w:p>
          <w:p>
            <w:pPr>
              <w:pStyle w:val="TableParagraph"/>
              <w:numPr>
                <w:ilvl w:val="0"/>
                <w:numId w:val="33"/>
              </w:numPr>
              <w:tabs>
                <w:tab w:pos="554" w:val="left" w:leader="none"/>
              </w:tabs>
              <w:spacing w:line="240" w:lineRule="auto" w:before="92" w:after="0"/>
              <w:ind w:left="554" w:right="0" w:hanging="454"/>
              <w:jc w:val="left"/>
              <w:rPr>
                <w:sz w:val="22"/>
              </w:rPr>
            </w:pPr>
            <w:r>
              <w:rPr>
                <w:spacing w:val="-3"/>
                <w:sz w:val="22"/>
              </w:rPr>
              <w:t>进食：自己从已准备好的碗或碟中取食物放入口中；</w:t>
            </w:r>
          </w:p>
          <w:p>
            <w:pPr>
              <w:pStyle w:val="TableParagraph"/>
              <w:numPr>
                <w:ilvl w:val="0"/>
                <w:numId w:val="33"/>
              </w:numPr>
              <w:tabs>
                <w:tab w:pos="554" w:val="left" w:leader="none"/>
              </w:tabs>
              <w:spacing w:line="240" w:lineRule="auto" w:before="94" w:after="0"/>
              <w:ind w:left="554" w:right="0" w:hanging="454"/>
              <w:jc w:val="left"/>
              <w:rPr>
                <w:sz w:val="22"/>
              </w:rPr>
            </w:pPr>
            <w:r>
              <w:rPr>
                <w:spacing w:val="-3"/>
                <w:sz w:val="22"/>
              </w:rPr>
              <w:t>洗澡：自己进行淋浴或盆浴。</w:t>
            </w:r>
          </w:p>
        </w:tc>
      </w:tr>
      <w:tr>
        <w:trPr>
          <w:trHeight w:val="1096" w:hRule="atLeast"/>
        </w:trPr>
        <w:tc>
          <w:tcPr>
            <w:tcW w:w="811" w:type="dxa"/>
          </w:tcPr>
          <w:p>
            <w:pPr>
              <w:pStyle w:val="TableParagraph"/>
              <w:spacing w:before="194"/>
              <w:ind w:left="179" w:right="146"/>
              <w:jc w:val="center"/>
              <w:rPr>
                <w:b/>
                <w:sz w:val="22"/>
              </w:rPr>
            </w:pPr>
            <w:r>
              <w:rPr>
                <w:b/>
                <w:sz w:val="22"/>
              </w:rPr>
              <w:t>6.22</w:t>
            </w:r>
          </w:p>
        </w:tc>
        <w:tc>
          <w:tcPr>
            <w:tcW w:w="1617" w:type="dxa"/>
          </w:tcPr>
          <w:p>
            <w:pPr>
              <w:pStyle w:val="TableParagraph"/>
              <w:spacing w:before="194"/>
              <w:ind w:left="167"/>
              <w:rPr>
                <w:b/>
                <w:sz w:val="22"/>
              </w:rPr>
            </w:pPr>
            <w:r>
              <w:rPr>
                <w:b/>
                <w:w w:val="95"/>
                <w:sz w:val="22"/>
              </w:rPr>
              <w:t>永久不可逆</w:t>
            </w:r>
          </w:p>
        </w:tc>
        <w:tc>
          <w:tcPr>
            <w:tcW w:w="7629" w:type="dxa"/>
          </w:tcPr>
          <w:p>
            <w:pPr>
              <w:pStyle w:val="TableParagraph"/>
              <w:spacing w:line="319" w:lineRule="auto" w:before="194"/>
              <w:ind w:right="148"/>
              <w:rPr>
                <w:sz w:val="22"/>
              </w:rPr>
            </w:pPr>
            <w:r>
              <w:rPr>
                <w:sz w:val="22"/>
              </w:rPr>
              <w:t>永久不可逆指自疾病确诊或意外伤害发生之日起，经过积极治疗 180 天后， 仍无法通过现有医疗手段恢复。</w:t>
            </w:r>
          </w:p>
        </w:tc>
      </w:tr>
      <w:tr>
        <w:trPr>
          <w:trHeight w:val="446" w:hRule="atLeast"/>
        </w:trPr>
        <w:tc>
          <w:tcPr>
            <w:tcW w:w="811" w:type="dxa"/>
          </w:tcPr>
          <w:p>
            <w:pPr>
              <w:pStyle w:val="TableParagraph"/>
              <w:spacing w:line="275" w:lineRule="exact" w:before="151"/>
              <w:ind w:left="179" w:right="146"/>
              <w:jc w:val="center"/>
              <w:rPr>
                <w:b/>
                <w:sz w:val="22"/>
              </w:rPr>
            </w:pPr>
            <w:r>
              <w:rPr>
                <w:b/>
                <w:sz w:val="22"/>
              </w:rPr>
              <w:t>6.23</w:t>
            </w:r>
          </w:p>
        </w:tc>
        <w:tc>
          <w:tcPr>
            <w:tcW w:w="1617" w:type="dxa"/>
          </w:tcPr>
          <w:p>
            <w:pPr>
              <w:pStyle w:val="TableParagraph"/>
              <w:spacing w:line="275" w:lineRule="exact" w:before="151"/>
              <w:ind w:left="167"/>
              <w:rPr>
                <w:b/>
                <w:sz w:val="22"/>
              </w:rPr>
            </w:pPr>
            <w:r>
              <w:rPr>
                <w:b/>
                <w:w w:val="95"/>
                <w:sz w:val="22"/>
              </w:rPr>
              <w:t>手续费</w:t>
            </w:r>
          </w:p>
        </w:tc>
        <w:tc>
          <w:tcPr>
            <w:tcW w:w="7629" w:type="dxa"/>
          </w:tcPr>
          <w:p>
            <w:pPr>
              <w:pStyle w:val="TableParagraph"/>
              <w:spacing w:line="275" w:lineRule="exact" w:before="151"/>
              <w:rPr>
                <w:sz w:val="22"/>
              </w:rPr>
            </w:pPr>
            <w:r>
              <w:rPr>
                <w:sz w:val="22"/>
              </w:rPr>
              <w:t>指本公司对本合同平均承担的营业费用及佣金的总和。</w:t>
            </w:r>
          </w:p>
        </w:tc>
      </w:tr>
    </w:tbl>
    <w:sectPr>
      <w:pgSz w:w="11910" w:h="16850"/>
      <w:pgMar w:top="1540" w:bottom="28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Microsoft JhengHei UI">
    <w:altName w:val="Microsoft JhengHei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1" w:hanging="454"/>
      </w:pPr>
      <w:rPr>
        <w:rFonts w:hint="default"/>
      </w:rPr>
    </w:lvl>
    <w:lvl w:ilvl="7">
      <w:start w:val="0"/>
      <w:numFmt w:val="bullet"/>
      <w:lvlText w:val="•"/>
      <w:lvlJc w:val="left"/>
      <w:pPr>
        <w:ind w:left="5508" w:hanging="454"/>
      </w:pPr>
      <w:rPr>
        <w:rFonts w:hint="default"/>
      </w:rPr>
    </w:lvl>
    <w:lvl w:ilvl="8">
      <w:start w:val="0"/>
      <w:numFmt w:val="bullet"/>
      <w:lvlText w:val="•"/>
      <w:lvlJc w:val="left"/>
      <w:pPr>
        <w:ind w:left="6215" w:hanging="454"/>
      </w:pPr>
      <w:rPr>
        <w:rFonts w:hint="default"/>
      </w:rPr>
    </w:lvl>
  </w:abstractNum>
  <w:abstractNum w:abstractNumId="31">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50" w:hanging="454"/>
      </w:pPr>
      <w:rPr>
        <w:rFonts w:hint="default"/>
      </w:rPr>
    </w:lvl>
    <w:lvl w:ilvl="2">
      <w:start w:val="0"/>
      <w:numFmt w:val="bullet"/>
      <w:lvlText w:val="•"/>
      <w:lvlJc w:val="left"/>
      <w:pPr>
        <w:ind w:left="1941" w:hanging="454"/>
      </w:pPr>
      <w:rPr>
        <w:rFonts w:hint="default"/>
      </w:rPr>
    </w:lvl>
    <w:lvl w:ilvl="3">
      <w:start w:val="0"/>
      <w:numFmt w:val="bullet"/>
      <w:lvlText w:val="•"/>
      <w:lvlJc w:val="left"/>
      <w:pPr>
        <w:ind w:left="2632" w:hanging="454"/>
      </w:pPr>
      <w:rPr>
        <w:rFonts w:hint="default"/>
      </w:rPr>
    </w:lvl>
    <w:lvl w:ilvl="4">
      <w:start w:val="0"/>
      <w:numFmt w:val="bullet"/>
      <w:lvlText w:val="•"/>
      <w:lvlJc w:val="left"/>
      <w:pPr>
        <w:ind w:left="3322" w:hanging="454"/>
      </w:pPr>
      <w:rPr>
        <w:rFonts w:hint="default"/>
      </w:rPr>
    </w:lvl>
    <w:lvl w:ilvl="5">
      <w:start w:val="0"/>
      <w:numFmt w:val="bullet"/>
      <w:lvlText w:val="•"/>
      <w:lvlJc w:val="left"/>
      <w:pPr>
        <w:ind w:left="4013" w:hanging="454"/>
      </w:pPr>
      <w:rPr>
        <w:rFonts w:hint="default"/>
      </w:rPr>
    </w:lvl>
    <w:lvl w:ilvl="6">
      <w:start w:val="0"/>
      <w:numFmt w:val="bullet"/>
      <w:lvlText w:val="•"/>
      <w:lvlJc w:val="left"/>
      <w:pPr>
        <w:ind w:left="4704" w:hanging="454"/>
      </w:pPr>
      <w:rPr>
        <w:rFonts w:hint="default"/>
      </w:rPr>
    </w:lvl>
    <w:lvl w:ilvl="7">
      <w:start w:val="0"/>
      <w:numFmt w:val="bullet"/>
      <w:lvlText w:val="•"/>
      <w:lvlJc w:val="left"/>
      <w:pPr>
        <w:ind w:left="5394" w:hanging="454"/>
      </w:pPr>
      <w:rPr>
        <w:rFonts w:hint="default"/>
      </w:rPr>
    </w:lvl>
    <w:lvl w:ilvl="8">
      <w:start w:val="0"/>
      <w:numFmt w:val="bullet"/>
      <w:lvlText w:val="•"/>
      <w:lvlJc w:val="left"/>
      <w:pPr>
        <w:ind w:left="6085" w:hanging="454"/>
      </w:pPr>
      <w:rPr>
        <w:rFonts w:hint="default"/>
      </w:rPr>
    </w:lvl>
  </w:abstractNum>
  <w:abstractNum w:abstractNumId="30">
    <w:multiLevelType w:val="hybridMultilevel"/>
    <w:lvl w:ilvl="0">
      <w:start w:val="1"/>
      <w:numFmt w:val="decimal"/>
      <w:lvlText w:val="(%1)"/>
      <w:lvlJc w:val="left"/>
      <w:pPr>
        <w:ind w:left="554" w:hanging="454"/>
        <w:jc w:val="left"/>
      </w:pPr>
      <w:rPr>
        <w:rFonts w:hint="default" w:ascii="宋体" w:hAnsi="宋体" w:eastAsia="宋体" w:cs="宋体"/>
        <w:w w:val="100"/>
        <w:sz w:val="22"/>
        <w:szCs w:val="22"/>
      </w:rPr>
    </w:lvl>
    <w:lvl w:ilvl="1">
      <w:start w:val="0"/>
      <w:numFmt w:val="bullet"/>
      <w:lvlText w:val="•"/>
      <w:lvlJc w:val="left"/>
      <w:pPr>
        <w:ind w:left="1250" w:hanging="454"/>
      </w:pPr>
      <w:rPr>
        <w:rFonts w:hint="default"/>
      </w:rPr>
    </w:lvl>
    <w:lvl w:ilvl="2">
      <w:start w:val="0"/>
      <w:numFmt w:val="bullet"/>
      <w:lvlText w:val="•"/>
      <w:lvlJc w:val="left"/>
      <w:pPr>
        <w:ind w:left="1941" w:hanging="454"/>
      </w:pPr>
      <w:rPr>
        <w:rFonts w:hint="default"/>
      </w:rPr>
    </w:lvl>
    <w:lvl w:ilvl="3">
      <w:start w:val="0"/>
      <w:numFmt w:val="bullet"/>
      <w:lvlText w:val="•"/>
      <w:lvlJc w:val="left"/>
      <w:pPr>
        <w:ind w:left="2632" w:hanging="454"/>
      </w:pPr>
      <w:rPr>
        <w:rFonts w:hint="default"/>
      </w:rPr>
    </w:lvl>
    <w:lvl w:ilvl="4">
      <w:start w:val="0"/>
      <w:numFmt w:val="bullet"/>
      <w:lvlText w:val="•"/>
      <w:lvlJc w:val="left"/>
      <w:pPr>
        <w:ind w:left="3322" w:hanging="454"/>
      </w:pPr>
      <w:rPr>
        <w:rFonts w:hint="default"/>
      </w:rPr>
    </w:lvl>
    <w:lvl w:ilvl="5">
      <w:start w:val="0"/>
      <w:numFmt w:val="bullet"/>
      <w:lvlText w:val="•"/>
      <w:lvlJc w:val="left"/>
      <w:pPr>
        <w:ind w:left="4013" w:hanging="454"/>
      </w:pPr>
      <w:rPr>
        <w:rFonts w:hint="default"/>
      </w:rPr>
    </w:lvl>
    <w:lvl w:ilvl="6">
      <w:start w:val="0"/>
      <w:numFmt w:val="bullet"/>
      <w:lvlText w:val="•"/>
      <w:lvlJc w:val="left"/>
      <w:pPr>
        <w:ind w:left="4704" w:hanging="454"/>
      </w:pPr>
      <w:rPr>
        <w:rFonts w:hint="default"/>
      </w:rPr>
    </w:lvl>
    <w:lvl w:ilvl="7">
      <w:start w:val="0"/>
      <w:numFmt w:val="bullet"/>
      <w:lvlText w:val="•"/>
      <w:lvlJc w:val="left"/>
      <w:pPr>
        <w:ind w:left="5394" w:hanging="454"/>
      </w:pPr>
      <w:rPr>
        <w:rFonts w:hint="default"/>
      </w:rPr>
    </w:lvl>
    <w:lvl w:ilvl="8">
      <w:start w:val="0"/>
      <w:numFmt w:val="bullet"/>
      <w:lvlText w:val="•"/>
      <w:lvlJc w:val="left"/>
      <w:pPr>
        <w:ind w:left="6085" w:hanging="454"/>
      </w:pPr>
      <w:rPr>
        <w:rFonts w:hint="default"/>
      </w:rPr>
    </w:lvl>
  </w:abstractNum>
  <w:abstractNum w:abstractNumId="29">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775" w:hanging="222"/>
      </w:pPr>
      <w:rPr>
        <w:rFonts w:hint="default" w:ascii="宋体" w:hAnsi="宋体" w:eastAsia="宋体" w:cs="宋体"/>
        <w:w w:val="100"/>
        <w:sz w:val="22"/>
        <w:szCs w:val="22"/>
      </w:rPr>
    </w:lvl>
    <w:lvl w:ilvl="2">
      <w:start w:val="0"/>
      <w:numFmt w:val="bullet"/>
      <w:lvlText w:val="•"/>
      <w:lvlJc w:val="left"/>
      <w:pPr>
        <w:ind w:left="1539" w:hanging="222"/>
      </w:pPr>
      <w:rPr>
        <w:rFonts w:hint="default"/>
      </w:rPr>
    </w:lvl>
    <w:lvl w:ilvl="3">
      <w:start w:val="0"/>
      <w:numFmt w:val="bullet"/>
      <w:lvlText w:val="•"/>
      <w:lvlJc w:val="left"/>
      <w:pPr>
        <w:ind w:left="2299" w:hanging="222"/>
      </w:pPr>
      <w:rPr>
        <w:rFonts w:hint="default"/>
      </w:rPr>
    </w:lvl>
    <w:lvl w:ilvl="4">
      <w:start w:val="0"/>
      <w:numFmt w:val="bullet"/>
      <w:lvlText w:val="•"/>
      <w:lvlJc w:val="left"/>
      <w:pPr>
        <w:ind w:left="3058" w:hanging="222"/>
      </w:pPr>
      <w:rPr>
        <w:rFonts w:hint="default"/>
      </w:rPr>
    </w:lvl>
    <w:lvl w:ilvl="5">
      <w:start w:val="0"/>
      <w:numFmt w:val="bullet"/>
      <w:lvlText w:val="•"/>
      <w:lvlJc w:val="left"/>
      <w:pPr>
        <w:ind w:left="3818" w:hanging="222"/>
      </w:pPr>
      <w:rPr>
        <w:rFonts w:hint="default"/>
      </w:rPr>
    </w:lvl>
    <w:lvl w:ilvl="6">
      <w:start w:val="0"/>
      <w:numFmt w:val="bullet"/>
      <w:lvlText w:val="•"/>
      <w:lvlJc w:val="left"/>
      <w:pPr>
        <w:ind w:left="4577" w:hanging="222"/>
      </w:pPr>
      <w:rPr>
        <w:rFonts w:hint="default"/>
      </w:rPr>
    </w:lvl>
    <w:lvl w:ilvl="7">
      <w:start w:val="0"/>
      <w:numFmt w:val="bullet"/>
      <w:lvlText w:val="•"/>
      <w:lvlJc w:val="left"/>
      <w:pPr>
        <w:ind w:left="5337" w:hanging="222"/>
      </w:pPr>
      <w:rPr>
        <w:rFonts w:hint="default"/>
      </w:rPr>
    </w:lvl>
    <w:lvl w:ilvl="8">
      <w:start w:val="0"/>
      <w:numFmt w:val="bullet"/>
      <w:lvlText w:val="•"/>
      <w:lvlJc w:val="left"/>
      <w:pPr>
        <w:ind w:left="6096" w:hanging="222"/>
      </w:pPr>
      <w:rPr>
        <w:rFonts w:hint="default"/>
      </w:rPr>
    </w:lvl>
  </w:abstractNum>
  <w:abstractNum w:abstractNumId="28">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27">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26">
    <w:multiLevelType w:val="hybridMultilevel"/>
    <w:lvl w:ilvl="0">
      <w:start w:val="1"/>
      <w:numFmt w:val="decimal"/>
      <w:lvlText w:val="(%1)"/>
      <w:lvlJc w:val="left"/>
      <w:pPr>
        <w:ind w:left="547" w:hanging="454"/>
        <w:jc w:val="left"/>
      </w:pPr>
      <w:rPr>
        <w:rFonts w:hint="default" w:ascii="宋体" w:hAnsi="宋体" w:eastAsia="宋体" w:cs="宋体"/>
        <w:w w:val="100"/>
        <w:sz w:val="22"/>
        <w:szCs w:val="22"/>
      </w:rPr>
    </w:lvl>
    <w:lvl w:ilvl="1">
      <w:start w:val="0"/>
      <w:numFmt w:val="bullet"/>
      <w:lvlText w:val="•"/>
      <w:lvlJc w:val="left"/>
      <w:pPr>
        <w:ind w:left="1237" w:hanging="454"/>
      </w:pPr>
      <w:rPr>
        <w:rFonts w:hint="default"/>
      </w:rPr>
    </w:lvl>
    <w:lvl w:ilvl="2">
      <w:start w:val="0"/>
      <w:numFmt w:val="bullet"/>
      <w:lvlText w:val="•"/>
      <w:lvlJc w:val="left"/>
      <w:pPr>
        <w:ind w:left="1935" w:hanging="454"/>
      </w:pPr>
      <w:rPr>
        <w:rFonts w:hint="default"/>
      </w:rPr>
    </w:lvl>
    <w:lvl w:ilvl="3">
      <w:start w:val="0"/>
      <w:numFmt w:val="bullet"/>
      <w:lvlText w:val="•"/>
      <w:lvlJc w:val="left"/>
      <w:pPr>
        <w:ind w:left="2633" w:hanging="454"/>
      </w:pPr>
      <w:rPr>
        <w:rFonts w:hint="default"/>
      </w:rPr>
    </w:lvl>
    <w:lvl w:ilvl="4">
      <w:start w:val="0"/>
      <w:numFmt w:val="bullet"/>
      <w:lvlText w:val="•"/>
      <w:lvlJc w:val="left"/>
      <w:pPr>
        <w:ind w:left="3331" w:hanging="454"/>
      </w:pPr>
      <w:rPr>
        <w:rFonts w:hint="default"/>
      </w:rPr>
    </w:lvl>
    <w:lvl w:ilvl="5">
      <w:start w:val="0"/>
      <w:numFmt w:val="bullet"/>
      <w:lvlText w:val="•"/>
      <w:lvlJc w:val="left"/>
      <w:pPr>
        <w:ind w:left="4029" w:hanging="454"/>
      </w:pPr>
      <w:rPr>
        <w:rFonts w:hint="default"/>
      </w:rPr>
    </w:lvl>
    <w:lvl w:ilvl="6">
      <w:start w:val="0"/>
      <w:numFmt w:val="bullet"/>
      <w:lvlText w:val="•"/>
      <w:lvlJc w:val="left"/>
      <w:pPr>
        <w:ind w:left="4727" w:hanging="454"/>
      </w:pPr>
      <w:rPr>
        <w:rFonts w:hint="default"/>
      </w:rPr>
    </w:lvl>
    <w:lvl w:ilvl="7">
      <w:start w:val="0"/>
      <w:numFmt w:val="bullet"/>
      <w:lvlText w:val="•"/>
      <w:lvlJc w:val="left"/>
      <w:pPr>
        <w:ind w:left="5425" w:hanging="454"/>
      </w:pPr>
      <w:rPr>
        <w:rFonts w:hint="default"/>
      </w:rPr>
    </w:lvl>
    <w:lvl w:ilvl="8">
      <w:start w:val="0"/>
      <w:numFmt w:val="bullet"/>
      <w:lvlText w:val="•"/>
      <w:lvlJc w:val="left"/>
      <w:pPr>
        <w:ind w:left="6123" w:hanging="454"/>
      </w:pPr>
      <w:rPr>
        <w:rFonts w:hint="default"/>
      </w:rPr>
    </w:lvl>
  </w:abstractNum>
  <w:abstractNum w:abstractNumId="25">
    <w:multiLevelType w:val="hybridMultilevel"/>
    <w:lvl w:ilvl="0">
      <w:start w:val="1"/>
      <w:numFmt w:val="decimal"/>
      <w:lvlText w:val="(%1)"/>
      <w:lvlJc w:val="left"/>
      <w:pPr>
        <w:ind w:left="610" w:hanging="454"/>
        <w:jc w:val="left"/>
      </w:pPr>
      <w:rPr>
        <w:rFonts w:hint="default" w:ascii="宋体" w:hAnsi="宋体" w:eastAsia="宋体" w:cs="宋体"/>
        <w:w w:val="100"/>
        <w:sz w:val="22"/>
        <w:szCs w:val="22"/>
      </w:rPr>
    </w:lvl>
    <w:lvl w:ilvl="1">
      <w:start w:val="0"/>
      <w:numFmt w:val="bullet"/>
      <w:lvlText w:val="•"/>
      <w:lvlJc w:val="left"/>
      <w:pPr>
        <w:ind w:left="1316" w:hanging="454"/>
      </w:pPr>
      <w:rPr>
        <w:rFonts w:hint="default"/>
      </w:rPr>
    </w:lvl>
    <w:lvl w:ilvl="2">
      <w:start w:val="0"/>
      <w:numFmt w:val="bullet"/>
      <w:lvlText w:val="•"/>
      <w:lvlJc w:val="left"/>
      <w:pPr>
        <w:ind w:left="2012" w:hanging="454"/>
      </w:pPr>
      <w:rPr>
        <w:rFonts w:hint="default"/>
      </w:rPr>
    </w:lvl>
    <w:lvl w:ilvl="3">
      <w:start w:val="0"/>
      <w:numFmt w:val="bullet"/>
      <w:lvlText w:val="•"/>
      <w:lvlJc w:val="left"/>
      <w:pPr>
        <w:ind w:left="2708" w:hanging="454"/>
      </w:pPr>
      <w:rPr>
        <w:rFonts w:hint="default"/>
      </w:rPr>
    </w:lvl>
    <w:lvl w:ilvl="4">
      <w:start w:val="0"/>
      <w:numFmt w:val="bullet"/>
      <w:lvlText w:val="•"/>
      <w:lvlJc w:val="left"/>
      <w:pPr>
        <w:ind w:left="3404" w:hanging="454"/>
      </w:pPr>
      <w:rPr>
        <w:rFonts w:hint="default"/>
      </w:rPr>
    </w:lvl>
    <w:lvl w:ilvl="5">
      <w:start w:val="0"/>
      <w:numFmt w:val="bullet"/>
      <w:lvlText w:val="•"/>
      <w:lvlJc w:val="left"/>
      <w:pPr>
        <w:ind w:left="4101" w:hanging="454"/>
      </w:pPr>
      <w:rPr>
        <w:rFonts w:hint="default"/>
      </w:rPr>
    </w:lvl>
    <w:lvl w:ilvl="6">
      <w:start w:val="0"/>
      <w:numFmt w:val="bullet"/>
      <w:lvlText w:val="•"/>
      <w:lvlJc w:val="left"/>
      <w:pPr>
        <w:ind w:left="4797" w:hanging="454"/>
      </w:pPr>
      <w:rPr>
        <w:rFonts w:hint="default"/>
      </w:rPr>
    </w:lvl>
    <w:lvl w:ilvl="7">
      <w:start w:val="0"/>
      <w:numFmt w:val="bullet"/>
      <w:lvlText w:val="•"/>
      <w:lvlJc w:val="left"/>
      <w:pPr>
        <w:ind w:left="5493" w:hanging="454"/>
      </w:pPr>
      <w:rPr>
        <w:rFonts w:hint="default"/>
      </w:rPr>
    </w:lvl>
    <w:lvl w:ilvl="8">
      <w:start w:val="0"/>
      <w:numFmt w:val="bullet"/>
      <w:lvlText w:val="•"/>
      <w:lvlJc w:val="left"/>
      <w:pPr>
        <w:ind w:left="6189" w:hanging="454"/>
      </w:pPr>
      <w:rPr>
        <w:rFonts w:hint="default"/>
      </w:rPr>
    </w:lvl>
  </w:abstractNum>
  <w:abstractNum w:abstractNumId="24">
    <w:multiLevelType w:val="hybridMultilevel"/>
    <w:lvl w:ilvl="0">
      <w:start w:val="3"/>
      <w:numFmt w:val="upperRoman"/>
      <w:lvlText w:val="%1"/>
      <w:lvlJc w:val="left"/>
      <w:pPr>
        <w:ind w:left="2167" w:hanging="387"/>
        <w:jc w:val="left"/>
      </w:pPr>
      <w:rPr>
        <w:rFonts w:hint="default" w:ascii="宋体" w:hAnsi="宋体" w:eastAsia="宋体" w:cs="宋体"/>
        <w:w w:val="100"/>
        <w:sz w:val="22"/>
        <w:szCs w:val="22"/>
      </w:rPr>
    </w:lvl>
    <w:lvl w:ilvl="1">
      <w:start w:val="0"/>
      <w:numFmt w:val="bullet"/>
      <w:lvlText w:val="•"/>
      <w:lvlJc w:val="left"/>
      <w:pPr>
        <w:ind w:left="2864" w:hanging="387"/>
      </w:pPr>
      <w:rPr>
        <w:rFonts w:hint="default"/>
      </w:rPr>
    </w:lvl>
    <w:lvl w:ilvl="2">
      <w:start w:val="0"/>
      <w:numFmt w:val="bullet"/>
      <w:lvlText w:val="•"/>
      <w:lvlJc w:val="left"/>
      <w:pPr>
        <w:ind w:left="3569" w:hanging="387"/>
      </w:pPr>
      <w:rPr>
        <w:rFonts w:hint="default"/>
      </w:rPr>
    </w:lvl>
    <w:lvl w:ilvl="3">
      <w:start w:val="0"/>
      <w:numFmt w:val="bullet"/>
      <w:lvlText w:val="•"/>
      <w:lvlJc w:val="left"/>
      <w:pPr>
        <w:ind w:left="4273" w:hanging="387"/>
      </w:pPr>
      <w:rPr>
        <w:rFonts w:hint="default"/>
      </w:rPr>
    </w:lvl>
    <w:lvl w:ilvl="4">
      <w:start w:val="0"/>
      <w:numFmt w:val="bullet"/>
      <w:lvlText w:val="•"/>
      <w:lvlJc w:val="left"/>
      <w:pPr>
        <w:ind w:left="4978" w:hanging="387"/>
      </w:pPr>
      <w:rPr>
        <w:rFonts w:hint="default"/>
      </w:rPr>
    </w:lvl>
    <w:lvl w:ilvl="5">
      <w:start w:val="0"/>
      <w:numFmt w:val="bullet"/>
      <w:lvlText w:val="•"/>
      <w:lvlJc w:val="left"/>
      <w:pPr>
        <w:ind w:left="5683" w:hanging="387"/>
      </w:pPr>
      <w:rPr>
        <w:rFonts w:hint="default"/>
      </w:rPr>
    </w:lvl>
    <w:lvl w:ilvl="6">
      <w:start w:val="0"/>
      <w:numFmt w:val="bullet"/>
      <w:lvlText w:val="•"/>
      <w:lvlJc w:val="left"/>
      <w:pPr>
        <w:ind w:left="6387" w:hanging="387"/>
      </w:pPr>
      <w:rPr>
        <w:rFonts w:hint="default"/>
      </w:rPr>
    </w:lvl>
    <w:lvl w:ilvl="7">
      <w:start w:val="0"/>
      <w:numFmt w:val="bullet"/>
      <w:lvlText w:val="•"/>
      <w:lvlJc w:val="left"/>
      <w:pPr>
        <w:ind w:left="7092" w:hanging="387"/>
      </w:pPr>
      <w:rPr>
        <w:rFonts w:hint="default"/>
      </w:rPr>
    </w:lvl>
    <w:lvl w:ilvl="8">
      <w:start w:val="0"/>
      <w:numFmt w:val="bullet"/>
      <w:lvlText w:val="•"/>
      <w:lvlJc w:val="left"/>
      <w:pPr>
        <w:ind w:left="7797" w:hanging="387"/>
      </w:pPr>
      <w:rPr>
        <w:rFonts w:hint="default"/>
      </w:rPr>
    </w:lvl>
  </w:abstractNum>
  <w:abstractNum w:abstractNumId="23">
    <w:multiLevelType w:val="hybridMultilevel"/>
    <w:lvl w:ilvl="0">
      <w:start w:val="1"/>
      <w:numFmt w:val="upperRoman"/>
      <w:lvlText w:val="%1"/>
      <w:lvlJc w:val="left"/>
      <w:pPr>
        <w:ind w:left="246" w:hanging="166"/>
        <w:jc w:val="left"/>
      </w:pPr>
      <w:rPr>
        <w:rFonts w:hint="default" w:ascii="宋体" w:hAnsi="宋体" w:eastAsia="宋体" w:cs="宋体"/>
        <w:w w:val="100"/>
        <w:sz w:val="22"/>
        <w:szCs w:val="22"/>
      </w:rPr>
    </w:lvl>
    <w:lvl w:ilvl="1">
      <w:start w:val="0"/>
      <w:numFmt w:val="bullet"/>
      <w:lvlText w:val="•"/>
      <w:lvlJc w:val="left"/>
      <w:pPr>
        <w:ind w:left="975" w:hanging="166"/>
      </w:pPr>
      <w:rPr>
        <w:rFonts w:hint="default"/>
      </w:rPr>
    </w:lvl>
    <w:lvl w:ilvl="2">
      <w:start w:val="0"/>
      <w:numFmt w:val="bullet"/>
      <w:lvlText w:val="•"/>
      <w:lvlJc w:val="left"/>
      <w:pPr>
        <w:ind w:left="1711" w:hanging="166"/>
      </w:pPr>
      <w:rPr>
        <w:rFonts w:hint="default"/>
      </w:rPr>
    </w:lvl>
    <w:lvl w:ilvl="3">
      <w:start w:val="0"/>
      <w:numFmt w:val="bullet"/>
      <w:lvlText w:val="•"/>
      <w:lvlJc w:val="left"/>
      <w:pPr>
        <w:ind w:left="2447" w:hanging="166"/>
      </w:pPr>
      <w:rPr>
        <w:rFonts w:hint="default"/>
      </w:rPr>
    </w:lvl>
    <w:lvl w:ilvl="4">
      <w:start w:val="0"/>
      <w:numFmt w:val="bullet"/>
      <w:lvlText w:val="•"/>
      <w:lvlJc w:val="left"/>
      <w:pPr>
        <w:ind w:left="3183" w:hanging="166"/>
      </w:pPr>
      <w:rPr>
        <w:rFonts w:hint="default"/>
      </w:rPr>
    </w:lvl>
    <w:lvl w:ilvl="5">
      <w:start w:val="0"/>
      <w:numFmt w:val="bullet"/>
      <w:lvlText w:val="•"/>
      <w:lvlJc w:val="left"/>
      <w:pPr>
        <w:ind w:left="3919" w:hanging="166"/>
      </w:pPr>
      <w:rPr>
        <w:rFonts w:hint="default"/>
      </w:rPr>
    </w:lvl>
    <w:lvl w:ilvl="6">
      <w:start w:val="0"/>
      <w:numFmt w:val="bullet"/>
      <w:lvlText w:val="•"/>
      <w:lvlJc w:val="left"/>
      <w:pPr>
        <w:ind w:left="4655" w:hanging="166"/>
      </w:pPr>
      <w:rPr>
        <w:rFonts w:hint="default"/>
      </w:rPr>
    </w:lvl>
    <w:lvl w:ilvl="7">
      <w:start w:val="0"/>
      <w:numFmt w:val="bullet"/>
      <w:lvlText w:val="•"/>
      <w:lvlJc w:val="left"/>
      <w:pPr>
        <w:ind w:left="5391" w:hanging="166"/>
      </w:pPr>
      <w:rPr>
        <w:rFonts w:hint="default"/>
      </w:rPr>
    </w:lvl>
    <w:lvl w:ilvl="8">
      <w:start w:val="0"/>
      <w:numFmt w:val="bullet"/>
      <w:lvlText w:val="•"/>
      <w:lvlJc w:val="left"/>
      <w:pPr>
        <w:ind w:left="6127" w:hanging="166"/>
      </w:pPr>
      <w:rPr>
        <w:rFonts w:hint="default"/>
      </w:rPr>
    </w:lvl>
  </w:abstractNum>
  <w:abstractNum w:abstractNumId="22">
    <w:multiLevelType w:val="hybridMultilevel"/>
    <w:lvl w:ilvl="0">
      <w:start w:val="1"/>
      <w:numFmt w:val="decimal"/>
      <w:lvlText w:val="(%1)"/>
      <w:lvlJc w:val="left"/>
      <w:pPr>
        <w:ind w:left="534" w:hanging="454"/>
        <w:jc w:val="left"/>
      </w:pPr>
      <w:rPr>
        <w:rFonts w:hint="default" w:ascii="宋体" w:hAnsi="宋体" w:eastAsia="宋体" w:cs="宋体"/>
        <w:w w:val="100"/>
        <w:sz w:val="22"/>
        <w:szCs w:val="22"/>
      </w:rPr>
    </w:lvl>
    <w:lvl w:ilvl="1">
      <w:start w:val="0"/>
      <w:numFmt w:val="bullet"/>
      <w:lvlText w:val="•"/>
      <w:lvlJc w:val="left"/>
      <w:pPr>
        <w:ind w:left="1245" w:hanging="454"/>
      </w:pPr>
      <w:rPr>
        <w:rFonts w:hint="default"/>
      </w:rPr>
    </w:lvl>
    <w:lvl w:ilvl="2">
      <w:start w:val="0"/>
      <w:numFmt w:val="bullet"/>
      <w:lvlText w:val="•"/>
      <w:lvlJc w:val="left"/>
      <w:pPr>
        <w:ind w:left="1951" w:hanging="454"/>
      </w:pPr>
      <w:rPr>
        <w:rFonts w:hint="default"/>
      </w:rPr>
    </w:lvl>
    <w:lvl w:ilvl="3">
      <w:start w:val="0"/>
      <w:numFmt w:val="bullet"/>
      <w:lvlText w:val="•"/>
      <w:lvlJc w:val="left"/>
      <w:pPr>
        <w:ind w:left="2657" w:hanging="454"/>
      </w:pPr>
      <w:rPr>
        <w:rFonts w:hint="default"/>
      </w:rPr>
    </w:lvl>
    <w:lvl w:ilvl="4">
      <w:start w:val="0"/>
      <w:numFmt w:val="bullet"/>
      <w:lvlText w:val="•"/>
      <w:lvlJc w:val="left"/>
      <w:pPr>
        <w:ind w:left="3363" w:hanging="454"/>
      </w:pPr>
      <w:rPr>
        <w:rFonts w:hint="default"/>
      </w:rPr>
    </w:lvl>
    <w:lvl w:ilvl="5">
      <w:start w:val="0"/>
      <w:numFmt w:val="bullet"/>
      <w:lvlText w:val="•"/>
      <w:lvlJc w:val="left"/>
      <w:pPr>
        <w:ind w:left="4069" w:hanging="454"/>
      </w:pPr>
      <w:rPr>
        <w:rFonts w:hint="default"/>
      </w:rPr>
    </w:lvl>
    <w:lvl w:ilvl="6">
      <w:start w:val="0"/>
      <w:numFmt w:val="bullet"/>
      <w:lvlText w:val="•"/>
      <w:lvlJc w:val="left"/>
      <w:pPr>
        <w:ind w:left="4775" w:hanging="454"/>
      </w:pPr>
      <w:rPr>
        <w:rFonts w:hint="default"/>
      </w:rPr>
    </w:lvl>
    <w:lvl w:ilvl="7">
      <w:start w:val="0"/>
      <w:numFmt w:val="bullet"/>
      <w:lvlText w:val="•"/>
      <w:lvlJc w:val="left"/>
      <w:pPr>
        <w:ind w:left="5481" w:hanging="454"/>
      </w:pPr>
      <w:rPr>
        <w:rFonts w:hint="default"/>
      </w:rPr>
    </w:lvl>
    <w:lvl w:ilvl="8">
      <w:start w:val="0"/>
      <w:numFmt w:val="bullet"/>
      <w:lvlText w:val="•"/>
      <w:lvlJc w:val="left"/>
      <w:pPr>
        <w:ind w:left="6187" w:hanging="454"/>
      </w:pPr>
      <w:rPr>
        <w:rFonts w:hint="default"/>
      </w:rPr>
    </w:lvl>
  </w:abstractNum>
  <w:abstractNum w:abstractNumId="21">
    <w:multiLevelType w:val="hybridMultilevel"/>
    <w:lvl w:ilvl="0">
      <w:start w:val="1"/>
      <w:numFmt w:val="decimal"/>
      <w:lvlText w:val="(%1)"/>
      <w:lvlJc w:val="left"/>
      <w:pPr>
        <w:ind w:left="534" w:hanging="454"/>
        <w:jc w:val="left"/>
      </w:pPr>
      <w:rPr>
        <w:rFonts w:hint="default" w:ascii="宋体" w:hAnsi="宋体" w:eastAsia="宋体" w:cs="宋体"/>
        <w:w w:val="100"/>
        <w:sz w:val="22"/>
        <w:szCs w:val="22"/>
      </w:rPr>
    </w:lvl>
    <w:lvl w:ilvl="1">
      <w:start w:val="0"/>
      <w:numFmt w:val="bullet"/>
      <w:lvlText w:val="•"/>
      <w:lvlJc w:val="left"/>
      <w:pPr>
        <w:ind w:left="1245" w:hanging="454"/>
      </w:pPr>
      <w:rPr>
        <w:rFonts w:hint="default"/>
      </w:rPr>
    </w:lvl>
    <w:lvl w:ilvl="2">
      <w:start w:val="0"/>
      <w:numFmt w:val="bullet"/>
      <w:lvlText w:val="•"/>
      <w:lvlJc w:val="left"/>
      <w:pPr>
        <w:ind w:left="1951" w:hanging="454"/>
      </w:pPr>
      <w:rPr>
        <w:rFonts w:hint="default"/>
      </w:rPr>
    </w:lvl>
    <w:lvl w:ilvl="3">
      <w:start w:val="0"/>
      <w:numFmt w:val="bullet"/>
      <w:lvlText w:val="•"/>
      <w:lvlJc w:val="left"/>
      <w:pPr>
        <w:ind w:left="2657" w:hanging="454"/>
      </w:pPr>
      <w:rPr>
        <w:rFonts w:hint="default"/>
      </w:rPr>
    </w:lvl>
    <w:lvl w:ilvl="4">
      <w:start w:val="0"/>
      <w:numFmt w:val="bullet"/>
      <w:lvlText w:val="•"/>
      <w:lvlJc w:val="left"/>
      <w:pPr>
        <w:ind w:left="3363" w:hanging="454"/>
      </w:pPr>
      <w:rPr>
        <w:rFonts w:hint="default"/>
      </w:rPr>
    </w:lvl>
    <w:lvl w:ilvl="5">
      <w:start w:val="0"/>
      <w:numFmt w:val="bullet"/>
      <w:lvlText w:val="•"/>
      <w:lvlJc w:val="left"/>
      <w:pPr>
        <w:ind w:left="4069" w:hanging="454"/>
      </w:pPr>
      <w:rPr>
        <w:rFonts w:hint="default"/>
      </w:rPr>
    </w:lvl>
    <w:lvl w:ilvl="6">
      <w:start w:val="0"/>
      <w:numFmt w:val="bullet"/>
      <w:lvlText w:val="•"/>
      <w:lvlJc w:val="left"/>
      <w:pPr>
        <w:ind w:left="4775" w:hanging="454"/>
      </w:pPr>
      <w:rPr>
        <w:rFonts w:hint="default"/>
      </w:rPr>
    </w:lvl>
    <w:lvl w:ilvl="7">
      <w:start w:val="0"/>
      <w:numFmt w:val="bullet"/>
      <w:lvlText w:val="•"/>
      <w:lvlJc w:val="left"/>
      <w:pPr>
        <w:ind w:left="5481" w:hanging="454"/>
      </w:pPr>
      <w:rPr>
        <w:rFonts w:hint="default"/>
      </w:rPr>
    </w:lvl>
    <w:lvl w:ilvl="8">
      <w:start w:val="0"/>
      <w:numFmt w:val="bullet"/>
      <w:lvlText w:val="•"/>
      <w:lvlJc w:val="left"/>
      <w:pPr>
        <w:ind w:left="6187" w:hanging="454"/>
      </w:pPr>
      <w:rPr>
        <w:rFonts w:hint="default"/>
      </w:rPr>
    </w:lvl>
  </w:abstractNum>
  <w:abstractNum w:abstractNumId="20">
    <w:multiLevelType w:val="hybridMultilevel"/>
    <w:lvl w:ilvl="0">
      <w:start w:val="1"/>
      <w:numFmt w:val="decimal"/>
      <w:lvlText w:val="(%1)"/>
      <w:lvlJc w:val="left"/>
      <w:pPr>
        <w:ind w:left="613" w:hanging="454"/>
        <w:jc w:val="left"/>
      </w:pPr>
      <w:rPr>
        <w:rFonts w:hint="default" w:ascii="宋体" w:hAnsi="宋体" w:eastAsia="宋体" w:cs="宋体"/>
        <w:w w:val="100"/>
        <w:sz w:val="22"/>
        <w:szCs w:val="22"/>
      </w:rPr>
    </w:lvl>
    <w:lvl w:ilvl="1">
      <w:start w:val="0"/>
      <w:numFmt w:val="bullet"/>
      <w:lvlText w:val="•"/>
      <w:lvlJc w:val="left"/>
      <w:pPr>
        <w:ind w:left="1318" w:hanging="454"/>
      </w:pPr>
      <w:rPr>
        <w:rFonts w:hint="default"/>
      </w:rPr>
    </w:lvl>
    <w:lvl w:ilvl="2">
      <w:start w:val="0"/>
      <w:numFmt w:val="bullet"/>
      <w:lvlText w:val="•"/>
      <w:lvlJc w:val="left"/>
      <w:pPr>
        <w:ind w:left="2017" w:hanging="454"/>
      </w:pPr>
      <w:rPr>
        <w:rFonts w:hint="default"/>
      </w:rPr>
    </w:lvl>
    <w:lvl w:ilvl="3">
      <w:start w:val="0"/>
      <w:numFmt w:val="bullet"/>
      <w:lvlText w:val="•"/>
      <w:lvlJc w:val="left"/>
      <w:pPr>
        <w:ind w:left="2715" w:hanging="454"/>
      </w:pPr>
      <w:rPr>
        <w:rFonts w:hint="default"/>
      </w:rPr>
    </w:lvl>
    <w:lvl w:ilvl="4">
      <w:start w:val="0"/>
      <w:numFmt w:val="bullet"/>
      <w:lvlText w:val="•"/>
      <w:lvlJc w:val="left"/>
      <w:pPr>
        <w:ind w:left="3414" w:hanging="454"/>
      </w:pPr>
      <w:rPr>
        <w:rFonts w:hint="default"/>
      </w:rPr>
    </w:lvl>
    <w:lvl w:ilvl="5">
      <w:start w:val="0"/>
      <w:numFmt w:val="bullet"/>
      <w:lvlText w:val="•"/>
      <w:lvlJc w:val="left"/>
      <w:pPr>
        <w:ind w:left="4112" w:hanging="454"/>
      </w:pPr>
      <w:rPr>
        <w:rFonts w:hint="default"/>
      </w:rPr>
    </w:lvl>
    <w:lvl w:ilvl="6">
      <w:start w:val="0"/>
      <w:numFmt w:val="bullet"/>
      <w:lvlText w:val="•"/>
      <w:lvlJc w:val="left"/>
      <w:pPr>
        <w:ind w:left="4811" w:hanging="454"/>
      </w:pPr>
      <w:rPr>
        <w:rFonts w:hint="default"/>
      </w:rPr>
    </w:lvl>
    <w:lvl w:ilvl="7">
      <w:start w:val="0"/>
      <w:numFmt w:val="bullet"/>
      <w:lvlText w:val="•"/>
      <w:lvlJc w:val="left"/>
      <w:pPr>
        <w:ind w:left="5509" w:hanging="454"/>
      </w:pPr>
      <w:rPr>
        <w:rFonts w:hint="default"/>
      </w:rPr>
    </w:lvl>
    <w:lvl w:ilvl="8">
      <w:start w:val="0"/>
      <w:numFmt w:val="bullet"/>
      <w:lvlText w:val="•"/>
      <w:lvlJc w:val="left"/>
      <w:pPr>
        <w:ind w:left="6208" w:hanging="454"/>
      </w:pPr>
      <w:rPr>
        <w:rFonts w:hint="default"/>
      </w:rPr>
    </w:lvl>
  </w:abstractNum>
  <w:abstractNum w:abstractNumId="19">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938" w:hanging="454"/>
      </w:pPr>
      <w:rPr>
        <w:rFonts w:hint="default"/>
      </w:rPr>
    </w:lvl>
    <w:lvl w:ilvl="2">
      <w:start w:val="0"/>
      <w:numFmt w:val="bullet"/>
      <w:lvlText w:val="•"/>
      <w:lvlJc w:val="left"/>
      <w:pPr>
        <w:ind w:left="3637" w:hanging="454"/>
      </w:pPr>
      <w:rPr>
        <w:rFonts w:hint="default"/>
      </w:rPr>
    </w:lvl>
    <w:lvl w:ilvl="3">
      <w:start w:val="0"/>
      <w:numFmt w:val="bullet"/>
      <w:lvlText w:val="•"/>
      <w:lvlJc w:val="left"/>
      <w:pPr>
        <w:ind w:left="4335" w:hanging="454"/>
      </w:pPr>
      <w:rPr>
        <w:rFonts w:hint="default"/>
      </w:rPr>
    </w:lvl>
    <w:lvl w:ilvl="4">
      <w:start w:val="0"/>
      <w:numFmt w:val="bullet"/>
      <w:lvlText w:val="•"/>
      <w:lvlJc w:val="left"/>
      <w:pPr>
        <w:ind w:left="5034" w:hanging="454"/>
      </w:pPr>
      <w:rPr>
        <w:rFonts w:hint="default"/>
      </w:rPr>
    </w:lvl>
    <w:lvl w:ilvl="5">
      <w:start w:val="0"/>
      <w:numFmt w:val="bullet"/>
      <w:lvlText w:val="•"/>
      <w:lvlJc w:val="left"/>
      <w:pPr>
        <w:ind w:left="5733" w:hanging="454"/>
      </w:pPr>
      <w:rPr>
        <w:rFonts w:hint="default"/>
      </w:rPr>
    </w:lvl>
    <w:lvl w:ilvl="6">
      <w:start w:val="0"/>
      <w:numFmt w:val="bullet"/>
      <w:lvlText w:val="•"/>
      <w:lvlJc w:val="left"/>
      <w:pPr>
        <w:ind w:left="6431" w:hanging="454"/>
      </w:pPr>
      <w:rPr>
        <w:rFonts w:hint="default"/>
      </w:rPr>
    </w:lvl>
    <w:lvl w:ilvl="7">
      <w:start w:val="0"/>
      <w:numFmt w:val="bullet"/>
      <w:lvlText w:val="•"/>
      <w:lvlJc w:val="left"/>
      <w:pPr>
        <w:ind w:left="7130" w:hanging="454"/>
      </w:pPr>
      <w:rPr>
        <w:rFonts w:hint="default"/>
      </w:rPr>
    </w:lvl>
    <w:lvl w:ilvl="8">
      <w:start w:val="0"/>
      <w:numFmt w:val="bullet"/>
      <w:lvlText w:val="•"/>
      <w:lvlJc w:val="left"/>
      <w:pPr>
        <w:ind w:left="7829" w:hanging="454"/>
      </w:pPr>
      <w:rPr>
        <w:rFonts w:hint="default"/>
      </w:rPr>
    </w:lvl>
  </w:abstractNum>
  <w:abstractNum w:abstractNumId="18">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936" w:hanging="454"/>
      </w:pPr>
      <w:rPr>
        <w:rFonts w:hint="default"/>
      </w:rPr>
    </w:lvl>
    <w:lvl w:ilvl="2">
      <w:start w:val="0"/>
      <w:numFmt w:val="bullet"/>
      <w:lvlText w:val="•"/>
      <w:lvlJc w:val="left"/>
      <w:pPr>
        <w:ind w:left="3633" w:hanging="454"/>
      </w:pPr>
      <w:rPr>
        <w:rFonts w:hint="default"/>
      </w:rPr>
    </w:lvl>
    <w:lvl w:ilvl="3">
      <w:start w:val="0"/>
      <w:numFmt w:val="bullet"/>
      <w:lvlText w:val="•"/>
      <w:lvlJc w:val="left"/>
      <w:pPr>
        <w:ind w:left="4329" w:hanging="454"/>
      </w:pPr>
      <w:rPr>
        <w:rFonts w:hint="default"/>
      </w:rPr>
    </w:lvl>
    <w:lvl w:ilvl="4">
      <w:start w:val="0"/>
      <w:numFmt w:val="bullet"/>
      <w:lvlText w:val="•"/>
      <w:lvlJc w:val="left"/>
      <w:pPr>
        <w:ind w:left="5026" w:hanging="454"/>
      </w:pPr>
      <w:rPr>
        <w:rFonts w:hint="default"/>
      </w:rPr>
    </w:lvl>
    <w:lvl w:ilvl="5">
      <w:start w:val="0"/>
      <w:numFmt w:val="bullet"/>
      <w:lvlText w:val="•"/>
      <w:lvlJc w:val="left"/>
      <w:pPr>
        <w:ind w:left="5723" w:hanging="454"/>
      </w:pPr>
      <w:rPr>
        <w:rFonts w:hint="default"/>
      </w:rPr>
    </w:lvl>
    <w:lvl w:ilvl="6">
      <w:start w:val="0"/>
      <w:numFmt w:val="bullet"/>
      <w:lvlText w:val="•"/>
      <w:lvlJc w:val="left"/>
      <w:pPr>
        <w:ind w:left="6419" w:hanging="454"/>
      </w:pPr>
      <w:rPr>
        <w:rFonts w:hint="default"/>
      </w:rPr>
    </w:lvl>
    <w:lvl w:ilvl="7">
      <w:start w:val="0"/>
      <w:numFmt w:val="bullet"/>
      <w:lvlText w:val="•"/>
      <w:lvlJc w:val="left"/>
      <w:pPr>
        <w:ind w:left="7116" w:hanging="454"/>
      </w:pPr>
      <w:rPr>
        <w:rFonts w:hint="default"/>
      </w:rPr>
    </w:lvl>
    <w:lvl w:ilvl="8">
      <w:start w:val="0"/>
      <w:numFmt w:val="bullet"/>
      <w:lvlText w:val="•"/>
      <w:lvlJc w:val="left"/>
      <w:pPr>
        <w:ind w:left="7813" w:hanging="454"/>
      </w:pPr>
      <w:rPr>
        <w:rFonts w:hint="default"/>
      </w:rPr>
    </w:lvl>
  </w:abstractNum>
  <w:abstractNum w:abstractNumId="17">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936" w:hanging="454"/>
      </w:pPr>
      <w:rPr>
        <w:rFonts w:hint="default"/>
      </w:rPr>
    </w:lvl>
    <w:lvl w:ilvl="2">
      <w:start w:val="0"/>
      <w:numFmt w:val="bullet"/>
      <w:lvlText w:val="•"/>
      <w:lvlJc w:val="left"/>
      <w:pPr>
        <w:ind w:left="3633" w:hanging="454"/>
      </w:pPr>
      <w:rPr>
        <w:rFonts w:hint="default"/>
      </w:rPr>
    </w:lvl>
    <w:lvl w:ilvl="3">
      <w:start w:val="0"/>
      <w:numFmt w:val="bullet"/>
      <w:lvlText w:val="•"/>
      <w:lvlJc w:val="left"/>
      <w:pPr>
        <w:ind w:left="4329" w:hanging="454"/>
      </w:pPr>
      <w:rPr>
        <w:rFonts w:hint="default"/>
      </w:rPr>
    </w:lvl>
    <w:lvl w:ilvl="4">
      <w:start w:val="0"/>
      <w:numFmt w:val="bullet"/>
      <w:lvlText w:val="•"/>
      <w:lvlJc w:val="left"/>
      <w:pPr>
        <w:ind w:left="5026" w:hanging="454"/>
      </w:pPr>
      <w:rPr>
        <w:rFonts w:hint="default"/>
      </w:rPr>
    </w:lvl>
    <w:lvl w:ilvl="5">
      <w:start w:val="0"/>
      <w:numFmt w:val="bullet"/>
      <w:lvlText w:val="•"/>
      <w:lvlJc w:val="left"/>
      <w:pPr>
        <w:ind w:left="5723" w:hanging="454"/>
      </w:pPr>
      <w:rPr>
        <w:rFonts w:hint="default"/>
      </w:rPr>
    </w:lvl>
    <w:lvl w:ilvl="6">
      <w:start w:val="0"/>
      <w:numFmt w:val="bullet"/>
      <w:lvlText w:val="•"/>
      <w:lvlJc w:val="left"/>
      <w:pPr>
        <w:ind w:left="6419" w:hanging="454"/>
      </w:pPr>
      <w:rPr>
        <w:rFonts w:hint="default"/>
      </w:rPr>
    </w:lvl>
    <w:lvl w:ilvl="7">
      <w:start w:val="0"/>
      <w:numFmt w:val="bullet"/>
      <w:lvlText w:val="•"/>
      <w:lvlJc w:val="left"/>
      <w:pPr>
        <w:ind w:left="7116" w:hanging="454"/>
      </w:pPr>
      <w:rPr>
        <w:rFonts w:hint="default"/>
      </w:rPr>
    </w:lvl>
    <w:lvl w:ilvl="8">
      <w:start w:val="0"/>
      <w:numFmt w:val="bullet"/>
      <w:lvlText w:val="•"/>
      <w:lvlJc w:val="left"/>
      <w:pPr>
        <w:ind w:left="7813" w:hanging="454"/>
      </w:pPr>
      <w:rPr>
        <w:rFonts w:hint="default"/>
      </w:rPr>
    </w:lvl>
  </w:abstractNum>
  <w:abstractNum w:abstractNumId="16">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15">
    <w:multiLevelType w:val="hybridMultilevel"/>
    <w:lvl w:ilvl="0">
      <w:start w:val="1"/>
      <w:numFmt w:val="decimal"/>
      <w:lvlText w:val="(%1)"/>
      <w:lvlJc w:val="left"/>
      <w:pPr>
        <w:ind w:left="100" w:hanging="454"/>
        <w:jc w:val="left"/>
      </w:pPr>
      <w:rPr>
        <w:rFonts w:hint="default" w:ascii="宋体" w:hAnsi="宋体" w:eastAsia="宋体" w:cs="宋体"/>
        <w:w w:val="100"/>
        <w:sz w:val="22"/>
        <w:szCs w:val="22"/>
      </w:rPr>
    </w:lvl>
    <w:lvl w:ilvl="1">
      <w:start w:val="0"/>
      <w:numFmt w:val="bullet"/>
      <w:lvlText w:val="•"/>
      <w:lvlJc w:val="left"/>
      <w:pPr>
        <w:ind w:left="851" w:hanging="454"/>
      </w:pPr>
      <w:rPr>
        <w:rFonts w:hint="default"/>
      </w:rPr>
    </w:lvl>
    <w:lvl w:ilvl="2">
      <w:start w:val="0"/>
      <w:numFmt w:val="bullet"/>
      <w:lvlText w:val="•"/>
      <w:lvlJc w:val="left"/>
      <w:pPr>
        <w:ind w:left="1603" w:hanging="454"/>
      </w:pPr>
      <w:rPr>
        <w:rFonts w:hint="default"/>
      </w:rPr>
    </w:lvl>
    <w:lvl w:ilvl="3">
      <w:start w:val="0"/>
      <w:numFmt w:val="bullet"/>
      <w:lvlText w:val="•"/>
      <w:lvlJc w:val="left"/>
      <w:pPr>
        <w:ind w:left="2354" w:hanging="454"/>
      </w:pPr>
      <w:rPr>
        <w:rFonts w:hint="default"/>
      </w:rPr>
    </w:lvl>
    <w:lvl w:ilvl="4">
      <w:start w:val="0"/>
      <w:numFmt w:val="bullet"/>
      <w:lvlText w:val="•"/>
      <w:lvlJc w:val="left"/>
      <w:pPr>
        <w:ind w:left="3106" w:hanging="454"/>
      </w:pPr>
      <w:rPr>
        <w:rFonts w:hint="default"/>
      </w:rPr>
    </w:lvl>
    <w:lvl w:ilvl="5">
      <w:start w:val="0"/>
      <w:numFmt w:val="bullet"/>
      <w:lvlText w:val="•"/>
      <w:lvlJc w:val="left"/>
      <w:pPr>
        <w:ind w:left="3858" w:hanging="454"/>
      </w:pPr>
      <w:rPr>
        <w:rFonts w:hint="default"/>
      </w:rPr>
    </w:lvl>
    <w:lvl w:ilvl="6">
      <w:start w:val="0"/>
      <w:numFmt w:val="bullet"/>
      <w:lvlText w:val="•"/>
      <w:lvlJc w:val="left"/>
      <w:pPr>
        <w:ind w:left="4609" w:hanging="454"/>
      </w:pPr>
      <w:rPr>
        <w:rFonts w:hint="default"/>
      </w:rPr>
    </w:lvl>
    <w:lvl w:ilvl="7">
      <w:start w:val="0"/>
      <w:numFmt w:val="bullet"/>
      <w:lvlText w:val="•"/>
      <w:lvlJc w:val="left"/>
      <w:pPr>
        <w:ind w:left="5361" w:hanging="454"/>
      </w:pPr>
      <w:rPr>
        <w:rFonts w:hint="default"/>
      </w:rPr>
    </w:lvl>
    <w:lvl w:ilvl="8">
      <w:start w:val="0"/>
      <w:numFmt w:val="bullet"/>
      <w:lvlText w:val="•"/>
      <w:lvlJc w:val="left"/>
      <w:pPr>
        <w:ind w:left="6112" w:hanging="454"/>
      </w:pPr>
      <w:rPr>
        <w:rFonts w:hint="default"/>
      </w:rPr>
    </w:lvl>
  </w:abstractNum>
  <w:abstractNum w:abstractNumId="14">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13">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5" w:hanging="454"/>
      </w:pPr>
      <w:rPr>
        <w:rFonts w:hint="default"/>
      </w:rPr>
    </w:lvl>
    <w:lvl w:ilvl="2">
      <w:start w:val="0"/>
      <w:numFmt w:val="bullet"/>
      <w:lvlText w:val="•"/>
      <w:lvlJc w:val="left"/>
      <w:pPr>
        <w:ind w:left="1971" w:hanging="454"/>
      </w:pPr>
      <w:rPr>
        <w:rFonts w:hint="default"/>
      </w:rPr>
    </w:lvl>
    <w:lvl w:ilvl="3">
      <w:start w:val="0"/>
      <w:numFmt w:val="bullet"/>
      <w:lvlText w:val="•"/>
      <w:lvlJc w:val="left"/>
      <w:pPr>
        <w:ind w:left="2676" w:hanging="454"/>
      </w:pPr>
      <w:rPr>
        <w:rFonts w:hint="default"/>
      </w:rPr>
    </w:lvl>
    <w:lvl w:ilvl="4">
      <w:start w:val="0"/>
      <w:numFmt w:val="bullet"/>
      <w:lvlText w:val="•"/>
      <w:lvlJc w:val="left"/>
      <w:pPr>
        <w:ind w:left="3382" w:hanging="454"/>
      </w:pPr>
      <w:rPr>
        <w:rFonts w:hint="default"/>
      </w:rPr>
    </w:lvl>
    <w:lvl w:ilvl="5">
      <w:start w:val="0"/>
      <w:numFmt w:val="bullet"/>
      <w:lvlText w:val="•"/>
      <w:lvlJc w:val="left"/>
      <w:pPr>
        <w:ind w:left="4088" w:hanging="454"/>
      </w:pPr>
      <w:rPr>
        <w:rFonts w:hint="default"/>
      </w:rPr>
    </w:lvl>
    <w:lvl w:ilvl="6">
      <w:start w:val="0"/>
      <w:numFmt w:val="bullet"/>
      <w:lvlText w:val="•"/>
      <w:lvlJc w:val="left"/>
      <w:pPr>
        <w:ind w:left="4793" w:hanging="454"/>
      </w:pPr>
      <w:rPr>
        <w:rFonts w:hint="default"/>
      </w:rPr>
    </w:lvl>
    <w:lvl w:ilvl="7">
      <w:start w:val="0"/>
      <w:numFmt w:val="bullet"/>
      <w:lvlText w:val="•"/>
      <w:lvlJc w:val="left"/>
      <w:pPr>
        <w:ind w:left="5499" w:hanging="454"/>
      </w:pPr>
      <w:rPr>
        <w:rFonts w:hint="default"/>
      </w:rPr>
    </w:lvl>
    <w:lvl w:ilvl="8">
      <w:start w:val="0"/>
      <w:numFmt w:val="bullet"/>
      <w:lvlText w:val="•"/>
      <w:lvlJc w:val="left"/>
      <w:pPr>
        <w:ind w:left="6204" w:hanging="454"/>
      </w:pPr>
      <w:rPr>
        <w:rFonts w:hint="default"/>
      </w:rPr>
    </w:lvl>
  </w:abstractNum>
  <w:abstractNum w:abstractNumId="12">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9"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803" w:hanging="454"/>
      </w:pPr>
      <w:rPr>
        <w:rFonts w:hint="default"/>
      </w:rPr>
    </w:lvl>
    <w:lvl w:ilvl="7">
      <w:start w:val="0"/>
      <w:numFmt w:val="bullet"/>
      <w:lvlText w:val="•"/>
      <w:lvlJc w:val="left"/>
      <w:pPr>
        <w:ind w:left="5511" w:hanging="454"/>
      </w:pPr>
      <w:rPr>
        <w:rFonts w:hint="default"/>
      </w:rPr>
    </w:lvl>
    <w:lvl w:ilvl="8">
      <w:start w:val="0"/>
      <w:numFmt w:val="bullet"/>
      <w:lvlText w:val="•"/>
      <w:lvlJc w:val="left"/>
      <w:pPr>
        <w:ind w:left="6218" w:hanging="454"/>
      </w:pPr>
      <w:rPr>
        <w:rFonts w:hint="default"/>
      </w:rPr>
    </w:lvl>
  </w:abstractNum>
  <w:abstractNum w:abstractNumId="11">
    <w:multiLevelType w:val="hybridMultilevel"/>
    <w:lvl w:ilvl="0">
      <w:start w:val="1"/>
      <w:numFmt w:val="decimal"/>
      <w:lvlText w:val="(%1)"/>
      <w:lvlJc w:val="left"/>
      <w:pPr>
        <w:ind w:left="553"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9"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803" w:hanging="454"/>
      </w:pPr>
      <w:rPr>
        <w:rFonts w:hint="default"/>
      </w:rPr>
    </w:lvl>
    <w:lvl w:ilvl="7">
      <w:start w:val="0"/>
      <w:numFmt w:val="bullet"/>
      <w:lvlText w:val="•"/>
      <w:lvlJc w:val="left"/>
      <w:pPr>
        <w:ind w:left="5511" w:hanging="454"/>
      </w:pPr>
      <w:rPr>
        <w:rFonts w:hint="default"/>
      </w:rPr>
    </w:lvl>
    <w:lvl w:ilvl="8">
      <w:start w:val="0"/>
      <w:numFmt w:val="bullet"/>
      <w:lvlText w:val="•"/>
      <w:lvlJc w:val="left"/>
      <w:pPr>
        <w:ind w:left="6218" w:hanging="454"/>
      </w:pPr>
      <w:rPr>
        <w:rFonts w:hint="default"/>
      </w:rPr>
    </w:lvl>
  </w:abstractNum>
  <w:abstractNum w:abstractNumId="10">
    <w:multiLevelType w:val="hybridMultilevel"/>
    <w:lvl w:ilvl="0">
      <w:start w:val="6"/>
      <w:numFmt w:val="decimal"/>
      <w:lvlText w:val="%1"/>
      <w:lvlJc w:val="left"/>
      <w:pPr>
        <w:ind w:left="2641" w:hanging="779"/>
        <w:jc w:val="left"/>
      </w:pPr>
      <w:rPr>
        <w:rFonts w:hint="default"/>
      </w:rPr>
    </w:lvl>
    <w:lvl w:ilvl="1">
      <w:start w:val="1"/>
      <w:numFmt w:val="decimal"/>
      <w:lvlText w:val="%1.%2"/>
      <w:lvlJc w:val="left"/>
      <w:pPr>
        <w:ind w:left="2641" w:hanging="779"/>
        <w:jc w:val="right"/>
      </w:pPr>
      <w:rPr>
        <w:rFonts w:hint="default" w:ascii="宋体" w:hAnsi="宋体" w:eastAsia="宋体" w:cs="宋体"/>
        <w:b/>
        <w:bCs/>
        <w:w w:val="99"/>
        <w:sz w:val="22"/>
        <w:szCs w:val="22"/>
      </w:rPr>
    </w:lvl>
    <w:lvl w:ilvl="2">
      <w:start w:val="1"/>
      <w:numFmt w:val="decimal"/>
      <w:lvlText w:val="(%3)"/>
      <w:lvlJc w:val="left"/>
      <w:pPr>
        <w:ind w:left="2641" w:hanging="454"/>
        <w:jc w:val="left"/>
      </w:pPr>
      <w:rPr>
        <w:rFonts w:hint="default" w:ascii="宋体" w:hAnsi="宋体" w:eastAsia="宋体" w:cs="宋体"/>
        <w:w w:val="100"/>
        <w:sz w:val="22"/>
        <w:szCs w:val="22"/>
      </w:rPr>
    </w:lvl>
    <w:lvl w:ilvl="3">
      <w:start w:val="0"/>
      <w:numFmt w:val="bullet"/>
      <w:lvlText w:val="•"/>
      <w:lvlJc w:val="left"/>
      <w:pPr>
        <w:ind w:left="4927" w:hanging="454"/>
      </w:pPr>
      <w:rPr>
        <w:rFonts w:hint="default"/>
      </w:rPr>
    </w:lvl>
    <w:lvl w:ilvl="4">
      <w:start w:val="0"/>
      <w:numFmt w:val="bullet"/>
      <w:lvlText w:val="•"/>
      <w:lvlJc w:val="left"/>
      <w:pPr>
        <w:ind w:left="5690" w:hanging="454"/>
      </w:pPr>
      <w:rPr>
        <w:rFonts w:hint="default"/>
      </w:rPr>
    </w:lvl>
    <w:lvl w:ilvl="5">
      <w:start w:val="0"/>
      <w:numFmt w:val="bullet"/>
      <w:lvlText w:val="•"/>
      <w:lvlJc w:val="left"/>
      <w:pPr>
        <w:ind w:left="6453" w:hanging="454"/>
      </w:pPr>
      <w:rPr>
        <w:rFonts w:hint="default"/>
      </w:rPr>
    </w:lvl>
    <w:lvl w:ilvl="6">
      <w:start w:val="0"/>
      <w:numFmt w:val="bullet"/>
      <w:lvlText w:val="•"/>
      <w:lvlJc w:val="left"/>
      <w:pPr>
        <w:ind w:left="7215" w:hanging="454"/>
      </w:pPr>
      <w:rPr>
        <w:rFonts w:hint="default"/>
      </w:rPr>
    </w:lvl>
    <w:lvl w:ilvl="7">
      <w:start w:val="0"/>
      <w:numFmt w:val="bullet"/>
      <w:lvlText w:val="•"/>
      <w:lvlJc w:val="left"/>
      <w:pPr>
        <w:ind w:left="7978" w:hanging="454"/>
      </w:pPr>
      <w:rPr>
        <w:rFonts w:hint="default"/>
      </w:rPr>
    </w:lvl>
    <w:lvl w:ilvl="8">
      <w:start w:val="0"/>
      <w:numFmt w:val="bullet"/>
      <w:lvlText w:val="•"/>
      <w:lvlJc w:val="left"/>
      <w:pPr>
        <w:ind w:left="8741" w:hanging="454"/>
      </w:pPr>
      <w:rPr>
        <w:rFonts w:hint="default"/>
      </w:rPr>
    </w:lvl>
  </w:abstractNum>
  <w:abstractNum w:abstractNumId="9">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1" w:hanging="454"/>
      </w:pPr>
      <w:rPr>
        <w:rFonts w:hint="default"/>
      </w:rPr>
    </w:lvl>
    <w:lvl w:ilvl="7">
      <w:start w:val="0"/>
      <w:numFmt w:val="bullet"/>
      <w:lvlText w:val="•"/>
      <w:lvlJc w:val="left"/>
      <w:pPr>
        <w:ind w:left="5508" w:hanging="454"/>
      </w:pPr>
      <w:rPr>
        <w:rFonts w:hint="default"/>
      </w:rPr>
    </w:lvl>
    <w:lvl w:ilvl="8">
      <w:start w:val="0"/>
      <w:numFmt w:val="bullet"/>
      <w:lvlText w:val="•"/>
      <w:lvlJc w:val="left"/>
      <w:pPr>
        <w:ind w:left="6215" w:hanging="454"/>
      </w:pPr>
      <w:rPr>
        <w:rFonts w:hint="default"/>
      </w:rPr>
    </w:lvl>
  </w:abstractNum>
  <w:abstractNum w:abstractNumId="8">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1" w:hanging="454"/>
      </w:pPr>
      <w:rPr>
        <w:rFonts w:hint="default"/>
      </w:rPr>
    </w:lvl>
    <w:lvl w:ilvl="7">
      <w:start w:val="0"/>
      <w:numFmt w:val="bullet"/>
      <w:lvlText w:val="•"/>
      <w:lvlJc w:val="left"/>
      <w:pPr>
        <w:ind w:left="5508" w:hanging="454"/>
      </w:pPr>
      <w:rPr>
        <w:rFonts w:hint="default"/>
      </w:rPr>
    </w:lvl>
    <w:lvl w:ilvl="8">
      <w:start w:val="0"/>
      <w:numFmt w:val="bullet"/>
      <w:lvlText w:val="•"/>
      <w:lvlJc w:val="left"/>
      <w:pPr>
        <w:ind w:left="6215" w:hanging="454"/>
      </w:pPr>
      <w:rPr>
        <w:rFonts w:hint="default"/>
      </w:rPr>
    </w:lvl>
  </w:abstractNum>
  <w:abstractNum w:abstractNumId="7">
    <w:multiLevelType w:val="hybridMultilevel"/>
    <w:lvl w:ilvl="0">
      <w:start w:val="1"/>
      <w:numFmt w:val="decimal"/>
      <w:lvlText w:val="(%1)"/>
      <w:lvlJc w:val="left"/>
      <w:pPr>
        <w:ind w:left="561"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1" w:hanging="454"/>
      </w:pPr>
      <w:rPr>
        <w:rFonts w:hint="default"/>
      </w:rPr>
    </w:lvl>
    <w:lvl w:ilvl="7">
      <w:start w:val="0"/>
      <w:numFmt w:val="bullet"/>
      <w:lvlText w:val="•"/>
      <w:lvlJc w:val="left"/>
      <w:pPr>
        <w:ind w:left="5508" w:hanging="454"/>
      </w:pPr>
      <w:rPr>
        <w:rFonts w:hint="default"/>
      </w:rPr>
    </w:lvl>
    <w:lvl w:ilvl="8">
      <w:start w:val="0"/>
      <w:numFmt w:val="bullet"/>
      <w:lvlText w:val="•"/>
      <w:lvlJc w:val="left"/>
      <w:pPr>
        <w:ind w:left="6215" w:hanging="454"/>
      </w:pPr>
      <w:rPr>
        <w:rFonts w:hint="default"/>
      </w:rPr>
    </w:lvl>
  </w:abstractNum>
  <w:abstractNum w:abstractNumId="6">
    <w:multiLevelType w:val="hybridMultilevel"/>
    <w:lvl w:ilvl="0">
      <w:start w:val="1"/>
      <w:numFmt w:val="decimal"/>
      <w:lvlText w:val="(%1)"/>
      <w:lvlJc w:val="left"/>
      <w:pPr>
        <w:ind w:left="570" w:hanging="456"/>
        <w:jc w:val="left"/>
      </w:pPr>
      <w:rPr>
        <w:rFonts w:hint="default" w:ascii="宋体" w:hAnsi="宋体" w:eastAsia="宋体" w:cs="宋体"/>
        <w:w w:val="100"/>
        <w:sz w:val="22"/>
        <w:szCs w:val="22"/>
      </w:rPr>
    </w:lvl>
    <w:lvl w:ilvl="1">
      <w:start w:val="0"/>
      <w:numFmt w:val="bullet"/>
      <w:lvlText w:val="•"/>
      <w:lvlJc w:val="left"/>
      <w:pPr>
        <w:ind w:left="1285" w:hanging="456"/>
      </w:pPr>
      <w:rPr>
        <w:rFonts w:hint="default"/>
      </w:rPr>
    </w:lvl>
    <w:lvl w:ilvl="2">
      <w:start w:val="0"/>
      <w:numFmt w:val="bullet"/>
      <w:lvlText w:val="•"/>
      <w:lvlJc w:val="left"/>
      <w:pPr>
        <w:ind w:left="1990" w:hanging="456"/>
      </w:pPr>
      <w:rPr>
        <w:rFonts w:hint="default"/>
      </w:rPr>
    </w:lvl>
    <w:lvl w:ilvl="3">
      <w:start w:val="0"/>
      <w:numFmt w:val="bullet"/>
      <w:lvlText w:val="•"/>
      <w:lvlJc w:val="left"/>
      <w:pPr>
        <w:ind w:left="2695" w:hanging="456"/>
      </w:pPr>
      <w:rPr>
        <w:rFonts w:hint="default"/>
      </w:rPr>
    </w:lvl>
    <w:lvl w:ilvl="4">
      <w:start w:val="0"/>
      <w:numFmt w:val="bullet"/>
      <w:lvlText w:val="•"/>
      <w:lvlJc w:val="left"/>
      <w:pPr>
        <w:ind w:left="3400" w:hanging="456"/>
      </w:pPr>
      <w:rPr>
        <w:rFonts w:hint="default"/>
      </w:rPr>
    </w:lvl>
    <w:lvl w:ilvl="5">
      <w:start w:val="0"/>
      <w:numFmt w:val="bullet"/>
      <w:lvlText w:val="•"/>
      <w:lvlJc w:val="left"/>
      <w:pPr>
        <w:ind w:left="4105" w:hanging="456"/>
      </w:pPr>
      <w:rPr>
        <w:rFonts w:hint="default"/>
      </w:rPr>
    </w:lvl>
    <w:lvl w:ilvl="6">
      <w:start w:val="0"/>
      <w:numFmt w:val="bullet"/>
      <w:lvlText w:val="•"/>
      <w:lvlJc w:val="left"/>
      <w:pPr>
        <w:ind w:left="4810" w:hanging="456"/>
      </w:pPr>
      <w:rPr>
        <w:rFonts w:hint="default"/>
      </w:rPr>
    </w:lvl>
    <w:lvl w:ilvl="7">
      <w:start w:val="0"/>
      <w:numFmt w:val="bullet"/>
      <w:lvlText w:val="•"/>
      <w:lvlJc w:val="left"/>
      <w:pPr>
        <w:ind w:left="5515" w:hanging="456"/>
      </w:pPr>
      <w:rPr>
        <w:rFonts w:hint="default"/>
      </w:rPr>
    </w:lvl>
    <w:lvl w:ilvl="8">
      <w:start w:val="0"/>
      <w:numFmt w:val="bullet"/>
      <w:lvlText w:val="•"/>
      <w:lvlJc w:val="left"/>
      <w:pPr>
        <w:ind w:left="6220" w:hanging="456"/>
      </w:pPr>
      <w:rPr>
        <w:rFonts w:hint="default"/>
      </w:rPr>
    </w:lvl>
  </w:abstractNum>
  <w:abstractNum w:abstractNumId="5">
    <w:multiLevelType w:val="hybridMultilevel"/>
    <w:lvl w:ilvl="0">
      <w:start w:val="2"/>
      <w:numFmt w:val="decimal"/>
      <w:lvlText w:val="%1"/>
      <w:lvlJc w:val="left"/>
      <w:pPr>
        <w:ind w:left="2685" w:hanging="805"/>
        <w:jc w:val="left"/>
      </w:pPr>
      <w:rPr>
        <w:rFonts w:hint="default"/>
      </w:rPr>
    </w:lvl>
    <w:lvl w:ilvl="1">
      <w:start w:val="3"/>
      <w:numFmt w:val="decimal"/>
      <w:lvlText w:val="%1.%2"/>
      <w:lvlJc w:val="left"/>
      <w:pPr>
        <w:ind w:left="2685" w:hanging="805"/>
        <w:jc w:val="left"/>
      </w:pPr>
      <w:rPr>
        <w:rFonts w:hint="default" w:ascii="宋体" w:hAnsi="宋体" w:eastAsia="宋体" w:cs="宋体"/>
        <w:b/>
        <w:bCs/>
        <w:w w:val="99"/>
        <w:sz w:val="22"/>
        <w:szCs w:val="22"/>
      </w:rPr>
    </w:lvl>
    <w:lvl w:ilvl="2">
      <w:start w:val="1"/>
      <w:numFmt w:val="decimal"/>
      <w:lvlText w:val="(%3)"/>
      <w:lvlJc w:val="left"/>
      <w:pPr>
        <w:ind w:left="3138" w:hanging="454"/>
        <w:jc w:val="left"/>
      </w:pPr>
      <w:rPr>
        <w:rFonts w:hint="default" w:ascii="宋体" w:hAnsi="宋体" w:eastAsia="宋体" w:cs="宋体"/>
        <w:w w:val="100"/>
        <w:sz w:val="22"/>
        <w:szCs w:val="22"/>
      </w:rPr>
    </w:lvl>
    <w:lvl w:ilvl="3">
      <w:start w:val="0"/>
      <w:numFmt w:val="bullet"/>
      <w:lvlText w:val="•"/>
      <w:lvlJc w:val="left"/>
      <w:pPr>
        <w:ind w:left="4688" w:hanging="454"/>
      </w:pPr>
      <w:rPr>
        <w:rFonts w:hint="default"/>
      </w:rPr>
    </w:lvl>
    <w:lvl w:ilvl="4">
      <w:start w:val="0"/>
      <w:numFmt w:val="bullet"/>
      <w:lvlText w:val="•"/>
      <w:lvlJc w:val="left"/>
      <w:pPr>
        <w:ind w:left="5462" w:hanging="454"/>
      </w:pPr>
      <w:rPr>
        <w:rFonts w:hint="default"/>
      </w:rPr>
    </w:lvl>
    <w:lvl w:ilvl="5">
      <w:start w:val="0"/>
      <w:numFmt w:val="bullet"/>
      <w:lvlText w:val="•"/>
      <w:lvlJc w:val="left"/>
      <w:pPr>
        <w:ind w:left="6236" w:hanging="454"/>
      </w:pPr>
      <w:rPr>
        <w:rFonts w:hint="default"/>
      </w:rPr>
    </w:lvl>
    <w:lvl w:ilvl="6">
      <w:start w:val="0"/>
      <w:numFmt w:val="bullet"/>
      <w:lvlText w:val="•"/>
      <w:lvlJc w:val="left"/>
      <w:pPr>
        <w:ind w:left="7010" w:hanging="454"/>
      </w:pPr>
      <w:rPr>
        <w:rFonts w:hint="default"/>
      </w:rPr>
    </w:lvl>
    <w:lvl w:ilvl="7">
      <w:start w:val="0"/>
      <w:numFmt w:val="bullet"/>
      <w:lvlText w:val="•"/>
      <w:lvlJc w:val="left"/>
      <w:pPr>
        <w:ind w:left="7784" w:hanging="454"/>
      </w:pPr>
      <w:rPr>
        <w:rFonts w:hint="default"/>
      </w:rPr>
    </w:lvl>
    <w:lvl w:ilvl="8">
      <w:start w:val="0"/>
      <w:numFmt w:val="bullet"/>
      <w:lvlText w:val="•"/>
      <w:lvlJc w:val="left"/>
      <w:pPr>
        <w:ind w:left="8558" w:hanging="454"/>
      </w:pPr>
      <w:rPr>
        <w:rFonts w:hint="default"/>
      </w:rPr>
    </w:lvl>
  </w:abstractNum>
  <w:abstractNum w:abstractNumId="4">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1" w:hanging="454"/>
      </w:pPr>
      <w:rPr>
        <w:rFonts w:hint="default"/>
      </w:rPr>
    </w:lvl>
    <w:lvl w:ilvl="7">
      <w:start w:val="0"/>
      <w:numFmt w:val="bullet"/>
      <w:lvlText w:val="•"/>
      <w:lvlJc w:val="left"/>
      <w:pPr>
        <w:ind w:left="5508" w:hanging="454"/>
      </w:pPr>
      <w:rPr>
        <w:rFonts w:hint="default"/>
      </w:rPr>
    </w:lvl>
    <w:lvl w:ilvl="8">
      <w:start w:val="0"/>
      <w:numFmt w:val="bullet"/>
      <w:lvlText w:val="•"/>
      <w:lvlJc w:val="left"/>
      <w:pPr>
        <w:ind w:left="6215" w:hanging="454"/>
      </w:pPr>
      <w:rPr>
        <w:rFonts w:hint="default"/>
      </w:rPr>
    </w:lvl>
  </w:abstractNum>
  <w:abstractNum w:abstractNumId="3">
    <w:multiLevelType w:val="hybridMultilevel"/>
    <w:lvl w:ilvl="0">
      <w:start w:val="6"/>
      <w:numFmt w:val="decimal"/>
      <w:lvlText w:val="%1"/>
      <w:lvlJc w:val="left"/>
      <w:pPr>
        <w:ind w:left="933" w:hanging="567"/>
        <w:jc w:val="left"/>
      </w:pPr>
      <w:rPr>
        <w:rFonts w:hint="default"/>
      </w:rPr>
    </w:lvl>
    <w:lvl w:ilvl="1">
      <w:start w:val="11"/>
      <w:numFmt w:val="decimal"/>
      <w:lvlText w:val="%1.%2"/>
      <w:lvlJc w:val="left"/>
      <w:pPr>
        <w:ind w:left="933" w:hanging="567"/>
        <w:jc w:val="left"/>
      </w:pPr>
      <w:rPr>
        <w:rFonts w:hint="default" w:ascii="宋体" w:hAnsi="宋体" w:eastAsia="宋体" w:cs="宋体"/>
        <w:w w:val="100"/>
        <w:sz w:val="22"/>
        <w:szCs w:val="22"/>
      </w:rPr>
    </w:lvl>
    <w:lvl w:ilvl="2">
      <w:start w:val="0"/>
      <w:numFmt w:val="bullet"/>
      <w:lvlText w:val="•"/>
      <w:lvlJc w:val="left"/>
      <w:pPr>
        <w:ind w:left="1394" w:hanging="567"/>
      </w:pPr>
      <w:rPr>
        <w:rFonts w:hint="default"/>
      </w:rPr>
    </w:lvl>
    <w:lvl w:ilvl="3">
      <w:start w:val="0"/>
      <w:numFmt w:val="bullet"/>
      <w:lvlText w:val="•"/>
      <w:lvlJc w:val="left"/>
      <w:pPr>
        <w:ind w:left="1621" w:hanging="567"/>
      </w:pPr>
      <w:rPr>
        <w:rFonts w:hint="default"/>
      </w:rPr>
    </w:lvl>
    <w:lvl w:ilvl="4">
      <w:start w:val="0"/>
      <w:numFmt w:val="bullet"/>
      <w:lvlText w:val="•"/>
      <w:lvlJc w:val="left"/>
      <w:pPr>
        <w:ind w:left="1848" w:hanging="567"/>
      </w:pPr>
      <w:rPr>
        <w:rFonts w:hint="default"/>
      </w:rPr>
    </w:lvl>
    <w:lvl w:ilvl="5">
      <w:start w:val="0"/>
      <w:numFmt w:val="bullet"/>
      <w:lvlText w:val="•"/>
      <w:lvlJc w:val="left"/>
      <w:pPr>
        <w:ind w:left="2076" w:hanging="567"/>
      </w:pPr>
      <w:rPr>
        <w:rFonts w:hint="default"/>
      </w:rPr>
    </w:lvl>
    <w:lvl w:ilvl="6">
      <w:start w:val="0"/>
      <w:numFmt w:val="bullet"/>
      <w:lvlText w:val="•"/>
      <w:lvlJc w:val="left"/>
      <w:pPr>
        <w:ind w:left="2303" w:hanging="567"/>
      </w:pPr>
      <w:rPr>
        <w:rFonts w:hint="default"/>
      </w:rPr>
    </w:lvl>
    <w:lvl w:ilvl="7">
      <w:start w:val="0"/>
      <w:numFmt w:val="bullet"/>
      <w:lvlText w:val="•"/>
      <w:lvlJc w:val="left"/>
      <w:pPr>
        <w:ind w:left="2530" w:hanging="567"/>
      </w:pPr>
      <w:rPr>
        <w:rFonts w:hint="default"/>
      </w:rPr>
    </w:lvl>
    <w:lvl w:ilvl="8">
      <w:start w:val="0"/>
      <w:numFmt w:val="bullet"/>
      <w:lvlText w:val="•"/>
      <w:lvlJc w:val="left"/>
      <w:pPr>
        <w:ind w:left="2757" w:hanging="567"/>
      </w:pPr>
      <w:rPr>
        <w:rFonts w:hint="default"/>
      </w:rPr>
    </w:lvl>
  </w:abstractNum>
  <w:abstractNum w:abstractNumId="2">
    <w:multiLevelType w:val="hybridMultilevel"/>
    <w:lvl w:ilvl="0">
      <w:start w:val="5"/>
      <w:numFmt w:val="decimal"/>
      <w:lvlText w:val="%1."/>
      <w:lvlJc w:val="left"/>
      <w:pPr>
        <w:ind w:left="524" w:hanging="425"/>
        <w:jc w:val="left"/>
      </w:pPr>
      <w:rPr>
        <w:rFonts w:hint="default" w:ascii="宋体" w:hAnsi="宋体" w:eastAsia="宋体" w:cs="宋体"/>
        <w:b/>
        <w:bCs/>
        <w:w w:val="99"/>
        <w:sz w:val="22"/>
        <w:szCs w:val="22"/>
      </w:rPr>
    </w:lvl>
    <w:lvl w:ilvl="1">
      <w:start w:val="1"/>
      <w:numFmt w:val="decimal"/>
      <w:lvlText w:val="%1.%2"/>
      <w:lvlJc w:val="left"/>
      <w:pPr>
        <w:ind w:left="1091" w:hanging="567"/>
        <w:jc w:val="left"/>
      </w:pPr>
      <w:rPr>
        <w:rFonts w:hint="default" w:ascii="宋体" w:hAnsi="宋体" w:eastAsia="宋体" w:cs="宋体"/>
        <w:w w:val="100"/>
        <w:sz w:val="22"/>
        <w:szCs w:val="22"/>
      </w:rPr>
    </w:lvl>
    <w:lvl w:ilvl="2">
      <w:start w:val="0"/>
      <w:numFmt w:val="bullet"/>
      <w:lvlText w:val="•"/>
      <w:lvlJc w:val="left"/>
      <w:pPr>
        <w:ind w:left="1360" w:hanging="567"/>
      </w:pPr>
      <w:rPr>
        <w:rFonts w:hint="default"/>
      </w:rPr>
    </w:lvl>
    <w:lvl w:ilvl="3">
      <w:start w:val="0"/>
      <w:numFmt w:val="bullet"/>
      <w:lvlText w:val="•"/>
      <w:lvlJc w:val="left"/>
      <w:pPr>
        <w:ind w:left="1620" w:hanging="567"/>
      </w:pPr>
      <w:rPr>
        <w:rFonts w:hint="default"/>
      </w:rPr>
    </w:lvl>
    <w:lvl w:ilvl="4">
      <w:start w:val="0"/>
      <w:numFmt w:val="bullet"/>
      <w:lvlText w:val="•"/>
      <w:lvlJc w:val="left"/>
      <w:pPr>
        <w:ind w:left="1881" w:hanging="567"/>
      </w:pPr>
      <w:rPr>
        <w:rFonts w:hint="default"/>
      </w:rPr>
    </w:lvl>
    <w:lvl w:ilvl="5">
      <w:start w:val="0"/>
      <w:numFmt w:val="bullet"/>
      <w:lvlText w:val="•"/>
      <w:lvlJc w:val="left"/>
      <w:pPr>
        <w:ind w:left="2141" w:hanging="567"/>
      </w:pPr>
      <w:rPr>
        <w:rFonts w:hint="default"/>
      </w:rPr>
    </w:lvl>
    <w:lvl w:ilvl="6">
      <w:start w:val="0"/>
      <w:numFmt w:val="bullet"/>
      <w:lvlText w:val="•"/>
      <w:lvlJc w:val="left"/>
      <w:pPr>
        <w:ind w:left="2401" w:hanging="567"/>
      </w:pPr>
      <w:rPr>
        <w:rFonts w:hint="default"/>
      </w:rPr>
    </w:lvl>
    <w:lvl w:ilvl="7">
      <w:start w:val="0"/>
      <w:numFmt w:val="bullet"/>
      <w:lvlText w:val="•"/>
      <w:lvlJc w:val="left"/>
      <w:pPr>
        <w:ind w:left="2662" w:hanging="567"/>
      </w:pPr>
      <w:rPr>
        <w:rFonts w:hint="default"/>
      </w:rPr>
    </w:lvl>
    <w:lvl w:ilvl="8">
      <w:start w:val="0"/>
      <w:numFmt w:val="bullet"/>
      <w:lvlText w:val="•"/>
      <w:lvlJc w:val="left"/>
      <w:pPr>
        <w:ind w:left="2922" w:hanging="567"/>
      </w:pPr>
      <w:rPr>
        <w:rFonts w:hint="default"/>
      </w:rPr>
    </w:lvl>
  </w:abstractNum>
  <w:abstractNum w:abstractNumId="1">
    <w:multiLevelType w:val="hybridMultilevel"/>
    <w:lvl w:ilvl="0">
      <w:start w:val="1"/>
      <w:numFmt w:val="decimal"/>
      <w:lvlText w:val="%1."/>
      <w:lvlJc w:val="left"/>
      <w:pPr>
        <w:ind w:left="625" w:hanging="426"/>
        <w:jc w:val="left"/>
      </w:pPr>
      <w:rPr>
        <w:rFonts w:hint="default" w:ascii="宋体" w:hAnsi="宋体" w:eastAsia="宋体" w:cs="宋体"/>
        <w:b/>
        <w:bCs/>
        <w:w w:val="99"/>
        <w:sz w:val="22"/>
        <w:szCs w:val="22"/>
      </w:rPr>
    </w:lvl>
    <w:lvl w:ilvl="1">
      <w:start w:val="1"/>
      <w:numFmt w:val="decimal"/>
      <w:lvlText w:val="%1.%2"/>
      <w:lvlJc w:val="left"/>
      <w:pPr>
        <w:ind w:left="1191" w:hanging="567"/>
        <w:jc w:val="left"/>
      </w:pPr>
      <w:rPr>
        <w:rFonts w:hint="default" w:ascii="宋体" w:hAnsi="宋体" w:eastAsia="宋体" w:cs="宋体"/>
        <w:w w:val="100"/>
        <w:sz w:val="22"/>
        <w:szCs w:val="22"/>
      </w:rPr>
    </w:lvl>
    <w:lvl w:ilvl="2">
      <w:start w:val="0"/>
      <w:numFmt w:val="bullet"/>
      <w:lvlText w:val="•"/>
      <w:lvlJc w:val="left"/>
      <w:pPr>
        <w:ind w:left="1441" w:hanging="567"/>
      </w:pPr>
      <w:rPr>
        <w:rFonts w:hint="default"/>
      </w:rPr>
    </w:lvl>
    <w:lvl w:ilvl="3">
      <w:start w:val="0"/>
      <w:numFmt w:val="bullet"/>
      <w:lvlText w:val="•"/>
      <w:lvlJc w:val="left"/>
      <w:pPr>
        <w:ind w:left="1682" w:hanging="567"/>
      </w:pPr>
      <w:rPr>
        <w:rFonts w:hint="default"/>
      </w:rPr>
    </w:lvl>
    <w:lvl w:ilvl="4">
      <w:start w:val="0"/>
      <w:numFmt w:val="bullet"/>
      <w:lvlText w:val="•"/>
      <w:lvlJc w:val="left"/>
      <w:pPr>
        <w:ind w:left="1923" w:hanging="567"/>
      </w:pPr>
      <w:rPr>
        <w:rFonts w:hint="default"/>
      </w:rPr>
    </w:lvl>
    <w:lvl w:ilvl="5">
      <w:start w:val="0"/>
      <w:numFmt w:val="bullet"/>
      <w:lvlText w:val="•"/>
      <w:lvlJc w:val="left"/>
      <w:pPr>
        <w:ind w:left="2165" w:hanging="567"/>
      </w:pPr>
      <w:rPr>
        <w:rFonts w:hint="default"/>
      </w:rPr>
    </w:lvl>
    <w:lvl w:ilvl="6">
      <w:start w:val="0"/>
      <w:numFmt w:val="bullet"/>
      <w:lvlText w:val="•"/>
      <w:lvlJc w:val="left"/>
      <w:pPr>
        <w:ind w:left="2406" w:hanging="567"/>
      </w:pPr>
      <w:rPr>
        <w:rFonts w:hint="default"/>
      </w:rPr>
    </w:lvl>
    <w:lvl w:ilvl="7">
      <w:start w:val="0"/>
      <w:numFmt w:val="bullet"/>
      <w:lvlText w:val="•"/>
      <w:lvlJc w:val="left"/>
      <w:pPr>
        <w:ind w:left="2647" w:hanging="567"/>
      </w:pPr>
      <w:rPr>
        <w:rFonts w:hint="default"/>
      </w:rPr>
    </w:lvl>
    <w:lvl w:ilvl="8">
      <w:start w:val="0"/>
      <w:numFmt w:val="bullet"/>
      <w:lvlText w:val="•"/>
      <w:lvlJc w:val="left"/>
      <w:pPr>
        <w:ind w:left="2888" w:hanging="567"/>
      </w:pPr>
      <w:rPr>
        <w:rFonts w:hint="default"/>
      </w:rPr>
    </w:lvl>
  </w:abstractNum>
  <w:abstractNum w:abstractNumId="0">
    <w:multiLevelType w:val="hybridMultilevel"/>
    <w:lvl w:ilvl="0">
      <w:start w:val="0"/>
      <w:numFmt w:val="bullet"/>
      <w:lvlText w:val=""/>
      <w:lvlJc w:val="left"/>
      <w:pPr>
        <w:ind w:left="763" w:hanging="308"/>
      </w:pPr>
      <w:rPr>
        <w:rFonts w:hint="default" w:ascii="Wingdings" w:hAnsi="Wingdings" w:eastAsia="Wingdings" w:cs="Wingdings"/>
        <w:w w:val="100"/>
        <w:sz w:val="22"/>
        <w:szCs w:val="22"/>
      </w:rPr>
    </w:lvl>
    <w:lvl w:ilvl="1">
      <w:start w:val="0"/>
      <w:numFmt w:val="bullet"/>
      <w:lvlText w:val="•"/>
      <w:lvlJc w:val="left"/>
      <w:pPr>
        <w:ind w:left="1696" w:hanging="308"/>
      </w:pPr>
      <w:rPr>
        <w:rFonts w:hint="default"/>
      </w:rPr>
    </w:lvl>
    <w:lvl w:ilvl="2">
      <w:start w:val="0"/>
      <w:numFmt w:val="bullet"/>
      <w:lvlText w:val="•"/>
      <w:lvlJc w:val="left"/>
      <w:pPr>
        <w:ind w:left="2633" w:hanging="308"/>
      </w:pPr>
      <w:rPr>
        <w:rFonts w:hint="default"/>
      </w:rPr>
    </w:lvl>
    <w:lvl w:ilvl="3">
      <w:start w:val="0"/>
      <w:numFmt w:val="bullet"/>
      <w:lvlText w:val="•"/>
      <w:lvlJc w:val="left"/>
      <w:pPr>
        <w:ind w:left="3569" w:hanging="308"/>
      </w:pPr>
      <w:rPr>
        <w:rFonts w:hint="default"/>
      </w:rPr>
    </w:lvl>
    <w:lvl w:ilvl="4">
      <w:start w:val="0"/>
      <w:numFmt w:val="bullet"/>
      <w:lvlText w:val="•"/>
      <w:lvlJc w:val="left"/>
      <w:pPr>
        <w:ind w:left="4506" w:hanging="308"/>
      </w:pPr>
      <w:rPr>
        <w:rFonts w:hint="default"/>
      </w:rPr>
    </w:lvl>
    <w:lvl w:ilvl="5">
      <w:start w:val="0"/>
      <w:numFmt w:val="bullet"/>
      <w:lvlText w:val="•"/>
      <w:lvlJc w:val="left"/>
      <w:pPr>
        <w:ind w:left="5443" w:hanging="308"/>
      </w:pPr>
      <w:rPr>
        <w:rFonts w:hint="default"/>
      </w:rPr>
    </w:lvl>
    <w:lvl w:ilvl="6">
      <w:start w:val="0"/>
      <w:numFmt w:val="bullet"/>
      <w:lvlText w:val="•"/>
      <w:lvlJc w:val="left"/>
      <w:pPr>
        <w:ind w:left="6379" w:hanging="308"/>
      </w:pPr>
      <w:rPr>
        <w:rFonts w:hint="default"/>
      </w:rPr>
    </w:lvl>
    <w:lvl w:ilvl="7">
      <w:start w:val="0"/>
      <w:numFmt w:val="bullet"/>
      <w:lvlText w:val="•"/>
      <w:lvlJc w:val="left"/>
      <w:pPr>
        <w:ind w:left="7316" w:hanging="308"/>
      </w:pPr>
      <w:rPr>
        <w:rFonts w:hint="default"/>
      </w:rPr>
    </w:lvl>
    <w:lvl w:ilvl="8">
      <w:start w:val="0"/>
      <w:numFmt w:val="bullet"/>
      <w:lvlText w:val="•"/>
      <w:lvlJc w:val="left"/>
      <w:pPr>
        <w:ind w:left="8253" w:hanging="308"/>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line="592" w:lineRule="exact"/>
      <w:ind w:left="2098" w:right="2098"/>
      <w:jc w:val="center"/>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100"/>
      <w:ind w:left="304"/>
      <w:outlineLvl w:val="2"/>
    </w:pPr>
    <w:rPr>
      <w:rFonts w:ascii="宋体" w:hAnsi="宋体" w:eastAsia="宋体" w:cs="宋体"/>
      <w:b/>
      <w:bCs/>
      <w:sz w:val="30"/>
      <w:szCs w:val="30"/>
      <w:u w:val="single" w:color="000000"/>
    </w:rPr>
  </w:style>
  <w:style w:styleId="Heading3" w:type="paragraph">
    <w:name w:val="Heading 3"/>
    <w:basedOn w:val="Normal"/>
    <w:uiPriority w:val="1"/>
    <w:qFormat/>
    <w:pPr>
      <w:ind w:left="230"/>
      <w:outlineLvl w:val="3"/>
    </w:pPr>
    <w:rPr>
      <w:rFonts w:ascii="微软雅黑" w:hAnsi="微软雅黑" w:eastAsia="微软雅黑" w:cs="微软雅黑"/>
      <w:b/>
      <w:bCs/>
      <w:sz w:val="22"/>
      <w:szCs w:val="22"/>
    </w:rPr>
  </w:style>
  <w:style w:styleId="ListParagraph" w:type="paragraph">
    <w:name w:val="List Paragraph"/>
    <w:basedOn w:val="Normal"/>
    <w:uiPriority w:val="1"/>
    <w:qFormat/>
    <w:pPr>
      <w:spacing w:before="91"/>
      <w:ind w:left="2641" w:hanging="453"/>
    </w:pPr>
    <w:rPr>
      <w:rFonts w:ascii="宋体" w:hAnsi="宋体" w:eastAsia="宋体" w:cs="宋体"/>
    </w:rPr>
  </w:style>
  <w:style w:styleId="TableParagraph" w:type="paragraph">
    <w:name w:val="Table Paragraph"/>
    <w:basedOn w:val="Normal"/>
    <w:uiPriority w:val="1"/>
    <w:qFormat/>
    <w:pPr>
      <w:ind w:left="1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2018-10-20T03:59:32Z</dcterms:created>
  <dcterms:modified xsi:type="dcterms:W3CDTF">2018-10-20T03:59:32Z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