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6"/>
        <w:ind w:left="7442" w:right="0" w:firstLine="0"/>
        <w:jc w:val="left"/>
        <w:rPr>
          <w:rFonts w:ascii="仿宋" w:eastAsia="仿宋" w:hint="eastAsia"/>
          <w:b/>
          <w:sz w:val="20"/>
        </w:rPr>
      </w:pPr>
      <w:r>
        <w:rPr/>
        <w:drawing>
          <wp:anchor distT="0" distB="0" distL="0" distR="0" allowOverlap="1" layoutInCell="1" locked="0" behindDoc="0" simplePos="0" relativeHeight="0">
            <wp:simplePos x="0" y="0"/>
            <wp:positionH relativeFrom="page">
              <wp:posOffset>6068567</wp:posOffset>
            </wp:positionH>
            <wp:positionV relativeFrom="paragraph">
              <wp:posOffset>245321</wp:posOffset>
            </wp:positionV>
            <wp:extent cx="720858"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858" cy="723900"/>
                    </a:xfrm>
                    <a:prstGeom prst="rect">
                      <a:avLst/>
                    </a:prstGeom>
                  </pic:spPr>
                </pic:pic>
              </a:graphicData>
            </a:graphic>
          </wp:anchor>
        </w:drawing>
      </w:r>
      <w:r>
        <w:rPr>
          <w:rFonts w:ascii="仿宋" w:eastAsia="仿宋" w:hint="eastAsia"/>
          <w:b/>
          <w:w w:val="95"/>
          <w:sz w:val="20"/>
        </w:rPr>
        <w:t>请扫描以查询验证条款</w:t>
      </w:r>
    </w:p>
    <w:p>
      <w:pPr>
        <w:spacing w:line="285" w:lineRule="auto" w:before="20"/>
        <w:ind w:left="8071" w:right="117" w:hanging="625"/>
        <w:jc w:val="left"/>
        <w:rPr>
          <w:rFonts w:ascii="仿宋" w:eastAsia="仿宋" w:hint="eastAsia"/>
          <w:sz w:val="20"/>
        </w:rPr>
      </w:pPr>
      <w:r>
        <w:rPr>
          <w:rFonts w:ascii="仿宋" w:eastAsia="仿宋" w:hint="eastAsia"/>
          <w:sz w:val="20"/>
        </w:rPr>
        <w:t>中新大东方[2014]疾病保险 038</w:t>
      </w: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rPr>
          <w:rFonts w:ascii="仿宋"/>
          <w:sz w:val="20"/>
        </w:rPr>
      </w:pPr>
    </w:p>
    <w:p>
      <w:pPr>
        <w:pStyle w:val="BodyText"/>
        <w:spacing w:before="3"/>
        <w:rPr>
          <w:rFonts w:ascii="仿宋"/>
          <w:sz w:val="17"/>
        </w:rPr>
      </w:pPr>
    </w:p>
    <w:p>
      <w:pPr>
        <w:spacing w:line="472" w:lineRule="exact" w:before="0"/>
        <w:ind w:left="1980" w:right="0" w:firstLine="0"/>
        <w:jc w:val="left"/>
        <w:rPr>
          <w:rFonts w:ascii="Microsoft JhengHei UI" w:eastAsia="Microsoft JhengHei UI" w:hint="eastAsia"/>
          <w:b/>
          <w:sz w:val="30"/>
        </w:rPr>
      </w:pPr>
      <w:r>
        <w:rPr>
          <w:rFonts w:ascii="Microsoft JhengHei UI" w:eastAsia="Microsoft JhengHei UI" w:hint="eastAsia"/>
          <w:b/>
          <w:w w:val="95"/>
          <w:sz w:val="30"/>
        </w:rPr>
        <w:t>中新大东方团体重大疾病保险(A1)条款</w:t>
      </w:r>
    </w:p>
    <w:p>
      <w:pPr>
        <w:pStyle w:val="BodyText"/>
        <w:spacing w:before="193"/>
        <w:ind w:left="1771"/>
      </w:pPr>
      <w:r>
        <w:rPr/>
        <w:t>感谢您选择了我们 </w:t>
      </w:r>
      <w:r>
        <w:rPr>
          <w:rFonts w:ascii="Microsoft JhengHei UI" w:eastAsia="Microsoft JhengHei UI" w:hint="eastAsia"/>
          <w:b/>
        </w:rPr>
        <w:t>- </w:t>
      </w:r>
      <w:r>
        <w:rPr/>
        <w:t>中新大东方人寿保险有限公司</w:t>
      </w:r>
    </w:p>
    <w:p>
      <w:pPr>
        <w:pStyle w:val="BodyText"/>
        <w:rPr>
          <w:sz w:val="30"/>
        </w:rPr>
      </w:pPr>
    </w:p>
    <w:p>
      <w:pPr>
        <w:pStyle w:val="BodyText"/>
        <w:spacing w:before="11"/>
        <w:rPr>
          <w:sz w:val="34"/>
        </w:rPr>
      </w:pPr>
    </w:p>
    <w:p>
      <w:pPr>
        <w:spacing w:before="0"/>
        <w:ind w:left="3612" w:right="0" w:firstLine="0"/>
        <w:jc w:val="left"/>
        <w:rPr>
          <w:rFonts w:ascii="Microsoft JhengHei UI" w:eastAsia="Microsoft JhengHei UI" w:hint="eastAsia"/>
          <w:b/>
          <w:sz w:val="24"/>
        </w:rPr>
      </w:pPr>
      <w:r>
        <w:rPr>
          <w:rFonts w:ascii="Microsoft JhengHei UI" w:eastAsia="Microsoft JhengHei UI" w:hint="eastAsia"/>
          <w:b/>
          <w:sz w:val="24"/>
        </w:rPr>
        <w:t>阅  读  指  引</w:t>
      </w:r>
    </w:p>
    <w:p>
      <w:pPr>
        <w:pStyle w:val="BodyText"/>
        <w:spacing w:before="16"/>
        <w:rPr>
          <w:rFonts w:ascii="Microsoft JhengHei UI"/>
          <w:b/>
          <w:sz w:val="16"/>
        </w:rPr>
      </w:pPr>
    </w:p>
    <w:p>
      <w:pPr>
        <w:pStyle w:val="BodyText"/>
        <w:spacing w:line="477" w:lineRule="auto"/>
        <w:ind w:left="117" w:right="1132" w:firstLine="352"/>
      </w:pPr>
      <w:r>
        <w:rPr/>
        <w:t>本阅读指引旨在提示您本条款中的重要事项，对“中新大东方团体重大疾病</w:t>
      </w:r>
      <w:r>
        <w:rPr>
          <w:w w:val="95"/>
        </w:rPr>
        <w:t>保险(A1)合同）内容的解释以条款为准。</w:t>
      </w:r>
    </w:p>
    <w:p>
      <w:pPr>
        <w:pStyle w:val="BodyText"/>
        <w:rPr>
          <w:sz w:val="30"/>
        </w:rPr>
      </w:pPr>
    </w:p>
    <w:p>
      <w:pPr>
        <w:spacing w:before="246"/>
        <w:ind w:left="470" w:right="0" w:firstLine="0"/>
        <w:jc w:val="left"/>
        <w:rPr>
          <w:rFonts w:ascii="Microsoft JhengHei UI" w:eastAsia="Microsoft JhengHei UI" w:hint="eastAsia"/>
          <w:b/>
          <w:sz w:val="24"/>
        </w:rPr>
      </w:pPr>
      <w:r>
        <w:rPr>
          <w:rFonts w:ascii="Microsoft JhengHei UI" w:eastAsia="Microsoft JhengHei UI" w:hint="eastAsia"/>
          <w:b/>
          <w:sz w:val="24"/>
        </w:rPr>
        <w:t>您的权益</w:t>
      </w:r>
    </w:p>
    <w:p>
      <w:pPr>
        <w:pStyle w:val="BodyText"/>
        <w:rPr>
          <w:rFonts w:ascii="Microsoft JhengHei UI"/>
          <w:b/>
          <w:sz w:val="17"/>
        </w:rPr>
      </w:pPr>
    </w:p>
    <w:p>
      <w:pPr>
        <w:pStyle w:val="ListParagraph"/>
        <w:numPr>
          <w:ilvl w:val="0"/>
          <w:numId w:val="1"/>
        </w:numPr>
        <w:tabs>
          <w:tab w:pos="847" w:val="left" w:leader="none"/>
          <w:tab w:pos="848" w:val="left" w:leader="none"/>
        </w:tabs>
        <w:spacing w:line="240" w:lineRule="auto" w:before="0" w:after="0"/>
        <w:ind w:left="470" w:right="0" w:hanging="43"/>
        <w:jc w:val="left"/>
        <w:rPr>
          <w:sz w:val="24"/>
        </w:rPr>
      </w:pPr>
      <w:r>
        <w:rPr>
          <w:w w:val="95"/>
          <w:sz w:val="24"/>
        </w:rPr>
        <w:t>被保险人享有我们提供的保障（4.3）</w:t>
      </w:r>
    </w:p>
    <w:p>
      <w:pPr>
        <w:pStyle w:val="BodyText"/>
        <w:spacing w:before="5"/>
        <w:rPr>
          <w:sz w:val="22"/>
        </w:rPr>
      </w:pPr>
    </w:p>
    <w:p>
      <w:pPr>
        <w:pStyle w:val="ListParagraph"/>
        <w:numPr>
          <w:ilvl w:val="0"/>
          <w:numId w:val="1"/>
        </w:numPr>
        <w:tabs>
          <w:tab w:pos="847" w:val="left" w:leader="none"/>
          <w:tab w:pos="848" w:val="left" w:leader="none"/>
        </w:tabs>
        <w:spacing w:line="410" w:lineRule="auto" w:before="0" w:after="0"/>
        <w:ind w:left="470" w:right="5963" w:hanging="43"/>
        <w:jc w:val="left"/>
        <w:rPr>
          <w:rFonts w:ascii="Microsoft JhengHei UI" w:eastAsia="Microsoft JhengHei UI" w:hint="eastAsia"/>
          <w:b/>
          <w:sz w:val="24"/>
        </w:rPr>
      </w:pPr>
      <w:r>
        <w:rPr>
          <w:w w:val="95"/>
          <w:sz w:val="24"/>
        </w:rPr>
        <w:t>您有解除合同的权利（8） </w:t>
      </w:r>
      <w:r>
        <w:rPr>
          <w:rFonts w:ascii="Microsoft JhengHei UI" w:eastAsia="Microsoft JhengHei UI" w:hint="eastAsia"/>
          <w:b/>
          <w:sz w:val="24"/>
        </w:rPr>
        <w:t>注意事项</w:t>
      </w:r>
    </w:p>
    <w:p>
      <w:pPr>
        <w:pStyle w:val="ListParagraph"/>
        <w:numPr>
          <w:ilvl w:val="0"/>
          <w:numId w:val="1"/>
        </w:numPr>
        <w:tabs>
          <w:tab w:pos="847" w:val="left" w:leader="none"/>
          <w:tab w:pos="848" w:val="left" w:leader="none"/>
        </w:tabs>
        <w:spacing w:line="240" w:lineRule="auto" w:before="8" w:after="0"/>
        <w:ind w:left="470" w:right="0" w:hanging="43"/>
        <w:jc w:val="left"/>
        <w:rPr>
          <w:rFonts w:ascii="Microsoft JhengHei UI" w:eastAsia="Microsoft JhengHei UI" w:hint="eastAsia"/>
          <w:b/>
          <w:sz w:val="24"/>
        </w:rPr>
      </w:pPr>
      <w:r>
        <w:rPr>
          <w:rFonts w:ascii="Microsoft JhengHei UI" w:eastAsia="Microsoft JhengHei UI" w:hint="eastAsia"/>
          <w:b/>
          <w:w w:val="95"/>
          <w:sz w:val="24"/>
        </w:rPr>
        <w:t>在某些情况下，我们不承担保险责任（4.4）</w:t>
      </w:r>
    </w:p>
    <w:p>
      <w:pPr>
        <w:pStyle w:val="BodyText"/>
        <w:spacing w:before="16"/>
        <w:rPr>
          <w:rFonts w:ascii="Microsoft JhengHei UI"/>
          <w:b/>
          <w:sz w:val="16"/>
        </w:rPr>
      </w:pPr>
    </w:p>
    <w:p>
      <w:pPr>
        <w:pStyle w:val="ListParagraph"/>
        <w:numPr>
          <w:ilvl w:val="0"/>
          <w:numId w:val="1"/>
        </w:numPr>
        <w:tabs>
          <w:tab w:pos="847" w:val="left" w:leader="none"/>
          <w:tab w:pos="848" w:val="left" w:leader="none"/>
        </w:tabs>
        <w:spacing w:line="240" w:lineRule="auto" w:before="0" w:after="0"/>
        <w:ind w:left="470" w:right="0" w:hanging="43"/>
        <w:jc w:val="left"/>
        <w:rPr>
          <w:sz w:val="24"/>
        </w:rPr>
      </w:pPr>
      <w:r>
        <w:rPr>
          <w:w w:val="95"/>
          <w:sz w:val="24"/>
        </w:rPr>
        <w:t>保险事故发生后，请及时通知我们（6.2）</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470" w:right="0" w:hanging="43"/>
        <w:jc w:val="left"/>
        <w:rPr>
          <w:sz w:val="24"/>
        </w:rPr>
      </w:pPr>
      <w:r>
        <w:rPr>
          <w:w w:val="95"/>
          <w:sz w:val="24"/>
        </w:rPr>
        <w:t>解除合同会给您带来一定损失，请慎重决策（8）</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470" w:right="0" w:hanging="43"/>
        <w:jc w:val="left"/>
        <w:rPr>
          <w:sz w:val="24"/>
        </w:rPr>
      </w:pPr>
      <w:r>
        <w:rPr>
          <w:w w:val="95"/>
          <w:sz w:val="24"/>
        </w:rPr>
        <w:t>您有如实告知的义务（10）</w:t>
      </w:r>
    </w:p>
    <w:p>
      <w:pPr>
        <w:pStyle w:val="BodyText"/>
        <w:spacing w:before="5"/>
        <w:rPr>
          <w:sz w:val="22"/>
        </w:rPr>
      </w:pPr>
    </w:p>
    <w:p>
      <w:pPr>
        <w:pStyle w:val="ListParagraph"/>
        <w:numPr>
          <w:ilvl w:val="0"/>
          <w:numId w:val="1"/>
        </w:numPr>
        <w:tabs>
          <w:tab w:pos="847" w:val="left" w:leader="none"/>
          <w:tab w:pos="848" w:val="left" w:leader="none"/>
        </w:tabs>
        <w:spacing w:line="240" w:lineRule="auto" w:before="0" w:after="0"/>
        <w:ind w:left="470" w:right="0" w:hanging="43"/>
        <w:jc w:val="left"/>
        <w:rPr>
          <w:sz w:val="24"/>
        </w:rPr>
      </w:pPr>
      <w:r>
        <w:rPr>
          <w:w w:val="95"/>
          <w:sz w:val="24"/>
        </w:rPr>
        <w:t>我们对一些重要术语作了显著标记，并进行了解释（12）</w:t>
      </w:r>
    </w:p>
    <w:p>
      <w:pPr>
        <w:spacing w:after="0" w:line="240" w:lineRule="auto"/>
        <w:jc w:val="left"/>
        <w:rPr>
          <w:sz w:val="24"/>
        </w:rPr>
        <w:sectPr>
          <w:type w:val="continuous"/>
          <w:pgSz w:w="11910" w:h="16840"/>
          <w:pgMar w:top="320" w:bottom="280" w:left="1680" w:right="660"/>
        </w:sectPr>
      </w:pPr>
    </w:p>
    <w:p>
      <w:pPr>
        <w:spacing w:line="387" w:lineRule="exact" w:before="0"/>
        <w:ind w:left="3954" w:right="3955" w:firstLine="0"/>
        <w:jc w:val="center"/>
        <w:rPr>
          <w:rFonts w:ascii="Microsoft JhengHei UI" w:eastAsia="Microsoft JhengHei UI" w:hint="eastAsia"/>
          <w:b/>
          <w:sz w:val="24"/>
        </w:rPr>
      </w:pPr>
      <w:r>
        <w:rPr>
          <w:rFonts w:ascii="Microsoft JhengHei UI" w:eastAsia="Microsoft JhengHei UI" w:hint="eastAsia"/>
          <w:b/>
          <w:sz w:val="24"/>
        </w:rPr>
        <w:t>目  录</w:t>
      </w:r>
    </w:p>
    <w:p>
      <w:pPr>
        <w:spacing w:after="0" w:line="387" w:lineRule="exact"/>
        <w:jc w:val="center"/>
        <w:rPr>
          <w:rFonts w:ascii="Microsoft JhengHei UI" w:eastAsia="Microsoft JhengHei UI" w:hint="eastAsia"/>
          <w:sz w:val="24"/>
        </w:rPr>
        <w:sectPr>
          <w:footerReference w:type="default" r:id="rId6"/>
          <w:pgSz w:w="11910" w:h="16840"/>
          <w:pgMar w:footer="1045" w:header="0" w:top="1480" w:bottom="1697" w:left="1680" w:right="1680"/>
          <w:pgNumType w:start="1"/>
        </w:sectPr>
      </w:pPr>
    </w:p>
    <w:sdt>
      <w:sdtPr>
        <w:docPartObj>
          <w:docPartGallery w:val="Table of Contents"/>
          <w:docPartUnique/>
        </w:docPartObj>
      </w:sdtPr>
      <w:sdtEndPr/>
      <w:sdtContent>
        <w:p>
          <w:pPr>
            <w:pStyle w:val="TOC1"/>
            <w:numPr>
              <w:ilvl w:val="0"/>
              <w:numId w:val="2"/>
            </w:numPr>
            <w:tabs>
              <w:tab w:pos="1377" w:val="left" w:leader="none"/>
              <w:tab w:pos="1378" w:val="left" w:leader="none"/>
              <w:tab w:pos="8419" w:val="right" w:leader="dot"/>
            </w:tabs>
            <w:spacing w:line="240" w:lineRule="auto" w:before="152" w:after="0"/>
            <w:ind w:left="1377" w:right="0" w:hanging="1260"/>
            <w:jc w:val="left"/>
            <w:rPr>
              <w:rFonts w:ascii="Times New Roman" w:eastAsia="Times New Roman"/>
            </w:rPr>
          </w:pPr>
          <w:hyperlink w:history="true" w:anchor="_TOC_250072">
            <w:r>
              <w:rPr/>
              <w:t>合同</w:t>
            </w:r>
            <w:r>
              <w:rPr>
                <w:spacing w:val="-3"/>
              </w:rPr>
              <w:t>构</w:t>
            </w:r>
            <w:r>
              <w:rPr/>
              <w:t>成</w:t>
              <w:tab/>
            </w:r>
            <w:r>
              <w:rPr>
                <w:rFonts w:ascii="Times New Roman" w:eastAsia="Times New Roman"/>
              </w:rPr>
              <w:t>3</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71">
            <w:r>
              <w:rPr/>
              <w:t>投保</w:t>
            </w:r>
            <w:r>
              <w:rPr>
                <w:spacing w:val="-3"/>
              </w:rPr>
              <w:t>范</w:t>
            </w:r>
            <w:r>
              <w:rPr/>
              <w:t>围</w:t>
              <w:tab/>
            </w:r>
            <w:r>
              <w:rPr>
                <w:rFonts w:ascii="Times New Roman" w:eastAsia="Times New Roman"/>
              </w:rPr>
              <w:t>3</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70">
            <w:r>
              <w:rPr/>
              <w:t>合同</w:t>
            </w:r>
            <w:r>
              <w:rPr>
                <w:spacing w:val="-3"/>
              </w:rPr>
              <w:t>成</w:t>
            </w:r>
            <w:r>
              <w:rPr/>
              <w:t>立与</w:t>
            </w:r>
            <w:r>
              <w:rPr>
                <w:spacing w:val="-3"/>
              </w:rPr>
              <w:t>生</w:t>
            </w:r>
            <w:r>
              <w:rPr/>
              <w:t>效</w:t>
              <w:tab/>
            </w:r>
            <w:r>
              <w:rPr>
                <w:rFonts w:ascii="Times New Roman" w:eastAsia="Times New Roman"/>
              </w:rPr>
              <w:t>3</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9">
            <w:r>
              <w:rPr/>
              <w:t>保险</w:t>
            </w:r>
            <w:r>
              <w:rPr>
                <w:spacing w:val="-3"/>
              </w:rPr>
              <w:t>责</w:t>
            </w:r>
            <w:r>
              <w:rPr/>
              <w:t>任</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8">
            <w:r>
              <w:rPr/>
              <w:t>保险</w:t>
            </w:r>
            <w:r>
              <w:rPr>
                <w:spacing w:val="-3"/>
              </w:rPr>
              <w:t>期</w:t>
            </w:r>
            <w:r>
              <w:rPr/>
              <w:t>间</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7">
            <w:r>
              <w:rPr/>
              <w:t>保险</w:t>
            </w:r>
            <w:r>
              <w:rPr>
                <w:spacing w:val="-3"/>
              </w:rPr>
              <w:t>金</w:t>
            </w:r>
            <w:r>
              <w:rPr/>
              <w:t>额</w:t>
              <w:tab/>
            </w:r>
            <w:r>
              <w:rPr>
                <w:rFonts w:ascii="Times New Roman" w:eastAsia="Times New Roman"/>
              </w:rPr>
              <w:t>3</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6">
            <w:r>
              <w:rPr/>
              <w:t>我们</w:t>
            </w:r>
            <w:r>
              <w:rPr>
                <w:spacing w:val="-3"/>
              </w:rPr>
              <w:t>承</w:t>
            </w:r>
            <w:r>
              <w:rPr/>
              <w:t>担的</w:t>
            </w:r>
            <w:r>
              <w:rPr>
                <w:spacing w:val="-3"/>
              </w:rPr>
              <w:t>保险</w:t>
            </w:r>
            <w:r>
              <w:rPr/>
              <w:t>责任</w:t>
              <w:tab/>
            </w:r>
            <w:r>
              <w:rPr>
                <w:rFonts w:ascii="Times New Roman" w:eastAsia="Times New Roman"/>
              </w:rPr>
              <w:t>4</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5">
            <w:r>
              <w:rPr/>
              <w:t>责任</w:t>
            </w:r>
            <w:r>
              <w:rPr>
                <w:spacing w:val="-3"/>
              </w:rPr>
              <w:t>免</w:t>
            </w:r>
            <w:r>
              <w:rPr/>
              <w:t>除</w:t>
              <w:tab/>
            </w:r>
            <w:r>
              <w:rPr>
                <w:rFonts w:ascii="Times New Roman" w:eastAsia="Times New Roman"/>
              </w:rPr>
              <w:t>4</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4">
            <w:r>
              <w:rPr/>
              <w:t>保险费</w:t>
              <w:tab/>
            </w:r>
            <w:r>
              <w:rPr>
                <w:rFonts w:ascii="Times New Roman" w:eastAsia="Times New Roman"/>
              </w:rPr>
              <w:t>4</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3">
            <w:r>
              <w:rPr/>
              <w:t>保险</w:t>
            </w:r>
            <w:r>
              <w:rPr>
                <w:spacing w:val="-3"/>
              </w:rPr>
              <w:t>金</w:t>
            </w:r>
            <w:r>
              <w:rPr/>
              <w:t>的领取</w:t>
              <w:tab/>
            </w:r>
            <w:r>
              <w:rPr>
                <w:rFonts w:ascii="Times New Roman" w:eastAsia="Times New Roman"/>
              </w:rPr>
              <w:t>4</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2">
            <w:r>
              <w:rPr/>
              <w:t>受益人</w:t>
              <w:tab/>
            </w:r>
            <w:r>
              <w:rPr>
                <w:rFonts w:ascii="Times New Roman" w:eastAsia="Times New Roman"/>
              </w:rPr>
              <w:t>4</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61">
            <w:r>
              <w:rPr/>
              <w:t>保险</w:t>
            </w:r>
            <w:r>
              <w:rPr>
                <w:spacing w:val="-3"/>
              </w:rPr>
              <w:t>事</w:t>
            </w:r>
            <w:r>
              <w:rPr/>
              <w:t>故的</w:t>
            </w:r>
            <w:r>
              <w:rPr>
                <w:spacing w:val="-3"/>
              </w:rPr>
              <w:t>通</w:t>
            </w:r>
            <w:r>
              <w:rPr/>
              <w:t>知</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60">
            <w:r>
              <w:rPr/>
              <w:t>保险</w:t>
            </w:r>
            <w:r>
              <w:rPr>
                <w:spacing w:val="-3"/>
              </w:rPr>
              <w:t>金</w:t>
            </w:r>
            <w:r>
              <w:rPr/>
              <w:t>的申请</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9">
            <w:r>
              <w:rPr/>
              <w:t>诉讼</w:t>
            </w:r>
            <w:r>
              <w:rPr>
                <w:spacing w:val="-3"/>
              </w:rPr>
              <w:t>时</w:t>
            </w:r>
            <w:r>
              <w:rPr/>
              <w:t>效</w:t>
              <w:tab/>
            </w:r>
            <w:r>
              <w:rPr>
                <w:rFonts w:ascii="Times New Roman" w:eastAsia="Times New Roman"/>
              </w:rPr>
              <w:t>5</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8">
            <w:r>
              <w:rPr/>
              <w:t>保险</w:t>
            </w:r>
            <w:r>
              <w:rPr>
                <w:spacing w:val="-3"/>
              </w:rPr>
              <w:t>金</w:t>
            </w:r>
            <w:r>
              <w:rPr/>
              <w:t>的给付</w:t>
              <w:tab/>
            </w:r>
            <w:r>
              <w:rPr>
                <w:rFonts w:ascii="Times New Roman" w:eastAsia="Times New Roman"/>
              </w:rPr>
              <w:t>5</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7">
            <w:r>
              <w:rPr/>
              <w:t>保险</w:t>
            </w:r>
            <w:r>
              <w:rPr>
                <w:spacing w:val="-3"/>
              </w:rPr>
              <w:t>合</w:t>
            </w:r>
            <w:r>
              <w:rPr/>
              <w:t>同变更</w:t>
              <w:tab/>
            </w:r>
            <w:r>
              <w:rPr>
                <w:rFonts w:ascii="Times New Roman" w:eastAsia="Times New Roman"/>
              </w:rPr>
              <w:t>6</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6">
            <w:r>
              <w:rPr/>
              <w:t>被保</w:t>
            </w:r>
            <w:r>
              <w:rPr>
                <w:spacing w:val="-3"/>
              </w:rPr>
              <w:t>险</w:t>
            </w:r>
            <w:r>
              <w:rPr/>
              <w:t>人的</w:t>
            </w:r>
            <w:r>
              <w:rPr>
                <w:spacing w:val="-3"/>
              </w:rPr>
              <w:t>变</w:t>
            </w:r>
            <w:r>
              <w:rPr/>
              <w:t>更</w:t>
              <w:tab/>
            </w:r>
            <w:r>
              <w:rPr>
                <w:rFonts w:ascii="Times New Roman" w:eastAsia="Times New Roman"/>
              </w:rPr>
              <w:t>6</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5">
            <w:r>
              <w:rPr/>
              <w:t>合同</w:t>
            </w:r>
            <w:r>
              <w:rPr>
                <w:spacing w:val="-3"/>
              </w:rPr>
              <w:t>内</w:t>
            </w:r>
            <w:r>
              <w:rPr/>
              <w:t>容的</w:t>
            </w:r>
            <w:r>
              <w:rPr>
                <w:spacing w:val="-3"/>
              </w:rPr>
              <w:t>变</w:t>
            </w:r>
            <w:r>
              <w:rPr/>
              <w:t>更</w:t>
              <w:tab/>
            </w:r>
            <w:r>
              <w:rPr>
                <w:rFonts w:ascii="Times New Roman" w:eastAsia="Times New Roman"/>
              </w:rPr>
              <w:t>6</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4">
            <w:r>
              <w:rPr/>
              <w:t>地址</w:t>
            </w:r>
            <w:r>
              <w:rPr>
                <w:spacing w:val="-3"/>
              </w:rPr>
              <w:t>的</w:t>
            </w:r>
            <w:r>
              <w:rPr/>
              <w:t>变更</w:t>
              <w:tab/>
            </w:r>
            <w:r>
              <w:rPr>
                <w:rFonts w:ascii="Times New Roman" w:eastAsia="Times New Roman"/>
              </w:rPr>
              <w:t>6</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3">
            <w:r>
              <w:rPr/>
              <w:t>保险</w:t>
            </w:r>
            <w:r>
              <w:rPr>
                <w:spacing w:val="-3"/>
              </w:rPr>
              <w:t>合</w:t>
            </w:r>
            <w:r>
              <w:rPr/>
              <w:t>同解除</w:t>
              <w:tab/>
            </w:r>
            <w:r>
              <w:rPr>
                <w:rFonts w:ascii="Times New Roman" w:eastAsia="Times New Roman"/>
              </w:rPr>
              <w:t>7</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2">
            <w:r>
              <w:rPr/>
              <w:t>保险</w:t>
            </w:r>
            <w:r>
              <w:rPr>
                <w:spacing w:val="-3"/>
              </w:rPr>
              <w:t>合</w:t>
            </w:r>
            <w:r>
              <w:rPr/>
              <w:t>同终止</w:t>
              <w:tab/>
            </w:r>
            <w:r>
              <w:rPr>
                <w:rFonts w:ascii="Times New Roman" w:eastAsia="Times New Roman"/>
              </w:rPr>
              <w:t>7</w:t>
            </w:r>
          </w:hyperlink>
        </w:p>
        <w:p>
          <w:pPr>
            <w:pStyle w:val="TOC1"/>
            <w:numPr>
              <w:ilvl w:val="0"/>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1">
            <w:r>
              <w:rPr/>
              <w:t>如实</w:t>
            </w:r>
            <w:r>
              <w:rPr>
                <w:spacing w:val="-3"/>
              </w:rPr>
              <w:t>告</w:t>
            </w:r>
            <w:r>
              <w:rPr/>
              <w:t>知义务</w:t>
              <w:tab/>
            </w:r>
            <w:r>
              <w:rPr>
                <w:rFonts w:ascii="Times New Roman" w:eastAsia="Times New Roman"/>
              </w:rPr>
              <w:t>7</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50">
            <w:r>
              <w:rPr/>
              <w:t>如实</w:t>
            </w:r>
            <w:r>
              <w:rPr>
                <w:spacing w:val="-3"/>
              </w:rPr>
              <w:t>告</w:t>
            </w:r>
            <w:r>
              <w:rPr/>
              <w:t>知</w:t>
              <w:tab/>
            </w:r>
            <w:r>
              <w:rPr>
                <w:rFonts w:ascii="Times New Roman" w:eastAsia="Times New Roman"/>
              </w:rPr>
              <w:t>7</w:t>
            </w:r>
          </w:hyperlink>
        </w:p>
        <w:p>
          <w:pPr>
            <w:pStyle w:val="TOC1"/>
            <w:numPr>
              <w:ilvl w:val="1"/>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49">
            <w:r>
              <w:rPr/>
              <w:t>本公</w:t>
            </w:r>
            <w:r>
              <w:rPr>
                <w:spacing w:val="-3"/>
              </w:rPr>
              <w:t>司</w:t>
            </w:r>
            <w:r>
              <w:rPr/>
              <w:t>合同</w:t>
            </w:r>
            <w:r>
              <w:rPr>
                <w:spacing w:val="-3"/>
              </w:rPr>
              <w:t>解除</w:t>
            </w:r>
            <w:r>
              <w:rPr/>
              <w:t>权的</w:t>
            </w:r>
            <w:r>
              <w:rPr>
                <w:spacing w:val="-3"/>
              </w:rPr>
              <w:t>限</w:t>
            </w:r>
            <w:r>
              <w:rPr/>
              <w:t>制</w:t>
              <w:tab/>
            </w:r>
            <w:r>
              <w:rPr>
                <w:rFonts w:ascii="Times New Roman" w:eastAsia="Times New Roman"/>
              </w:rPr>
              <w:t>8</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8">
            <w:r>
              <w:rPr/>
              <w:t>被保</w:t>
            </w:r>
            <w:r>
              <w:rPr>
                <w:spacing w:val="-3"/>
              </w:rPr>
              <w:t>险</w:t>
            </w:r>
            <w:r>
              <w:rPr/>
              <w:t>人年</w:t>
            </w:r>
            <w:r>
              <w:rPr>
                <w:spacing w:val="-3"/>
              </w:rPr>
              <w:t>龄确</w:t>
            </w:r>
            <w:r>
              <w:rPr/>
              <w:t>定错</w:t>
            </w:r>
            <w:r>
              <w:rPr>
                <w:spacing w:val="-3"/>
              </w:rPr>
              <w:t>误处</w:t>
            </w:r>
            <w:r>
              <w:rPr/>
              <w:t>理</w:t>
              <w:tab/>
            </w:r>
            <w:r>
              <w:rPr>
                <w:rFonts w:ascii="Times New Roman" w:eastAsia="Times New Roman"/>
              </w:rPr>
              <w:t>8</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7">
            <w:r>
              <w:rPr/>
              <w:t>争议</w:t>
            </w:r>
            <w:r>
              <w:rPr>
                <w:spacing w:val="-3"/>
              </w:rPr>
              <w:t>处</w:t>
            </w:r>
            <w:r>
              <w:rPr/>
              <w:t>理</w:t>
              <w:tab/>
            </w:r>
            <w:r>
              <w:rPr>
                <w:rFonts w:ascii="Times New Roman" w:eastAsia="Times New Roman"/>
              </w:rPr>
              <w:t>9</w:t>
            </w:r>
          </w:hyperlink>
        </w:p>
        <w:p>
          <w:pPr>
            <w:pStyle w:val="TOC1"/>
            <w:numPr>
              <w:ilvl w:val="0"/>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6">
            <w:r>
              <w:rPr/>
              <w:t>释义</w:t>
              <w:tab/>
            </w:r>
            <w:r>
              <w:rPr>
                <w:rFonts w:ascii="Times New Roman" w:eastAsia="Times New Roman"/>
              </w:rPr>
              <w:t>9</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5">
            <w:r>
              <w:rPr/>
              <w:t>团体</w:t>
              <w:tab/>
            </w:r>
            <w:r>
              <w:rPr>
                <w:rFonts w:ascii="Times New Roman" w:eastAsia="Times New Roman"/>
              </w:rPr>
              <w:t>9</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4">
            <w:r>
              <w:rPr/>
              <w:t>医院</w:t>
              <w:tab/>
            </w:r>
            <w:r>
              <w:rPr>
                <w:rFonts w:ascii="Times New Roman" w:eastAsia="Times New Roman"/>
              </w:rPr>
              <w:t>9</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3">
            <w:r>
              <w:rPr/>
              <w:t>专科</w:t>
            </w:r>
            <w:r>
              <w:rPr>
                <w:spacing w:val="-3"/>
              </w:rPr>
              <w:t>医</w:t>
            </w:r>
            <w:r>
              <w:rPr/>
              <w:t>生</w:t>
              <w:tab/>
            </w:r>
            <w:r>
              <w:rPr>
                <w:rFonts w:ascii="Times New Roman" w:eastAsia="Times New Roman"/>
              </w:rPr>
              <w:t>9</w:t>
            </w:r>
          </w:hyperlink>
        </w:p>
        <w:p>
          <w:pPr>
            <w:pStyle w:val="TOC1"/>
            <w:numPr>
              <w:ilvl w:val="1"/>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2">
            <w:r>
              <w:rPr/>
              <w:t>重大</w:t>
            </w:r>
            <w:r>
              <w:rPr>
                <w:spacing w:val="-3"/>
              </w:rPr>
              <w:t>疾</w:t>
            </w:r>
            <w:r>
              <w:rPr/>
              <w:t>病</w:t>
              <w:tab/>
            </w:r>
            <w:r>
              <w:rPr>
                <w:rFonts w:ascii="Times New Roman" w:eastAsia="Times New Roman"/>
              </w:rPr>
              <w:t>9</w:t>
            </w:r>
          </w:hyperlink>
        </w:p>
        <w:p>
          <w:pPr>
            <w:pStyle w:val="TOC1"/>
            <w:numPr>
              <w:ilvl w:val="2"/>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1">
            <w:r>
              <w:rPr/>
              <w:t>恶性</w:t>
            </w:r>
            <w:r>
              <w:rPr>
                <w:spacing w:val="-3"/>
              </w:rPr>
              <w:t>肿</w:t>
            </w:r>
            <w:r>
              <w:rPr/>
              <w:t>瘤</w:t>
              <w:tab/>
            </w:r>
            <w:r>
              <w:rPr>
                <w:rFonts w:ascii="Times New Roman" w:eastAsia="Times New Roman"/>
              </w:rPr>
              <w:t>10</w:t>
            </w:r>
          </w:hyperlink>
        </w:p>
        <w:p>
          <w:pPr>
            <w:pStyle w:val="TOC1"/>
            <w:numPr>
              <w:ilvl w:val="2"/>
              <w:numId w:val="2"/>
            </w:numPr>
            <w:tabs>
              <w:tab w:pos="1377" w:val="left" w:leader="none"/>
              <w:tab w:pos="1378" w:val="left" w:leader="none"/>
              <w:tab w:pos="8419" w:val="right" w:leader="dot"/>
            </w:tabs>
            <w:spacing w:line="240" w:lineRule="auto" w:before="20" w:after="0"/>
            <w:ind w:left="1377" w:right="0" w:hanging="1260"/>
            <w:jc w:val="left"/>
            <w:rPr>
              <w:rFonts w:ascii="Times New Roman" w:eastAsia="Times New Roman"/>
            </w:rPr>
          </w:pPr>
          <w:hyperlink w:history="true" w:anchor="_TOC_250040">
            <w:r>
              <w:rPr/>
              <w:t>急性</w:t>
            </w:r>
            <w:r>
              <w:rPr>
                <w:spacing w:val="-3"/>
              </w:rPr>
              <w:t>心</w:t>
            </w:r>
            <w:r>
              <w:rPr/>
              <w:t>肌梗塞</w:t>
              <w:tab/>
            </w:r>
            <w:r>
              <w:rPr>
                <w:rFonts w:ascii="Times New Roman" w:eastAsia="Times New Roman"/>
              </w:rPr>
              <w:t>10</w:t>
            </w:r>
          </w:hyperlink>
        </w:p>
        <w:p>
          <w:pPr>
            <w:pStyle w:val="TOC1"/>
            <w:numPr>
              <w:ilvl w:val="2"/>
              <w:numId w:val="2"/>
            </w:numPr>
            <w:tabs>
              <w:tab w:pos="1377" w:val="left" w:leader="none"/>
              <w:tab w:pos="1378" w:val="left" w:leader="none"/>
              <w:tab w:pos="8421" w:val="right" w:leader="dot"/>
            </w:tabs>
            <w:spacing w:line="240" w:lineRule="auto" w:before="20" w:after="0"/>
            <w:ind w:left="1377" w:right="0" w:hanging="1260"/>
            <w:jc w:val="left"/>
            <w:rPr>
              <w:rFonts w:ascii="Times New Roman" w:eastAsia="Times New Roman"/>
            </w:rPr>
          </w:pPr>
          <w:hyperlink w:history="true" w:anchor="_TOC_250039">
            <w:r>
              <w:rPr/>
              <w:t>脑中</w:t>
            </w:r>
            <w:r>
              <w:rPr>
                <w:spacing w:val="-3"/>
              </w:rPr>
              <w:t>风</w:t>
            </w:r>
            <w:r>
              <w:rPr/>
              <w:t>后遗症</w:t>
              <w:tab/>
            </w:r>
            <w:r>
              <w:rPr>
                <w:rFonts w:ascii="Times New Roman" w:eastAsia="Times New Roman"/>
                <w:spacing w:val="-4"/>
              </w:rPr>
              <w:t>11</w:t>
            </w:r>
          </w:hyperlink>
        </w:p>
        <w:p>
          <w:pPr>
            <w:pStyle w:val="TOC1"/>
            <w:numPr>
              <w:ilvl w:val="2"/>
              <w:numId w:val="2"/>
            </w:numPr>
            <w:tabs>
              <w:tab w:pos="1377" w:val="left" w:leader="none"/>
              <w:tab w:pos="1378" w:val="left" w:leader="none"/>
              <w:tab w:pos="8421" w:val="right" w:leader="dot"/>
            </w:tabs>
            <w:spacing w:line="240" w:lineRule="auto" w:before="21" w:after="0"/>
            <w:ind w:left="1377" w:right="0" w:hanging="1260"/>
            <w:jc w:val="left"/>
            <w:rPr>
              <w:rFonts w:ascii="Times New Roman" w:eastAsia="Times New Roman"/>
            </w:rPr>
          </w:pPr>
          <w:hyperlink w:history="true" w:anchor="_TOC_250038">
            <w:r>
              <w:rPr/>
              <w:t>重大</w:t>
            </w:r>
            <w:r>
              <w:rPr>
                <w:spacing w:val="-3"/>
              </w:rPr>
              <w:t>器</w:t>
            </w:r>
            <w:r>
              <w:rPr/>
              <w:t>官移</w:t>
            </w:r>
            <w:r>
              <w:rPr>
                <w:spacing w:val="-3"/>
              </w:rPr>
              <w:t>植术</w:t>
            </w:r>
            <w:r>
              <w:rPr/>
              <w:t>或造</w:t>
            </w:r>
            <w:r>
              <w:rPr>
                <w:spacing w:val="-3"/>
              </w:rPr>
              <w:t>血干</w:t>
            </w:r>
            <w:r>
              <w:rPr/>
              <w:t>细胞</w:t>
            </w:r>
            <w:r>
              <w:rPr>
                <w:spacing w:val="-3"/>
              </w:rPr>
              <w:t>移</w:t>
            </w:r>
            <w:r>
              <w:rPr/>
              <w:t>植术</w:t>
              <w:tab/>
            </w:r>
            <w:r>
              <w:rPr>
                <w:rFonts w:ascii="Times New Roman" w:eastAsia="Times New Roman"/>
                <w:spacing w:val="-4"/>
              </w:rPr>
              <w:t>11</w:t>
            </w:r>
          </w:hyperlink>
        </w:p>
        <w:p>
          <w:pPr>
            <w:pStyle w:val="TOC1"/>
            <w:numPr>
              <w:ilvl w:val="2"/>
              <w:numId w:val="2"/>
            </w:numPr>
            <w:tabs>
              <w:tab w:pos="1377" w:val="left" w:leader="none"/>
              <w:tab w:pos="1378" w:val="left" w:leader="none"/>
              <w:tab w:pos="8421" w:val="right" w:leader="dot"/>
            </w:tabs>
            <w:spacing w:line="240" w:lineRule="auto" w:before="21" w:after="0"/>
            <w:ind w:left="1377" w:right="0" w:hanging="1260"/>
            <w:jc w:val="left"/>
            <w:rPr>
              <w:rFonts w:ascii="Times New Roman" w:eastAsia="Times New Roman"/>
            </w:rPr>
          </w:pPr>
          <w:hyperlink w:history="true" w:anchor="_TOC_250037">
            <w:r>
              <w:rPr/>
              <w:t>冠状</w:t>
            </w:r>
            <w:r>
              <w:rPr>
                <w:spacing w:val="-3"/>
              </w:rPr>
              <w:t>动</w:t>
            </w:r>
            <w:r>
              <w:rPr/>
              <w:t>脉搭</w:t>
            </w:r>
            <w:r>
              <w:rPr>
                <w:spacing w:val="-3"/>
              </w:rPr>
              <w:t>桥术</w:t>
            </w:r>
            <w:r>
              <w:rPr/>
              <w:t>（</w:t>
            </w:r>
            <w:r>
              <w:rPr>
                <w:spacing w:val="-3"/>
              </w:rPr>
              <w:t>或</w:t>
            </w:r>
            <w:r>
              <w:rPr/>
              <w:t>称</w:t>
            </w:r>
            <w:r>
              <w:rPr>
                <w:spacing w:val="-3"/>
              </w:rPr>
              <w:t>冠</w:t>
            </w:r>
            <w:r>
              <w:rPr/>
              <w:t>状动</w:t>
            </w:r>
            <w:r>
              <w:rPr>
                <w:spacing w:val="-3"/>
              </w:rPr>
              <w:t>脉</w:t>
            </w:r>
            <w:r>
              <w:rPr/>
              <w:t>旁路</w:t>
            </w:r>
            <w:r>
              <w:rPr>
                <w:spacing w:val="-3"/>
              </w:rPr>
              <w:t>移</w:t>
            </w:r>
            <w:r>
              <w:rPr/>
              <w:t>植</w:t>
            </w:r>
            <w:r>
              <w:rPr>
                <w:spacing w:val="-3"/>
              </w:rPr>
              <w:t>术</w:t>
            </w:r>
            <w:r>
              <w:rPr/>
              <w:t>）</w:t>
              <w:tab/>
            </w:r>
            <w:r>
              <w:rPr>
                <w:rFonts w:ascii="Times New Roman" w:eastAsia="Times New Roman"/>
                <w:spacing w:val="-4"/>
              </w:rPr>
              <w:t>11</w:t>
            </w:r>
          </w:hyperlink>
        </w:p>
        <w:p>
          <w:pPr>
            <w:pStyle w:val="TOC1"/>
            <w:numPr>
              <w:ilvl w:val="2"/>
              <w:numId w:val="2"/>
            </w:numPr>
            <w:tabs>
              <w:tab w:pos="1377" w:val="left" w:leader="none"/>
              <w:tab w:pos="1378" w:val="left" w:leader="none"/>
              <w:tab w:pos="8421" w:val="right" w:leader="dot"/>
            </w:tabs>
            <w:spacing w:line="240" w:lineRule="auto" w:before="21" w:after="0"/>
            <w:ind w:left="1377" w:right="0" w:hanging="1260"/>
            <w:jc w:val="left"/>
            <w:rPr>
              <w:rFonts w:ascii="Times New Roman" w:eastAsia="Times New Roman"/>
            </w:rPr>
          </w:pPr>
          <w:hyperlink w:history="true" w:anchor="_TOC_250036">
            <w:r>
              <w:rPr/>
              <w:t>终末</w:t>
            </w:r>
            <w:r>
              <w:rPr>
                <w:spacing w:val="-3"/>
              </w:rPr>
              <w:t>期</w:t>
            </w:r>
            <w:r>
              <w:rPr/>
              <w:t>肾</w:t>
            </w:r>
            <w:r>
              <w:rPr>
                <w:spacing w:val="-3"/>
              </w:rPr>
              <w:t>病</w:t>
            </w:r>
            <w:r>
              <w:rPr/>
              <w:t>（</w:t>
            </w:r>
            <w:r>
              <w:rPr>
                <w:spacing w:val="-3"/>
              </w:rPr>
              <w:t>或</w:t>
            </w:r>
            <w:r>
              <w:rPr/>
              <w:t>称慢</w:t>
            </w:r>
            <w:r>
              <w:rPr>
                <w:spacing w:val="-3"/>
              </w:rPr>
              <w:t>性肾</w:t>
            </w:r>
            <w:r>
              <w:rPr/>
              <w:t>功能</w:t>
            </w:r>
            <w:r>
              <w:rPr>
                <w:spacing w:val="-3"/>
              </w:rPr>
              <w:t>衰</w:t>
            </w:r>
            <w:r>
              <w:rPr/>
              <w:t>竭尿</w:t>
            </w:r>
            <w:r>
              <w:rPr>
                <w:spacing w:val="-3"/>
              </w:rPr>
              <w:t>毒</w:t>
            </w:r>
            <w:r>
              <w:rPr/>
              <w:t>症</w:t>
            </w:r>
            <w:r>
              <w:rPr>
                <w:spacing w:val="-3"/>
              </w:rPr>
              <w:t>期</w:t>
            </w:r>
            <w:r>
              <w:rPr/>
              <w:t>）</w:t>
              <w:tab/>
            </w:r>
            <w:r>
              <w:rPr>
                <w:rFonts w:ascii="Times New Roman" w:eastAsia="Times New Roman"/>
                <w:spacing w:val="-4"/>
              </w:rPr>
              <w:t>11</w:t>
            </w:r>
          </w:hyperlink>
        </w:p>
        <w:p>
          <w:pPr>
            <w:pStyle w:val="TOC1"/>
            <w:numPr>
              <w:ilvl w:val="2"/>
              <w:numId w:val="2"/>
            </w:numPr>
            <w:tabs>
              <w:tab w:pos="1377" w:val="left" w:leader="none"/>
              <w:tab w:pos="1378" w:val="left" w:leader="none"/>
              <w:tab w:pos="8421" w:val="right" w:leader="dot"/>
            </w:tabs>
            <w:spacing w:line="240" w:lineRule="auto" w:before="21" w:after="0"/>
            <w:ind w:left="1377" w:right="0" w:hanging="1260"/>
            <w:jc w:val="left"/>
            <w:rPr>
              <w:rFonts w:ascii="Times New Roman" w:eastAsia="Times New Roman"/>
            </w:rPr>
          </w:pPr>
          <w:hyperlink w:history="true" w:anchor="_TOC_250035">
            <w:r>
              <w:rPr/>
              <w:t>多个</w:t>
            </w:r>
            <w:r>
              <w:rPr>
                <w:spacing w:val="-3"/>
              </w:rPr>
              <w:t>肢</w:t>
            </w:r>
            <w:r>
              <w:rPr/>
              <w:t>体缺失</w:t>
              <w:tab/>
            </w:r>
            <w:r>
              <w:rPr>
                <w:rFonts w:ascii="Times New Roman" w:eastAsia="Times New Roman"/>
                <w:spacing w:val="-4"/>
              </w:rPr>
              <w:t>11</w:t>
            </w:r>
          </w:hyperlink>
        </w:p>
        <w:p>
          <w:pPr>
            <w:pStyle w:val="TOC1"/>
            <w:numPr>
              <w:ilvl w:val="2"/>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34">
            <w:r>
              <w:rPr/>
              <w:t>急性</w:t>
            </w:r>
            <w:r>
              <w:rPr>
                <w:spacing w:val="-3"/>
              </w:rPr>
              <w:t>或</w:t>
            </w:r>
            <w:r>
              <w:rPr/>
              <w:t>亚急</w:t>
            </w:r>
            <w:r>
              <w:rPr>
                <w:spacing w:val="-3"/>
              </w:rPr>
              <w:t>性重</w:t>
            </w:r>
            <w:r>
              <w:rPr/>
              <w:t>症肝炎</w:t>
              <w:tab/>
            </w:r>
            <w:r>
              <w:rPr>
                <w:rFonts w:ascii="Times New Roman" w:eastAsia="Times New Roman"/>
              </w:rPr>
              <w:t>12</w:t>
            </w:r>
          </w:hyperlink>
        </w:p>
        <w:p>
          <w:pPr>
            <w:pStyle w:val="TOC1"/>
            <w:numPr>
              <w:ilvl w:val="2"/>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33">
            <w:r>
              <w:rPr/>
              <w:t>良性</w:t>
            </w:r>
            <w:r>
              <w:rPr>
                <w:spacing w:val="-3"/>
              </w:rPr>
              <w:t>脑</w:t>
            </w:r>
            <w:r>
              <w:rPr/>
              <w:t>肿瘤</w:t>
              <w:tab/>
            </w:r>
            <w:r>
              <w:rPr>
                <w:rFonts w:ascii="Times New Roman" w:eastAsia="Times New Roman"/>
              </w:rPr>
              <w:t>12</w:t>
            </w:r>
          </w:hyperlink>
        </w:p>
        <w:p>
          <w:pPr>
            <w:pStyle w:val="TOC1"/>
            <w:numPr>
              <w:ilvl w:val="2"/>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32">
            <w:r>
              <w:rPr/>
              <w:t>慢性</w:t>
            </w:r>
            <w:r>
              <w:rPr>
                <w:spacing w:val="-3"/>
              </w:rPr>
              <w:t>肝</w:t>
            </w:r>
            <w:r>
              <w:rPr/>
              <w:t>功能</w:t>
            </w:r>
            <w:r>
              <w:rPr>
                <w:spacing w:val="-3"/>
              </w:rPr>
              <w:t>衰竭</w:t>
            </w:r>
            <w:r>
              <w:rPr/>
              <w:t>失代</w:t>
            </w:r>
            <w:r>
              <w:rPr>
                <w:spacing w:val="-3"/>
              </w:rPr>
              <w:t>偿</w:t>
            </w:r>
            <w:r>
              <w:rPr/>
              <w:t>期</w:t>
              <w:tab/>
            </w:r>
            <w:r>
              <w:rPr>
                <w:rFonts w:ascii="Times New Roman" w:eastAsia="Times New Roman"/>
              </w:rPr>
              <w:t>12</w:t>
            </w:r>
          </w:hyperlink>
        </w:p>
        <w:p>
          <w:pPr>
            <w:pStyle w:val="TOC1"/>
            <w:numPr>
              <w:ilvl w:val="2"/>
              <w:numId w:val="2"/>
            </w:numPr>
            <w:tabs>
              <w:tab w:pos="1377" w:val="left" w:leader="none"/>
              <w:tab w:pos="1378" w:val="left" w:leader="none"/>
              <w:tab w:pos="8419" w:val="right" w:leader="dot"/>
            </w:tabs>
            <w:spacing w:line="240" w:lineRule="auto" w:before="21" w:after="20"/>
            <w:ind w:left="1377" w:right="0" w:hanging="1260"/>
            <w:jc w:val="left"/>
            <w:rPr>
              <w:rFonts w:ascii="Times New Roman" w:eastAsia="Times New Roman"/>
            </w:rPr>
          </w:pPr>
          <w:hyperlink w:history="true" w:anchor="_TOC_250031">
            <w:r>
              <w:rPr/>
              <w:t>脑炎</w:t>
            </w:r>
            <w:r>
              <w:rPr>
                <w:spacing w:val="-3"/>
              </w:rPr>
              <w:t>后</w:t>
            </w:r>
            <w:r>
              <w:rPr/>
              <w:t>遗症</w:t>
            </w:r>
            <w:r>
              <w:rPr>
                <w:spacing w:val="-3"/>
              </w:rPr>
              <w:t>或脑</w:t>
            </w:r>
            <w:r>
              <w:rPr/>
              <w:t>膜炎</w:t>
            </w:r>
            <w:r>
              <w:rPr>
                <w:spacing w:val="-3"/>
              </w:rPr>
              <w:t>后遗</w:t>
            </w:r>
            <w:r>
              <w:rPr/>
              <w:t>症</w:t>
              <w:tab/>
            </w:r>
            <w:r>
              <w:rPr>
                <w:rFonts w:ascii="Times New Roman" w:eastAsia="Times New Roman"/>
              </w:rPr>
              <w:t>12</w:t>
            </w:r>
          </w:hyperlink>
        </w:p>
        <w:p>
          <w:pPr>
            <w:pStyle w:val="TOC1"/>
            <w:numPr>
              <w:ilvl w:val="2"/>
              <w:numId w:val="2"/>
            </w:numPr>
            <w:tabs>
              <w:tab w:pos="1377" w:val="left" w:leader="none"/>
              <w:tab w:pos="1378" w:val="left" w:leader="none"/>
              <w:tab w:pos="8419" w:val="right" w:leader="dot"/>
            </w:tabs>
            <w:spacing w:line="240" w:lineRule="auto" w:before="35" w:after="0"/>
            <w:ind w:left="1377" w:right="0" w:hanging="1260"/>
            <w:jc w:val="left"/>
            <w:rPr>
              <w:rFonts w:ascii="Times New Roman" w:eastAsia="Times New Roman"/>
            </w:rPr>
          </w:pPr>
          <w:hyperlink w:history="true" w:anchor="_TOC_250030">
            <w:r>
              <w:rPr/>
              <w:t>深度</w:t>
            </w:r>
            <w:r>
              <w:rPr>
                <w:spacing w:val="-3"/>
              </w:rPr>
              <w:t>昏</w:t>
            </w:r>
            <w:r>
              <w:rPr/>
              <w:t>迷</w:t>
              <w:tab/>
            </w:r>
            <w:r>
              <w:rPr>
                <w:rFonts w:ascii="Times New Roman" w:eastAsia="Times New Roman"/>
              </w:rPr>
              <w:t>13</w:t>
            </w:r>
          </w:hyperlink>
        </w:p>
        <w:p>
          <w:pPr>
            <w:pStyle w:val="TOC1"/>
            <w:numPr>
              <w:ilvl w:val="2"/>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9">
            <w:r>
              <w:rPr/>
              <w:t>双耳</w:t>
            </w:r>
            <w:r>
              <w:rPr>
                <w:spacing w:val="-3"/>
              </w:rPr>
              <w:t>失</w:t>
            </w:r>
            <w:r>
              <w:rPr/>
              <w:t>聪</w:t>
              <w:tab/>
            </w:r>
            <w:r>
              <w:rPr>
                <w:rFonts w:ascii="Times New Roman" w:eastAsia="Times New Roman"/>
              </w:rPr>
              <w:t>13</w:t>
            </w:r>
          </w:hyperlink>
        </w:p>
        <w:p>
          <w:pPr>
            <w:pStyle w:val="TOC1"/>
            <w:numPr>
              <w:ilvl w:val="2"/>
              <w:numId w:val="2"/>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8">
            <w:r>
              <w:rPr/>
              <w:t>双目</w:t>
            </w:r>
            <w:r>
              <w:rPr>
                <w:spacing w:val="-3"/>
              </w:rPr>
              <w:t>失</w:t>
            </w:r>
            <w:r>
              <w:rPr/>
              <w:t>明</w:t>
              <w:tab/>
            </w:r>
            <w:r>
              <w:rPr>
                <w:rFonts w:ascii="Times New Roman" w:eastAsia="Times New Roman"/>
              </w:rPr>
              <w:t>13</w:t>
            </w:r>
          </w:hyperlink>
        </w:p>
        <w:p>
          <w:pPr>
            <w:pStyle w:val="TOC1"/>
            <w:tabs>
              <w:tab w:pos="1377" w:val="left" w:leader="none"/>
              <w:tab w:pos="8419" w:val="right" w:leader="dot"/>
            </w:tabs>
            <w:ind w:left="117" w:firstLine="0"/>
            <w:rPr>
              <w:rFonts w:ascii="Times New Roman" w:eastAsia="Times New Roman"/>
            </w:rPr>
          </w:pPr>
          <w:hyperlink w:history="true" w:anchor="_TOC_250027">
            <w:r>
              <w:rPr>
                <w:w w:val="90"/>
              </w:rPr>
              <w:t>12.4.15</w:t>
              <w:tab/>
            </w:r>
            <w:r>
              <w:rPr/>
              <w:t>瘫痪</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6">
            <w:r>
              <w:rPr/>
              <w:t>心脏</w:t>
            </w:r>
            <w:r>
              <w:rPr>
                <w:spacing w:val="-3"/>
              </w:rPr>
              <w:t>瓣</w:t>
            </w:r>
            <w:r>
              <w:rPr/>
              <w:t>膜手术</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5">
            <w:r>
              <w:rPr/>
              <w:t>严重</w:t>
            </w:r>
            <w:r>
              <w:rPr>
                <w:spacing w:val="-3"/>
              </w:rPr>
              <w:t>阿</w:t>
            </w:r>
            <w:r>
              <w:rPr/>
              <w:t>尔茨</w:t>
            </w:r>
            <w:r>
              <w:rPr>
                <w:spacing w:val="-3"/>
              </w:rPr>
              <w:t>海默</w:t>
            </w:r>
            <w:r>
              <w:rPr/>
              <w:t>病</w:t>
              <w:tab/>
            </w:r>
            <w:r>
              <w:rPr>
                <w:rFonts w:ascii="Times New Roman" w:eastAsia="Times New Roman"/>
              </w:rPr>
              <w:t>13</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4">
            <w:r>
              <w:rPr/>
              <w:t>严重</w:t>
            </w:r>
            <w:r>
              <w:rPr>
                <w:spacing w:val="-3"/>
              </w:rPr>
              <w:t>脑</w:t>
            </w:r>
            <w:r>
              <w:rPr/>
              <w:t>损伤</w:t>
              <w:tab/>
            </w:r>
            <w:r>
              <w:rPr>
                <w:rFonts w:ascii="Times New Roman" w:eastAsia="Times New Roman"/>
              </w:rPr>
              <w:t>14</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3">
            <w:r>
              <w:rPr/>
              <w:t>严重</w:t>
            </w:r>
            <w:r>
              <w:rPr>
                <w:spacing w:val="-3"/>
              </w:rPr>
              <w:t>帕</w:t>
            </w:r>
            <w:r>
              <w:rPr/>
              <w:t>金森病</w:t>
              <w:tab/>
            </w:r>
            <w:r>
              <w:rPr>
                <w:rFonts w:ascii="Times New Roman" w:eastAsia="Times New Roman"/>
              </w:rPr>
              <w:t>14</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2">
            <w:r>
              <w:rPr/>
              <w:t>严重</w:t>
            </w:r>
            <w:r>
              <w:rPr>
                <w:spacing w:val="-54"/>
              </w:rPr>
              <w:t> </w:t>
            </w:r>
            <w:r>
              <w:rPr/>
              <w:t>III</w:t>
            </w:r>
            <w:r>
              <w:rPr>
                <w:spacing w:val="-57"/>
              </w:rPr>
              <w:t> </w:t>
            </w:r>
            <w:r>
              <w:rPr/>
              <w:t>度烧伤</w:t>
              <w:tab/>
            </w:r>
            <w:r>
              <w:rPr>
                <w:rFonts w:ascii="Times New Roman" w:eastAsia="Times New Roman"/>
              </w:rPr>
              <w:t>14</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1">
            <w:r>
              <w:rPr/>
              <w:t>严重</w:t>
            </w:r>
            <w:r>
              <w:rPr>
                <w:spacing w:val="-3"/>
              </w:rPr>
              <w:t>原</w:t>
            </w:r>
            <w:r>
              <w:rPr/>
              <w:t>发性</w:t>
            </w:r>
            <w:r>
              <w:rPr>
                <w:spacing w:val="-3"/>
              </w:rPr>
              <w:t>肺动</w:t>
            </w:r>
            <w:r>
              <w:rPr/>
              <w:t>脉高压</w:t>
              <w:tab/>
            </w:r>
            <w:r>
              <w:rPr>
                <w:rFonts w:ascii="Times New Roman" w:eastAsia="Times New Roman"/>
              </w:rPr>
              <w:t>14</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20">
            <w:r>
              <w:rPr/>
              <w:t>严重</w:t>
            </w:r>
            <w:r>
              <w:rPr>
                <w:spacing w:val="-3"/>
              </w:rPr>
              <w:t>运</w:t>
            </w:r>
            <w:r>
              <w:rPr/>
              <w:t>动神</w:t>
            </w:r>
            <w:r>
              <w:rPr>
                <w:spacing w:val="-3"/>
              </w:rPr>
              <w:t>经元</w:t>
            </w:r>
            <w:r>
              <w:rPr/>
              <w:t>病</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9">
            <w:r>
              <w:rPr/>
              <w:t>语言</w:t>
            </w:r>
            <w:r>
              <w:rPr>
                <w:spacing w:val="-3"/>
              </w:rPr>
              <w:t>能</w:t>
            </w:r>
            <w:r>
              <w:rPr/>
              <w:t>力丧失</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8">
            <w:r>
              <w:rPr/>
              <w:t>重型</w:t>
            </w:r>
            <w:r>
              <w:rPr>
                <w:spacing w:val="-3"/>
              </w:rPr>
              <w:t>再</w:t>
            </w:r>
            <w:r>
              <w:rPr/>
              <w:t>生障</w:t>
            </w:r>
            <w:r>
              <w:rPr>
                <w:spacing w:val="-3"/>
              </w:rPr>
              <w:t>碍性</w:t>
            </w:r>
            <w:r>
              <w:rPr/>
              <w:t>贫血</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7">
            <w:r>
              <w:rPr/>
              <w:t>主动</w:t>
            </w:r>
            <w:r>
              <w:rPr>
                <w:spacing w:val="-3"/>
              </w:rPr>
              <w:t>脉</w:t>
            </w:r>
            <w:r>
              <w:rPr/>
              <w:t>手术</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6">
            <w:r>
              <w:rPr/>
              <w:t>系统</w:t>
            </w:r>
            <w:r>
              <w:rPr>
                <w:spacing w:val="-3"/>
              </w:rPr>
              <w:t>性</w:t>
            </w:r>
            <w:r>
              <w:rPr/>
              <w:t>红斑</w:t>
            </w:r>
            <w:r>
              <w:rPr>
                <w:spacing w:val="-3"/>
              </w:rPr>
              <w:t>狼</w:t>
            </w:r>
            <w:r>
              <w:rPr/>
              <w:t>疮</w:t>
            </w:r>
            <w:r>
              <w:rPr>
                <w:spacing w:val="-5"/>
              </w:rPr>
              <w:t> </w:t>
            </w:r>
            <w:r>
              <w:rPr/>
              <w:t>－</w:t>
            </w:r>
            <w:r>
              <w:rPr>
                <w:spacing w:val="-3"/>
              </w:rPr>
              <w:t> </w:t>
            </w:r>
            <w:r>
              <w:rPr/>
              <w:t>III</w:t>
            </w:r>
            <w:r>
              <w:rPr>
                <w:spacing w:val="-55"/>
              </w:rPr>
              <w:t> </w:t>
            </w:r>
            <w:r>
              <w:rPr>
                <w:spacing w:val="-3"/>
              </w:rPr>
              <w:t>型</w:t>
            </w:r>
            <w:r>
              <w:rPr/>
              <w:t>或以</w:t>
            </w:r>
            <w:r>
              <w:rPr>
                <w:spacing w:val="-3"/>
              </w:rPr>
              <w:t>上</w:t>
            </w:r>
            <w:r>
              <w:rPr/>
              <w:t>狼</w:t>
            </w:r>
            <w:r>
              <w:rPr>
                <w:spacing w:val="-3"/>
              </w:rPr>
              <w:t>疮</w:t>
            </w:r>
            <w:r>
              <w:rPr/>
              <w:t>性肾炎</w:t>
              <w:tab/>
            </w:r>
            <w:r>
              <w:rPr>
                <w:rFonts w:ascii="Times New Roman" w:eastAsia="Times New Roman"/>
              </w:rPr>
              <w:t>15</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5">
            <w:r>
              <w:rPr/>
              <w:t>经输</w:t>
            </w:r>
            <w:r>
              <w:rPr>
                <w:spacing w:val="-3"/>
              </w:rPr>
              <w:t>血</w:t>
            </w:r>
            <w:r>
              <w:rPr/>
              <w:t>导致</w:t>
            </w:r>
            <w:r>
              <w:rPr>
                <w:spacing w:val="-3"/>
              </w:rPr>
              <w:t>的人</w:t>
            </w:r>
            <w:r>
              <w:rPr/>
              <w:t>类免</w:t>
            </w:r>
            <w:r>
              <w:rPr>
                <w:spacing w:val="-3"/>
              </w:rPr>
              <w:t>疫缺</w:t>
            </w:r>
            <w:r>
              <w:rPr/>
              <w:t>陷病</w:t>
            </w:r>
            <w:r>
              <w:rPr>
                <w:spacing w:val="-3"/>
              </w:rPr>
              <w:t>毒</w:t>
            </w:r>
            <w:r>
              <w:rPr/>
              <w:t>（HIV）</w:t>
            </w:r>
            <w:r>
              <w:rPr>
                <w:spacing w:val="-3"/>
              </w:rPr>
              <w:t>感</w:t>
            </w:r>
            <w:r>
              <w:rPr/>
              <w:t>染</w:t>
              <w:tab/>
            </w:r>
            <w:r>
              <w:rPr>
                <w:rFonts w:ascii="Times New Roman" w:eastAsia="Times New Roman"/>
              </w:rPr>
              <w:t>16</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4">
            <w:r>
              <w:rPr/>
              <w:t>严重</w:t>
            </w:r>
            <w:r>
              <w:rPr>
                <w:spacing w:val="-3"/>
              </w:rPr>
              <w:t>多</w:t>
            </w:r>
            <w:r>
              <w:rPr/>
              <w:t>发性</w:t>
            </w:r>
            <w:r>
              <w:rPr>
                <w:spacing w:val="-3"/>
              </w:rPr>
              <w:t>硬</w:t>
            </w:r>
            <w:r>
              <w:rPr/>
              <w:t>化</w:t>
              <w:tab/>
            </w:r>
            <w:r>
              <w:rPr>
                <w:rFonts w:ascii="Times New Roman" w:eastAsia="Times New Roman"/>
              </w:rPr>
              <w:t>16</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3">
            <w:r>
              <w:rPr/>
              <w:t>严重</w:t>
            </w:r>
            <w:r>
              <w:rPr>
                <w:spacing w:val="-3"/>
              </w:rPr>
              <w:t>类</w:t>
            </w:r>
            <w:r>
              <w:rPr/>
              <w:t>风湿</w:t>
            </w:r>
            <w:r>
              <w:rPr>
                <w:spacing w:val="-3"/>
              </w:rPr>
              <w:t>性关</w:t>
            </w:r>
            <w:r>
              <w:rPr/>
              <w:t>节炎</w:t>
              <w:tab/>
            </w:r>
            <w:r>
              <w:rPr>
                <w:rFonts w:ascii="Times New Roman" w:eastAsia="Times New Roman"/>
              </w:rPr>
              <w:t>16</w:t>
            </w:r>
          </w:hyperlink>
        </w:p>
        <w:p>
          <w:pPr>
            <w:pStyle w:val="TOC1"/>
            <w:numPr>
              <w:ilvl w:val="2"/>
              <w:numId w:val="3"/>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12">
            <w:r>
              <w:rPr/>
              <w:t>慢性</w:t>
            </w:r>
            <w:r>
              <w:rPr>
                <w:spacing w:val="-3"/>
              </w:rPr>
              <w:t>呼</w:t>
            </w:r>
            <w:r>
              <w:rPr/>
              <w:t>吸功</w:t>
            </w:r>
            <w:r>
              <w:rPr>
                <w:spacing w:val="-3"/>
              </w:rPr>
              <w:t>能衰</w:t>
            </w:r>
            <w:r>
              <w:rPr/>
              <w:t>竭</w:t>
              <w:tab/>
            </w:r>
            <w:r>
              <w:rPr>
                <w:rFonts w:ascii="Times New Roman" w:eastAsia="Times New Roman"/>
              </w:rPr>
              <w:t>17</w:t>
            </w:r>
          </w:hyperlink>
        </w:p>
        <w:p>
          <w:pPr>
            <w:pStyle w:val="TOC1"/>
            <w:numPr>
              <w:ilvl w:val="1"/>
              <w:numId w:val="3"/>
            </w:numPr>
            <w:tabs>
              <w:tab w:pos="1377" w:val="left" w:leader="none"/>
              <w:tab w:pos="1378" w:val="left" w:leader="none"/>
              <w:tab w:pos="8419" w:val="right" w:leader="dot"/>
            </w:tabs>
            <w:spacing w:line="240" w:lineRule="auto" w:before="20" w:after="0"/>
            <w:ind w:left="1377" w:right="0" w:hanging="1260"/>
            <w:jc w:val="left"/>
          </w:pPr>
          <w:hyperlink w:history="true" w:anchor="_TOC_250011">
            <w:r>
              <w:rPr/>
              <w:t>语言</w:t>
            </w:r>
            <w:r>
              <w:rPr>
                <w:spacing w:val="-3"/>
              </w:rPr>
              <w:t>能</w:t>
            </w:r>
            <w:r>
              <w:rPr/>
              <w:t>力或</w:t>
            </w:r>
            <w:r>
              <w:rPr>
                <w:spacing w:val="-3"/>
              </w:rPr>
              <w:t>咀嚼</w:t>
            </w:r>
            <w:r>
              <w:rPr/>
              <w:t>吞咽</w:t>
            </w:r>
            <w:r>
              <w:rPr>
                <w:spacing w:val="-3"/>
              </w:rPr>
              <w:t>能力</w:t>
            </w:r>
            <w:r>
              <w:rPr/>
              <w:t>完全</w:t>
            </w:r>
            <w:r>
              <w:rPr>
                <w:spacing w:val="-3"/>
              </w:rPr>
              <w:t>丧</w:t>
            </w:r>
            <w:r>
              <w:rPr/>
              <w:t>失</w:t>
              <w:tab/>
            </w:r>
            <w:r>
              <w:rPr>
                <w:rFonts w:ascii="Times New Roman" w:eastAsia="Times New Roman"/>
              </w:rPr>
              <w:t>17</w:t>
            </w:r>
          </w:hyperlink>
        </w:p>
        <w:p>
          <w:pPr>
            <w:pStyle w:val="TOC1"/>
            <w:numPr>
              <w:ilvl w:val="1"/>
              <w:numId w:val="3"/>
            </w:numPr>
            <w:tabs>
              <w:tab w:pos="1377" w:val="left" w:leader="none"/>
              <w:tab w:pos="1378" w:val="left" w:leader="none"/>
              <w:tab w:pos="8419" w:val="right" w:leader="dot"/>
            </w:tabs>
            <w:spacing w:line="240" w:lineRule="auto" w:before="20" w:after="0"/>
            <w:ind w:left="1377" w:right="0" w:hanging="1260"/>
            <w:jc w:val="left"/>
          </w:pPr>
          <w:hyperlink w:history="true" w:anchor="_TOC_250010">
            <w:r>
              <w:rPr/>
              <w:t>六项</w:t>
            </w:r>
            <w:r>
              <w:rPr>
                <w:spacing w:val="-3"/>
              </w:rPr>
              <w:t>基</w:t>
            </w:r>
            <w:r>
              <w:rPr/>
              <w:t>本日</w:t>
            </w:r>
            <w:r>
              <w:rPr>
                <w:spacing w:val="-3"/>
              </w:rPr>
              <w:t>常生</w:t>
            </w:r>
            <w:r>
              <w:rPr/>
              <w:t>活活动</w:t>
              <w:tab/>
            </w:r>
            <w:r>
              <w:rPr>
                <w:rFonts w:ascii="Times New Roman" w:eastAsia="Times New Roman"/>
              </w:rPr>
              <w:t>17</w:t>
            </w:r>
          </w:hyperlink>
        </w:p>
        <w:p>
          <w:pPr>
            <w:pStyle w:val="TOC1"/>
            <w:numPr>
              <w:ilvl w:val="1"/>
              <w:numId w:val="3"/>
            </w:numPr>
            <w:tabs>
              <w:tab w:pos="1377" w:val="left" w:leader="none"/>
              <w:tab w:pos="1378" w:val="left" w:leader="none"/>
              <w:tab w:pos="8419" w:val="right" w:leader="dot"/>
            </w:tabs>
            <w:spacing w:line="240" w:lineRule="auto" w:before="21" w:after="0"/>
            <w:ind w:left="1377" w:right="0" w:hanging="1260"/>
            <w:jc w:val="left"/>
          </w:pPr>
          <w:hyperlink w:history="true" w:anchor="_TOC_250009">
            <w:r>
              <w:rPr/>
              <w:t>肢体</w:t>
            </w:r>
            <w:r>
              <w:rPr>
                <w:spacing w:val="-3"/>
              </w:rPr>
              <w:t>机</w:t>
            </w:r>
            <w:r>
              <w:rPr/>
              <w:t>能完</w:t>
            </w:r>
            <w:r>
              <w:rPr>
                <w:spacing w:val="-3"/>
              </w:rPr>
              <w:t>全丧</w:t>
            </w:r>
            <w:r>
              <w:rPr/>
              <w:t>失</w:t>
              <w:tab/>
            </w:r>
            <w:r>
              <w:rPr>
                <w:rFonts w:ascii="Times New Roman" w:eastAsia="Times New Roman"/>
              </w:rPr>
              <w:t>17</w:t>
            </w:r>
          </w:hyperlink>
        </w:p>
        <w:p>
          <w:pPr>
            <w:pStyle w:val="TOC1"/>
            <w:numPr>
              <w:ilvl w:val="1"/>
              <w:numId w:val="3"/>
            </w:numPr>
            <w:tabs>
              <w:tab w:pos="1377" w:val="left" w:leader="none"/>
              <w:tab w:pos="1378" w:val="left" w:leader="none"/>
              <w:tab w:pos="8419" w:val="right" w:leader="dot"/>
            </w:tabs>
            <w:spacing w:line="240" w:lineRule="auto" w:before="21" w:after="0"/>
            <w:ind w:left="1377" w:right="0" w:hanging="1260"/>
            <w:jc w:val="left"/>
          </w:pPr>
          <w:hyperlink w:history="true" w:anchor="_TOC_250008">
            <w:r>
              <w:rPr/>
              <w:t>永久</w:t>
            </w:r>
            <w:r>
              <w:rPr>
                <w:spacing w:val="-3"/>
              </w:rPr>
              <w:t>不</w:t>
            </w:r>
            <w:r>
              <w:rPr/>
              <w:t>可逆</w:t>
              <w:tab/>
            </w:r>
            <w:r>
              <w:rPr>
                <w:rFonts w:ascii="Times New Roman" w:eastAsia="Times New Roman"/>
              </w:rPr>
              <w:t>18</w:t>
            </w:r>
          </w:hyperlink>
        </w:p>
        <w:p>
          <w:pPr>
            <w:pStyle w:val="TOC1"/>
            <w:tabs>
              <w:tab w:pos="1377" w:val="left" w:leader="none"/>
              <w:tab w:pos="8419" w:val="right" w:leader="dot"/>
            </w:tabs>
            <w:ind w:left="117" w:firstLine="0"/>
            <w:rPr>
              <w:rFonts w:ascii="Times New Roman" w:eastAsia="Times New Roman"/>
            </w:rPr>
          </w:pPr>
          <w:hyperlink w:history="true" w:anchor="_TOC_250007">
            <w:r>
              <w:rPr/>
              <w:t>12.9</w:t>
              <w:tab/>
              <w:t>毒品</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6">
            <w:r>
              <w:rPr/>
              <w:t>酒后</w:t>
            </w:r>
            <w:r>
              <w:rPr>
                <w:spacing w:val="-3"/>
              </w:rPr>
              <w:t>驾</w:t>
            </w:r>
            <w:r>
              <w:rPr/>
              <w:t>驶</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r>
            <w:rPr/>
            <w:t>无合</w:t>
          </w:r>
          <w:r>
            <w:rPr>
              <w:spacing w:val="-3"/>
            </w:rPr>
            <w:t>法</w:t>
          </w:r>
          <w:r>
            <w:rPr/>
            <w:t>有效</w:t>
          </w:r>
          <w:r>
            <w:rPr>
              <w:spacing w:val="-3"/>
            </w:rPr>
            <w:t>驾驶</w:t>
          </w:r>
          <w:r>
            <w:rPr/>
            <w:t>证驾驶</w:t>
            <w:tab/>
          </w:r>
          <w:r>
            <w:rPr>
              <w:rFonts w:ascii="Times New Roman" w:eastAsia="Times New Roman"/>
            </w:rPr>
            <w:t>18</w:t>
          </w:r>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r>
            <w:rPr/>
            <w:t>无有</w:t>
          </w:r>
          <w:r>
            <w:rPr>
              <w:spacing w:val="-3"/>
            </w:rPr>
            <w:t>效</w:t>
          </w:r>
          <w:r>
            <w:rPr/>
            <w:t>行驶证</w:t>
            <w:tab/>
          </w:r>
          <w:r>
            <w:rPr>
              <w:rFonts w:ascii="Times New Roman" w:eastAsia="Times New Roman"/>
            </w:rPr>
            <w:t>18</w:t>
          </w:r>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5">
            <w:r>
              <w:rPr/>
              <w:t>机动车</w:t>
              <w:tab/>
            </w:r>
            <w:r>
              <w:rPr>
                <w:rFonts w:ascii="Times New Roman" w:eastAsia="Times New Roman"/>
              </w:rPr>
              <w:t>18</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4">
            <w:r>
              <w:rPr/>
              <w:t>感染</w:t>
            </w:r>
            <w:r>
              <w:rPr>
                <w:spacing w:val="-3"/>
              </w:rPr>
              <w:t>艾</w:t>
            </w:r>
            <w:r>
              <w:rPr/>
              <w:t>滋病</w:t>
            </w:r>
            <w:r>
              <w:rPr>
                <w:spacing w:val="-3"/>
              </w:rPr>
              <w:t>病毒</w:t>
            </w:r>
            <w:r>
              <w:rPr/>
              <w:t>或患</w:t>
            </w:r>
            <w:r>
              <w:rPr>
                <w:spacing w:val="-3"/>
              </w:rPr>
              <w:t>艾滋</w:t>
            </w:r>
            <w:r>
              <w:rPr/>
              <w:t>病</w:t>
              <w:tab/>
            </w:r>
            <w:r>
              <w:rPr>
                <w:rFonts w:ascii="Times New Roman" w:eastAsia="Times New Roman"/>
              </w:rPr>
              <w:t>19</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3">
            <w:r>
              <w:rPr/>
              <w:t>遗传</w:t>
            </w:r>
            <w:r>
              <w:rPr>
                <w:spacing w:val="-3"/>
              </w:rPr>
              <w:t>性</w:t>
            </w:r>
            <w:r>
              <w:rPr/>
              <w:t>疾病</w:t>
              <w:tab/>
            </w:r>
            <w:r>
              <w:rPr>
                <w:rFonts w:ascii="Times New Roman" w:eastAsia="Times New Roman"/>
              </w:rPr>
              <w:t>19</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2">
            <w:r>
              <w:rPr/>
              <w:t>先天</w:t>
            </w:r>
            <w:r>
              <w:rPr>
                <w:spacing w:val="-3"/>
              </w:rPr>
              <w:t>性</w:t>
            </w:r>
            <w:r>
              <w:rPr/>
              <w:t>畸</w:t>
            </w:r>
            <w:r>
              <w:rPr>
                <w:spacing w:val="-3"/>
              </w:rPr>
              <w:t>形</w:t>
            </w:r>
            <w:r>
              <w:rPr/>
              <w:t>、</w:t>
            </w:r>
            <w:r>
              <w:rPr>
                <w:spacing w:val="-3"/>
              </w:rPr>
              <w:t>变</w:t>
            </w:r>
            <w:r>
              <w:rPr/>
              <w:t>形或</w:t>
            </w:r>
            <w:r>
              <w:rPr>
                <w:spacing w:val="-3"/>
              </w:rPr>
              <w:t>染色</w:t>
            </w:r>
            <w:r>
              <w:rPr/>
              <w:t>体异常</w:t>
              <w:tab/>
            </w:r>
            <w:r>
              <w:rPr>
                <w:rFonts w:ascii="Times New Roman" w:eastAsia="Times New Roman"/>
              </w:rPr>
              <w:t>19</w:t>
            </w:r>
          </w:hyperlink>
        </w:p>
        <w:p>
          <w:pPr>
            <w:pStyle w:val="TOC1"/>
            <w:numPr>
              <w:ilvl w:val="1"/>
              <w:numId w:val="4"/>
            </w:numPr>
            <w:tabs>
              <w:tab w:pos="1377" w:val="left" w:leader="none"/>
              <w:tab w:pos="1378" w:val="left" w:leader="none"/>
              <w:tab w:pos="8419" w:val="right" w:leader="dot"/>
            </w:tabs>
            <w:spacing w:line="240" w:lineRule="auto" w:before="21" w:after="0"/>
            <w:ind w:left="1377" w:right="0" w:hanging="1260"/>
            <w:jc w:val="left"/>
            <w:rPr>
              <w:rFonts w:ascii="Times New Roman" w:eastAsia="Times New Roman"/>
            </w:rPr>
          </w:pPr>
          <w:hyperlink w:history="true" w:anchor="_TOC_250001">
            <w:r>
              <w:rPr/>
              <w:t>未满</w:t>
            </w:r>
            <w:r>
              <w:rPr>
                <w:spacing w:val="-3"/>
              </w:rPr>
              <w:t>期</w:t>
            </w:r>
            <w:r>
              <w:rPr/>
              <w:t>净保费</w:t>
              <w:tab/>
            </w:r>
            <w:r>
              <w:rPr>
                <w:rFonts w:ascii="Times New Roman" w:eastAsia="Times New Roman"/>
              </w:rPr>
              <w:t>19</w:t>
            </w:r>
          </w:hyperlink>
        </w:p>
        <w:p>
          <w:pPr>
            <w:pStyle w:val="TOC1"/>
            <w:tabs>
              <w:tab w:pos="1377" w:val="left" w:leader="none"/>
              <w:tab w:pos="8419" w:val="right" w:leader="dot"/>
            </w:tabs>
            <w:ind w:left="117" w:firstLine="0"/>
            <w:rPr>
              <w:rFonts w:ascii="Times New Roman" w:eastAsia="Times New Roman"/>
            </w:rPr>
          </w:pPr>
          <w:hyperlink w:history="true" w:anchor="_TOC_250000">
            <w:r>
              <w:rPr/>
              <w:t>12.18</w:t>
              <w:tab/>
              <w:t>周岁</w:t>
              <w:tab/>
            </w:r>
            <w:r>
              <w:rPr>
                <w:rFonts w:ascii="Times New Roman" w:eastAsia="Times New Roman"/>
              </w:rPr>
              <w:t>19</w:t>
            </w:r>
          </w:hyperlink>
        </w:p>
      </w:sdtContent>
    </w:sdt>
    <w:p>
      <w:pPr>
        <w:spacing w:after="0"/>
        <w:rPr>
          <w:rFonts w:ascii="Times New Roman" w:eastAsia="Times New Roman"/>
        </w:rPr>
        <w:sectPr>
          <w:type w:val="continuous"/>
          <w:pgSz w:w="11910" w:h="16840"/>
          <w:pgMar w:top="1380" w:bottom="1697" w:left="1680" w:right="1680"/>
        </w:sectPr>
      </w:pPr>
    </w:p>
    <w:p>
      <w:pPr>
        <w:spacing w:line="458" w:lineRule="exact" w:before="0"/>
        <w:ind w:left="1759" w:right="0" w:firstLine="0"/>
        <w:jc w:val="left"/>
        <w:rPr>
          <w:rFonts w:ascii="Microsoft JhengHei UI" w:eastAsia="Microsoft JhengHei UI" w:hint="eastAsia"/>
          <w:b/>
          <w:sz w:val="30"/>
        </w:rPr>
      </w:pPr>
      <w:r>
        <w:rPr>
          <w:rFonts w:ascii="Microsoft JhengHei UI" w:eastAsia="Microsoft JhengHei UI" w:hint="eastAsia"/>
          <w:b/>
          <w:w w:val="95"/>
          <w:sz w:val="30"/>
        </w:rPr>
        <w:t>中新大东方团体重大疾病保险(A1)条款</w:t>
      </w:r>
    </w:p>
    <w:p>
      <w:pPr>
        <w:pStyle w:val="BodyText"/>
        <w:spacing w:before="10"/>
        <w:rPr>
          <w:rFonts w:ascii="Microsoft JhengHei UI"/>
          <w:b/>
          <w:sz w:val="26"/>
        </w:rPr>
      </w:pPr>
    </w:p>
    <w:p>
      <w:pPr>
        <w:pStyle w:val="BodyText"/>
        <w:spacing w:line="307" w:lineRule="auto"/>
        <w:ind w:left="117" w:right="192" w:firstLine="480"/>
        <w:jc w:val="both"/>
      </w:pPr>
      <w:r>
        <w:rPr>
          <w:spacing w:val="-26"/>
        </w:rPr>
        <w:t>在本条款中，“您”指投保人，“我们”、“本公司”均指中新大东方人寿保险</w:t>
      </w:r>
      <w:r>
        <w:rPr>
          <w:spacing w:val="-12"/>
          <w:w w:val="95"/>
        </w:rPr>
        <w:t>有限公司。“中新大东方团体重大疾病保险</w:t>
      </w:r>
      <w:r>
        <w:rPr>
          <w:w w:val="95"/>
        </w:rPr>
        <w:t>(A1)</w:t>
      </w:r>
      <w:r>
        <w:rPr>
          <w:spacing w:val="-3"/>
          <w:w w:val="95"/>
        </w:rPr>
        <w:t>合同”在以下条款中简称为“本  </w:t>
      </w:r>
      <w:r>
        <w:rPr>
          <w:spacing w:val="-3"/>
        </w:rPr>
        <w:t>合同”。</w:t>
      </w:r>
    </w:p>
    <w:p>
      <w:pPr>
        <w:pStyle w:val="BodyText"/>
        <w:spacing w:before="9"/>
        <w:rPr>
          <w:sz w:val="22"/>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2" w:id="1"/>
      <w:bookmarkEnd w:id="1"/>
      <w:r>
        <w:rPr/>
        <w:t>合同构成</w:t>
      </w:r>
    </w:p>
    <w:p>
      <w:pPr>
        <w:pStyle w:val="BodyText"/>
        <w:spacing w:before="7"/>
        <w:rPr>
          <w:rFonts w:ascii="Microsoft JhengHei UI"/>
          <w:b/>
          <w:sz w:val="23"/>
        </w:rPr>
      </w:pPr>
    </w:p>
    <w:p>
      <w:pPr>
        <w:pStyle w:val="BodyText"/>
        <w:spacing w:line="307" w:lineRule="auto" w:before="1"/>
        <w:ind w:left="117" w:right="105" w:firstLine="480"/>
      </w:pPr>
      <w:r>
        <w:rPr/>
        <w:t>本合同由保险单或其他保险凭证及本保险条款、投保单、与本合同有关的投保文件、合法有效的声明、批注、附贴批单、附加险合同及其他书面协议构成。</w:t>
      </w:r>
    </w:p>
    <w:p>
      <w:pPr>
        <w:pStyle w:val="BodyText"/>
        <w:spacing w:before="12"/>
        <w:rPr>
          <w:sz w:val="22"/>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1" w:id="2"/>
      <w:bookmarkEnd w:id="2"/>
      <w:r>
        <w:rPr/>
        <w:t>投保范围</w:t>
      </w:r>
    </w:p>
    <w:p>
      <w:pPr>
        <w:pStyle w:val="BodyText"/>
        <w:rPr>
          <w:rFonts w:ascii="Microsoft JhengHei UI"/>
          <w:b/>
          <w:sz w:val="19"/>
        </w:rPr>
      </w:pPr>
    </w:p>
    <w:p>
      <w:pPr>
        <w:pStyle w:val="BodyText"/>
        <w:spacing w:line="273" w:lineRule="auto"/>
        <w:ind w:left="117" w:right="122" w:firstLine="480"/>
      </w:pPr>
      <w:r>
        <w:rPr>
          <w:w w:val="95"/>
        </w:rPr>
        <w:t>凡机关、</w:t>
      </w:r>
      <w:r>
        <w:rPr>
          <w:rFonts w:ascii="Microsoft JhengHei UI" w:eastAsia="Microsoft JhengHei UI" w:hint="eastAsia"/>
          <w:b/>
          <w:w w:val="95"/>
          <w:sz w:val="25"/>
        </w:rPr>
        <w:t>团体</w:t>
      </w:r>
      <w:r>
        <w:rPr>
          <w:w w:val="95"/>
        </w:rPr>
        <w:t>（见释义 12.1）、企事业单位，均可作为投保人为其在职、在</w:t>
      </w:r>
      <w:r>
        <w:rPr/>
        <w:t>编人员向本公司投保本保险，被保险人人数应占其单位在职、在编人员人数的</w:t>
      </w:r>
    </w:p>
    <w:p>
      <w:pPr>
        <w:pStyle w:val="BodyText"/>
        <w:spacing w:before="53"/>
        <w:ind w:left="117"/>
      </w:pPr>
      <w:r>
        <w:rPr/>
        <w:t>75%以上且不少于 5 人。投保时须经被保险人同意。</w:t>
      </w:r>
    </w:p>
    <w:p>
      <w:pPr>
        <w:pStyle w:val="BodyText"/>
        <w:spacing w:line="307" w:lineRule="auto" w:before="84"/>
        <w:ind w:left="117" w:right="112" w:firstLine="480"/>
      </w:pPr>
      <w:r>
        <w:rPr/>
        <w:t>凡身体健康、能正常工作或正常劳动的投保单位在职、在编人员，均可作为本保险的被保险人。</w:t>
      </w:r>
    </w:p>
    <w:p>
      <w:pPr>
        <w:pStyle w:val="BodyText"/>
        <w:spacing w:line="304" w:lineRule="auto" w:before="19"/>
        <w:ind w:left="117" w:right="112" w:firstLine="480"/>
      </w:pPr>
      <w:r>
        <w:rPr/>
        <w:t>经本公司审核同意，所属被保险人的配偶、子女、父母，也可作为本合同被保险人参加本保险。</w:t>
      </w:r>
    </w:p>
    <w:p>
      <w:pPr>
        <w:pStyle w:val="BodyText"/>
        <w:spacing w:before="1"/>
        <w:rPr>
          <w:sz w:val="23"/>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70" w:id="3"/>
      <w:bookmarkEnd w:id="3"/>
      <w:r>
        <w:rPr/>
        <w:t>合同成立与生效</w:t>
      </w:r>
    </w:p>
    <w:p>
      <w:pPr>
        <w:pStyle w:val="BodyText"/>
        <w:spacing w:before="7"/>
        <w:rPr>
          <w:rFonts w:ascii="Microsoft JhengHei UI"/>
          <w:b/>
          <w:sz w:val="23"/>
        </w:rPr>
      </w:pPr>
    </w:p>
    <w:p>
      <w:pPr>
        <w:pStyle w:val="BodyText"/>
        <w:spacing w:line="307" w:lineRule="auto"/>
        <w:ind w:left="597" w:right="2745"/>
      </w:pPr>
      <w:r>
        <w:rPr/>
        <w:t>您提出保险申请、本公司同意承保，本合同成立。本合同的生效日以保险单所载的日期为准。</w:t>
      </w:r>
    </w:p>
    <w:p>
      <w:pPr>
        <w:pStyle w:val="BodyText"/>
        <w:spacing w:before="9"/>
        <w:rPr>
          <w:sz w:val="22"/>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69" w:id="4"/>
      <w:bookmarkEnd w:id="4"/>
      <w:r>
        <w:rPr/>
        <w:t>保险责任</w:t>
      </w:r>
    </w:p>
    <w:p>
      <w:pPr>
        <w:pStyle w:val="BodyText"/>
        <w:spacing w:before="9"/>
        <w:rPr>
          <w:rFonts w:ascii="Microsoft JhengHei UI"/>
          <w:b/>
          <w:sz w:val="20"/>
        </w:rPr>
      </w:pPr>
    </w:p>
    <w:p>
      <w:pPr>
        <w:pStyle w:val="Heading1"/>
        <w:numPr>
          <w:ilvl w:val="1"/>
          <w:numId w:val="5"/>
        </w:numPr>
        <w:tabs>
          <w:tab w:pos="1223" w:val="left" w:leader="none"/>
          <w:tab w:pos="1224" w:val="left" w:leader="none"/>
        </w:tabs>
        <w:spacing w:line="240" w:lineRule="auto" w:before="1" w:after="0"/>
        <w:ind w:left="1224" w:right="0" w:hanging="567"/>
        <w:jc w:val="left"/>
      </w:pPr>
      <w:bookmarkStart w:name="_TOC_250068" w:id="5"/>
      <w:bookmarkEnd w:id="5"/>
      <w:r>
        <w:rPr/>
        <w:t>保险期间</w:t>
      </w:r>
    </w:p>
    <w:p>
      <w:pPr>
        <w:pStyle w:val="BodyText"/>
        <w:spacing w:before="6"/>
        <w:rPr>
          <w:rFonts w:ascii="Microsoft JhengHei UI"/>
          <w:b/>
          <w:sz w:val="23"/>
        </w:rPr>
      </w:pPr>
    </w:p>
    <w:p>
      <w:pPr>
        <w:pStyle w:val="BodyText"/>
        <w:ind w:left="597"/>
      </w:pPr>
      <w:r>
        <w:rPr/>
        <w:t>本合同的保险期间为一年，该保险期间的起止时间于保险单上载明。</w:t>
      </w:r>
    </w:p>
    <w:p>
      <w:pPr>
        <w:pStyle w:val="BodyText"/>
        <w:spacing w:before="1"/>
        <w:rPr>
          <w:sz w:val="28"/>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67" w:id="6"/>
      <w:bookmarkEnd w:id="6"/>
      <w:r>
        <w:rPr/>
        <w:t>保险金额</w:t>
      </w:r>
    </w:p>
    <w:p>
      <w:pPr>
        <w:pStyle w:val="BodyText"/>
        <w:spacing w:before="8"/>
        <w:rPr>
          <w:rFonts w:ascii="Microsoft JhengHei UI"/>
          <w:b/>
          <w:sz w:val="23"/>
        </w:rPr>
      </w:pPr>
    </w:p>
    <w:p>
      <w:pPr>
        <w:pStyle w:val="BodyText"/>
        <w:spacing w:line="307" w:lineRule="auto"/>
        <w:ind w:left="117" w:right="194" w:firstLine="480"/>
      </w:pPr>
      <w:r>
        <w:rPr>
          <w:spacing w:val="-4"/>
        </w:rPr>
        <w:t>本合同的保险金额由您在投保时与我们约定并在保险单上载明。如该金额有所变更，则以变更后的金额为准。</w:t>
      </w:r>
    </w:p>
    <w:p>
      <w:pPr>
        <w:spacing w:after="0" w:line="307" w:lineRule="auto"/>
        <w:sectPr>
          <w:pgSz w:w="11910" w:h="16840"/>
          <w:pgMar w:header="0" w:footer="1045" w:top="1360" w:bottom="1240" w:left="1680" w:right="1600"/>
        </w:sectPr>
      </w:pPr>
    </w:p>
    <w:p>
      <w:pPr>
        <w:pStyle w:val="Heading1"/>
        <w:numPr>
          <w:ilvl w:val="1"/>
          <w:numId w:val="5"/>
        </w:numPr>
        <w:tabs>
          <w:tab w:pos="1223" w:val="left" w:leader="none"/>
          <w:tab w:pos="1224" w:val="left" w:leader="none"/>
        </w:tabs>
        <w:spacing w:line="380" w:lineRule="exact" w:before="0" w:after="0"/>
        <w:ind w:left="1224" w:right="0" w:hanging="567"/>
        <w:jc w:val="left"/>
      </w:pPr>
      <w:bookmarkStart w:name="_TOC_250066" w:id="7"/>
      <w:bookmarkEnd w:id="7"/>
      <w:r>
        <w:rPr/>
        <w:t>我们承担的保险责任</w:t>
      </w:r>
    </w:p>
    <w:p>
      <w:pPr>
        <w:pStyle w:val="BodyText"/>
        <w:spacing w:before="8"/>
        <w:rPr>
          <w:rFonts w:ascii="Microsoft JhengHei UI"/>
          <w:b/>
          <w:sz w:val="23"/>
        </w:rPr>
      </w:pPr>
    </w:p>
    <w:p>
      <w:pPr>
        <w:pStyle w:val="BodyText"/>
        <w:spacing w:line="297" w:lineRule="auto"/>
        <w:ind w:left="117" w:right="112" w:firstLine="600"/>
        <w:jc w:val="both"/>
      </w:pPr>
      <w:r>
        <w:rPr/>
        <w:t>自本合同生效之日起约定天数（该约定天数为等待期）后或续保合同生效</w:t>
      </w:r>
      <w:r>
        <w:rPr>
          <w:w w:val="95"/>
        </w:rPr>
        <w:t>之日起被保险人在</w:t>
      </w:r>
      <w:r>
        <w:rPr>
          <w:rFonts w:ascii="黑体" w:eastAsia="黑体" w:hint="eastAsia"/>
          <w:b/>
          <w:i/>
          <w:spacing w:val="-5"/>
          <w:w w:val="95"/>
          <w:sz w:val="25"/>
        </w:rPr>
        <w:t>医院</w:t>
      </w:r>
      <w:r>
        <w:rPr>
          <w:w w:val="95"/>
        </w:rPr>
        <w:t>（</w:t>
      </w:r>
      <w:r>
        <w:rPr>
          <w:spacing w:val="3"/>
          <w:w w:val="95"/>
        </w:rPr>
        <w:t>见释义 </w:t>
      </w:r>
      <w:r>
        <w:rPr>
          <w:w w:val="95"/>
        </w:rPr>
        <w:t>12.2）被</w:t>
      </w:r>
      <w:r>
        <w:rPr>
          <w:rFonts w:ascii="黑体" w:eastAsia="黑体" w:hint="eastAsia"/>
          <w:b/>
          <w:i/>
          <w:w w:val="95"/>
          <w:sz w:val="25"/>
        </w:rPr>
        <w:t>专科医</w:t>
      </w:r>
      <w:r>
        <w:rPr>
          <w:rFonts w:ascii="黑体" w:eastAsia="黑体" w:hint="eastAsia"/>
          <w:b/>
          <w:i/>
          <w:spacing w:val="-3"/>
          <w:w w:val="95"/>
          <w:sz w:val="25"/>
        </w:rPr>
        <w:t>Th</w:t>
      </w:r>
      <w:r>
        <w:rPr>
          <w:spacing w:val="-3"/>
          <w:w w:val="95"/>
        </w:rPr>
        <w:t>（</w:t>
      </w:r>
      <w:r>
        <w:rPr>
          <w:spacing w:val="3"/>
          <w:w w:val="95"/>
        </w:rPr>
        <w:t>见释义 </w:t>
      </w:r>
      <w:r>
        <w:rPr>
          <w:w w:val="95"/>
        </w:rPr>
        <w:t>12.3）</w:t>
      </w:r>
      <w:r>
        <w:rPr>
          <w:spacing w:val="-2"/>
          <w:w w:val="95"/>
        </w:rPr>
        <w:t>确诊初次患本</w:t>
      </w:r>
      <w:r>
        <w:rPr>
          <w:spacing w:val="-2"/>
        </w:rPr>
        <w:t>合同所指</w:t>
      </w:r>
      <w:r>
        <w:rPr>
          <w:rFonts w:ascii="黑体" w:eastAsia="黑体" w:hint="eastAsia"/>
          <w:b/>
          <w:i/>
          <w:w w:val="95"/>
          <w:sz w:val="25"/>
        </w:rPr>
        <w:t>重大疾病</w:t>
      </w:r>
      <w:r>
        <w:rPr/>
        <w:t>（</w:t>
      </w:r>
      <w:r>
        <w:rPr>
          <w:spacing w:val="-3"/>
        </w:rPr>
        <w:t>见释义 </w:t>
      </w:r>
      <w:r>
        <w:rPr>
          <w:w w:val="81"/>
        </w:rPr>
        <w:t>12.4</w:t>
      </w:r>
      <w:r>
        <w:rPr/>
        <w:t>）（无论一种或多种</w:t>
      </w:r>
      <w:r>
        <w:rPr>
          <w:spacing w:val="-120"/>
        </w:rPr>
        <w:t>）</w:t>
      </w:r>
      <w:r>
        <w:rPr/>
        <w:t>，我们按保险合同所约定的保险金额给付重大疾病保险金，对该被保险人的保险责任终止。</w:t>
      </w:r>
    </w:p>
    <w:p>
      <w:pPr>
        <w:pStyle w:val="BodyText"/>
        <w:spacing w:line="304" w:lineRule="auto" w:before="28"/>
        <w:ind w:left="117" w:right="112" w:firstLine="600"/>
        <w:jc w:val="both"/>
      </w:pPr>
      <w:r>
        <w:rPr/>
        <w:t>被保险人于本合同生效之日起约定天数内（续保除外）被确诊患本合同所</w:t>
      </w:r>
      <w:r>
        <w:rPr>
          <w:spacing w:val="-9"/>
        </w:rPr>
        <w:t>附重大疾病，本公司向您无息返还本合同项下该被保险人名下的保险费，对该被保险人的保险责任终止。</w:t>
      </w:r>
    </w:p>
    <w:p>
      <w:pPr>
        <w:pStyle w:val="BodyText"/>
        <w:spacing w:before="1"/>
        <w:rPr>
          <w:sz w:val="23"/>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65" w:id="8"/>
      <w:bookmarkEnd w:id="8"/>
      <w:r>
        <w:rPr/>
        <w:t>责任免除</w:t>
      </w:r>
    </w:p>
    <w:p>
      <w:pPr>
        <w:pStyle w:val="BodyText"/>
        <w:spacing w:before="8"/>
        <w:rPr>
          <w:rFonts w:ascii="Microsoft JhengHei UI"/>
          <w:b/>
          <w:sz w:val="23"/>
        </w:rPr>
      </w:pPr>
    </w:p>
    <w:p>
      <w:pPr>
        <w:pStyle w:val="BodyText"/>
        <w:spacing w:line="304" w:lineRule="auto"/>
        <w:ind w:left="117" w:right="114" w:firstLine="480"/>
        <w:rPr>
          <w:rFonts w:ascii="黑体" w:eastAsia="黑体" w:hint="eastAsia"/>
        </w:rPr>
      </w:pPr>
      <w:r>
        <w:rPr>
          <w:rFonts w:ascii="黑体" w:eastAsia="黑体" w:hint="eastAsia"/>
        </w:rPr>
        <w:t>因下列情形之一导致被保险人发Th</w:t>
      </w:r>
      <w:r>
        <w:rPr>
          <w:rFonts w:ascii="黑体" w:eastAsia="黑体" w:hint="eastAsia"/>
          <w:spacing w:val="-6"/>
        </w:rPr>
        <w:t>本合同所指的重大疾病或进行手术的，我们不承担保险金给付责任：</w:t>
      </w:r>
    </w:p>
    <w:p>
      <w:pPr>
        <w:pStyle w:val="ListParagraph"/>
        <w:numPr>
          <w:ilvl w:val="0"/>
          <w:numId w:val="6"/>
        </w:numPr>
        <w:tabs>
          <w:tab w:pos="1251" w:val="left" w:leader="none"/>
        </w:tabs>
        <w:spacing w:line="240" w:lineRule="auto" w:before="21" w:after="0"/>
        <w:ind w:left="1250" w:right="0" w:hanging="713"/>
        <w:jc w:val="left"/>
        <w:rPr>
          <w:rFonts w:ascii="黑体" w:eastAsia="黑体" w:hint="eastAsia"/>
          <w:sz w:val="24"/>
        </w:rPr>
      </w:pPr>
      <w:r>
        <w:rPr>
          <w:rFonts w:ascii="黑体" w:eastAsia="黑体" w:hint="eastAsia"/>
          <w:sz w:val="24"/>
        </w:rPr>
        <w:t>投保人对被保险人的故意杀害、故意伤害；</w:t>
      </w:r>
    </w:p>
    <w:p>
      <w:pPr>
        <w:pStyle w:val="ListParagraph"/>
        <w:numPr>
          <w:ilvl w:val="0"/>
          <w:numId w:val="6"/>
        </w:numPr>
        <w:tabs>
          <w:tab w:pos="1251" w:val="left" w:leader="none"/>
        </w:tabs>
        <w:spacing w:line="240" w:lineRule="auto" w:before="86" w:after="0"/>
        <w:ind w:left="1250" w:right="0" w:hanging="713"/>
        <w:jc w:val="left"/>
        <w:rPr>
          <w:rFonts w:ascii="黑体" w:eastAsia="黑体" w:hint="eastAsia"/>
          <w:sz w:val="24"/>
        </w:rPr>
      </w:pPr>
      <w:r>
        <w:rPr>
          <w:rFonts w:ascii="黑体" w:eastAsia="黑体" w:hint="eastAsia"/>
          <w:sz w:val="24"/>
        </w:rPr>
        <w:t>被保险人故意自伤、故意犯罪或抗拒依法采取的刑事强制措施；</w:t>
      </w:r>
    </w:p>
    <w:p>
      <w:pPr>
        <w:pStyle w:val="ListParagraph"/>
        <w:numPr>
          <w:ilvl w:val="0"/>
          <w:numId w:val="6"/>
        </w:numPr>
        <w:tabs>
          <w:tab w:pos="1251" w:val="left" w:leader="none"/>
        </w:tabs>
        <w:spacing w:line="240" w:lineRule="auto" w:before="72" w:after="0"/>
        <w:ind w:left="1250" w:right="0" w:hanging="713"/>
        <w:jc w:val="left"/>
        <w:rPr>
          <w:rFonts w:ascii="黑体" w:eastAsia="黑体" w:hint="eastAsia"/>
          <w:sz w:val="24"/>
        </w:rPr>
      </w:pPr>
      <w:r>
        <w:rPr>
          <w:rFonts w:ascii="黑体" w:eastAsia="黑体" w:hint="eastAsia"/>
          <w:w w:val="95"/>
          <w:sz w:val="24"/>
        </w:rPr>
        <w:t>被保险人服用、吸食或注射</w:t>
      </w:r>
      <w:r>
        <w:rPr>
          <w:rFonts w:ascii="黑体" w:eastAsia="黑体" w:hint="eastAsia"/>
          <w:b/>
          <w:i/>
          <w:w w:val="95"/>
          <w:sz w:val="25"/>
        </w:rPr>
        <w:t>毒品</w:t>
      </w:r>
      <w:r>
        <w:rPr>
          <w:rFonts w:ascii="黑体" w:eastAsia="黑体" w:hint="eastAsia"/>
          <w:w w:val="95"/>
          <w:sz w:val="24"/>
        </w:rPr>
        <w:t>(见释义12.9)；</w:t>
      </w:r>
    </w:p>
    <w:p>
      <w:pPr>
        <w:pStyle w:val="ListParagraph"/>
        <w:numPr>
          <w:ilvl w:val="0"/>
          <w:numId w:val="6"/>
        </w:numPr>
        <w:tabs>
          <w:tab w:pos="1251" w:val="left" w:leader="none"/>
        </w:tabs>
        <w:spacing w:line="240" w:lineRule="auto" w:before="73" w:after="0"/>
        <w:ind w:left="1250" w:right="0" w:hanging="713"/>
        <w:jc w:val="left"/>
        <w:rPr>
          <w:rFonts w:ascii="黑体" w:eastAsia="黑体" w:hint="eastAsia"/>
          <w:sz w:val="24"/>
        </w:rPr>
      </w:pPr>
      <w:r>
        <w:rPr>
          <w:rFonts w:ascii="黑体" w:eastAsia="黑体" w:hint="eastAsia"/>
          <w:w w:val="95"/>
          <w:sz w:val="24"/>
        </w:rPr>
        <w:t>被保险人</w:t>
      </w:r>
      <w:r>
        <w:rPr>
          <w:rFonts w:ascii="黑体" w:eastAsia="黑体" w:hint="eastAsia"/>
          <w:b/>
          <w:i/>
          <w:w w:val="95"/>
          <w:sz w:val="25"/>
        </w:rPr>
        <w:t>酒后驾驶</w:t>
      </w:r>
      <w:r>
        <w:rPr>
          <w:rFonts w:ascii="黑体" w:eastAsia="黑体" w:hint="eastAsia"/>
          <w:spacing w:val="-1"/>
          <w:w w:val="95"/>
          <w:sz w:val="24"/>
        </w:rPr>
        <w:t>(见释义</w:t>
      </w:r>
      <w:r>
        <w:rPr>
          <w:rFonts w:ascii="黑体" w:eastAsia="黑体" w:hint="eastAsia"/>
          <w:w w:val="95"/>
          <w:sz w:val="24"/>
        </w:rPr>
        <w:t>12.10)、</w:t>
      </w:r>
      <w:r>
        <w:rPr>
          <w:rFonts w:ascii="黑体" w:eastAsia="黑体" w:hint="eastAsia"/>
          <w:b/>
          <w:i/>
          <w:w w:val="95"/>
          <w:sz w:val="25"/>
        </w:rPr>
        <w:t>无合法有效驾驶证驾驶</w:t>
      </w:r>
      <w:r>
        <w:rPr>
          <w:rFonts w:ascii="黑体" w:eastAsia="黑体" w:hint="eastAsia"/>
          <w:w w:val="95"/>
          <w:sz w:val="24"/>
        </w:rPr>
        <w:t>(见释义</w:t>
      </w:r>
    </w:p>
    <w:p>
      <w:pPr>
        <w:spacing w:before="73"/>
        <w:ind w:left="1250" w:right="0" w:firstLine="0"/>
        <w:jc w:val="left"/>
        <w:rPr>
          <w:rFonts w:ascii="黑体" w:eastAsia="黑体" w:hint="eastAsia"/>
          <w:sz w:val="24"/>
        </w:rPr>
      </w:pPr>
      <w:r>
        <w:rPr>
          <w:rFonts w:ascii="黑体" w:eastAsia="黑体" w:hint="eastAsia"/>
          <w:w w:val="95"/>
          <w:sz w:val="24"/>
        </w:rPr>
        <w:t>12.11)，及驾驶</w:t>
      </w:r>
      <w:r>
        <w:rPr>
          <w:rFonts w:ascii="黑体" w:eastAsia="黑体" w:hint="eastAsia"/>
          <w:b/>
          <w:i/>
          <w:w w:val="95"/>
          <w:sz w:val="25"/>
        </w:rPr>
        <w:t>无有效行驶证</w:t>
      </w:r>
      <w:r>
        <w:rPr>
          <w:rFonts w:ascii="黑体" w:eastAsia="黑体" w:hint="eastAsia"/>
          <w:w w:val="95"/>
          <w:sz w:val="24"/>
        </w:rPr>
        <w:t>(见释义12.12)的</w:t>
      </w:r>
      <w:r>
        <w:rPr>
          <w:rFonts w:ascii="黑体" w:eastAsia="黑体" w:hint="eastAsia"/>
          <w:b/>
          <w:i/>
          <w:w w:val="95"/>
          <w:sz w:val="25"/>
        </w:rPr>
        <w:t>机动车</w:t>
      </w:r>
      <w:r>
        <w:rPr>
          <w:rFonts w:ascii="黑体" w:eastAsia="黑体" w:hint="eastAsia"/>
          <w:w w:val="95"/>
          <w:sz w:val="24"/>
        </w:rPr>
        <w:t>(见释义</w:t>
      </w:r>
    </w:p>
    <w:p>
      <w:pPr>
        <w:pStyle w:val="BodyText"/>
        <w:spacing w:before="82"/>
        <w:ind w:left="1250"/>
        <w:rPr>
          <w:rFonts w:ascii="黑体" w:eastAsia="黑体" w:hint="eastAsia"/>
        </w:rPr>
      </w:pPr>
      <w:r>
        <w:rPr>
          <w:rFonts w:ascii="黑体" w:eastAsia="黑体" w:hint="eastAsia"/>
        </w:rPr>
        <w:t>12.13)；</w:t>
      </w:r>
    </w:p>
    <w:p>
      <w:pPr>
        <w:pStyle w:val="ListParagraph"/>
        <w:numPr>
          <w:ilvl w:val="0"/>
          <w:numId w:val="6"/>
        </w:numPr>
        <w:tabs>
          <w:tab w:pos="1251" w:val="left" w:leader="none"/>
        </w:tabs>
        <w:spacing w:line="240" w:lineRule="auto" w:before="74" w:after="0"/>
        <w:ind w:left="1250" w:right="0" w:hanging="713"/>
        <w:jc w:val="left"/>
        <w:rPr>
          <w:rFonts w:ascii="黑体" w:eastAsia="黑体" w:hint="eastAsia"/>
          <w:sz w:val="24"/>
        </w:rPr>
      </w:pPr>
      <w:r>
        <w:rPr>
          <w:rFonts w:ascii="黑体" w:eastAsia="黑体" w:hint="eastAsia"/>
          <w:w w:val="95"/>
          <w:sz w:val="24"/>
        </w:rPr>
        <w:t>被保险人</w:t>
      </w:r>
      <w:r>
        <w:rPr>
          <w:rFonts w:ascii="黑体" w:eastAsia="黑体" w:hint="eastAsia"/>
          <w:b/>
          <w:i/>
          <w:w w:val="95"/>
          <w:sz w:val="25"/>
        </w:rPr>
        <w:t>感染艾滋病病毒或患艾滋病</w:t>
      </w:r>
      <w:r>
        <w:rPr>
          <w:rFonts w:ascii="黑体" w:eastAsia="黑体" w:hint="eastAsia"/>
          <w:w w:val="95"/>
          <w:sz w:val="24"/>
        </w:rPr>
        <w:t>(见释义12.14)；</w:t>
      </w:r>
    </w:p>
    <w:p>
      <w:pPr>
        <w:pStyle w:val="ListParagraph"/>
        <w:numPr>
          <w:ilvl w:val="0"/>
          <w:numId w:val="6"/>
        </w:numPr>
        <w:tabs>
          <w:tab w:pos="1251" w:val="left" w:leader="none"/>
        </w:tabs>
        <w:spacing w:line="240" w:lineRule="auto" w:before="84" w:after="0"/>
        <w:ind w:left="1250" w:right="0" w:hanging="713"/>
        <w:jc w:val="left"/>
        <w:rPr>
          <w:rFonts w:ascii="黑体" w:eastAsia="黑体" w:hint="eastAsia"/>
          <w:sz w:val="24"/>
        </w:rPr>
      </w:pPr>
      <w:r>
        <w:rPr>
          <w:rFonts w:ascii="黑体" w:eastAsia="黑体" w:hint="eastAsia"/>
          <w:sz w:val="24"/>
        </w:rPr>
        <w:t>战争、军事冲突、暴乱或武装叛乱；</w:t>
      </w:r>
    </w:p>
    <w:p>
      <w:pPr>
        <w:pStyle w:val="ListParagraph"/>
        <w:numPr>
          <w:ilvl w:val="0"/>
          <w:numId w:val="6"/>
        </w:numPr>
        <w:tabs>
          <w:tab w:pos="1251" w:val="left" w:leader="none"/>
        </w:tabs>
        <w:spacing w:line="240" w:lineRule="auto" w:before="83" w:after="0"/>
        <w:ind w:left="1250" w:right="0" w:hanging="713"/>
        <w:jc w:val="left"/>
        <w:rPr>
          <w:rFonts w:ascii="黑体" w:eastAsia="黑体" w:hint="eastAsia"/>
          <w:sz w:val="24"/>
        </w:rPr>
      </w:pPr>
      <w:r>
        <w:rPr>
          <w:rFonts w:ascii="黑体" w:eastAsia="黑体" w:hint="eastAsia"/>
          <w:sz w:val="24"/>
        </w:rPr>
        <w:t>核爆炸、核辐射或核污染；</w:t>
      </w:r>
    </w:p>
    <w:p>
      <w:pPr>
        <w:spacing w:before="74"/>
        <w:ind w:left="1250" w:right="0" w:firstLine="0"/>
        <w:jc w:val="left"/>
        <w:rPr>
          <w:rFonts w:ascii="黑体" w:eastAsia="黑体" w:hint="eastAsia"/>
          <w:sz w:val="24"/>
        </w:rPr>
      </w:pPr>
      <w:r>
        <w:rPr>
          <w:rFonts w:ascii="黑体" w:eastAsia="黑体" w:hint="eastAsia"/>
          <w:b/>
          <w:i/>
          <w:w w:val="95"/>
          <w:sz w:val="25"/>
        </w:rPr>
        <w:t>遗传性疾病</w:t>
      </w:r>
      <w:r>
        <w:rPr>
          <w:rFonts w:ascii="黑体" w:eastAsia="黑体" w:hint="eastAsia"/>
          <w:spacing w:val="0"/>
          <w:w w:val="95"/>
          <w:sz w:val="24"/>
        </w:rPr>
        <w:t>(见释义  </w:t>
      </w:r>
      <w:r>
        <w:rPr>
          <w:rFonts w:ascii="黑体" w:eastAsia="黑体" w:hint="eastAsia"/>
          <w:w w:val="95"/>
          <w:sz w:val="24"/>
        </w:rPr>
        <w:t>12.15)</w:t>
      </w:r>
      <w:r>
        <w:rPr>
          <w:rFonts w:ascii="黑体" w:eastAsia="黑体" w:hint="eastAsia"/>
          <w:spacing w:val="-51"/>
          <w:w w:val="95"/>
          <w:sz w:val="24"/>
        </w:rPr>
        <w:t>、</w:t>
      </w:r>
      <w:r>
        <w:rPr>
          <w:rFonts w:ascii="黑体" w:eastAsia="黑体" w:hint="eastAsia"/>
          <w:b/>
          <w:i/>
          <w:spacing w:val="-7"/>
          <w:w w:val="95"/>
          <w:sz w:val="25"/>
        </w:rPr>
        <w:t>先天性畸形、变形或染色体异常</w:t>
      </w:r>
      <w:r>
        <w:rPr>
          <w:rFonts w:ascii="黑体" w:eastAsia="黑体" w:hint="eastAsia"/>
          <w:spacing w:val="-1"/>
          <w:w w:val="95"/>
          <w:sz w:val="24"/>
        </w:rPr>
        <w:t>(见释义</w:t>
      </w:r>
    </w:p>
    <w:p>
      <w:pPr>
        <w:pStyle w:val="BodyText"/>
        <w:spacing w:before="85"/>
        <w:ind w:left="1250"/>
        <w:rPr>
          <w:rFonts w:ascii="黑体" w:eastAsia="黑体" w:hint="eastAsia"/>
        </w:rPr>
      </w:pPr>
      <w:r>
        <w:rPr>
          <w:rFonts w:ascii="黑体" w:eastAsia="黑体" w:hint="eastAsia"/>
        </w:rPr>
        <w:t>12.16)。</w:t>
      </w:r>
    </w:p>
    <w:p>
      <w:pPr>
        <w:pStyle w:val="BodyText"/>
        <w:spacing w:before="11"/>
        <w:rPr>
          <w:rFonts w:ascii="黑体"/>
          <w:sz w:val="27"/>
        </w:rPr>
      </w:pPr>
    </w:p>
    <w:p>
      <w:pPr>
        <w:pStyle w:val="Heading1"/>
        <w:numPr>
          <w:ilvl w:val="0"/>
          <w:numId w:val="5"/>
        </w:numPr>
        <w:tabs>
          <w:tab w:pos="542" w:val="left" w:leader="none"/>
          <w:tab w:pos="543" w:val="left" w:leader="none"/>
        </w:tabs>
        <w:spacing w:line="240" w:lineRule="auto" w:before="1" w:after="0"/>
        <w:ind w:left="542" w:right="0" w:hanging="425"/>
        <w:jc w:val="left"/>
      </w:pPr>
      <w:bookmarkStart w:name="_TOC_250064" w:id="9"/>
      <w:bookmarkEnd w:id="9"/>
      <w:r>
        <w:rPr/>
        <w:t>保险费</w:t>
      </w:r>
    </w:p>
    <w:p>
      <w:pPr>
        <w:pStyle w:val="BodyText"/>
        <w:spacing w:before="8"/>
        <w:rPr>
          <w:rFonts w:ascii="Microsoft JhengHei UI"/>
          <w:b/>
          <w:sz w:val="23"/>
        </w:rPr>
      </w:pPr>
    </w:p>
    <w:p>
      <w:pPr>
        <w:pStyle w:val="BodyText"/>
        <w:spacing w:line="307" w:lineRule="auto"/>
        <w:ind w:left="117" w:right="114" w:firstLine="480"/>
      </w:pPr>
      <w:r>
        <w:rPr>
          <w:spacing w:val="-5"/>
        </w:rPr>
        <w:t>本合同保险费依据保险金额与保险费率计收，您应当按照本合同约定一次性交纳保险费。经我们审核后同意可续保时，我们有权调整保险费率。</w:t>
      </w:r>
    </w:p>
    <w:p>
      <w:pPr>
        <w:pStyle w:val="BodyText"/>
        <w:spacing w:before="12"/>
        <w:rPr>
          <w:sz w:val="22"/>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63" w:id="10"/>
      <w:bookmarkEnd w:id="10"/>
      <w:r>
        <w:rPr/>
        <w:t>保险金的领取</w:t>
      </w:r>
    </w:p>
    <w:p>
      <w:pPr>
        <w:pStyle w:val="BodyText"/>
        <w:spacing w:before="7"/>
        <w:rPr>
          <w:rFonts w:ascii="Microsoft JhengHei UI"/>
          <w:b/>
          <w:sz w:val="20"/>
        </w:rPr>
      </w:pPr>
    </w:p>
    <w:p>
      <w:pPr>
        <w:pStyle w:val="Heading1"/>
        <w:numPr>
          <w:ilvl w:val="1"/>
          <w:numId w:val="5"/>
        </w:numPr>
        <w:tabs>
          <w:tab w:pos="1223" w:val="left" w:leader="none"/>
          <w:tab w:pos="1224" w:val="left" w:leader="none"/>
        </w:tabs>
        <w:spacing w:line="240" w:lineRule="auto" w:before="1" w:after="0"/>
        <w:ind w:left="1224" w:right="0" w:hanging="567"/>
        <w:jc w:val="left"/>
      </w:pPr>
      <w:bookmarkStart w:name="_TOC_250062" w:id="11"/>
      <w:bookmarkEnd w:id="11"/>
      <w:r>
        <w:rPr/>
        <w:t>受益人</w:t>
      </w:r>
    </w:p>
    <w:p>
      <w:pPr>
        <w:pStyle w:val="BodyText"/>
        <w:spacing w:before="8"/>
        <w:rPr>
          <w:rFonts w:ascii="Microsoft JhengHei UI"/>
          <w:b/>
          <w:sz w:val="23"/>
        </w:rPr>
      </w:pPr>
    </w:p>
    <w:p>
      <w:pPr>
        <w:pStyle w:val="BodyText"/>
        <w:ind w:left="597"/>
      </w:pPr>
      <w:r>
        <w:rPr/>
        <w:t>除另有约定外，本合同的重大疾病保险金受益人为被保险人本人。</w:t>
      </w:r>
    </w:p>
    <w:p>
      <w:pPr>
        <w:spacing w:after="0"/>
        <w:sectPr>
          <w:pgSz w:w="11910" w:h="16840"/>
          <w:pgMar w:header="0" w:footer="1045" w:top="1420" w:bottom="1240" w:left="1680" w:right="1680"/>
        </w:sectPr>
      </w:pPr>
    </w:p>
    <w:p>
      <w:pPr>
        <w:pStyle w:val="Heading1"/>
        <w:numPr>
          <w:ilvl w:val="1"/>
          <w:numId w:val="5"/>
        </w:numPr>
        <w:tabs>
          <w:tab w:pos="1223" w:val="left" w:leader="none"/>
          <w:tab w:pos="1224" w:val="left" w:leader="none"/>
        </w:tabs>
        <w:spacing w:line="380" w:lineRule="exact" w:before="0" w:after="0"/>
        <w:ind w:left="1224" w:right="0" w:hanging="567"/>
        <w:jc w:val="left"/>
      </w:pPr>
      <w:bookmarkStart w:name="_TOC_250061" w:id="12"/>
      <w:bookmarkEnd w:id="12"/>
      <w:r>
        <w:rPr/>
        <w:t>保险事故的通知</w:t>
      </w:r>
    </w:p>
    <w:p>
      <w:pPr>
        <w:pStyle w:val="BodyText"/>
        <w:spacing w:before="8"/>
        <w:rPr>
          <w:rFonts w:ascii="Microsoft JhengHei UI"/>
          <w:b/>
          <w:sz w:val="23"/>
        </w:rPr>
      </w:pPr>
    </w:p>
    <w:p>
      <w:pPr>
        <w:pStyle w:val="BodyText"/>
        <w:ind w:left="597"/>
      </w:pPr>
      <w:r>
        <w:rPr/>
        <w:t>您或受益人知道保险事故后应当在10 日内通知本公司。</w:t>
      </w:r>
    </w:p>
    <w:p>
      <w:pPr>
        <w:pStyle w:val="BodyText"/>
        <w:spacing w:line="304" w:lineRule="auto" w:before="86"/>
        <w:ind w:left="117" w:right="112" w:firstLine="480"/>
        <w:jc w:val="both"/>
      </w:pPr>
      <w:r>
        <w:rPr>
          <w:rFonts w:ascii="黑体" w:eastAsia="黑体" w:hint="eastAsia"/>
          <w:spacing w:val="-4"/>
        </w:rPr>
        <w:t>如果您或受益人故意或者因重大过失未及时通知，致使保险事故的性质、原</w:t>
      </w:r>
      <w:r>
        <w:rPr>
          <w:rFonts w:ascii="黑体" w:eastAsia="黑体" w:hint="eastAsia"/>
          <w:spacing w:val="-9"/>
        </w:rPr>
        <w:t>因、损失程度等难以确定的，本公司对无法确定的部分，不承担给付保险金的责任</w:t>
      </w:r>
      <w:r>
        <w:rPr>
          <w:spacing w:val="-10"/>
        </w:rPr>
        <w:t>，但本公司通过其他途径已经及时知道或者应当及时知道保险事故发生或者虽未及时通知但不影响本公司确定保险事故的性质、原因、损失程度的除外。</w:t>
      </w:r>
    </w:p>
    <w:p>
      <w:pPr>
        <w:pStyle w:val="BodyText"/>
        <w:spacing w:before="1"/>
        <w:rPr>
          <w:sz w:val="23"/>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60" w:id="13"/>
      <w:bookmarkEnd w:id="13"/>
      <w:r>
        <w:rPr/>
        <w:t>保险金的申请</w:t>
      </w:r>
    </w:p>
    <w:p>
      <w:pPr>
        <w:pStyle w:val="BodyText"/>
        <w:spacing w:before="5"/>
        <w:rPr>
          <w:rFonts w:ascii="Microsoft JhengHei UI"/>
          <w:b/>
          <w:sz w:val="23"/>
        </w:rPr>
      </w:pPr>
    </w:p>
    <w:p>
      <w:pPr>
        <w:pStyle w:val="BodyText"/>
        <w:spacing w:line="307" w:lineRule="auto"/>
        <w:ind w:left="117" w:right="32" w:firstLine="480"/>
      </w:pPr>
      <w:r>
        <w:rPr/>
        <w:t>由重大疾病保险金受益人作为申请人，填写理赔申请书，并凭下列证明和资料的原件向我们申请给付重大疾病保险金：</w:t>
      </w:r>
    </w:p>
    <w:p>
      <w:pPr>
        <w:pStyle w:val="ListParagraph"/>
        <w:numPr>
          <w:ilvl w:val="0"/>
          <w:numId w:val="7"/>
        </w:numPr>
        <w:tabs>
          <w:tab w:pos="1251" w:val="left" w:leader="none"/>
        </w:tabs>
        <w:spacing w:line="240" w:lineRule="auto" w:before="19" w:after="0"/>
        <w:ind w:left="1250" w:right="0" w:hanging="713"/>
        <w:jc w:val="left"/>
        <w:rPr>
          <w:sz w:val="24"/>
        </w:rPr>
      </w:pPr>
      <w:r>
        <w:rPr>
          <w:sz w:val="24"/>
        </w:rPr>
        <w:t>保险合同；</w:t>
      </w:r>
    </w:p>
    <w:p>
      <w:pPr>
        <w:pStyle w:val="ListParagraph"/>
        <w:numPr>
          <w:ilvl w:val="0"/>
          <w:numId w:val="7"/>
        </w:numPr>
        <w:tabs>
          <w:tab w:pos="1251" w:val="left" w:leader="none"/>
        </w:tabs>
        <w:spacing w:line="240" w:lineRule="auto" w:before="84" w:after="0"/>
        <w:ind w:left="1250" w:right="0" w:hanging="713"/>
        <w:jc w:val="left"/>
        <w:rPr>
          <w:sz w:val="24"/>
        </w:rPr>
      </w:pPr>
      <w:r>
        <w:rPr>
          <w:sz w:val="24"/>
        </w:rPr>
        <w:t>受益人户籍证明或其他身份证明；</w:t>
      </w:r>
    </w:p>
    <w:p>
      <w:pPr>
        <w:pStyle w:val="ListParagraph"/>
        <w:numPr>
          <w:ilvl w:val="0"/>
          <w:numId w:val="7"/>
        </w:numPr>
        <w:tabs>
          <w:tab w:pos="1251" w:val="left" w:leader="none"/>
        </w:tabs>
        <w:spacing w:line="307" w:lineRule="auto" w:before="86" w:after="0"/>
        <w:ind w:left="1250" w:right="117" w:hanging="713"/>
        <w:jc w:val="left"/>
        <w:rPr>
          <w:sz w:val="24"/>
        </w:rPr>
      </w:pPr>
      <w:r>
        <w:rPr>
          <w:spacing w:val="5"/>
          <w:sz w:val="24"/>
        </w:rPr>
        <w:t>本公司认可的医疗机构出具的疾病诊断证明书，以及附有显微镜检查、血液检验及其他科学方法检验的病理报告；</w:t>
      </w:r>
    </w:p>
    <w:p>
      <w:pPr>
        <w:pStyle w:val="ListParagraph"/>
        <w:numPr>
          <w:ilvl w:val="0"/>
          <w:numId w:val="7"/>
        </w:numPr>
        <w:tabs>
          <w:tab w:pos="1251" w:val="left" w:leader="none"/>
        </w:tabs>
        <w:spacing w:line="240" w:lineRule="auto" w:before="16" w:after="0"/>
        <w:ind w:left="1250" w:right="0" w:hanging="713"/>
        <w:jc w:val="left"/>
        <w:rPr>
          <w:sz w:val="24"/>
        </w:rPr>
      </w:pPr>
      <w:r>
        <w:rPr>
          <w:sz w:val="24"/>
        </w:rPr>
        <w:t>其他能够确认保险事故性质、原因的证明材料；</w:t>
      </w:r>
    </w:p>
    <w:p>
      <w:pPr>
        <w:pStyle w:val="ListParagraph"/>
        <w:numPr>
          <w:ilvl w:val="0"/>
          <w:numId w:val="7"/>
        </w:numPr>
        <w:tabs>
          <w:tab w:pos="1251" w:val="left" w:leader="none"/>
        </w:tabs>
        <w:spacing w:line="307" w:lineRule="auto" w:before="86" w:after="0"/>
        <w:ind w:left="1250" w:right="114" w:hanging="713"/>
        <w:jc w:val="left"/>
        <w:rPr>
          <w:sz w:val="24"/>
        </w:rPr>
      </w:pPr>
      <w:r>
        <w:rPr>
          <w:spacing w:val="-2"/>
          <w:sz w:val="24"/>
        </w:rPr>
        <w:t>如申请人委托他人申请保险金，还须提供授权委托书及受托人的身份证明等资料。</w:t>
      </w:r>
    </w:p>
    <w:p>
      <w:pPr>
        <w:pStyle w:val="BodyText"/>
        <w:spacing w:line="307" w:lineRule="auto" w:before="17"/>
        <w:ind w:left="597" w:right="114"/>
      </w:pPr>
      <w:r>
        <w:rPr/>
        <w:t>保险金作为受益人遗产时，必须提供可证明合法继承权的相关权利文件。</w:t>
      </w:r>
      <w:r>
        <w:rPr>
          <w:spacing w:val="-8"/>
        </w:rPr>
        <w:t>以上证明和资料不完整的，本公司将及时一次性通知申请人补充提供有关证</w:t>
      </w:r>
    </w:p>
    <w:p>
      <w:pPr>
        <w:pStyle w:val="BodyText"/>
        <w:spacing w:before="19"/>
        <w:ind w:left="117"/>
      </w:pPr>
      <w:r>
        <w:rPr/>
        <w:t>明和资料。</w:t>
      </w:r>
    </w:p>
    <w:p>
      <w:pPr>
        <w:pStyle w:val="BodyText"/>
        <w:spacing w:before="11"/>
        <w:rPr>
          <w:sz w:val="27"/>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59" w:id="14"/>
      <w:bookmarkEnd w:id="14"/>
      <w:r>
        <w:rPr/>
        <w:t>诉讼时效</w:t>
      </w:r>
    </w:p>
    <w:p>
      <w:pPr>
        <w:pStyle w:val="BodyText"/>
        <w:spacing w:before="7"/>
        <w:rPr>
          <w:rFonts w:ascii="Microsoft JhengHei UI"/>
          <w:b/>
          <w:sz w:val="23"/>
        </w:rPr>
      </w:pPr>
    </w:p>
    <w:p>
      <w:pPr>
        <w:pStyle w:val="BodyText"/>
        <w:spacing w:line="307" w:lineRule="auto" w:before="1"/>
        <w:ind w:left="117" w:right="153" w:firstLine="480"/>
      </w:pPr>
      <w:r>
        <w:rPr>
          <w:w w:val="95"/>
        </w:rPr>
        <w:t>受益人向本公司请求给付保险金的诉讼时效期间为2年，自其知道或者应当  </w:t>
      </w:r>
      <w:r>
        <w:rPr/>
        <w:t>知道保险事故发生之日起计算。</w:t>
      </w:r>
    </w:p>
    <w:p>
      <w:pPr>
        <w:pStyle w:val="BodyText"/>
        <w:spacing w:before="12"/>
        <w:rPr>
          <w:sz w:val="22"/>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58" w:id="15"/>
      <w:bookmarkEnd w:id="15"/>
      <w:r>
        <w:rPr/>
        <w:t>保险金的给付</w:t>
      </w:r>
    </w:p>
    <w:p>
      <w:pPr>
        <w:pStyle w:val="BodyText"/>
        <w:spacing w:before="5"/>
        <w:rPr>
          <w:rFonts w:ascii="Microsoft JhengHei UI"/>
          <w:b/>
          <w:sz w:val="23"/>
        </w:rPr>
      </w:pPr>
    </w:p>
    <w:p>
      <w:pPr>
        <w:pStyle w:val="BodyText"/>
        <w:spacing w:line="307" w:lineRule="auto"/>
        <w:ind w:left="117" w:right="114" w:firstLine="480"/>
      </w:pPr>
      <w:r>
        <w:rPr/>
        <w:t>我们收到申请人的理赔申请书及合同约定的证明和资料后，应当在5日内作</w:t>
      </w:r>
      <w:r>
        <w:rPr>
          <w:spacing w:val="-7"/>
        </w:rPr>
        <w:t>出核定；情形复杂的，在 </w:t>
      </w:r>
      <w:r>
        <w:rPr/>
        <w:t>30</w:t>
      </w:r>
      <w:r>
        <w:rPr>
          <w:spacing w:val="-7"/>
        </w:rPr>
        <w:t> 日内作出核定，合同另有约定的除外。对属于保险</w:t>
      </w:r>
    </w:p>
    <w:p>
      <w:pPr>
        <w:pStyle w:val="BodyText"/>
        <w:spacing w:line="304" w:lineRule="auto" w:before="19"/>
        <w:ind w:left="117" w:right="112"/>
      </w:pPr>
      <w:r>
        <w:rPr>
          <w:spacing w:val="-7"/>
        </w:rPr>
        <w:t>责任的，本公司在与受益人达成给付保险金的协议后 </w:t>
      </w:r>
      <w:r>
        <w:rPr/>
        <w:t>10</w:t>
      </w:r>
      <w:r>
        <w:rPr>
          <w:spacing w:val="-7"/>
        </w:rPr>
        <w:t> 日内，履行给付保险金义务。</w:t>
      </w:r>
    </w:p>
    <w:p>
      <w:pPr>
        <w:pStyle w:val="BodyText"/>
        <w:spacing w:line="307" w:lineRule="auto" w:before="21"/>
        <w:ind w:left="117" w:right="32" w:firstLine="480"/>
      </w:pPr>
      <w:r>
        <w:rPr/>
        <w:t>本公司未及时履行前款规定义务的，除按照约定支付保险金外，应当赔偿受益人因此受到的损失。</w:t>
      </w:r>
    </w:p>
    <w:p>
      <w:pPr>
        <w:spacing w:after="0" w:line="307" w:lineRule="auto"/>
        <w:sectPr>
          <w:pgSz w:w="11910" w:h="16840"/>
          <w:pgMar w:header="0" w:footer="1045" w:top="1420" w:bottom="1240" w:left="1680" w:right="1680"/>
        </w:sectPr>
      </w:pPr>
    </w:p>
    <w:p>
      <w:pPr>
        <w:pStyle w:val="BodyText"/>
        <w:spacing w:line="307" w:lineRule="auto" w:before="41"/>
        <w:ind w:left="117" w:right="192" w:firstLine="480"/>
        <w:jc w:val="both"/>
      </w:pPr>
      <w:r>
        <w:rPr>
          <w:spacing w:val="-8"/>
        </w:rPr>
        <w:t>对不属于保险责任的，本公司自作出核定之日起</w:t>
      </w:r>
      <w:r>
        <w:rPr/>
        <w:t>3</w:t>
      </w:r>
      <w:r>
        <w:rPr>
          <w:spacing w:val="-3"/>
        </w:rPr>
        <w:t> 日内向受益人发出拒绝给付保险金通知书并说明理由。</w:t>
      </w:r>
    </w:p>
    <w:p>
      <w:pPr>
        <w:pStyle w:val="BodyText"/>
        <w:spacing w:before="9"/>
        <w:rPr>
          <w:sz w:val="22"/>
        </w:rPr>
      </w:pPr>
    </w:p>
    <w:p>
      <w:pPr>
        <w:pStyle w:val="Heading1"/>
        <w:numPr>
          <w:ilvl w:val="0"/>
          <w:numId w:val="5"/>
        </w:numPr>
        <w:tabs>
          <w:tab w:pos="542" w:val="left" w:leader="none"/>
          <w:tab w:pos="543" w:val="left" w:leader="none"/>
        </w:tabs>
        <w:spacing w:line="240" w:lineRule="auto" w:before="1" w:after="0"/>
        <w:ind w:left="542" w:right="0" w:hanging="425"/>
        <w:jc w:val="left"/>
      </w:pPr>
      <w:bookmarkStart w:name="_TOC_250057" w:id="16"/>
      <w:bookmarkEnd w:id="16"/>
      <w:r>
        <w:rPr/>
        <w:t>保险合同变更</w:t>
      </w:r>
    </w:p>
    <w:p>
      <w:pPr>
        <w:pStyle w:val="BodyText"/>
        <w:spacing w:before="10"/>
        <w:rPr>
          <w:rFonts w:ascii="Microsoft JhengHei UI"/>
          <w:b/>
          <w:sz w:val="20"/>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56" w:id="17"/>
      <w:bookmarkEnd w:id="17"/>
      <w:r>
        <w:rPr/>
        <w:t>被保险人的变更</w:t>
      </w:r>
    </w:p>
    <w:p>
      <w:pPr>
        <w:pStyle w:val="BodyText"/>
        <w:spacing w:before="7"/>
        <w:rPr>
          <w:rFonts w:ascii="Microsoft JhengHei UI"/>
          <w:b/>
          <w:sz w:val="23"/>
        </w:rPr>
      </w:pPr>
    </w:p>
    <w:p>
      <w:pPr>
        <w:pStyle w:val="BodyText"/>
        <w:spacing w:line="304" w:lineRule="auto" w:before="1"/>
        <w:ind w:left="117" w:right="192" w:firstLine="480"/>
        <w:jc w:val="both"/>
      </w:pPr>
      <w:r>
        <w:rPr>
          <w:spacing w:val="-9"/>
        </w:rPr>
        <w:t>您因在职、在编人员变动需要增加被保险人的，应以书面形式或我们认可的</w:t>
      </w:r>
      <w:r>
        <w:rPr>
          <w:spacing w:val="-13"/>
        </w:rPr>
        <w:t>其他形式通知我们，于收取您为新增被保险人缴纳的保险费且我们审核同意承保</w:t>
      </w:r>
      <w:r>
        <w:rPr/>
        <w:t>并在保险单批注或批单上载明的生效日的次日零时起至本合同的保险期间期满日二十四时为止，我们对增加的被保险人依本合同约定承担保险责任。</w:t>
      </w:r>
    </w:p>
    <w:p>
      <w:pPr>
        <w:pStyle w:val="BodyText"/>
        <w:spacing w:line="304" w:lineRule="auto" w:before="19"/>
        <w:ind w:left="117" w:right="105" w:firstLine="489"/>
      </w:pPr>
      <w:r>
        <w:rPr/>
        <w:t>您因被保险人离职或其他原因需要减少被保险人的，应以书面形式通知我们，我们对该被保险人的保险责任自您书面通知到达本公司之日二十四时起终止；如您在通知书中明确载明的变更被保险人日期晚于通知书到达本公司之日， 则我们对该被保险人的保险责任自通知书载明的日期的次日零时起终止。</w:t>
      </w:r>
    </w:p>
    <w:p>
      <w:pPr>
        <w:pStyle w:val="BodyText"/>
        <w:spacing w:line="300" w:lineRule="auto" w:before="21"/>
        <w:ind w:left="117" w:right="194" w:firstLine="480"/>
        <w:jc w:val="both"/>
      </w:pPr>
      <w:r>
        <w:rPr>
          <w:spacing w:val="-5"/>
        </w:rPr>
        <w:t>若所减少的被保险人未发生过保险金给付，我们向您退还前述日期本合同项</w:t>
      </w:r>
      <w:r>
        <w:rPr>
          <w:spacing w:val="-5"/>
          <w:w w:val="95"/>
        </w:rPr>
        <w:t>下该被保险人名下的</w:t>
      </w:r>
      <w:r>
        <w:rPr>
          <w:rFonts w:ascii="黑体" w:eastAsia="黑体" w:hint="eastAsia"/>
          <w:b/>
          <w:i/>
          <w:spacing w:val="-5"/>
          <w:w w:val="95"/>
          <w:sz w:val="25"/>
        </w:rPr>
        <w:t>未满期净保费</w:t>
      </w:r>
      <w:r>
        <w:rPr>
          <w:spacing w:val="-5"/>
          <w:w w:val="95"/>
        </w:rPr>
        <w:t>（</w:t>
      </w:r>
      <w:r>
        <w:rPr>
          <w:spacing w:val="-1"/>
          <w:w w:val="95"/>
        </w:rPr>
        <w:t>见释义  </w:t>
      </w:r>
      <w:r>
        <w:rPr>
          <w:w w:val="95"/>
        </w:rPr>
        <w:t>12.17）；若减少的被保险人发生过</w:t>
      </w:r>
      <w:r>
        <w:rPr/>
        <w:t>保险金给付，我们无资金退还。</w:t>
      </w:r>
    </w:p>
    <w:p>
      <w:pPr>
        <w:pStyle w:val="BodyText"/>
        <w:spacing w:before="6"/>
        <w:rPr>
          <w:sz w:val="23"/>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55" w:id="18"/>
      <w:bookmarkEnd w:id="18"/>
      <w:r>
        <w:rPr/>
        <w:t>合同内容的变更</w:t>
      </w:r>
    </w:p>
    <w:p>
      <w:pPr>
        <w:pStyle w:val="BodyText"/>
        <w:spacing w:before="8"/>
        <w:rPr>
          <w:rFonts w:ascii="Microsoft JhengHei UI"/>
          <w:b/>
          <w:sz w:val="23"/>
        </w:rPr>
      </w:pPr>
    </w:p>
    <w:p>
      <w:pPr>
        <w:pStyle w:val="BodyText"/>
        <w:spacing w:line="304" w:lineRule="auto"/>
        <w:ind w:left="117" w:right="192" w:firstLine="480"/>
        <w:jc w:val="both"/>
      </w:pPr>
      <w:r>
        <w:rPr>
          <w:spacing w:val="-6"/>
        </w:rPr>
        <w:t>在本合同有效保险期间内，经您和我们协商一致，可以变更本合同的有关内</w:t>
      </w:r>
      <w:r>
        <w:rPr>
          <w:spacing w:val="-10"/>
        </w:rPr>
        <w:t>容。您与我们就变更本合同有关内容协商一致后，应当由我们就变更事项在保险</w:t>
      </w:r>
      <w:r>
        <w:rPr>
          <w:spacing w:val="-14"/>
        </w:rPr>
        <w:t>单上批注或者附贴批单，或者由您和我们订立变更的书面协议。未完成前述手续</w:t>
      </w:r>
      <w:r>
        <w:rPr>
          <w:spacing w:val="-18"/>
        </w:rPr>
        <w:t>的变更申请不产生对抗本公司的效力，变更自履行完毕前述手续之日起产生对抗本公司的效力。</w:t>
      </w:r>
    </w:p>
    <w:p>
      <w:pPr>
        <w:pStyle w:val="BodyText"/>
        <w:spacing w:line="304" w:lineRule="auto" w:before="22"/>
        <w:ind w:left="117" w:right="192" w:firstLine="480"/>
        <w:jc w:val="both"/>
      </w:pPr>
      <w:r>
        <w:rPr>
          <w:spacing w:val="-4"/>
        </w:rPr>
        <w:t>变更本合同内容凡依法或依本合同约定需要经被保险人同意的，在经被保险</w:t>
      </w:r>
      <w:r>
        <w:rPr>
          <w:spacing w:val="-10"/>
        </w:rPr>
        <w:t>人同意后，您必须于被保险人发生保险事故前与我们就变更本合同达成一致，并</w:t>
      </w:r>
      <w:r>
        <w:rPr>
          <w:spacing w:val="-14"/>
        </w:rPr>
        <w:t>由我们按本条前款规定在原保险单上批注或者附贴批单，或者与您签订变更本合同的书面协议，未履行前述手续的，变更不产生对抗本公司的效力。</w:t>
      </w:r>
    </w:p>
    <w:p>
      <w:pPr>
        <w:pStyle w:val="BodyText"/>
        <w:spacing w:before="2"/>
        <w:rPr>
          <w:sz w:val="23"/>
        </w:rPr>
      </w:pPr>
    </w:p>
    <w:p>
      <w:pPr>
        <w:pStyle w:val="Heading1"/>
        <w:numPr>
          <w:ilvl w:val="1"/>
          <w:numId w:val="5"/>
        </w:numPr>
        <w:tabs>
          <w:tab w:pos="1223" w:val="left" w:leader="none"/>
          <w:tab w:pos="1224" w:val="left" w:leader="none"/>
        </w:tabs>
        <w:spacing w:line="240" w:lineRule="auto" w:before="0" w:after="0"/>
        <w:ind w:left="1224" w:right="0" w:hanging="567"/>
        <w:jc w:val="left"/>
      </w:pPr>
      <w:bookmarkStart w:name="_TOC_250054" w:id="19"/>
      <w:bookmarkEnd w:id="19"/>
      <w:r>
        <w:rPr/>
        <w:t>地址的变更</w:t>
      </w:r>
    </w:p>
    <w:p>
      <w:pPr>
        <w:pStyle w:val="BodyText"/>
        <w:spacing w:before="8"/>
        <w:rPr>
          <w:rFonts w:ascii="Microsoft JhengHei UI"/>
          <w:b/>
          <w:sz w:val="23"/>
        </w:rPr>
      </w:pPr>
    </w:p>
    <w:p>
      <w:pPr>
        <w:pStyle w:val="BodyText"/>
        <w:spacing w:line="304" w:lineRule="auto"/>
        <w:ind w:left="117" w:right="192" w:firstLine="480"/>
        <w:jc w:val="both"/>
      </w:pPr>
      <w:r>
        <w:rPr>
          <w:spacing w:val="-7"/>
        </w:rPr>
        <w:t>您的通讯地址变更时，应及时以书面形式通知我们，如果您未以书面形式通</w:t>
      </w:r>
      <w:r>
        <w:rPr>
          <w:spacing w:val="-11"/>
        </w:rPr>
        <w:t>知我们，我们将按本合同所注明的最后通讯地址发送有关通知，并视为已送达予您。</w:t>
      </w:r>
    </w:p>
    <w:p>
      <w:pPr>
        <w:spacing w:after="0" w:line="304" w:lineRule="auto"/>
        <w:jc w:val="both"/>
        <w:sectPr>
          <w:pgSz w:w="11910" w:h="16840"/>
          <w:pgMar w:header="0" w:footer="1045" w:top="1420" w:bottom="1240" w:left="1680" w:right="1600"/>
        </w:sectPr>
      </w:pPr>
    </w:p>
    <w:p>
      <w:pPr>
        <w:pStyle w:val="Heading1"/>
        <w:numPr>
          <w:ilvl w:val="0"/>
          <w:numId w:val="5"/>
        </w:numPr>
        <w:tabs>
          <w:tab w:pos="542" w:val="left" w:leader="none"/>
          <w:tab w:pos="543" w:val="left" w:leader="none"/>
        </w:tabs>
        <w:spacing w:line="380" w:lineRule="exact" w:before="0" w:after="0"/>
        <w:ind w:left="542" w:right="0" w:hanging="425"/>
        <w:jc w:val="left"/>
      </w:pPr>
      <w:bookmarkStart w:name="_TOC_250053" w:id="20"/>
      <w:bookmarkEnd w:id="20"/>
      <w:r>
        <w:rPr/>
        <w:t>保险合同解除</w:t>
      </w:r>
    </w:p>
    <w:p>
      <w:pPr>
        <w:pStyle w:val="BodyText"/>
        <w:spacing w:before="8"/>
        <w:rPr>
          <w:rFonts w:ascii="Microsoft JhengHei UI"/>
          <w:b/>
          <w:sz w:val="23"/>
        </w:rPr>
      </w:pPr>
    </w:p>
    <w:p>
      <w:pPr>
        <w:pStyle w:val="BodyText"/>
        <w:spacing w:line="307" w:lineRule="auto"/>
        <w:ind w:left="117" w:right="194" w:firstLine="480"/>
      </w:pPr>
      <w:r>
        <w:rPr>
          <w:spacing w:val="-9"/>
        </w:rPr>
        <w:t>您于本合同生效后，可以填写解除合同申请书以书面形式通知我们解除本合同并提供下列文件和资料的原件：</w:t>
      </w:r>
    </w:p>
    <w:p>
      <w:pPr>
        <w:pStyle w:val="ListParagraph"/>
        <w:numPr>
          <w:ilvl w:val="0"/>
          <w:numId w:val="8"/>
        </w:numPr>
        <w:tabs>
          <w:tab w:pos="1251" w:val="left" w:leader="none"/>
        </w:tabs>
        <w:spacing w:line="240" w:lineRule="auto" w:before="19" w:after="0"/>
        <w:ind w:left="1250" w:right="0" w:hanging="653"/>
        <w:jc w:val="left"/>
        <w:rPr>
          <w:sz w:val="24"/>
        </w:rPr>
      </w:pPr>
      <w:r>
        <w:rPr>
          <w:sz w:val="24"/>
        </w:rPr>
        <w:t>保险合同；</w:t>
      </w:r>
    </w:p>
    <w:p>
      <w:pPr>
        <w:pStyle w:val="ListParagraph"/>
        <w:numPr>
          <w:ilvl w:val="0"/>
          <w:numId w:val="8"/>
        </w:numPr>
        <w:tabs>
          <w:tab w:pos="1251" w:val="left" w:leader="none"/>
        </w:tabs>
        <w:spacing w:line="240" w:lineRule="auto" w:before="84" w:after="0"/>
        <w:ind w:left="1250" w:right="0" w:hanging="653"/>
        <w:jc w:val="left"/>
        <w:rPr>
          <w:sz w:val="24"/>
        </w:rPr>
      </w:pPr>
      <w:r>
        <w:rPr>
          <w:sz w:val="24"/>
        </w:rPr>
        <w:t>投保人授权书；</w:t>
      </w:r>
    </w:p>
    <w:p>
      <w:pPr>
        <w:pStyle w:val="ListParagraph"/>
        <w:numPr>
          <w:ilvl w:val="0"/>
          <w:numId w:val="8"/>
        </w:numPr>
        <w:tabs>
          <w:tab w:pos="1251" w:val="left" w:leader="none"/>
        </w:tabs>
        <w:spacing w:line="240" w:lineRule="auto" w:before="86" w:after="0"/>
        <w:ind w:left="1250" w:right="0" w:hanging="653"/>
        <w:jc w:val="left"/>
        <w:rPr>
          <w:sz w:val="24"/>
        </w:rPr>
      </w:pPr>
      <w:r>
        <w:rPr>
          <w:sz w:val="24"/>
        </w:rPr>
        <w:t>经办人身份证明文件。</w:t>
      </w:r>
    </w:p>
    <w:p>
      <w:pPr>
        <w:pStyle w:val="BodyText"/>
        <w:spacing w:before="86"/>
        <w:ind w:left="597"/>
      </w:pPr>
      <w:r>
        <w:rPr/>
        <w:t>本合同自我们接到您解除合同申请书之日起终止。</w:t>
      </w:r>
    </w:p>
    <w:p>
      <w:pPr>
        <w:pStyle w:val="BodyText"/>
        <w:spacing w:line="304" w:lineRule="auto" w:before="84"/>
        <w:ind w:left="117" w:right="105" w:firstLine="480"/>
        <w:jc w:val="both"/>
      </w:pPr>
      <w:r>
        <w:rPr>
          <w:spacing w:val="-3"/>
        </w:rPr>
        <w:t>您在签收本合同之日起十日内且未有被保险人发生保险事故的情况下，要求</w:t>
      </w:r>
      <w:r>
        <w:rPr>
          <w:spacing w:val="-10"/>
        </w:rPr>
        <w:t>解除本合同的，我们以转账方式向您无息退还全部保险费。您于签收本合同之日</w:t>
      </w:r>
      <w:r>
        <w:rPr>
          <w:spacing w:val="-15"/>
        </w:rPr>
        <w:t>起十日后要求解除本合同的，或虽在签收本合同之日起十日内但已有被保险人发</w:t>
      </w:r>
      <w:r>
        <w:rPr>
          <w:spacing w:val="-17"/>
        </w:rPr>
        <w:t>生保险事故而要求解除本合同的，我们按未发生保险事故的被保险人人数计算本合同的未满期净保费，并以转账方式将本合同终止之日的未满期净保费退还您。</w:t>
      </w:r>
    </w:p>
    <w:p>
      <w:pPr>
        <w:pStyle w:val="BodyText"/>
        <w:spacing w:line="304" w:lineRule="auto" w:before="21"/>
        <w:ind w:left="117" w:right="192" w:firstLine="480"/>
        <w:jc w:val="both"/>
      </w:pPr>
      <w:r>
        <w:rPr>
          <w:spacing w:val="-7"/>
        </w:rPr>
        <w:t>在本合同有效保险期间内，被保险人人数少于 </w:t>
      </w:r>
      <w:r>
        <w:rPr/>
        <w:t>5</w:t>
      </w:r>
      <w:r>
        <w:rPr>
          <w:spacing w:val="-11"/>
        </w:rPr>
        <w:t> 人，或被保险人人数少于您在职人员总数的 </w:t>
      </w:r>
      <w:r>
        <w:rPr/>
        <w:t>75</w:t>
      </w:r>
      <w:r>
        <w:rPr>
          <w:spacing w:val="-10"/>
        </w:rPr>
        <w:t>%时，我们有权解除本合同。对未发生过保险金给付的被保险人，我们向您退还本合同解除之日该被保险人名下的未满期净保费；对发生过保险金给付的被保险人无资金退还。</w:t>
      </w:r>
    </w:p>
    <w:p>
      <w:pPr>
        <w:pStyle w:val="BodyText"/>
        <w:spacing w:line="307" w:lineRule="auto" w:before="18"/>
        <w:ind w:left="117" w:right="194" w:firstLine="480"/>
      </w:pPr>
      <w:r>
        <w:rPr>
          <w:spacing w:val="-4"/>
        </w:rPr>
        <w:t>本合同的效力自解除本合同的通知书到达您的次日零时起终止。对本合同终止前发生的保险事故，我们仍负给付保险金的责任。</w:t>
      </w:r>
    </w:p>
    <w:p>
      <w:pPr>
        <w:pStyle w:val="BodyText"/>
        <w:spacing w:before="11"/>
        <w:rPr>
          <w:sz w:val="22"/>
        </w:rPr>
      </w:pPr>
    </w:p>
    <w:p>
      <w:pPr>
        <w:pStyle w:val="Heading1"/>
        <w:numPr>
          <w:ilvl w:val="0"/>
          <w:numId w:val="5"/>
        </w:numPr>
        <w:tabs>
          <w:tab w:pos="542" w:val="left" w:leader="none"/>
          <w:tab w:pos="543" w:val="left" w:leader="none"/>
        </w:tabs>
        <w:spacing w:line="240" w:lineRule="auto" w:before="0" w:after="0"/>
        <w:ind w:left="542" w:right="0" w:hanging="425"/>
        <w:jc w:val="left"/>
      </w:pPr>
      <w:bookmarkStart w:name="_TOC_250052" w:id="21"/>
      <w:bookmarkEnd w:id="21"/>
      <w:r>
        <w:rPr/>
        <w:t>保险合同终止</w:t>
      </w:r>
    </w:p>
    <w:p>
      <w:pPr>
        <w:pStyle w:val="BodyText"/>
        <w:spacing w:before="5"/>
        <w:rPr>
          <w:rFonts w:ascii="Microsoft JhengHei UI"/>
          <w:b/>
          <w:sz w:val="23"/>
        </w:rPr>
      </w:pPr>
    </w:p>
    <w:p>
      <w:pPr>
        <w:pStyle w:val="BodyText"/>
        <w:ind w:left="151"/>
      </w:pPr>
      <w:r>
        <w:rPr/>
        <w:t>在发生下列情况之一时，本合同将会自动终止：</w:t>
      </w:r>
    </w:p>
    <w:p>
      <w:pPr>
        <w:pStyle w:val="ListParagraph"/>
        <w:numPr>
          <w:ilvl w:val="0"/>
          <w:numId w:val="9"/>
        </w:numPr>
        <w:tabs>
          <w:tab w:pos="1251" w:val="left" w:leader="none"/>
        </w:tabs>
        <w:spacing w:line="240" w:lineRule="auto" w:before="86" w:after="0"/>
        <w:ind w:left="1250" w:right="0" w:hanging="713"/>
        <w:jc w:val="left"/>
        <w:rPr>
          <w:sz w:val="24"/>
        </w:rPr>
      </w:pPr>
      <w:r>
        <w:rPr>
          <w:sz w:val="24"/>
        </w:rPr>
        <w:t>本合同期满终止；</w:t>
      </w:r>
    </w:p>
    <w:p>
      <w:pPr>
        <w:pStyle w:val="ListParagraph"/>
        <w:numPr>
          <w:ilvl w:val="0"/>
          <w:numId w:val="9"/>
        </w:numPr>
        <w:tabs>
          <w:tab w:pos="1251" w:val="left" w:leader="none"/>
        </w:tabs>
        <w:spacing w:line="240" w:lineRule="auto" w:before="86" w:after="0"/>
        <w:ind w:left="1250" w:right="0" w:hanging="713"/>
        <w:jc w:val="left"/>
        <w:rPr>
          <w:sz w:val="24"/>
        </w:rPr>
      </w:pPr>
      <w:r>
        <w:rPr>
          <w:sz w:val="24"/>
        </w:rPr>
        <w:t>本合同其他条款所列合同终止情况。</w:t>
      </w:r>
    </w:p>
    <w:p>
      <w:pPr>
        <w:pStyle w:val="BodyText"/>
        <w:spacing w:before="11"/>
        <w:rPr>
          <w:sz w:val="27"/>
        </w:rPr>
      </w:pPr>
    </w:p>
    <w:p>
      <w:pPr>
        <w:pStyle w:val="Heading1"/>
        <w:numPr>
          <w:ilvl w:val="0"/>
          <w:numId w:val="5"/>
        </w:numPr>
        <w:tabs>
          <w:tab w:pos="543" w:val="left" w:leader="none"/>
        </w:tabs>
        <w:spacing w:line="240" w:lineRule="auto" w:before="0" w:after="0"/>
        <w:ind w:left="542" w:right="0" w:hanging="425"/>
        <w:jc w:val="left"/>
      </w:pPr>
      <w:bookmarkStart w:name="_TOC_250051" w:id="22"/>
      <w:bookmarkEnd w:id="22"/>
      <w:r>
        <w:rPr/>
        <w:t>如实告知义务</w:t>
      </w:r>
    </w:p>
    <w:p>
      <w:pPr>
        <w:pStyle w:val="BodyText"/>
        <w:spacing w:before="9"/>
        <w:rPr>
          <w:rFonts w:ascii="Microsoft JhengHei UI"/>
          <w:b/>
          <w:sz w:val="20"/>
        </w:rPr>
      </w:pPr>
    </w:p>
    <w:p>
      <w:pPr>
        <w:pStyle w:val="Heading1"/>
        <w:numPr>
          <w:ilvl w:val="1"/>
          <w:numId w:val="5"/>
        </w:numPr>
        <w:tabs>
          <w:tab w:pos="1463" w:val="left" w:leader="none"/>
          <w:tab w:pos="1464" w:val="left" w:leader="none"/>
        </w:tabs>
        <w:spacing w:line="240" w:lineRule="auto" w:before="0" w:after="0"/>
        <w:ind w:left="1464" w:right="0" w:hanging="807"/>
        <w:jc w:val="left"/>
      </w:pPr>
      <w:bookmarkStart w:name="_TOC_250050" w:id="23"/>
      <w:bookmarkEnd w:id="23"/>
      <w:r>
        <w:rPr/>
        <w:t>如实告知</w:t>
      </w:r>
    </w:p>
    <w:p>
      <w:pPr>
        <w:pStyle w:val="BodyText"/>
        <w:spacing w:before="7"/>
        <w:rPr>
          <w:rFonts w:ascii="Microsoft JhengHei UI"/>
          <w:b/>
          <w:sz w:val="23"/>
        </w:rPr>
      </w:pPr>
    </w:p>
    <w:p>
      <w:pPr>
        <w:pStyle w:val="BodyText"/>
        <w:ind w:left="597"/>
      </w:pPr>
      <w:r>
        <w:rPr/>
        <w:t>订立本合同时，本公司应向您说明本合同的内容。</w:t>
      </w:r>
    </w:p>
    <w:p>
      <w:pPr>
        <w:pStyle w:val="BodyText"/>
        <w:spacing w:line="304" w:lineRule="auto" w:before="83"/>
        <w:ind w:left="117" w:right="105" w:firstLine="480"/>
      </w:pPr>
      <w:r>
        <w:rPr/>
        <w:t>对保险条款中免除本公司责任的条款，本公司在订立合同时应当在投保单、</w:t>
      </w:r>
      <w:r>
        <w:rPr>
          <w:spacing w:val="-4"/>
        </w:rPr>
        <w:t>保险单或者其他保险凭证上作出足以引起您注意的提示，并对该条款的内容以书</w:t>
      </w:r>
      <w:r>
        <w:rPr>
          <w:spacing w:val="-9"/>
        </w:rPr>
        <w:t>面或者口头形式向您作出明确说明，未作提示或者明确说明的，该条款不产生效力。</w:t>
      </w:r>
    </w:p>
    <w:p>
      <w:pPr>
        <w:spacing w:after="0" w:line="304" w:lineRule="auto"/>
        <w:sectPr>
          <w:pgSz w:w="11910" w:h="16840"/>
          <w:pgMar w:header="0" w:footer="1045" w:top="1420" w:bottom="1240" w:left="1680" w:right="1600"/>
        </w:sectPr>
      </w:pPr>
    </w:p>
    <w:p>
      <w:pPr>
        <w:pStyle w:val="BodyText"/>
        <w:spacing w:before="41"/>
        <w:ind w:left="597"/>
      </w:pPr>
      <w:r>
        <w:rPr/>
        <w:t>本公司就您和被保险人的有关情况提出询问，您应当如实告知。</w:t>
      </w:r>
    </w:p>
    <w:p>
      <w:pPr>
        <w:pStyle w:val="BodyText"/>
        <w:spacing w:line="304" w:lineRule="auto" w:before="86"/>
        <w:ind w:left="117" w:right="232" w:firstLine="480"/>
      </w:pPr>
      <w:r>
        <w:rPr>
          <w:rFonts w:ascii="黑体" w:eastAsia="黑体" w:hint="eastAsia"/>
          <w:spacing w:val="-7"/>
        </w:rPr>
        <w:t>您故意不履行如实告知义务，足以影响我们决定是否同意承保或者提高保险</w:t>
      </w:r>
      <w:r>
        <w:rPr>
          <w:rFonts w:ascii="黑体" w:eastAsia="黑体" w:hint="eastAsia"/>
          <w:spacing w:val="-12"/>
        </w:rPr>
        <w:t>费率的，我们有权解除或部分解除本合同并将合同解除日期或合同部分解除的内</w:t>
      </w:r>
      <w:r>
        <w:rPr>
          <w:rFonts w:ascii="黑体" w:eastAsia="黑体" w:hint="eastAsia"/>
          <w:spacing w:val="-9"/>
        </w:rPr>
        <w:t>容、日期明示与您。对于本合同解除或部分解除前发</w:t>
      </w:r>
      <w:r>
        <w:rPr>
          <w:rFonts w:ascii="黑体" w:eastAsia="黑体" w:hint="eastAsia"/>
        </w:rPr>
        <w:t>Th</w:t>
      </w:r>
      <w:r>
        <w:rPr>
          <w:rFonts w:ascii="黑体" w:eastAsia="黑体" w:hint="eastAsia"/>
          <w:spacing w:val="-5"/>
        </w:rPr>
        <w:t>的保险事故，我们对本合同解除或部分解除所涉及的本合同全部或部分被保险人不承担给付保险金的责任，并不向您退还保险费</w:t>
      </w:r>
      <w:r>
        <w:rPr>
          <w:spacing w:val="-5"/>
        </w:rPr>
        <w:t>。</w:t>
      </w:r>
    </w:p>
    <w:p>
      <w:pPr>
        <w:pStyle w:val="BodyText"/>
        <w:spacing w:line="304" w:lineRule="auto" w:before="21"/>
        <w:ind w:left="117" w:right="232" w:firstLine="480"/>
      </w:pPr>
      <w:r>
        <w:rPr>
          <w:rFonts w:ascii="黑体" w:eastAsia="黑体" w:hint="eastAsia"/>
          <w:spacing w:val="-6"/>
        </w:rPr>
        <w:t>您因重大过失未履行如实告知义务，足以影响我们决定是否同意承保或提高</w:t>
      </w:r>
      <w:r>
        <w:rPr>
          <w:rFonts w:ascii="黑体" w:eastAsia="黑体" w:hint="eastAsia"/>
          <w:spacing w:val="-11"/>
        </w:rPr>
        <w:t>保险费率的，我们有权解除或部分解除本合同。因重大过失未如实告知事项对保险事故的发Th有严重影响的，对于本合同解除或部分解除前发</w:t>
      </w:r>
      <w:r>
        <w:rPr>
          <w:rFonts w:ascii="黑体" w:eastAsia="黑体" w:hint="eastAsia"/>
        </w:rPr>
        <w:t>Th</w:t>
      </w:r>
      <w:r>
        <w:rPr>
          <w:rFonts w:ascii="黑体" w:eastAsia="黑体" w:hint="eastAsia"/>
          <w:spacing w:val="-7"/>
        </w:rPr>
        <w:t>的保险事故，我们对本合同解除或部分解除所涉及的全部或部分被保险人不承担给付保险金的责任，但可以向您退还本合同解除之日相应的未满期净保费</w:t>
      </w:r>
      <w:r>
        <w:rPr>
          <w:spacing w:val="-7"/>
        </w:rPr>
        <w:t>。</w:t>
      </w:r>
    </w:p>
    <w:p>
      <w:pPr>
        <w:pStyle w:val="BodyText"/>
        <w:spacing w:line="307" w:lineRule="auto" w:before="19"/>
        <w:ind w:left="117" w:right="385" w:firstLine="480"/>
      </w:pPr>
      <w:r>
        <w:rPr/>
        <w:t>本公司在合同订立时已经知道您未如实告知的情况的，本公司不得解除合同；发生保险事故的，本公司承担给付保险金的责任。</w:t>
      </w:r>
    </w:p>
    <w:p>
      <w:pPr>
        <w:pStyle w:val="BodyText"/>
        <w:spacing w:before="12"/>
        <w:rPr>
          <w:sz w:val="22"/>
        </w:rPr>
      </w:pPr>
    </w:p>
    <w:p>
      <w:pPr>
        <w:pStyle w:val="Heading1"/>
        <w:numPr>
          <w:ilvl w:val="1"/>
          <w:numId w:val="5"/>
        </w:numPr>
        <w:tabs>
          <w:tab w:pos="1224" w:val="left" w:leader="none"/>
        </w:tabs>
        <w:spacing w:line="240" w:lineRule="auto" w:before="0" w:after="0"/>
        <w:ind w:left="1224" w:right="0" w:hanging="567"/>
        <w:jc w:val="left"/>
      </w:pPr>
      <w:bookmarkStart w:name="_TOC_250049" w:id="24"/>
      <w:bookmarkEnd w:id="24"/>
      <w:r>
        <w:rPr/>
        <w:t>本公司合同解除权的限制</w:t>
      </w:r>
    </w:p>
    <w:p>
      <w:pPr>
        <w:pStyle w:val="BodyText"/>
        <w:spacing w:before="7"/>
        <w:rPr>
          <w:rFonts w:ascii="Microsoft JhengHei UI"/>
          <w:b/>
          <w:sz w:val="23"/>
        </w:rPr>
      </w:pPr>
    </w:p>
    <w:p>
      <w:pPr>
        <w:pStyle w:val="BodyText"/>
        <w:spacing w:line="304" w:lineRule="auto" w:before="1"/>
        <w:ind w:left="117" w:right="179" w:firstLine="480"/>
        <w:jc w:val="both"/>
      </w:pPr>
      <w:r>
        <w:rPr>
          <w:spacing w:val="-1"/>
        </w:rPr>
        <w:t>前款规定的合同解除权，自本公司知道有解除事由之日起，超过 </w:t>
      </w:r>
      <w:r>
        <w:rPr/>
        <w:t>30</w:t>
      </w:r>
      <w:r>
        <w:rPr>
          <w:spacing w:val="-3"/>
        </w:rPr>
        <w:t> 日不行</w:t>
      </w:r>
      <w:r>
        <w:rPr>
          <w:spacing w:val="-11"/>
        </w:rPr>
        <w:t>使而消灭。自本合同成立之日起超过 </w:t>
      </w:r>
      <w:r>
        <w:rPr/>
        <w:t>2</w:t>
      </w:r>
      <w:r>
        <w:rPr>
          <w:spacing w:val="-8"/>
        </w:rPr>
        <w:t> 年的，本公司不得解除合同；发生保险事故的，本公司承担给付保险金的责任。</w:t>
      </w:r>
    </w:p>
    <w:p>
      <w:pPr>
        <w:pStyle w:val="BodyText"/>
        <w:spacing w:before="1"/>
        <w:rPr>
          <w:sz w:val="23"/>
        </w:rPr>
      </w:pPr>
    </w:p>
    <w:p>
      <w:pPr>
        <w:pStyle w:val="Heading1"/>
        <w:numPr>
          <w:ilvl w:val="1"/>
          <w:numId w:val="5"/>
        </w:numPr>
        <w:tabs>
          <w:tab w:pos="1224" w:val="left" w:leader="none"/>
        </w:tabs>
        <w:spacing w:line="240" w:lineRule="auto" w:before="1" w:after="0"/>
        <w:ind w:left="1224" w:right="0" w:hanging="567"/>
        <w:jc w:val="left"/>
      </w:pPr>
      <w:bookmarkStart w:name="_TOC_250048" w:id="25"/>
      <w:bookmarkEnd w:id="25"/>
      <w:r>
        <w:rPr/>
        <w:t>被保险人年龄确定错误处理</w:t>
      </w:r>
    </w:p>
    <w:p>
      <w:pPr>
        <w:pStyle w:val="BodyText"/>
        <w:spacing w:before="11"/>
        <w:rPr>
          <w:rFonts w:ascii="Microsoft JhengHei UI"/>
          <w:b/>
          <w:sz w:val="22"/>
        </w:rPr>
      </w:pPr>
    </w:p>
    <w:p>
      <w:pPr>
        <w:pStyle w:val="BodyText"/>
        <w:ind w:left="597"/>
      </w:pPr>
      <w:r>
        <w:rPr>
          <w:w w:val="95"/>
        </w:rPr>
        <w:t>被保险人的年龄以</w:t>
      </w:r>
      <w:r>
        <w:rPr>
          <w:rFonts w:ascii="黑体" w:eastAsia="黑体" w:hint="eastAsia"/>
          <w:b/>
          <w:i/>
          <w:w w:val="95"/>
          <w:sz w:val="25"/>
        </w:rPr>
        <w:t>周岁</w:t>
      </w:r>
      <w:r>
        <w:rPr>
          <w:w w:val="95"/>
        </w:rPr>
        <w:t>（见释义 12.18）计算。</w:t>
      </w:r>
    </w:p>
    <w:p>
      <w:pPr>
        <w:pStyle w:val="BodyText"/>
        <w:spacing w:line="307" w:lineRule="auto" w:before="85"/>
        <w:ind w:left="117" w:right="126" w:firstLine="480"/>
      </w:pPr>
      <w:r>
        <w:rPr/>
        <w:t>您在申请投保时，应将与有效身份证件相符的被保险人的出生日期在投保单上填明，如果发生错误按照下列方式办理：</w:t>
      </w:r>
    </w:p>
    <w:p>
      <w:pPr>
        <w:pStyle w:val="BodyText"/>
        <w:spacing w:line="304" w:lineRule="auto" w:before="17"/>
        <w:ind w:left="117" w:right="232" w:firstLine="420"/>
      </w:pPr>
      <w:r>
        <w:rPr/>
        <w:t>（1）</w:t>
      </w:r>
      <w:r>
        <w:rPr>
          <w:rFonts w:ascii="黑体" w:hAnsi="黑体" w:eastAsia="黑体" w:hint="eastAsia"/>
        </w:rPr>
        <w:t>您申报的被保险人年龄不真实，并且其真实年龄不符合本合同约定年</w:t>
      </w:r>
      <w:r>
        <w:rPr>
          <w:rFonts w:ascii="黑体" w:hAnsi="黑体" w:eastAsia="黑体" w:hint="eastAsia"/>
          <w:spacing w:val="-7"/>
        </w:rPr>
        <w:t>龄限制的，在保险事故发</w:t>
      </w:r>
      <w:r>
        <w:rPr>
          <w:rFonts w:ascii="黑体" w:hAnsi="黑体" w:eastAsia="黑体" w:hint="eastAsia"/>
        </w:rPr>
        <w:t>Th</w:t>
      </w:r>
      <w:r>
        <w:rPr>
          <w:rFonts w:ascii="黑体" w:hAnsi="黑体" w:eastAsia="黑体" w:hint="eastAsia"/>
          <w:spacing w:val="-3"/>
        </w:rPr>
        <w:t>前本公司有权解除本合同或该被保险人资格，并向您</w:t>
      </w:r>
      <w:r>
        <w:rPr>
          <w:rFonts w:ascii="黑体" w:hAnsi="黑体" w:eastAsia="黑体" w:hint="eastAsia"/>
          <w:spacing w:val="-7"/>
        </w:rPr>
        <w:t>退还相应的未满期净保费。对合同或被保险人资格解除前发</w:t>
      </w:r>
      <w:r>
        <w:rPr>
          <w:rFonts w:ascii="黑体" w:hAnsi="黑体" w:eastAsia="黑体" w:hint="eastAsia"/>
        </w:rPr>
        <w:t>Th</w:t>
      </w:r>
      <w:r>
        <w:rPr>
          <w:rFonts w:ascii="黑体" w:hAnsi="黑体" w:eastAsia="黑体" w:hint="eastAsia"/>
          <w:spacing w:val="-7"/>
        </w:rPr>
        <w:t>的保险事故，本合</w:t>
      </w:r>
      <w:r>
        <w:rPr>
          <w:rFonts w:ascii="黑体" w:hAnsi="黑体" w:eastAsia="黑体" w:hint="eastAsia"/>
          <w:spacing w:val="-11"/>
        </w:rPr>
        <w:t>同不承担保险责任。本公司行使合同解除权适用“本公司合同解除权的限制”的规定</w:t>
      </w:r>
      <w:r>
        <w:rPr>
          <w:spacing w:val="-11"/>
        </w:rPr>
        <w:t>。</w:t>
      </w:r>
    </w:p>
    <w:p>
      <w:pPr>
        <w:pStyle w:val="BodyText"/>
        <w:spacing w:line="304" w:lineRule="auto" w:before="22"/>
        <w:ind w:left="117" w:right="112" w:firstLine="420"/>
      </w:pPr>
      <w:r>
        <w:rPr>
          <w:spacing w:val="-4"/>
        </w:rPr>
        <w:t>（2）</w:t>
      </w:r>
      <w:r>
        <w:rPr>
          <w:rFonts w:ascii="黑体" w:eastAsia="黑体" w:hint="eastAsia"/>
          <w:spacing w:val="-1"/>
        </w:rPr>
        <w:t>您申报的被保险人年龄不真实，致使您实付保险费少于应付保险费的， </w:t>
      </w:r>
      <w:r>
        <w:rPr>
          <w:rFonts w:ascii="黑体" w:eastAsia="黑体" w:hint="eastAsia"/>
          <w:spacing w:val="-4"/>
        </w:rPr>
        <w:t>本公司有权更正并要求您补交保险费。若已发</w:t>
      </w:r>
      <w:r>
        <w:rPr>
          <w:rFonts w:ascii="黑体" w:eastAsia="黑体" w:hint="eastAsia"/>
        </w:rPr>
        <w:t>Th</w:t>
      </w:r>
      <w:r>
        <w:rPr>
          <w:rFonts w:ascii="黑体" w:eastAsia="黑体" w:hint="eastAsia"/>
          <w:spacing w:val="-7"/>
        </w:rPr>
        <w:t>保险事故，在给付保险金时按实付保险费和应付保险费的比例给付</w:t>
      </w:r>
      <w:r>
        <w:rPr>
          <w:spacing w:val="-7"/>
        </w:rPr>
        <w:t>。</w:t>
      </w:r>
    </w:p>
    <w:p>
      <w:pPr>
        <w:pStyle w:val="BodyText"/>
        <w:spacing w:line="304" w:lineRule="auto" w:before="22"/>
        <w:ind w:left="117" w:right="333" w:firstLine="420"/>
      </w:pPr>
      <w:r>
        <w:rPr>
          <w:w w:val="95"/>
        </w:rPr>
        <w:t>（3）您申报的被保险人年龄不真实，致使您实付保险费多于应交的保险费  </w:t>
      </w:r>
      <w:r>
        <w:rPr/>
        <w:t>的，本公司会将多收的保险费退还给您。</w:t>
      </w:r>
    </w:p>
    <w:p>
      <w:pPr>
        <w:spacing w:after="0" w:line="304" w:lineRule="auto"/>
        <w:sectPr>
          <w:pgSz w:w="11910" w:h="16840"/>
          <w:pgMar w:header="0" w:footer="1045" w:top="1420" w:bottom="1240" w:left="1680" w:right="1560"/>
        </w:sectPr>
      </w:pPr>
    </w:p>
    <w:p>
      <w:pPr>
        <w:pStyle w:val="Heading1"/>
        <w:numPr>
          <w:ilvl w:val="0"/>
          <w:numId w:val="5"/>
        </w:numPr>
        <w:tabs>
          <w:tab w:pos="543" w:val="left" w:leader="none"/>
        </w:tabs>
        <w:spacing w:line="380" w:lineRule="exact" w:before="0" w:after="0"/>
        <w:ind w:left="542" w:right="0" w:hanging="425"/>
        <w:jc w:val="left"/>
      </w:pPr>
      <w:bookmarkStart w:name="_TOC_250047" w:id="26"/>
      <w:bookmarkEnd w:id="26"/>
      <w:r>
        <w:rPr/>
        <w:t>争议处理</w:t>
      </w:r>
    </w:p>
    <w:p>
      <w:pPr>
        <w:pStyle w:val="BodyText"/>
        <w:spacing w:before="8"/>
        <w:rPr>
          <w:rFonts w:ascii="Microsoft JhengHei UI"/>
          <w:b/>
          <w:sz w:val="23"/>
        </w:rPr>
      </w:pPr>
    </w:p>
    <w:p>
      <w:pPr>
        <w:pStyle w:val="BodyText"/>
        <w:ind w:left="597"/>
      </w:pPr>
      <w:r>
        <w:rPr/>
        <w:t>本合同争议解决方式由您从下列两种方式中选择一种并在本合同中约定：</w:t>
      </w:r>
    </w:p>
    <w:p>
      <w:pPr>
        <w:pStyle w:val="BodyText"/>
        <w:tabs>
          <w:tab w:pos="8481" w:val="left" w:leader="none"/>
        </w:tabs>
        <w:spacing w:line="307" w:lineRule="auto" w:before="86"/>
        <w:ind w:left="117" w:right="121" w:firstLine="480"/>
      </w:pPr>
      <w:r>
        <w:rPr>
          <w:w w:val="95"/>
        </w:rPr>
        <w:t>1</w:t>
      </w:r>
      <w:r>
        <w:rPr>
          <w:spacing w:val="-68"/>
          <w:w w:val="95"/>
        </w:rPr>
        <w:t>、</w:t>
      </w:r>
      <w:r>
        <w:rPr>
          <w:w w:val="95"/>
        </w:rPr>
        <w:t>与履行本合同有关的争议</w:t>
      </w:r>
      <w:r>
        <w:rPr>
          <w:spacing w:val="-68"/>
          <w:w w:val="95"/>
        </w:rPr>
        <w:t>，</w:t>
      </w:r>
      <w:r>
        <w:rPr>
          <w:w w:val="95"/>
        </w:rPr>
        <w:t>由当事人协商解决</w:t>
      </w:r>
      <w:r>
        <w:rPr>
          <w:spacing w:val="-68"/>
          <w:w w:val="95"/>
        </w:rPr>
        <w:t>，</w:t>
      </w:r>
      <w:r>
        <w:rPr>
          <w:w w:val="95"/>
        </w:rPr>
        <w:t>协商不成的</w:t>
      </w:r>
      <w:r>
        <w:rPr>
          <w:spacing w:val="-68"/>
          <w:w w:val="95"/>
        </w:rPr>
        <w:t>，</w:t>
      </w:r>
      <w:r>
        <w:rPr>
          <w:w w:val="95"/>
        </w:rPr>
        <w:t>提交</w:t>
      </w:r>
      <w:r>
        <w:rPr>
          <w:w w:val="95"/>
          <w:u w:val="single"/>
        </w:rPr>
        <w:tab/>
        <w:t> </w:t>
      </w:r>
      <w:r>
        <w:rPr/>
        <w:t>仲裁委员会仲裁；</w:t>
      </w:r>
    </w:p>
    <w:p>
      <w:pPr>
        <w:pStyle w:val="BodyText"/>
        <w:spacing w:line="307" w:lineRule="auto" w:before="16"/>
        <w:ind w:left="117" w:right="213" w:firstLine="480"/>
      </w:pPr>
      <w:r>
        <w:rPr>
          <w:w w:val="95"/>
        </w:rPr>
        <w:t>2、与履行本合同有关的争议，由当事人协商解决，协商不成的，可依法向  </w:t>
      </w:r>
      <w:r>
        <w:rPr/>
        <w:t>人民法院起诉。</w:t>
      </w:r>
    </w:p>
    <w:p>
      <w:pPr>
        <w:pStyle w:val="BodyText"/>
        <w:spacing w:before="11"/>
        <w:rPr>
          <w:sz w:val="22"/>
        </w:rPr>
      </w:pPr>
    </w:p>
    <w:p>
      <w:pPr>
        <w:pStyle w:val="Heading1"/>
        <w:numPr>
          <w:ilvl w:val="0"/>
          <w:numId w:val="5"/>
        </w:numPr>
        <w:tabs>
          <w:tab w:pos="543" w:val="left" w:leader="none"/>
        </w:tabs>
        <w:spacing w:line="240" w:lineRule="auto" w:before="0" w:after="0"/>
        <w:ind w:left="542" w:right="0" w:hanging="425"/>
        <w:jc w:val="left"/>
      </w:pPr>
      <w:bookmarkStart w:name="_TOC_250046" w:id="27"/>
      <w:bookmarkEnd w:id="27"/>
      <w:r>
        <w:rPr/>
        <w:t>释义</w:t>
      </w:r>
    </w:p>
    <w:p>
      <w:pPr>
        <w:pStyle w:val="BodyText"/>
        <w:spacing w:before="7"/>
        <w:rPr>
          <w:rFonts w:ascii="Microsoft JhengHei UI"/>
          <w:b/>
          <w:sz w:val="20"/>
        </w:rPr>
      </w:pPr>
    </w:p>
    <w:p>
      <w:pPr>
        <w:pStyle w:val="Heading1"/>
        <w:numPr>
          <w:ilvl w:val="1"/>
          <w:numId w:val="5"/>
        </w:numPr>
        <w:tabs>
          <w:tab w:pos="1224" w:val="left" w:leader="none"/>
        </w:tabs>
        <w:spacing w:line="240" w:lineRule="auto" w:before="0" w:after="0"/>
        <w:ind w:left="597" w:right="0" w:firstLine="60"/>
        <w:jc w:val="left"/>
      </w:pPr>
      <w:bookmarkStart w:name="_TOC_250045" w:id="28"/>
      <w:bookmarkEnd w:id="28"/>
      <w:r>
        <w:rPr/>
        <w:t>团体</w:t>
      </w:r>
    </w:p>
    <w:p>
      <w:pPr>
        <w:pStyle w:val="BodyText"/>
        <w:spacing w:before="8"/>
        <w:rPr>
          <w:rFonts w:ascii="Microsoft JhengHei UI"/>
          <w:b/>
          <w:sz w:val="23"/>
        </w:rPr>
      </w:pPr>
    </w:p>
    <w:p>
      <w:pPr>
        <w:pStyle w:val="BodyText"/>
        <w:spacing w:line="304" w:lineRule="auto"/>
        <w:ind w:left="117" w:right="92" w:firstLine="480"/>
      </w:pPr>
      <w:r>
        <w:rPr/>
        <w:t>指中国境内非因购买保险而组织的合法团体。包括国家机关、院校、企事业单位、行业组织、职业工会等。</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44" w:id="29"/>
      <w:bookmarkEnd w:id="29"/>
      <w:r>
        <w:rPr/>
        <w:t>医院</w:t>
      </w:r>
    </w:p>
    <w:p>
      <w:pPr>
        <w:pStyle w:val="BodyText"/>
        <w:spacing w:before="7"/>
        <w:rPr>
          <w:rFonts w:ascii="Microsoft JhengHei UI"/>
          <w:b/>
          <w:sz w:val="23"/>
        </w:rPr>
      </w:pPr>
    </w:p>
    <w:p>
      <w:pPr>
        <w:pStyle w:val="BodyText"/>
        <w:ind w:left="597"/>
      </w:pPr>
      <w:r>
        <w:rPr/>
        <w:t>指国家卫生机构认定的二级（含）以上或本公司认可的医院。</w:t>
      </w:r>
    </w:p>
    <w:p>
      <w:pPr>
        <w:pStyle w:val="BodyText"/>
        <w:rPr>
          <w:sz w:val="28"/>
        </w:rPr>
      </w:pPr>
    </w:p>
    <w:p>
      <w:pPr>
        <w:pStyle w:val="Heading1"/>
        <w:numPr>
          <w:ilvl w:val="1"/>
          <w:numId w:val="5"/>
        </w:numPr>
        <w:tabs>
          <w:tab w:pos="1224" w:val="left" w:leader="none"/>
        </w:tabs>
        <w:spacing w:line="240" w:lineRule="auto" w:before="0" w:after="0"/>
        <w:ind w:left="597" w:right="0" w:firstLine="60"/>
        <w:jc w:val="left"/>
      </w:pPr>
      <w:bookmarkStart w:name="_TOC_250043" w:id="30"/>
      <w:bookmarkEnd w:id="30"/>
      <w:r>
        <w:rPr/>
        <w:t>专科医生</w:t>
      </w:r>
    </w:p>
    <w:p>
      <w:pPr>
        <w:pStyle w:val="BodyText"/>
        <w:spacing w:before="5"/>
        <w:rPr>
          <w:rFonts w:ascii="Microsoft JhengHei UI"/>
          <w:b/>
          <w:sz w:val="23"/>
        </w:rPr>
      </w:pPr>
    </w:p>
    <w:p>
      <w:pPr>
        <w:pStyle w:val="BodyText"/>
        <w:ind w:left="597"/>
      </w:pPr>
      <w:r>
        <w:rPr/>
        <w:t>专科医生应当同时满足以下四项资格条件</w:t>
      </w:r>
      <w:r>
        <w:rPr>
          <w:spacing w:val="-161"/>
        </w:rPr>
        <w:t>：</w:t>
      </w:r>
      <w:r>
        <w:rPr/>
        <w:t>（</w:t>
      </w:r>
      <w:r>
        <w:rPr>
          <w:w w:val="93"/>
        </w:rPr>
        <w:t>1</w:t>
      </w:r>
      <w:r>
        <w:rPr>
          <w:spacing w:val="-41"/>
        </w:rPr>
        <w:t>）</w:t>
      </w:r>
      <w:r>
        <w:rPr/>
        <w:t>具有有效的中华人民共和国</w:t>
      </w:r>
    </w:p>
    <w:p>
      <w:pPr>
        <w:pStyle w:val="BodyText"/>
        <w:spacing w:line="304" w:lineRule="auto" w:before="86"/>
        <w:ind w:left="117" w:right="213"/>
        <w:jc w:val="both"/>
      </w:pPr>
      <w:r>
        <w:rPr>
          <w:spacing w:val="-16"/>
        </w:rPr>
        <w:t>《医师资格证书》，并按期到相关部门登记注册；</w:t>
      </w:r>
      <w:r>
        <w:rPr/>
        <w:t>（</w:t>
      </w:r>
      <w:r>
        <w:rPr>
          <w:w w:val="93"/>
        </w:rPr>
        <w:t>2</w:t>
      </w:r>
      <w:r>
        <w:rPr/>
        <w:t>）具有有效的中华人民共和</w:t>
      </w:r>
      <w:r>
        <w:rPr>
          <w:spacing w:val="-16"/>
        </w:rPr>
        <w:t>国《医师执业证书》，并按期到相关部门登记注册；</w:t>
      </w:r>
      <w:r>
        <w:rPr/>
        <w:t>（</w:t>
      </w:r>
      <w:r>
        <w:rPr>
          <w:w w:val="93"/>
        </w:rPr>
        <w:t>3</w:t>
      </w:r>
      <w:r>
        <w:rPr/>
        <w:t>）具有有效的中华人民共</w:t>
      </w:r>
      <w:r>
        <w:rPr>
          <w:spacing w:val="-10"/>
        </w:rPr>
        <w:t>和国主治医师或主治医师以上职称的《医师职称证书》；</w:t>
      </w:r>
      <w:r>
        <w:rPr/>
        <w:t>（</w:t>
      </w:r>
      <w:r>
        <w:rPr>
          <w:w w:val="93"/>
        </w:rPr>
        <w:t>4</w:t>
      </w:r>
      <w:r>
        <w:rPr/>
        <w:t>）在二级或二级以上医院的相应科室从事临床工作三年以上。</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42" w:id="31"/>
      <w:bookmarkEnd w:id="31"/>
      <w:r>
        <w:rPr/>
        <w:t>重大疾病</w:t>
      </w:r>
    </w:p>
    <w:p>
      <w:pPr>
        <w:pStyle w:val="BodyText"/>
        <w:spacing w:before="6"/>
        <w:rPr>
          <w:rFonts w:ascii="Microsoft JhengHei UI"/>
          <w:b/>
          <w:sz w:val="27"/>
        </w:rPr>
      </w:pPr>
    </w:p>
    <w:p>
      <w:pPr>
        <w:pStyle w:val="BodyText"/>
        <w:spacing w:line="475" w:lineRule="auto"/>
        <w:ind w:left="117" w:right="100"/>
      </w:pPr>
      <w:r>
        <w:rPr>
          <w:w w:val="95"/>
        </w:rPr>
        <w:t>本产品提供30种重大疾病保障。其中恶性肿瘤、急性心肌梗塞、脑中风后遗症、  冠状动脉搭桥术(或称冠状动脉旁路移植术)、重大器官移植术或造血干细胞移植  </w:t>
      </w:r>
      <w:r>
        <w:rPr>
          <w:spacing w:val="-8"/>
          <w:w w:val="95"/>
        </w:rPr>
        <w:t>术、终末期肾病(或称慢性肾功能衰竭尿毒症期)</w:t>
      </w:r>
      <w:r>
        <w:rPr>
          <w:w w:val="95"/>
        </w:rPr>
        <w:t>6</w:t>
      </w:r>
      <w:r>
        <w:rPr>
          <w:spacing w:val="-7"/>
          <w:w w:val="95"/>
        </w:rPr>
        <w:t>种重大疾病为《中国保险行业协  </w:t>
      </w:r>
      <w:r>
        <w:rPr>
          <w:spacing w:val="-12"/>
        </w:rPr>
        <w:t>会重大疾病使用规范》规定重大疾病保险产品必须包含的疾病种类。系统性红斑</w:t>
      </w:r>
      <w:r>
        <w:rPr>
          <w:spacing w:val="-1"/>
          <w:w w:val="95"/>
        </w:rPr>
        <w:t>狼疮(III型或以上狼疮性肾炎)、经输血导致的人类免疫缺陷病毒（HIV）</w:t>
      </w:r>
      <w:r>
        <w:rPr>
          <w:w w:val="95"/>
        </w:rPr>
        <w:t>感染、</w:t>
      </w:r>
    </w:p>
    <w:p>
      <w:pPr>
        <w:spacing w:after="0" w:line="475" w:lineRule="auto"/>
        <w:sectPr>
          <w:pgSz w:w="11910" w:h="16840"/>
          <w:pgMar w:header="0" w:footer="1045" w:top="1420" w:bottom="1240" w:left="1680" w:right="1620"/>
        </w:sectPr>
      </w:pPr>
    </w:p>
    <w:p>
      <w:pPr>
        <w:pStyle w:val="BodyText"/>
        <w:spacing w:line="477" w:lineRule="auto" w:before="46"/>
        <w:ind w:left="117" w:right="234"/>
        <w:jc w:val="both"/>
      </w:pPr>
      <w:r>
        <w:rPr/>
        <w:t>严重多发性硬化、严重类风湿性关节炎、慢性呼吸功能衰竭5种重大疾病为我司</w:t>
      </w:r>
      <w:r>
        <w:rPr>
          <w:spacing w:val="-7"/>
          <w:w w:val="95"/>
        </w:rPr>
        <w:t>根据产品设计需求选用。其余</w:t>
      </w:r>
      <w:r>
        <w:rPr>
          <w:w w:val="95"/>
        </w:rPr>
        <w:t>19</w:t>
      </w:r>
      <w:r>
        <w:rPr>
          <w:spacing w:val="-1"/>
          <w:w w:val="95"/>
        </w:rPr>
        <w:t>种重大疾病保险为本公司根据中国保险行业协会  </w:t>
      </w:r>
      <w:r>
        <w:rPr>
          <w:spacing w:val="-1"/>
        </w:rPr>
        <w:t>重大疾病使用规范选择使用。</w:t>
      </w:r>
    </w:p>
    <w:p>
      <w:pPr>
        <w:pStyle w:val="BodyText"/>
        <w:spacing w:line="477" w:lineRule="auto" w:before="72"/>
        <w:ind w:left="117" w:right="234"/>
      </w:pPr>
      <w:r>
        <w:rPr>
          <w:spacing w:val="-8"/>
        </w:rPr>
        <w:t>本合同所保障的重大疾病，是指被保险人在本合同有效且等待期后的责任有效期间内经专科医生明确诊断初次患下列疾病或初次达到下列疾病状态或在医院初次接受下列手术：</w:t>
      </w:r>
    </w:p>
    <w:p>
      <w:pPr>
        <w:pStyle w:val="BodyText"/>
        <w:rPr>
          <w:sz w:val="22"/>
        </w:rPr>
      </w:pPr>
    </w:p>
    <w:p>
      <w:pPr>
        <w:pStyle w:val="Heading1"/>
        <w:numPr>
          <w:ilvl w:val="2"/>
          <w:numId w:val="5"/>
        </w:numPr>
        <w:tabs>
          <w:tab w:pos="1690" w:val="left" w:leader="none"/>
        </w:tabs>
        <w:spacing w:line="240" w:lineRule="auto" w:before="0" w:after="0"/>
        <w:ind w:left="1689" w:right="0" w:hanging="720"/>
        <w:jc w:val="left"/>
      </w:pPr>
      <w:bookmarkStart w:name="_TOC_250041" w:id="32"/>
      <w:bookmarkEnd w:id="32"/>
      <w:r>
        <w:rPr/>
        <w:t>恶性肿瘤</w:t>
      </w:r>
    </w:p>
    <w:p>
      <w:pPr>
        <w:pStyle w:val="BodyText"/>
        <w:spacing w:before="8"/>
        <w:rPr>
          <w:rFonts w:ascii="Microsoft JhengHei UI"/>
          <w:b/>
          <w:sz w:val="23"/>
        </w:rPr>
      </w:pPr>
    </w:p>
    <w:p>
      <w:pPr>
        <w:pStyle w:val="BodyText"/>
        <w:spacing w:line="304" w:lineRule="auto"/>
        <w:ind w:left="117" w:right="112" w:firstLine="480"/>
        <w:jc w:val="both"/>
      </w:pPr>
      <w:r>
        <w:rPr>
          <w:spacing w:val="-5"/>
        </w:rPr>
        <w:t>指恶性细胞不受控制的进行性增长和扩散，浸润和破坏周围正常组织，可以</w:t>
      </w:r>
      <w:r>
        <w:rPr>
          <w:spacing w:val="-10"/>
        </w:rPr>
        <w:t>经血管、淋巴管和体腔扩散转移到身体其它部位的疾病。经病理学检查结果明确</w:t>
      </w:r>
      <w:r>
        <w:rPr>
          <w:spacing w:val="11"/>
        </w:rPr>
        <w:t>诊断，临床诊断属于世界卫生组织《疾病和有关健康问题的国际统计分类》</w:t>
      </w:r>
    </w:p>
    <w:p>
      <w:pPr>
        <w:pStyle w:val="BodyText"/>
        <w:spacing w:line="304" w:lineRule="auto" w:before="21"/>
        <w:ind w:left="597" w:right="5185" w:hanging="480"/>
      </w:pPr>
      <w:r>
        <w:rPr/>
        <w:t>（ICD-10）的恶性肿瘤范畴。 下列疾病不在保障范围内：</w:t>
      </w:r>
    </w:p>
    <w:p>
      <w:pPr>
        <w:pStyle w:val="BodyText"/>
        <w:spacing w:before="21"/>
        <w:ind w:left="597"/>
      </w:pPr>
      <w:r>
        <w:rPr>
          <w:w w:val="95"/>
        </w:rPr>
        <w:t>（1）原位癌；</w:t>
      </w:r>
    </w:p>
    <w:p>
      <w:pPr>
        <w:pStyle w:val="BodyText"/>
        <w:spacing w:before="86"/>
        <w:ind w:left="597"/>
      </w:pPr>
      <w:r>
        <w:rPr/>
        <w:t>（2）</w:t>
      </w:r>
      <w:r>
        <w:rPr>
          <w:spacing w:val="-20"/>
        </w:rPr>
        <w:t>相当于 </w:t>
      </w:r>
      <w:r>
        <w:rPr/>
        <w:t>Binet</w:t>
      </w:r>
      <w:r>
        <w:rPr>
          <w:spacing w:val="-28"/>
        </w:rPr>
        <w:t> 分期方案 </w:t>
      </w:r>
      <w:r>
        <w:rPr>
          <w:w w:val="105"/>
        </w:rPr>
        <w:t>A</w:t>
      </w:r>
      <w:r>
        <w:rPr>
          <w:spacing w:val="-85"/>
          <w:w w:val="105"/>
        </w:rPr>
        <w:t> </w:t>
      </w:r>
      <w:r>
        <w:rPr/>
        <w:t>期程度的慢性淋巴细胞白血病；</w:t>
      </w:r>
    </w:p>
    <w:p>
      <w:pPr>
        <w:pStyle w:val="BodyText"/>
        <w:spacing w:before="83"/>
        <w:ind w:left="597"/>
      </w:pPr>
      <w:r>
        <w:rPr/>
        <w:t>（3）</w:t>
      </w:r>
      <w:r>
        <w:rPr>
          <w:spacing w:val="-17"/>
        </w:rPr>
        <w:t>相当于 </w:t>
      </w:r>
      <w:r>
        <w:rPr/>
        <w:t>Ann</w:t>
      </w:r>
      <w:r>
        <w:rPr>
          <w:spacing w:val="-66"/>
        </w:rPr>
        <w:t> </w:t>
      </w:r>
      <w:r>
        <w:rPr/>
        <w:t>Arbor</w:t>
      </w:r>
      <w:r>
        <w:rPr>
          <w:spacing w:val="-23"/>
        </w:rPr>
        <w:t> 分期方案 </w:t>
      </w:r>
      <w:r>
        <w:rPr/>
        <w:t>I</w:t>
      </w:r>
      <w:r>
        <w:rPr>
          <w:spacing w:val="-9"/>
        </w:rPr>
        <w:t> 期程度的何杰金氏病；</w:t>
      </w:r>
    </w:p>
    <w:p>
      <w:pPr>
        <w:pStyle w:val="BodyText"/>
        <w:spacing w:before="86"/>
        <w:ind w:left="597"/>
      </w:pPr>
      <w:r>
        <w:rPr/>
        <w:t>（</w:t>
      </w:r>
      <w:r>
        <w:rPr>
          <w:w w:val="93"/>
        </w:rPr>
        <w:t>4</w:t>
      </w:r>
      <w:r>
        <w:rPr/>
        <w:t>）皮肤癌（不包括恶性黑色素瘤及已发生转移的皮肤癌</w:t>
      </w:r>
      <w:r>
        <w:rPr>
          <w:spacing w:val="-120"/>
        </w:rPr>
        <w:t>）</w:t>
      </w:r>
      <w:r>
        <w:rPr/>
        <w:t>；</w:t>
      </w:r>
    </w:p>
    <w:p>
      <w:pPr>
        <w:spacing w:before="23"/>
        <w:ind w:left="597" w:right="0" w:firstLine="0"/>
        <w:jc w:val="left"/>
        <w:rPr>
          <w:sz w:val="24"/>
        </w:rPr>
      </w:pPr>
      <w:r>
        <w:rPr>
          <w:sz w:val="24"/>
        </w:rPr>
        <w:t>（5）</w:t>
      </w:r>
      <w:r>
        <w:rPr>
          <w:spacing w:val="-101"/>
          <w:sz w:val="24"/>
        </w:rPr>
        <w:t> </w:t>
      </w:r>
      <w:r>
        <w:rPr>
          <w:rFonts w:ascii="Times New Roman" w:eastAsia="Times New Roman"/>
          <w:i/>
          <w:position w:val="6"/>
          <w:sz w:val="24"/>
        </w:rPr>
        <w:t>TNM </w:t>
      </w:r>
      <w:r>
        <w:rPr>
          <w:spacing w:val="5"/>
          <w:sz w:val="24"/>
        </w:rPr>
        <w:t>分期为</w:t>
      </w:r>
      <w:r>
        <w:rPr>
          <w:rFonts w:ascii="Times New Roman" w:eastAsia="Times New Roman"/>
          <w:i/>
          <w:spacing w:val="-10"/>
          <w:position w:val="12"/>
          <w:sz w:val="24"/>
        </w:rPr>
        <w:t>T</w:t>
      </w:r>
      <w:r>
        <w:rPr>
          <w:rFonts w:ascii="Times New Roman" w:eastAsia="Times New Roman"/>
          <w:spacing w:val="-10"/>
          <w:position w:val="6"/>
          <w:sz w:val="14"/>
        </w:rPr>
        <w:t>1 </w:t>
      </w:r>
      <w:r>
        <w:rPr>
          <w:rFonts w:ascii="Times New Roman" w:eastAsia="Times New Roman"/>
          <w:i/>
          <w:spacing w:val="8"/>
          <w:position w:val="12"/>
          <w:sz w:val="24"/>
        </w:rPr>
        <w:t>N</w:t>
      </w:r>
      <w:r>
        <w:rPr>
          <w:rFonts w:ascii="Times New Roman" w:eastAsia="Times New Roman"/>
          <w:spacing w:val="8"/>
          <w:position w:val="6"/>
          <w:sz w:val="14"/>
        </w:rPr>
        <w:t>0</w:t>
      </w:r>
      <w:r>
        <w:rPr>
          <w:rFonts w:ascii="Times New Roman" w:eastAsia="Times New Roman"/>
          <w:spacing w:val="7"/>
          <w:position w:val="6"/>
          <w:sz w:val="14"/>
        </w:rPr>
        <w:t> </w:t>
      </w:r>
      <w:r>
        <w:rPr>
          <w:rFonts w:ascii="Times New Roman" w:eastAsia="Times New Roman"/>
          <w:i/>
          <w:position w:val="12"/>
          <w:sz w:val="24"/>
        </w:rPr>
        <w:t>M </w:t>
      </w:r>
      <w:r>
        <w:rPr>
          <w:rFonts w:ascii="Times New Roman" w:eastAsia="Times New Roman"/>
          <w:position w:val="6"/>
          <w:sz w:val="14"/>
        </w:rPr>
        <w:t>0 </w:t>
      </w:r>
      <w:r>
        <w:rPr>
          <w:sz w:val="24"/>
        </w:rPr>
        <w:t>期或更轻分期的前列腺癌；</w:t>
      </w:r>
    </w:p>
    <w:p>
      <w:pPr>
        <w:pStyle w:val="BodyText"/>
        <w:spacing w:before="84"/>
        <w:ind w:left="597"/>
      </w:pPr>
      <w:r>
        <w:rPr>
          <w:w w:val="95"/>
        </w:rPr>
        <w:t>（6）感染艾滋病病毒或患艾滋病期间所患恶性肿瘤。</w:t>
      </w:r>
    </w:p>
    <w:p>
      <w:pPr>
        <w:pStyle w:val="BodyText"/>
        <w:rPr>
          <w:sz w:val="28"/>
        </w:rPr>
      </w:pPr>
    </w:p>
    <w:p>
      <w:pPr>
        <w:pStyle w:val="Heading1"/>
        <w:numPr>
          <w:ilvl w:val="2"/>
          <w:numId w:val="5"/>
        </w:numPr>
        <w:tabs>
          <w:tab w:pos="1690" w:val="left" w:leader="none"/>
        </w:tabs>
        <w:spacing w:line="240" w:lineRule="auto" w:before="1" w:after="0"/>
        <w:ind w:left="1689" w:right="0" w:hanging="720"/>
        <w:jc w:val="left"/>
      </w:pPr>
      <w:bookmarkStart w:name="_TOC_250040" w:id="33"/>
      <w:bookmarkEnd w:id="33"/>
      <w:r>
        <w:rPr/>
        <w:t>急性心肌梗塞</w:t>
      </w:r>
    </w:p>
    <w:p>
      <w:pPr>
        <w:pStyle w:val="BodyText"/>
        <w:spacing w:before="8"/>
        <w:rPr>
          <w:rFonts w:ascii="Microsoft JhengHei UI"/>
          <w:b/>
          <w:sz w:val="23"/>
        </w:rPr>
      </w:pPr>
    </w:p>
    <w:p>
      <w:pPr>
        <w:pStyle w:val="BodyText"/>
        <w:spacing w:line="307" w:lineRule="auto"/>
        <w:ind w:left="117" w:right="234" w:firstLine="480"/>
      </w:pPr>
      <w:r>
        <w:rPr>
          <w:spacing w:val="-4"/>
        </w:rPr>
        <w:t>指因冠状动脉阻塞导致的相应区域供血不足造成部分心肌坏死。须满足下列至少三项条件：</w:t>
      </w:r>
    </w:p>
    <w:p>
      <w:pPr>
        <w:pStyle w:val="BodyText"/>
        <w:spacing w:before="16"/>
        <w:ind w:left="597"/>
      </w:pPr>
      <w:r>
        <w:rPr>
          <w:w w:val="95"/>
        </w:rPr>
        <w:t>（1）典型临床表现，例如急性胸痛等；</w:t>
      </w:r>
    </w:p>
    <w:p>
      <w:pPr>
        <w:pStyle w:val="BodyText"/>
        <w:spacing w:before="86"/>
        <w:ind w:left="597"/>
      </w:pPr>
      <w:r>
        <w:rPr>
          <w:w w:val="95"/>
        </w:rPr>
        <w:t>（2）新近的心电图改变提示急性心肌梗塞；</w:t>
      </w:r>
    </w:p>
    <w:p>
      <w:pPr>
        <w:pStyle w:val="BodyText"/>
        <w:spacing w:line="304" w:lineRule="auto" w:before="86"/>
        <w:ind w:left="117" w:right="232" w:firstLine="480"/>
      </w:pPr>
      <w:r>
        <w:rPr/>
        <w:t>（3）心肌酶或肌钙蛋白有诊断意义的升高，或呈符合急性心肌梗塞的动态性变化；</w:t>
      </w:r>
    </w:p>
    <w:p>
      <w:pPr>
        <w:pStyle w:val="BodyText"/>
        <w:spacing w:before="21"/>
        <w:ind w:left="597"/>
      </w:pPr>
      <w:r>
        <w:rPr/>
        <w:t>（</w:t>
      </w:r>
      <w:r>
        <w:rPr>
          <w:w w:val="93"/>
        </w:rPr>
        <w:t>4</w:t>
      </w:r>
      <w:r>
        <w:rPr>
          <w:spacing w:val="-120"/>
        </w:rPr>
        <w:t>）</w:t>
      </w:r>
      <w:r>
        <w:rPr>
          <w:spacing w:val="17"/>
        </w:rPr>
        <w:t>发病</w:t>
      </w:r>
      <w:r>
        <w:rPr>
          <w:w w:val="93"/>
        </w:rPr>
        <w:t>90</w:t>
      </w:r>
      <w:r>
        <w:rPr>
          <w:spacing w:val="-18"/>
        </w:rPr>
        <w:t> 天后，经检查证实左心室功能降低，如左心室射血分数低于</w:t>
      </w:r>
      <w:r>
        <w:rPr>
          <w:w w:val="117"/>
        </w:rPr>
        <w:t>50</w:t>
      </w:r>
      <w:r>
        <w:rPr>
          <w:spacing w:val="-1"/>
          <w:w w:val="117"/>
        </w:rPr>
        <w:t>%</w:t>
      </w:r>
      <w:r>
        <w:rPr/>
        <w:t>。</w:t>
      </w:r>
    </w:p>
    <w:p>
      <w:pPr>
        <w:spacing w:after="0"/>
        <w:sectPr>
          <w:pgSz w:w="11910" w:h="16840"/>
          <w:pgMar w:header="0" w:footer="1045" w:top="1480" w:bottom="1240" w:left="1680" w:right="1560"/>
        </w:sectPr>
      </w:pPr>
    </w:p>
    <w:p>
      <w:pPr>
        <w:pStyle w:val="Heading1"/>
        <w:numPr>
          <w:ilvl w:val="2"/>
          <w:numId w:val="5"/>
        </w:numPr>
        <w:tabs>
          <w:tab w:pos="1690" w:val="left" w:leader="none"/>
        </w:tabs>
        <w:spacing w:line="380" w:lineRule="exact" w:before="0" w:after="0"/>
        <w:ind w:left="1689" w:right="0" w:hanging="720"/>
        <w:jc w:val="left"/>
      </w:pPr>
      <w:bookmarkStart w:name="_TOC_250039" w:id="34"/>
      <w:bookmarkEnd w:id="34"/>
      <w:r>
        <w:rPr/>
        <w:t>脑中风后遗症</w:t>
      </w:r>
    </w:p>
    <w:p>
      <w:pPr>
        <w:pStyle w:val="BodyText"/>
        <w:spacing w:before="8"/>
        <w:rPr>
          <w:rFonts w:ascii="Microsoft JhengHei UI"/>
          <w:b/>
          <w:sz w:val="23"/>
        </w:rPr>
      </w:pPr>
    </w:p>
    <w:p>
      <w:pPr>
        <w:pStyle w:val="BodyText"/>
        <w:spacing w:line="307" w:lineRule="auto"/>
        <w:ind w:left="117" w:right="232" w:firstLine="480"/>
        <w:jc w:val="both"/>
      </w:pPr>
      <w:r>
        <w:rPr>
          <w:spacing w:val="-5"/>
        </w:rPr>
        <w:t>指因脑血管的突发病变引起脑血管出血、栓塞或梗塞，并导致神经系统永久</w:t>
      </w:r>
      <w:r>
        <w:rPr>
          <w:spacing w:val="-11"/>
        </w:rPr>
        <w:t>性的功能障碍。神经系统永久性的功能障碍，指疾病确诊 </w:t>
      </w:r>
      <w:r>
        <w:rPr/>
        <w:t>180</w:t>
      </w:r>
      <w:r>
        <w:rPr>
          <w:spacing w:val="-13"/>
        </w:rPr>
        <w:t> 天后，仍遗留下列一种或一种以上障碍：</w:t>
      </w:r>
    </w:p>
    <w:p>
      <w:pPr>
        <w:pStyle w:val="BodyText"/>
        <w:spacing w:before="16"/>
        <w:ind w:left="597"/>
      </w:pPr>
      <w:r>
        <w:rPr>
          <w:w w:val="95"/>
        </w:rPr>
        <w:t>（1）一肢或一肢以上肢体机能完全丧失；</w:t>
      </w:r>
    </w:p>
    <w:p>
      <w:pPr>
        <w:spacing w:line="408" w:lineRule="exact" w:before="14"/>
        <w:ind w:left="597" w:right="0" w:firstLine="0"/>
        <w:jc w:val="left"/>
        <w:rPr>
          <w:sz w:val="24"/>
        </w:rPr>
      </w:pPr>
      <w:r>
        <w:rPr>
          <w:sz w:val="24"/>
        </w:rPr>
        <w:t>（</w:t>
      </w:r>
      <w:r>
        <w:rPr>
          <w:w w:val="93"/>
          <w:sz w:val="24"/>
        </w:rPr>
        <w:t>2</w:t>
      </w:r>
      <w:r>
        <w:rPr>
          <w:sz w:val="24"/>
        </w:rPr>
        <w:t>）</w:t>
      </w:r>
      <w:r>
        <w:rPr>
          <w:rFonts w:ascii="Microsoft JhengHei UI" w:eastAsia="Microsoft JhengHei UI" w:hint="eastAsia"/>
          <w:b/>
          <w:w w:val="96"/>
          <w:sz w:val="25"/>
        </w:rPr>
        <w:t>语言能力或咀嚼吞咽能力完全丧失</w:t>
      </w:r>
      <w:r>
        <w:rPr>
          <w:sz w:val="24"/>
        </w:rPr>
        <w:t>（</w:t>
      </w:r>
      <w:r>
        <w:rPr>
          <w:spacing w:val="-16"/>
          <w:sz w:val="24"/>
        </w:rPr>
        <w:t>见释义 </w:t>
      </w:r>
      <w:r>
        <w:rPr>
          <w:w w:val="81"/>
          <w:sz w:val="24"/>
        </w:rPr>
        <w:t>12.5</w:t>
      </w:r>
      <w:r>
        <w:rPr>
          <w:spacing w:val="-120"/>
          <w:sz w:val="24"/>
        </w:rPr>
        <w:t>）</w:t>
      </w:r>
      <w:r>
        <w:rPr>
          <w:sz w:val="24"/>
        </w:rPr>
        <w:t>；</w:t>
      </w:r>
    </w:p>
    <w:p>
      <w:pPr>
        <w:pStyle w:val="BodyText"/>
        <w:spacing w:line="271" w:lineRule="auto"/>
        <w:ind w:left="117" w:right="112" w:firstLine="480"/>
      </w:pPr>
      <w:r>
        <w:rPr/>
        <w:t>（</w:t>
      </w:r>
      <w:r>
        <w:rPr>
          <w:w w:val="93"/>
        </w:rPr>
        <w:t>3</w:t>
      </w:r>
      <w:r>
        <w:rPr>
          <w:spacing w:val="-99"/>
        </w:rPr>
        <w:t>）</w:t>
      </w:r>
      <w:r>
        <w:rPr>
          <w:spacing w:val="-9"/>
        </w:rPr>
        <w:t>自主生活能力完全丧失，无法独立完成</w:t>
      </w:r>
      <w:r>
        <w:rPr>
          <w:rFonts w:ascii="Microsoft JhengHei UI" w:eastAsia="Microsoft JhengHei UI" w:hint="eastAsia"/>
          <w:b/>
          <w:spacing w:val="-12"/>
          <w:w w:val="95"/>
          <w:sz w:val="25"/>
        </w:rPr>
        <w:t>六项基本日常生活</w:t>
      </w:r>
      <w:r>
        <w:rPr/>
        <w:t>（</w:t>
      </w:r>
      <w:r>
        <w:rPr>
          <w:spacing w:val="-17"/>
        </w:rPr>
        <w:t>见释义 </w:t>
      </w:r>
      <w:r>
        <w:rPr>
          <w:w w:val="81"/>
        </w:rPr>
        <w:t>12.6</w:t>
      </w:r>
      <w:r>
        <w:rPr/>
        <w:t>）活动中的三项或三项以上。</w:t>
      </w:r>
    </w:p>
    <w:p>
      <w:pPr>
        <w:pStyle w:val="BodyText"/>
        <w:spacing w:before="3"/>
        <w:rPr>
          <w:sz w:val="26"/>
        </w:rPr>
      </w:pPr>
    </w:p>
    <w:p>
      <w:pPr>
        <w:pStyle w:val="Heading1"/>
        <w:numPr>
          <w:ilvl w:val="2"/>
          <w:numId w:val="5"/>
        </w:numPr>
        <w:tabs>
          <w:tab w:pos="1690" w:val="left" w:leader="none"/>
        </w:tabs>
        <w:spacing w:line="240" w:lineRule="auto" w:before="1" w:after="0"/>
        <w:ind w:left="1689" w:right="0" w:hanging="720"/>
        <w:jc w:val="left"/>
      </w:pPr>
      <w:bookmarkStart w:name="_TOC_250038" w:id="35"/>
      <w:bookmarkEnd w:id="35"/>
      <w:r>
        <w:rPr/>
        <w:t>重大器官移植术或造血干细胞移植术</w:t>
      </w:r>
    </w:p>
    <w:p>
      <w:pPr>
        <w:pStyle w:val="BodyText"/>
        <w:spacing w:before="8"/>
        <w:rPr>
          <w:rFonts w:ascii="Microsoft JhengHei UI"/>
          <w:b/>
          <w:sz w:val="23"/>
        </w:rPr>
      </w:pPr>
    </w:p>
    <w:p>
      <w:pPr>
        <w:pStyle w:val="BodyText"/>
        <w:spacing w:line="304" w:lineRule="auto"/>
        <w:ind w:left="117" w:right="152" w:firstLine="480"/>
      </w:pPr>
      <w:r>
        <w:rPr/>
        <w:t>重大器官移植术，指因相应器官功能衰竭，已经实施了肾脏、肝脏、心脏或肺脏的异体移植手术。</w:t>
      </w:r>
    </w:p>
    <w:p>
      <w:pPr>
        <w:pStyle w:val="BodyText"/>
        <w:spacing w:line="304" w:lineRule="auto" w:before="21"/>
        <w:ind w:left="117" w:right="232" w:firstLine="480"/>
        <w:jc w:val="both"/>
      </w:pPr>
      <w:r>
        <w:rPr>
          <w:spacing w:val="-7"/>
        </w:rPr>
        <w:t>造血干细胞移植术，指因造血功能损害或造血系统恶性肿瘤，已经实施了造</w:t>
      </w:r>
      <w:r>
        <w:rPr>
          <w:spacing w:val="-13"/>
        </w:rPr>
        <w:t>血干细胞</w:t>
      </w:r>
      <w:r>
        <w:rPr/>
        <w:t>（</w:t>
      </w:r>
      <w:r>
        <w:rPr>
          <w:spacing w:val="-3"/>
        </w:rPr>
        <w:t>包括骨髓造血干细胞、外周血造血干细胞和脐血造血干细胞</w:t>
      </w:r>
      <w:r>
        <w:rPr>
          <w:spacing w:val="-29"/>
        </w:rPr>
        <w:t>）</w:t>
      </w:r>
      <w:r>
        <w:rPr/>
        <w:t>的异体移植手术。</w:t>
      </w:r>
    </w:p>
    <w:p>
      <w:pPr>
        <w:pStyle w:val="BodyText"/>
        <w:spacing w:before="1"/>
        <w:rPr>
          <w:sz w:val="23"/>
        </w:rPr>
      </w:pPr>
    </w:p>
    <w:p>
      <w:pPr>
        <w:pStyle w:val="Heading1"/>
        <w:numPr>
          <w:ilvl w:val="2"/>
          <w:numId w:val="5"/>
        </w:numPr>
        <w:tabs>
          <w:tab w:pos="1690" w:val="left" w:leader="none"/>
        </w:tabs>
        <w:spacing w:line="240" w:lineRule="auto" w:before="0" w:after="0"/>
        <w:ind w:left="1689" w:right="0" w:hanging="720"/>
        <w:jc w:val="left"/>
      </w:pPr>
      <w:bookmarkStart w:name="_TOC_250037" w:id="36"/>
      <w:bookmarkEnd w:id="36"/>
      <w:r>
        <w:rPr/>
        <w:t>冠状动脉搭桥术（或称冠状动脉旁路移植术）</w:t>
      </w:r>
    </w:p>
    <w:p>
      <w:pPr>
        <w:pStyle w:val="BodyText"/>
        <w:spacing w:before="8"/>
        <w:rPr>
          <w:rFonts w:ascii="Microsoft JhengHei UI"/>
          <w:b/>
          <w:sz w:val="23"/>
        </w:rPr>
      </w:pPr>
    </w:p>
    <w:p>
      <w:pPr>
        <w:pStyle w:val="BodyText"/>
        <w:spacing w:line="307" w:lineRule="auto"/>
        <w:ind w:left="117" w:right="234" w:firstLine="480"/>
      </w:pPr>
      <w:r>
        <w:rPr>
          <w:spacing w:val="-9"/>
        </w:rPr>
        <w:t>指为治疗严重的冠心病，实际实施了开胸进行的冠状动脉血管旁路移植的手术。</w:t>
      </w:r>
    </w:p>
    <w:p>
      <w:pPr>
        <w:pStyle w:val="BodyText"/>
        <w:spacing w:line="307" w:lineRule="auto" w:before="17"/>
        <w:ind w:left="117" w:right="232" w:firstLine="480"/>
      </w:pPr>
      <w:r>
        <w:rPr>
          <w:spacing w:val="-8"/>
        </w:rPr>
        <w:t>冠状动脉支架植入术、心导管球囊扩张术、激光射频技术及其他非开胸的介入手术、腔镜手术不在保障范围内。</w:t>
      </w:r>
    </w:p>
    <w:p>
      <w:pPr>
        <w:pStyle w:val="BodyText"/>
        <w:spacing w:before="12"/>
        <w:rPr>
          <w:sz w:val="22"/>
        </w:rPr>
      </w:pPr>
    </w:p>
    <w:p>
      <w:pPr>
        <w:pStyle w:val="Heading1"/>
        <w:numPr>
          <w:ilvl w:val="2"/>
          <w:numId w:val="5"/>
        </w:numPr>
        <w:tabs>
          <w:tab w:pos="1690" w:val="left" w:leader="none"/>
        </w:tabs>
        <w:spacing w:line="240" w:lineRule="auto" w:before="0" w:after="0"/>
        <w:ind w:left="1689" w:right="0" w:hanging="720"/>
        <w:jc w:val="left"/>
      </w:pPr>
      <w:bookmarkStart w:name="_TOC_250036" w:id="37"/>
      <w:bookmarkEnd w:id="37"/>
      <w:r>
        <w:rPr/>
        <w:t>终末期肾病（或称慢性肾功能衰竭尿毒症期）</w:t>
      </w:r>
    </w:p>
    <w:p>
      <w:pPr>
        <w:pStyle w:val="BodyText"/>
        <w:spacing w:before="5"/>
        <w:rPr>
          <w:rFonts w:ascii="Microsoft JhengHei UI"/>
          <w:b/>
          <w:sz w:val="23"/>
        </w:rPr>
      </w:pPr>
    </w:p>
    <w:p>
      <w:pPr>
        <w:pStyle w:val="BodyText"/>
        <w:ind w:left="597"/>
      </w:pPr>
      <w:r>
        <w:rPr/>
        <w:t>指双肾功能慢性不可逆性衰竭，达到尿毒症期，经诊断后已经进行了至少</w:t>
      </w:r>
    </w:p>
    <w:p>
      <w:pPr>
        <w:pStyle w:val="BodyText"/>
        <w:spacing w:before="86"/>
        <w:ind w:left="117"/>
      </w:pPr>
      <w:r>
        <w:rPr/>
        <w:t>90 天的规律性透析治疗或实施了肾脏移植手术。</w:t>
      </w:r>
    </w:p>
    <w:p>
      <w:pPr>
        <w:pStyle w:val="BodyText"/>
        <w:spacing w:before="1"/>
        <w:rPr>
          <w:sz w:val="28"/>
        </w:rPr>
      </w:pPr>
    </w:p>
    <w:p>
      <w:pPr>
        <w:pStyle w:val="Heading1"/>
        <w:numPr>
          <w:ilvl w:val="2"/>
          <w:numId w:val="5"/>
        </w:numPr>
        <w:tabs>
          <w:tab w:pos="1690" w:val="left" w:leader="none"/>
        </w:tabs>
        <w:spacing w:line="240" w:lineRule="auto" w:before="0" w:after="0"/>
        <w:ind w:left="1689" w:right="0" w:hanging="720"/>
        <w:jc w:val="left"/>
      </w:pPr>
      <w:bookmarkStart w:name="_TOC_250035" w:id="38"/>
      <w:bookmarkEnd w:id="38"/>
      <w:r>
        <w:rPr/>
        <w:t>多个肢体缺失</w:t>
      </w:r>
    </w:p>
    <w:p>
      <w:pPr>
        <w:pStyle w:val="BodyText"/>
        <w:spacing w:before="8"/>
        <w:rPr>
          <w:rFonts w:ascii="Microsoft JhengHei UI"/>
          <w:b/>
          <w:sz w:val="23"/>
        </w:rPr>
      </w:pPr>
    </w:p>
    <w:p>
      <w:pPr>
        <w:pStyle w:val="BodyText"/>
        <w:spacing w:line="304" w:lineRule="auto"/>
        <w:ind w:left="117" w:right="234" w:firstLine="480"/>
      </w:pPr>
      <w:r>
        <w:rPr>
          <w:spacing w:val="-3"/>
        </w:rPr>
        <w:t>指因疾病或意外伤害导致两个或两个以上肢体自腕关节或踝关节近端</w:t>
      </w:r>
      <w:r>
        <w:rPr/>
        <w:t>（靠近躯干端）以上完全性断离。</w:t>
      </w:r>
    </w:p>
    <w:p>
      <w:pPr>
        <w:spacing w:after="0" w:line="304" w:lineRule="auto"/>
        <w:sectPr>
          <w:pgSz w:w="11910" w:h="16840"/>
          <w:pgMar w:header="0" w:footer="1045" w:top="1420" w:bottom="1240" w:left="1680" w:right="1560"/>
        </w:sectPr>
      </w:pPr>
    </w:p>
    <w:p>
      <w:pPr>
        <w:pStyle w:val="Heading1"/>
        <w:numPr>
          <w:ilvl w:val="2"/>
          <w:numId w:val="5"/>
        </w:numPr>
        <w:tabs>
          <w:tab w:pos="1690" w:val="left" w:leader="none"/>
        </w:tabs>
        <w:spacing w:line="380" w:lineRule="exact" w:before="0" w:after="0"/>
        <w:ind w:left="1689" w:right="0" w:hanging="720"/>
        <w:jc w:val="left"/>
      </w:pPr>
      <w:bookmarkStart w:name="_TOC_250034" w:id="39"/>
      <w:bookmarkEnd w:id="39"/>
      <w:r>
        <w:rPr/>
        <w:t>急性或亚急性重症肝炎</w:t>
      </w:r>
    </w:p>
    <w:p>
      <w:pPr>
        <w:pStyle w:val="BodyText"/>
        <w:spacing w:before="8"/>
        <w:rPr>
          <w:rFonts w:ascii="Microsoft JhengHei UI"/>
          <w:b/>
          <w:sz w:val="23"/>
        </w:rPr>
      </w:pPr>
    </w:p>
    <w:p>
      <w:pPr>
        <w:pStyle w:val="BodyText"/>
        <w:spacing w:line="307" w:lineRule="auto"/>
        <w:ind w:left="117" w:right="32" w:firstLine="480"/>
      </w:pPr>
      <w:r>
        <w:rPr/>
        <w:t>指因肝炎病毒感染引起肝脏组织弥漫性坏死，导致急性肝功能衰竭，且经血清学或病毒学检查证实，并须满足下列全部条件：</w:t>
      </w:r>
    </w:p>
    <w:p>
      <w:pPr>
        <w:pStyle w:val="BodyText"/>
        <w:spacing w:before="19"/>
        <w:ind w:left="597"/>
      </w:pPr>
      <w:r>
        <w:rPr>
          <w:w w:val="95"/>
        </w:rPr>
        <w:t>（1）重度黄疸或黄疸迅速加重；</w:t>
      </w:r>
    </w:p>
    <w:p>
      <w:pPr>
        <w:pStyle w:val="BodyText"/>
        <w:spacing w:before="84"/>
        <w:ind w:left="597"/>
      </w:pPr>
      <w:r>
        <w:rPr>
          <w:w w:val="95"/>
        </w:rPr>
        <w:t>（2）肝性脑病；</w:t>
      </w:r>
    </w:p>
    <w:p>
      <w:pPr>
        <w:pStyle w:val="BodyText"/>
        <w:spacing w:before="86"/>
        <w:ind w:left="597"/>
      </w:pPr>
      <w:r>
        <w:rPr/>
        <w:t>（3）B 超或其他影像学检查显示肝脏体积急速萎缩；</w:t>
      </w:r>
    </w:p>
    <w:p>
      <w:pPr>
        <w:pStyle w:val="BodyText"/>
        <w:spacing w:before="86"/>
        <w:ind w:left="597"/>
      </w:pPr>
      <w:r>
        <w:rPr>
          <w:w w:val="95"/>
        </w:rPr>
        <w:t>（4）肝功能指标进行性恶化。</w:t>
      </w:r>
    </w:p>
    <w:p>
      <w:pPr>
        <w:pStyle w:val="BodyText"/>
        <w:spacing w:before="11"/>
        <w:rPr>
          <w:sz w:val="27"/>
        </w:rPr>
      </w:pPr>
    </w:p>
    <w:p>
      <w:pPr>
        <w:pStyle w:val="Heading1"/>
        <w:numPr>
          <w:ilvl w:val="2"/>
          <w:numId w:val="5"/>
        </w:numPr>
        <w:tabs>
          <w:tab w:pos="1690" w:val="left" w:leader="none"/>
        </w:tabs>
        <w:spacing w:line="240" w:lineRule="auto" w:before="0" w:after="0"/>
        <w:ind w:left="1689" w:right="0" w:hanging="720"/>
        <w:jc w:val="left"/>
      </w:pPr>
      <w:bookmarkStart w:name="_TOC_250033" w:id="40"/>
      <w:bookmarkEnd w:id="40"/>
      <w:r>
        <w:rPr/>
        <w:t>良性脑肿瘤</w:t>
      </w:r>
    </w:p>
    <w:p>
      <w:pPr>
        <w:pStyle w:val="BodyText"/>
        <w:spacing w:before="7"/>
        <w:rPr>
          <w:rFonts w:ascii="Microsoft JhengHei UI"/>
          <w:b/>
          <w:sz w:val="23"/>
        </w:rPr>
      </w:pPr>
    </w:p>
    <w:p>
      <w:pPr>
        <w:pStyle w:val="BodyText"/>
        <w:spacing w:line="304" w:lineRule="auto"/>
        <w:ind w:left="117" w:right="112" w:firstLine="480"/>
        <w:jc w:val="both"/>
      </w:pPr>
      <w:r>
        <w:rPr>
          <w:spacing w:val="-7"/>
        </w:rPr>
        <w:t>指脑的良性肿瘤，已经引起颅内压增高，临床表现为视神经乳头水肿、精神</w:t>
      </w:r>
      <w:r>
        <w:rPr>
          <w:spacing w:val="-6"/>
        </w:rPr>
        <w:t>症状、癫痫及运动感觉障碍等，并危及生命。须由头颅断层扫描</w:t>
      </w:r>
      <w:r>
        <w:rPr/>
        <w:t>（</w:t>
      </w:r>
      <w:r>
        <w:rPr>
          <w:w w:val="125"/>
        </w:rPr>
        <w:t>CT</w:t>
      </w:r>
      <w:r>
        <w:rPr>
          <w:spacing w:val="-120"/>
        </w:rPr>
        <w:t>）</w:t>
      </w:r>
      <w:r>
        <w:rPr>
          <w:spacing w:val="-2"/>
        </w:rPr>
        <w:t>、核磁共振检查（MRI）或正电子发射断层扫描（PET）</w:t>
      </w:r>
      <w:r>
        <w:rPr>
          <w:spacing w:val="-1"/>
        </w:rPr>
        <w:t>等影像学检查证实，并须满足下</w:t>
      </w:r>
      <w:r>
        <w:rPr/>
        <w:t>列至少一项条件：</w:t>
      </w:r>
    </w:p>
    <w:p>
      <w:pPr>
        <w:pStyle w:val="BodyText"/>
        <w:spacing w:before="21"/>
        <w:ind w:left="597"/>
      </w:pPr>
      <w:r>
        <w:rPr>
          <w:w w:val="95"/>
        </w:rPr>
        <w:t>（1）实际实施了开颅进行的脑肿瘤完全切除或部分切除的手术；</w:t>
      </w:r>
    </w:p>
    <w:p>
      <w:pPr>
        <w:pStyle w:val="BodyText"/>
        <w:spacing w:before="84"/>
        <w:ind w:left="597"/>
      </w:pPr>
      <w:r>
        <w:rPr>
          <w:w w:val="95"/>
        </w:rPr>
        <w:t>（2）实际实施了对脑肿瘤进行的放射治疗。</w:t>
      </w:r>
    </w:p>
    <w:p>
      <w:pPr>
        <w:pStyle w:val="BodyText"/>
        <w:spacing w:before="86"/>
        <w:ind w:left="597"/>
      </w:pPr>
      <w:r>
        <w:rPr/>
        <w:t>脑垂体瘤、脑囊肿、脑血管性疾病不在保障范围内。</w:t>
      </w:r>
    </w:p>
    <w:p>
      <w:pPr>
        <w:pStyle w:val="BodyText"/>
        <w:rPr>
          <w:sz w:val="28"/>
        </w:rPr>
      </w:pPr>
    </w:p>
    <w:p>
      <w:pPr>
        <w:pStyle w:val="Heading1"/>
        <w:numPr>
          <w:ilvl w:val="2"/>
          <w:numId w:val="5"/>
        </w:numPr>
        <w:tabs>
          <w:tab w:pos="1690" w:val="left" w:leader="none"/>
        </w:tabs>
        <w:spacing w:line="240" w:lineRule="auto" w:before="0" w:after="0"/>
        <w:ind w:left="1689" w:right="0" w:hanging="720"/>
        <w:jc w:val="left"/>
      </w:pPr>
      <w:bookmarkStart w:name="_TOC_250032" w:id="41"/>
      <w:bookmarkEnd w:id="41"/>
      <w:r>
        <w:rPr/>
        <w:t>慢性肝功能衰竭失代偿期</w:t>
      </w:r>
    </w:p>
    <w:p>
      <w:pPr>
        <w:pStyle w:val="BodyText"/>
        <w:spacing w:before="7"/>
        <w:rPr>
          <w:rFonts w:ascii="Microsoft JhengHei UI"/>
          <w:b/>
          <w:sz w:val="23"/>
        </w:rPr>
      </w:pPr>
    </w:p>
    <w:p>
      <w:pPr>
        <w:pStyle w:val="BodyText"/>
        <w:spacing w:before="1"/>
        <w:ind w:left="597"/>
      </w:pPr>
      <w:r>
        <w:rPr/>
        <w:t>指因慢性肝脏疾病导致肝功能衰竭。须满足下列全部条件：</w:t>
      </w:r>
    </w:p>
    <w:p>
      <w:pPr>
        <w:pStyle w:val="BodyText"/>
        <w:spacing w:before="84"/>
        <w:ind w:left="597"/>
      </w:pPr>
      <w:r>
        <w:rPr>
          <w:w w:val="95"/>
        </w:rPr>
        <w:t>（1）持续性黄疸；</w:t>
      </w:r>
    </w:p>
    <w:p>
      <w:pPr>
        <w:pStyle w:val="BodyText"/>
        <w:spacing w:before="86"/>
        <w:ind w:left="597"/>
      </w:pPr>
      <w:r>
        <w:rPr>
          <w:w w:val="95"/>
        </w:rPr>
        <w:t>（2）腹水；</w:t>
      </w:r>
    </w:p>
    <w:p>
      <w:pPr>
        <w:pStyle w:val="BodyText"/>
        <w:spacing w:before="86"/>
        <w:ind w:left="597"/>
      </w:pPr>
      <w:r>
        <w:rPr>
          <w:w w:val="95"/>
        </w:rPr>
        <w:t>（3）肝性脑病；</w:t>
      </w:r>
    </w:p>
    <w:p>
      <w:pPr>
        <w:pStyle w:val="BodyText"/>
        <w:spacing w:line="307" w:lineRule="auto" w:before="84"/>
        <w:ind w:left="597" w:right="2073"/>
      </w:pPr>
      <w:r>
        <w:rPr>
          <w:w w:val="95"/>
        </w:rPr>
        <w:t>（4）充血性脾肿大伴脾功能亢进或食管胃底静脉曲张。 </w:t>
      </w:r>
      <w:r>
        <w:rPr/>
        <w:t>因酗酒或药物滥用导致的肝功能衰竭不在保障范围内。</w:t>
      </w:r>
    </w:p>
    <w:p>
      <w:pPr>
        <w:pStyle w:val="BodyText"/>
        <w:spacing w:before="12"/>
        <w:rPr>
          <w:sz w:val="22"/>
        </w:rPr>
      </w:pPr>
    </w:p>
    <w:p>
      <w:pPr>
        <w:pStyle w:val="Heading1"/>
        <w:numPr>
          <w:ilvl w:val="2"/>
          <w:numId w:val="5"/>
        </w:numPr>
        <w:tabs>
          <w:tab w:pos="1690" w:val="left" w:leader="none"/>
        </w:tabs>
        <w:spacing w:line="240" w:lineRule="auto" w:before="0" w:after="0"/>
        <w:ind w:left="1689" w:right="0" w:hanging="720"/>
        <w:jc w:val="left"/>
      </w:pPr>
      <w:bookmarkStart w:name="_TOC_250031" w:id="42"/>
      <w:bookmarkEnd w:id="42"/>
      <w:r>
        <w:rPr/>
        <w:t>脑炎后遗症或脑膜炎后遗症</w:t>
      </w:r>
    </w:p>
    <w:p>
      <w:pPr>
        <w:pStyle w:val="BodyText"/>
        <w:spacing w:before="5"/>
        <w:rPr>
          <w:rFonts w:ascii="Microsoft JhengHei UI"/>
          <w:b/>
          <w:sz w:val="23"/>
        </w:rPr>
      </w:pPr>
    </w:p>
    <w:p>
      <w:pPr>
        <w:pStyle w:val="BodyText"/>
        <w:spacing w:line="307" w:lineRule="auto"/>
        <w:ind w:left="117" w:right="114" w:firstLine="480"/>
      </w:pPr>
      <w:r>
        <w:rPr>
          <w:spacing w:val="-4"/>
        </w:rPr>
        <w:t>指因患脑炎或脑膜炎导致的神经系统永久性的功能障碍。神经系统永久性的</w:t>
      </w:r>
      <w:r>
        <w:rPr>
          <w:spacing w:val="-11"/>
        </w:rPr>
        <w:t>功能障碍，指疾病确诊 </w:t>
      </w:r>
      <w:r>
        <w:rPr/>
        <w:t>180</w:t>
      </w:r>
      <w:r>
        <w:rPr>
          <w:spacing w:val="-9"/>
        </w:rPr>
        <w:t> 天后，仍遗留下列一种或一种以上障碍：</w:t>
      </w:r>
    </w:p>
    <w:p>
      <w:pPr>
        <w:spacing w:line="363" w:lineRule="exact" w:before="0"/>
        <w:ind w:left="597" w:right="0" w:firstLine="0"/>
        <w:jc w:val="left"/>
        <w:rPr>
          <w:sz w:val="24"/>
        </w:rPr>
      </w:pPr>
      <w:r>
        <w:rPr>
          <w:sz w:val="24"/>
        </w:rPr>
        <w:t>（</w:t>
      </w:r>
      <w:r>
        <w:rPr>
          <w:w w:val="93"/>
          <w:sz w:val="24"/>
        </w:rPr>
        <w:t>1</w:t>
      </w:r>
      <w:r>
        <w:rPr>
          <w:sz w:val="24"/>
        </w:rPr>
        <w:t>）一肢或一肢以上</w:t>
      </w:r>
      <w:r>
        <w:rPr>
          <w:rFonts w:ascii="Microsoft JhengHei UI" w:eastAsia="Microsoft JhengHei UI" w:hint="eastAsia"/>
          <w:b/>
          <w:w w:val="95"/>
          <w:sz w:val="25"/>
        </w:rPr>
        <w:t>肢体机能完全丧失</w:t>
      </w:r>
      <w:r>
        <w:rPr>
          <w:sz w:val="24"/>
        </w:rPr>
        <w:t>（</w:t>
      </w:r>
      <w:r>
        <w:rPr>
          <w:spacing w:val="-16"/>
          <w:sz w:val="24"/>
        </w:rPr>
        <w:t>见释义 </w:t>
      </w:r>
      <w:r>
        <w:rPr>
          <w:w w:val="81"/>
          <w:sz w:val="24"/>
        </w:rPr>
        <w:t>12.7</w:t>
      </w:r>
      <w:r>
        <w:rPr>
          <w:spacing w:val="-120"/>
          <w:sz w:val="24"/>
        </w:rPr>
        <w:t>）</w:t>
      </w:r>
      <w:r>
        <w:rPr>
          <w:sz w:val="24"/>
        </w:rPr>
        <w:t>；</w:t>
      </w:r>
    </w:p>
    <w:p>
      <w:pPr>
        <w:pStyle w:val="BodyText"/>
        <w:spacing w:before="54"/>
        <w:ind w:left="597"/>
      </w:pPr>
      <w:r>
        <w:rPr>
          <w:w w:val="95"/>
        </w:rPr>
        <w:t>（2）语言能力或咀嚼吞咽能力完全丧失；</w:t>
      </w:r>
    </w:p>
    <w:p>
      <w:pPr>
        <w:pStyle w:val="BodyText"/>
        <w:spacing w:line="307" w:lineRule="auto" w:before="86"/>
        <w:ind w:left="117" w:right="112" w:firstLine="480"/>
      </w:pPr>
      <w:r>
        <w:rPr/>
        <w:t>（3）自主生活能力完全丧失，无法独立完成六项基本日常生活活动中的三项或三项以上。</w:t>
      </w:r>
    </w:p>
    <w:p>
      <w:pPr>
        <w:spacing w:after="0" w:line="307" w:lineRule="auto"/>
        <w:sectPr>
          <w:pgSz w:w="11910" w:h="16840"/>
          <w:pgMar w:header="0" w:footer="1045" w:top="1420" w:bottom="1240" w:left="1680" w:right="1680"/>
        </w:sectPr>
      </w:pPr>
    </w:p>
    <w:p>
      <w:pPr>
        <w:pStyle w:val="Heading1"/>
        <w:numPr>
          <w:ilvl w:val="2"/>
          <w:numId w:val="5"/>
        </w:numPr>
        <w:tabs>
          <w:tab w:pos="1690" w:val="left" w:leader="none"/>
        </w:tabs>
        <w:spacing w:line="380" w:lineRule="exact" w:before="0" w:after="0"/>
        <w:ind w:left="1689" w:right="0" w:hanging="720"/>
        <w:jc w:val="left"/>
      </w:pPr>
      <w:bookmarkStart w:name="_TOC_250030" w:id="43"/>
      <w:bookmarkEnd w:id="43"/>
      <w:r>
        <w:rPr/>
        <w:t>深度昏迷</w:t>
      </w:r>
    </w:p>
    <w:p>
      <w:pPr>
        <w:pStyle w:val="BodyText"/>
        <w:spacing w:before="8"/>
        <w:rPr>
          <w:rFonts w:ascii="Microsoft JhengHei UI"/>
          <w:b/>
          <w:sz w:val="23"/>
        </w:rPr>
      </w:pPr>
    </w:p>
    <w:p>
      <w:pPr>
        <w:pStyle w:val="BodyText"/>
        <w:spacing w:line="307" w:lineRule="auto"/>
        <w:ind w:left="117" w:right="112" w:firstLine="480"/>
        <w:jc w:val="both"/>
      </w:pPr>
      <w:r>
        <w:rPr>
          <w:spacing w:val="-5"/>
        </w:rPr>
        <w:t>指因疾病或意外伤害导致意识丧失，对外界刺激和体内需求均无反应，昏迷</w:t>
      </w:r>
      <w:r>
        <w:rPr>
          <w:spacing w:val="-6"/>
        </w:rPr>
        <w:t>程度按照格拉斯哥昏迷分级</w:t>
      </w:r>
      <w:r>
        <w:rPr/>
        <w:t>（Glasgow</w:t>
      </w:r>
      <w:r>
        <w:rPr>
          <w:spacing w:val="-88"/>
        </w:rPr>
        <w:t> </w:t>
      </w:r>
      <w:r>
        <w:rPr/>
        <w:t>coma</w:t>
      </w:r>
      <w:r>
        <w:rPr>
          <w:spacing w:val="-88"/>
        </w:rPr>
        <w:t> </w:t>
      </w:r>
      <w:r>
        <w:rPr>
          <w:spacing w:val="-3"/>
        </w:rPr>
        <w:t>scale）</w:t>
      </w:r>
      <w:r>
        <w:rPr>
          <w:spacing w:val="-22"/>
        </w:rPr>
        <w:t>结果为 </w:t>
      </w:r>
      <w:r>
        <w:rPr/>
        <w:t>5</w:t>
      </w:r>
      <w:r>
        <w:rPr>
          <w:spacing w:val="-45"/>
        </w:rPr>
        <w:t> 分或 </w:t>
      </w:r>
      <w:r>
        <w:rPr/>
        <w:t>5</w:t>
      </w:r>
      <w:r>
        <w:rPr>
          <w:spacing w:val="-16"/>
        </w:rPr>
        <w:t> 分以下，且已</w:t>
      </w:r>
      <w:r>
        <w:rPr>
          <w:spacing w:val="-19"/>
        </w:rPr>
        <w:t>经持续使用呼吸机及其他生命维持系统 </w:t>
      </w:r>
      <w:r>
        <w:rPr/>
        <w:t>96</w:t>
      </w:r>
      <w:r>
        <w:rPr>
          <w:spacing w:val="-13"/>
        </w:rPr>
        <w:t> 小时以上。</w:t>
      </w:r>
    </w:p>
    <w:p>
      <w:pPr>
        <w:pStyle w:val="BodyText"/>
        <w:spacing w:before="16"/>
        <w:ind w:left="597"/>
      </w:pPr>
      <w:r>
        <w:rPr/>
        <w:t>因酗酒或药物滥用导致的深度昏迷不在保障范围内。</w:t>
      </w:r>
    </w:p>
    <w:p>
      <w:pPr>
        <w:pStyle w:val="BodyText"/>
        <w:rPr>
          <w:sz w:val="28"/>
        </w:rPr>
      </w:pPr>
    </w:p>
    <w:p>
      <w:pPr>
        <w:pStyle w:val="Heading1"/>
        <w:numPr>
          <w:ilvl w:val="2"/>
          <w:numId w:val="5"/>
        </w:numPr>
        <w:tabs>
          <w:tab w:pos="1690" w:val="left" w:leader="none"/>
        </w:tabs>
        <w:spacing w:line="240" w:lineRule="auto" w:before="0" w:after="0"/>
        <w:ind w:left="1689" w:right="0" w:hanging="720"/>
        <w:jc w:val="left"/>
      </w:pPr>
      <w:bookmarkStart w:name="_TOC_250029" w:id="44"/>
      <w:bookmarkEnd w:id="44"/>
      <w:r>
        <w:rPr/>
        <w:t>双耳失聪</w:t>
      </w:r>
    </w:p>
    <w:p>
      <w:pPr>
        <w:pStyle w:val="BodyText"/>
        <w:spacing w:before="2"/>
        <w:rPr>
          <w:rFonts w:ascii="Microsoft JhengHei UI"/>
          <w:b/>
          <w:sz w:val="19"/>
        </w:rPr>
      </w:pPr>
    </w:p>
    <w:p>
      <w:pPr>
        <w:pStyle w:val="BodyText"/>
        <w:spacing w:line="285" w:lineRule="auto" w:before="1"/>
        <w:ind w:left="117" w:right="112" w:firstLine="480"/>
        <w:jc w:val="both"/>
      </w:pPr>
      <w:r>
        <w:rPr>
          <w:w w:val="95"/>
        </w:rPr>
        <w:t>指因疾病或意外伤害导致双耳听力</w:t>
      </w:r>
      <w:r>
        <w:rPr>
          <w:rFonts w:ascii="Microsoft JhengHei UI" w:eastAsia="Microsoft JhengHei UI" w:hint="eastAsia"/>
          <w:b/>
          <w:spacing w:val="-15"/>
          <w:w w:val="95"/>
          <w:sz w:val="25"/>
        </w:rPr>
        <w:t>永久不可逆</w:t>
      </w:r>
      <w:r>
        <w:rPr>
          <w:w w:val="95"/>
        </w:rPr>
        <w:t>（</w:t>
      </w:r>
      <w:r>
        <w:rPr>
          <w:spacing w:val="13"/>
          <w:w w:val="95"/>
        </w:rPr>
        <w:t>见释义 </w:t>
      </w:r>
      <w:r>
        <w:rPr>
          <w:spacing w:val="-15"/>
          <w:w w:val="95"/>
        </w:rPr>
        <w:t>12.8）</w:t>
      </w:r>
      <w:r>
        <w:rPr>
          <w:spacing w:val="-4"/>
          <w:w w:val="95"/>
        </w:rPr>
        <w:t>性丧失，在 </w:t>
      </w:r>
      <w:r>
        <w:rPr>
          <w:w w:val="95"/>
        </w:rPr>
        <w:t>500 </w:t>
      </w:r>
      <w:r>
        <w:rPr>
          <w:spacing w:val="-8"/>
        </w:rPr>
        <w:t>赫兹、</w:t>
      </w:r>
      <w:r>
        <w:rPr/>
        <w:t>1000</w:t>
      </w:r>
      <w:r>
        <w:rPr>
          <w:spacing w:val="-31"/>
        </w:rPr>
        <w:t> 赫兹和 </w:t>
      </w:r>
      <w:r>
        <w:rPr/>
        <w:t>2000</w:t>
      </w:r>
      <w:r>
        <w:rPr>
          <w:spacing w:val="-15"/>
        </w:rPr>
        <w:t> 赫兹语音频率下，平均听阈大于 </w:t>
      </w:r>
      <w:r>
        <w:rPr/>
        <w:t>90</w:t>
      </w:r>
      <w:r>
        <w:rPr>
          <w:spacing w:val="-12"/>
        </w:rPr>
        <w:t> 分贝，且经纯音听力测试、声导抗检测或听觉诱发电位检测等证实。</w:t>
      </w:r>
    </w:p>
    <w:p>
      <w:pPr>
        <w:pStyle w:val="BodyText"/>
        <w:spacing w:before="8"/>
      </w:pPr>
    </w:p>
    <w:p>
      <w:pPr>
        <w:pStyle w:val="Heading1"/>
        <w:numPr>
          <w:ilvl w:val="2"/>
          <w:numId w:val="5"/>
        </w:numPr>
        <w:tabs>
          <w:tab w:pos="1690" w:val="left" w:leader="none"/>
        </w:tabs>
        <w:spacing w:line="240" w:lineRule="auto" w:before="0" w:after="0"/>
        <w:ind w:left="1689" w:right="0" w:hanging="720"/>
        <w:jc w:val="left"/>
      </w:pPr>
      <w:bookmarkStart w:name="_TOC_250028" w:id="45"/>
      <w:bookmarkEnd w:id="45"/>
      <w:r>
        <w:rPr/>
        <w:t>双目失明</w:t>
      </w:r>
    </w:p>
    <w:p>
      <w:pPr>
        <w:pStyle w:val="BodyText"/>
        <w:spacing w:before="8"/>
        <w:rPr>
          <w:rFonts w:ascii="Microsoft JhengHei UI"/>
          <w:b/>
          <w:sz w:val="23"/>
        </w:rPr>
      </w:pPr>
    </w:p>
    <w:p>
      <w:pPr>
        <w:pStyle w:val="BodyText"/>
        <w:spacing w:line="304" w:lineRule="auto"/>
        <w:ind w:left="117" w:right="114" w:firstLine="480"/>
        <w:jc w:val="both"/>
      </w:pPr>
      <w:r>
        <w:rPr>
          <w:spacing w:val="-4"/>
        </w:rPr>
        <w:t>指因疾病或意外伤害导致双眼视力永久不可逆性丧失，双眼中较好眼须满足下列至少一项条件：</w:t>
      </w:r>
    </w:p>
    <w:p>
      <w:pPr>
        <w:pStyle w:val="BodyText"/>
        <w:spacing w:before="21"/>
        <w:ind w:left="597"/>
      </w:pPr>
      <w:r>
        <w:rPr>
          <w:w w:val="95"/>
        </w:rPr>
        <w:t>（1）眼球缺失或摘除；</w:t>
      </w:r>
    </w:p>
    <w:p>
      <w:pPr>
        <w:pStyle w:val="BodyText"/>
        <w:spacing w:line="304" w:lineRule="auto" w:before="86"/>
        <w:ind w:left="117" w:right="117" w:firstLine="480"/>
        <w:jc w:val="both"/>
      </w:pPr>
      <w:r>
        <w:rPr>
          <w:w w:val="95"/>
        </w:rPr>
        <w:t>（2）</w:t>
      </w:r>
      <w:r>
        <w:rPr>
          <w:spacing w:val="6"/>
          <w:w w:val="95"/>
        </w:rPr>
        <w:t>矫正视力低于 </w:t>
      </w:r>
      <w:r>
        <w:rPr>
          <w:w w:val="95"/>
        </w:rPr>
        <w:t>0.02（采用国际标准视力表，如果使用其他视力表应进</w:t>
      </w:r>
      <w:r>
        <w:rPr/>
        <w:t>行换算</w:t>
      </w:r>
      <w:r>
        <w:rPr>
          <w:spacing w:val="-120"/>
        </w:rPr>
        <w:t>）</w:t>
      </w:r>
      <w:r>
        <w:rPr/>
        <w:t>；</w:t>
      </w:r>
    </w:p>
    <w:p>
      <w:pPr>
        <w:pStyle w:val="BodyText"/>
        <w:spacing w:before="22"/>
        <w:ind w:left="597"/>
      </w:pPr>
      <w:r>
        <w:rPr/>
        <w:t>（3）视野半径小于 5 度。</w:t>
      </w:r>
    </w:p>
    <w:p>
      <w:pPr>
        <w:pStyle w:val="BodyText"/>
        <w:spacing w:before="1"/>
        <w:rPr>
          <w:sz w:val="28"/>
        </w:rPr>
      </w:pPr>
    </w:p>
    <w:p>
      <w:pPr>
        <w:pStyle w:val="Heading1"/>
        <w:numPr>
          <w:ilvl w:val="2"/>
          <w:numId w:val="5"/>
        </w:numPr>
        <w:tabs>
          <w:tab w:pos="1690" w:val="left" w:leader="none"/>
        </w:tabs>
        <w:spacing w:line="240" w:lineRule="auto" w:before="0" w:after="0"/>
        <w:ind w:left="1689" w:right="0" w:hanging="720"/>
        <w:jc w:val="left"/>
      </w:pPr>
      <w:bookmarkStart w:name="_TOC_250027" w:id="46"/>
      <w:bookmarkEnd w:id="46"/>
      <w:r>
        <w:rPr/>
        <w:t>瘫痪</w:t>
      </w:r>
    </w:p>
    <w:p>
      <w:pPr>
        <w:pStyle w:val="BodyText"/>
        <w:spacing w:before="5"/>
        <w:rPr>
          <w:rFonts w:ascii="Microsoft JhengHei UI"/>
          <w:b/>
          <w:sz w:val="23"/>
        </w:rPr>
      </w:pPr>
    </w:p>
    <w:p>
      <w:pPr>
        <w:pStyle w:val="BodyText"/>
        <w:spacing w:line="307" w:lineRule="auto"/>
        <w:ind w:left="117" w:right="112" w:firstLine="480"/>
        <w:jc w:val="both"/>
      </w:pPr>
      <w:r>
        <w:rPr>
          <w:spacing w:val="-4"/>
        </w:rPr>
        <w:t>指因疾病或意外伤害导致两肢或两肢以上肢体机能永久完全丧失。肢体机能</w:t>
      </w:r>
      <w:r>
        <w:rPr>
          <w:spacing w:val="-12"/>
        </w:rPr>
        <w:t>永久完全丧失，指疾病确诊 </w:t>
      </w:r>
      <w:r>
        <w:rPr/>
        <w:t>180</w:t>
      </w:r>
      <w:r>
        <w:rPr>
          <w:spacing w:val="-15"/>
        </w:rPr>
        <w:t> 天后或意外伤害发生 </w:t>
      </w:r>
      <w:r>
        <w:rPr/>
        <w:t>180</w:t>
      </w:r>
      <w:r>
        <w:rPr>
          <w:spacing w:val="-11"/>
        </w:rPr>
        <w:t> 天后，每肢三大关节中的两大关节仍然完全僵硬，或不能随意识活动。</w:t>
      </w:r>
    </w:p>
    <w:p>
      <w:pPr>
        <w:pStyle w:val="BodyText"/>
        <w:spacing w:before="9"/>
        <w:rPr>
          <w:sz w:val="22"/>
        </w:rPr>
      </w:pPr>
    </w:p>
    <w:p>
      <w:pPr>
        <w:pStyle w:val="Heading1"/>
        <w:numPr>
          <w:ilvl w:val="2"/>
          <w:numId w:val="5"/>
        </w:numPr>
        <w:tabs>
          <w:tab w:pos="1690" w:val="left" w:leader="none"/>
        </w:tabs>
        <w:spacing w:line="240" w:lineRule="auto" w:before="0" w:after="0"/>
        <w:ind w:left="1689" w:right="0" w:hanging="720"/>
        <w:jc w:val="left"/>
      </w:pPr>
      <w:bookmarkStart w:name="_TOC_250026" w:id="47"/>
      <w:bookmarkEnd w:id="47"/>
      <w:r>
        <w:rPr/>
        <w:t>心脏瓣膜手术</w:t>
      </w:r>
    </w:p>
    <w:p>
      <w:pPr>
        <w:pStyle w:val="BodyText"/>
        <w:spacing w:before="7"/>
        <w:rPr>
          <w:rFonts w:ascii="Microsoft JhengHei UI"/>
          <w:b/>
          <w:sz w:val="23"/>
        </w:rPr>
      </w:pPr>
    </w:p>
    <w:p>
      <w:pPr>
        <w:pStyle w:val="BodyText"/>
        <w:spacing w:line="307" w:lineRule="auto" w:before="1"/>
        <w:ind w:left="117" w:right="112" w:firstLine="480"/>
        <w:jc w:val="both"/>
      </w:pPr>
      <w:r>
        <w:rPr/>
        <w:t>指为治疗心脏瓣膜疾病，实际实施了开胸进行的心脏瓣膜置换或修复的手术。</w:t>
      </w:r>
    </w:p>
    <w:p>
      <w:pPr>
        <w:pStyle w:val="BodyText"/>
        <w:spacing w:before="12"/>
        <w:rPr>
          <w:sz w:val="22"/>
        </w:rPr>
      </w:pPr>
    </w:p>
    <w:p>
      <w:pPr>
        <w:pStyle w:val="Heading1"/>
        <w:numPr>
          <w:ilvl w:val="2"/>
          <w:numId w:val="5"/>
        </w:numPr>
        <w:tabs>
          <w:tab w:pos="1690" w:val="left" w:leader="none"/>
        </w:tabs>
        <w:spacing w:line="240" w:lineRule="auto" w:before="0" w:after="0"/>
        <w:ind w:left="1689" w:right="0" w:hanging="720"/>
        <w:jc w:val="left"/>
      </w:pPr>
      <w:bookmarkStart w:name="_TOC_250025" w:id="48"/>
      <w:bookmarkEnd w:id="48"/>
      <w:r>
        <w:rPr/>
        <w:t>严重阿尔茨海默病</w:t>
      </w:r>
    </w:p>
    <w:p>
      <w:pPr>
        <w:pStyle w:val="BodyText"/>
        <w:spacing w:before="5"/>
        <w:rPr>
          <w:rFonts w:ascii="Microsoft JhengHei UI"/>
          <w:b/>
          <w:sz w:val="23"/>
        </w:rPr>
      </w:pPr>
    </w:p>
    <w:p>
      <w:pPr>
        <w:pStyle w:val="BodyText"/>
        <w:ind w:left="597"/>
      </w:pPr>
      <w:r>
        <w:rPr/>
        <w:t>指因大脑进行性、不可逆性改变导致智能严重衰退或丧失，临床表现为明显</w:t>
      </w:r>
    </w:p>
    <w:p>
      <w:pPr>
        <w:spacing w:after="0"/>
        <w:sectPr>
          <w:pgSz w:w="11910" w:h="16840"/>
          <w:pgMar w:header="0" w:footer="1045" w:top="1420" w:bottom="1240" w:left="1680" w:right="1680"/>
        </w:sectPr>
      </w:pPr>
    </w:p>
    <w:p>
      <w:pPr>
        <w:pStyle w:val="BodyText"/>
        <w:spacing w:line="304" w:lineRule="auto" w:before="41"/>
        <w:ind w:left="117" w:right="109"/>
      </w:pPr>
      <w:r>
        <w:rPr>
          <w:spacing w:val="-15"/>
        </w:rPr>
        <w:t>的认知能力障碍、行为异常和社交能力减退，其日常生活必须持续受到他人监护。须从头颅断层扫描</w:t>
      </w:r>
      <w:r>
        <w:rPr/>
        <w:t>（</w:t>
      </w:r>
      <w:r>
        <w:rPr>
          <w:w w:val="125"/>
        </w:rPr>
        <w:t>CT</w:t>
      </w:r>
      <w:r>
        <w:rPr>
          <w:spacing w:val="-120"/>
        </w:rPr>
        <w:t>）</w:t>
      </w:r>
      <w:r>
        <w:rPr>
          <w:spacing w:val="-5"/>
        </w:rPr>
        <w:t>、核磁共振检查</w:t>
      </w:r>
      <w:r>
        <w:rPr/>
        <w:t>（</w:t>
      </w:r>
      <w:r>
        <w:rPr>
          <w:w w:val="120"/>
        </w:rPr>
        <w:t>MR</w:t>
      </w:r>
      <w:r>
        <w:rPr>
          <w:spacing w:val="-1"/>
          <w:w w:val="120"/>
        </w:rPr>
        <w:t>I</w:t>
      </w:r>
      <w:r>
        <w:rPr>
          <w:spacing w:val="-12"/>
        </w:rPr>
        <w:t>）</w:t>
      </w:r>
      <w:r>
        <w:rPr>
          <w:spacing w:val="-2"/>
        </w:rPr>
        <w:t>或正电子发射断层扫描</w:t>
      </w:r>
      <w:r>
        <w:rPr/>
        <w:t>（</w:t>
      </w:r>
      <w:r>
        <w:rPr>
          <w:w w:val="122"/>
        </w:rPr>
        <w:t>PE</w:t>
      </w:r>
      <w:r>
        <w:rPr>
          <w:spacing w:val="0"/>
          <w:w w:val="122"/>
        </w:rPr>
        <w:t>T</w:t>
      </w:r>
      <w:r>
        <w:rPr/>
        <w:t>）</w:t>
      </w:r>
      <w:r>
        <w:rPr>
          <w:spacing w:val="-7"/>
        </w:rPr>
        <w:t>等影像学检查证实，且自主生活能力完全丧失，无法独立完成六项基本日常生活活动中的三项或三项以上。</w:t>
      </w:r>
    </w:p>
    <w:p>
      <w:pPr>
        <w:pStyle w:val="BodyText"/>
        <w:spacing w:before="21"/>
        <w:ind w:left="597"/>
      </w:pPr>
      <w:r>
        <w:rPr/>
        <w:t>神经官能症和精神疾病不在保障范围内。</w:t>
      </w:r>
    </w:p>
    <w:p>
      <w:pPr>
        <w:pStyle w:val="BodyText"/>
        <w:spacing w:before="11"/>
        <w:rPr>
          <w:sz w:val="27"/>
        </w:rPr>
      </w:pPr>
    </w:p>
    <w:p>
      <w:pPr>
        <w:pStyle w:val="Heading1"/>
        <w:numPr>
          <w:ilvl w:val="2"/>
          <w:numId w:val="5"/>
        </w:numPr>
        <w:tabs>
          <w:tab w:pos="1690" w:val="left" w:leader="none"/>
        </w:tabs>
        <w:spacing w:line="240" w:lineRule="auto" w:before="0" w:after="0"/>
        <w:ind w:left="1689" w:right="0" w:hanging="720"/>
        <w:jc w:val="left"/>
      </w:pPr>
      <w:bookmarkStart w:name="_TOC_250024" w:id="49"/>
      <w:bookmarkEnd w:id="49"/>
      <w:r>
        <w:rPr/>
        <w:t>严重脑损伤</w:t>
      </w:r>
    </w:p>
    <w:p>
      <w:pPr>
        <w:pStyle w:val="BodyText"/>
        <w:spacing w:before="8"/>
        <w:rPr>
          <w:rFonts w:ascii="Microsoft JhengHei UI"/>
          <w:b/>
          <w:sz w:val="23"/>
        </w:rPr>
      </w:pPr>
    </w:p>
    <w:p>
      <w:pPr>
        <w:pStyle w:val="BodyText"/>
        <w:spacing w:line="304" w:lineRule="auto"/>
        <w:ind w:left="117" w:right="232" w:firstLine="480"/>
        <w:jc w:val="both"/>
      </w:pPr>
      <w:r>
        <w:rPr>
          <w:spacing w:val="-6"/>
        </w:rPr>
        <w:t>指因头部遭受机械性外力，引起脑重要部位损伤，导致神经系统永久性的功</w:t>
      </w:r>
      <w:r>
        <w:rPr>
          <w:spacing w:val="-5"/>
        </w:rPr>
        <w:t>能障碍。须由头颅断层扫描</w:t>
      </w:r>
      <w:r>
        <w:rPr/>
        <w:t>（</w:t>
      </w:r>
      <w:r>
        <w:rPr>
          <w:w w:val="125"/>
        </w:rPr>
        <w:t>C</w:t>
      </w:r>
      <w:r>
        <w:rPr>
          <w:spacing w:val="1"/>
          <w:w w:val="125"/>
        </w:rPr>
        <w:t>T</w:t>
      </w:r>
      <w:r>
        <w:rPr>
          <w:spacing w:val="-120"/>
        </w:rPr>
        <w:t>）</w:t>
      </w:r>
      <w:r>
        <w:rPr/>
        <w:t>、核磁共振检查（</w:t>
      </w:r>
      <w:r>
        <w:rPr>
          <w:w w:val="120"/>
        </w:rPr>
        <w:t>MR</w:t>
      </w:r>
      <w:r>
        <w:rPr>
          <w:spacing w:val="-1"/>
          <w:w w:val="120"/>
        </w:rPr>
        <w:t>I</w:t>
      </w:r>
      <w:r>
        <w:rPr>
          <w:spacing w:val="1"/>
        </w:rPr>
        <w:t>）</w:t>
      </w:r>
      <w:r>
        <w:rPr/>
        <w:t>或正电子发射断层扫</w:t>
      </w:r>
      <w:r>
        <w:rPr>
          <w:spacing w:val="-8"/>
        </w:rPr>
        <w:t>描</w:t>
      </w:r>
      <w:r>
        <w:rPr/>
        <w:t>（PET）</w:t>
      </w:r>
      <w:r>
        <w:rPr>
          <w:spacing w:val="-4"/>
        </w:rPr>
        <w:t>等影像学检查证实。神经性系统永久性的功能障碍，指脑损伤 </w:t>
      </w:r>
      <w:r>
        <w:rPr/>
        <w:t>180</w:t>
      </w:r>
      <w:r>
        <w:rPr>
          <w:spacing w:val="-19"/>
        </w:rPr>
        <w:t> 天后，仍遗留下列一种或一种以上障碍：</w:t>
      </w:r>
    </w:p>
    <w:p>
      <w:pPr>
        <w:pStyle w:val="BodyText"/>
        <w:spacing w:before="21"/>
        <w:ind w:left="597"/>
      </w:pPr>
      <w:r>
        <w:rPr>
          <w:w w:val="95"/>
        </w:rPr>
        <w:t>（1）一肢或一肢以上肢体机能完全丧失；</w:t>
      </w:r>
    </w:p>
    <w:p>
      <w:pPr>
        <w:pStyle w:val="BodyText"/>
        <w:spacing w:before="86"/>
        <w:ind w:left="597"/>
      </w:pPr>
      <w:r>
        <w:rPr>
          <w:w w:val="95"/>
        </w:rPr>
        <w:t>（2）语言能力或咀嚼吞咽能力完全丧失；</w:t>
      </w:r>
    </w:p>
    <w:p>
      <w:pPr>
        <w:pStyle w:val="BodyText"/>
        <w:spacing w:line="307" w:lineRule="auto" w:before="84"/>
        <w:ind w:left="117" w:right="232" w:firstLine="480"/>
      </w:pPr>
      <w:r>
        <w:rPr/>
        <w:t>（3）自主生活能力完全丧失，无法独立完成六项基本日常生活活动中的三项或三项以上。</w:t>
      </w:r>
    </w:p>
    <w:p>
      <w:pPr>
        <w:pStyle w:val="BodyText"/>
        <w:spacing w:before="12"/>
        <w:rPr>
          <w:sz w:val="22"/>
        </w:rPr>
      </w:pPr>
    </w:p>
    <w:p>
      <w:pPr>
        <w:pStyle w:val="Heading1"/>
        <w:numPr>
          <w:ilvl w:val="2"/>
          <w:numId w:val="5"/>
        </w:numPr>
        <w:tabs>
          <w:tab w:pos="1690" w:val="left" w:leader="none"/>
        </w:tabs>
        <w:spacing w:line="240" w:lineRule="auto" w:before="0" w:after="0"/>
        <w:ind w:left="1689" w:right="0" w:hanging="720"/>
        <w:jc w:val="left"/>
      </w:pPr>
      <w:bookmarkStart w:name="_TOC_250023" w:id="50"/>
      <w:bookmarkEnd w:id="50"/>
      <w:r>
        <w:rPr/>
        <w:t>严重帕金森病</w:t>
      </w:r>
    </w:p>
    <w:p>
      <w:pPr>
        <w:pStyle w:val="BodyText"/>
        <w:spacing w:before="5"/>
        <w:rPr>
          <w:rFonts w:ascii="Microsoft JhengHei UI"/>
          <w:b/>
          <w:sz w:val="23"/>
        </w:rPr>
      </w:pPr>
    </w:p>
    <w:p>
      <w:pPr>
        <w:pStyle w:val="BodyText"/>
        <w:spacing w:line="307" w:lineRule="auto"/>
        <w:ind w:left="117" w:right="152" w:firstLine="480"/>
      </w:pPr>
      <w:r>
        <w:rPr/>
        <w:t>是一种中枢神经系统的退行性疾病，临床表现为震颤麻痹、共济失调等。须满足下列全部条件：</w:t>
      </w:r>
    </w:p>
    <w:p>
      <w:pPr>
        <w:pStyle w:val="BodyText"/>
        <w:spacing w:before="18"/>
        <w:ind w:left="597"/>
      </w:pPr>
      <w:r>
        <w:rPr>
          <w:w w:val="95"/>
        </w:rPr>
        <w:t>（1）药物治疗无法控制病情；</w:t>
      </w:r>
    </w:p>
    <w:p>
      <w:pPr>
        <w:pStyle w:val="BodyText"/>
        <w:spacing w:line="307" w:lineRule="auto" w:before="83"/>
        <w:ind w:left="117" w:right="232" w:firstLine="480"/>
      </w:pPr>
      <w:r>
        <w:rPr/>
        <w:t>（2）自主生活能力完全丧失，无法独立完成六项基本日常生活活动中的三项或三项以上。</w:t>
      </w:r>
    </w:p>
    <w:p>
      <w:pPr>
        <w:pStyle w:val="BodyText"/>
        <w:spacing w:before="19"/>
        <w:ind w:left="597"/>
      </w:pPr>
      <w:r>
        <w:rPr/>
        <w:t>继发性帕金森综合症不在保障范围内。</w:t>
      </w:r>
    </w:p>
    <w:p>
      <w:pPr>
        <w:pStyle w:val="BodyText"/>
        <w:spacing w:before="11"/>
        <w:rPr>
          <w:sz w:val="27"/>
        </w:rPr>
      </w:pPr>
    </w:p>
    <w:p>
      <w:pPr>
        <w:pStyle w:val="Heading1"/>
        <w:numPr>
          <w:ilvl w:val="2"/>
          <w:numId w:val="5"/>
        </w:numPr>
        <w:tabs>
          <w:tab w:pos="1690" w:val="left" w:leader="none"/>
        </w:tabs>
        <w:spacing w:line="240" w:lineRule="auto" w:before="1" w:after="0"/>
        <w:ind w:left="1689" w:right="0" w:hanging="720"/>
        <w:jc w:val="left"/>
      </w:pPr>
      <w:bookmarkStart w:name="_TOC_250022" w:id="51"/>
      <w:r>
        <w:rPr>
          <w:spacing w:val="-7"/>
          <w:w w:val="105"/>
        </w:rPr>
        <w:t>严重 </w:t>
      </w:r>
      <w:r>
        <w:rPr>
          <w:w w:val="105"/>
        </w:rPr>
        <w:t>III</w:t>
      </w:r>
      <w:bookmarkEnd w:id="51"/>
      <w:r>
        <w:rPr>
          <w:spacing w:val="-6"/>
          <w:w w:val="105"/>
        </w:rPr>
        <w:t> 度烧伤</w:t>
      </w:r>
    </w:p>
    <w:p>
      <w:pPr>
        <w:pStyle w:val="BodyText"/>
        <w:spacing w:before="8"/>
        <w:rPr>
          <w:rFonts w:ascii="Microsoft JhengHei UI"/>
          <w:b/>
          <w:sz w:val="23"/>
        </w:rPr>
      </w:pPr>
    </w:p>
    <w:p>
      <w:pPr>
        <w:pStyle w:val="BodyText"/>
        <w:spacing w:line="307" w:lineRule="auto"/>
        <w:ind w:left="117" w:right="232" w:firstLine="480"/>
      </w:pPr>
      <w:r>
        <w:rPr>
          <w:spacing w:val="-8"/>
        </w:rPr>
        <w:t>指烧伤程度为 </w:t>
      </w:r>
      <w:r>
        <w:rPr/>
        <w:t>III</w:t>
      </w:r>
      <w:r>
        <w:rPr>
          <w:spacing w:val="-23"/>
        </w:rPr>
        <w:t> 度，且 </w:t>
      </w:r>
      <w:r>
        <w:rPr/>
        <w:t>III</w:t>
      </w:r>
      <w:r>
        <w:rPr>
          <w:spacing w:val="-11"/>
        </w:rPr>
        <w:t> 度烧伤的面积达到全身体表面积的 </w:t>
      </w:r>
      <w:r>
        <w:rPr/>
        <w:t>20</w:t>
      </w:r>
      <w:r>
        <w:rPr>
          <w:spacing w:val="-19"/>
        </w:rPr>
        <w:t>%或 </w:t>
      </w:r>
      <w:r>
        <w:rPr/>
        <w:t>20% 以上。体表面积根据《中国新九分法》计算。</w:t>
      </w:r>
    </w:p>
    <w:p>
      <w:pPr>
        <w:pStyle w:val="BodyText"/>
        <w:spacing w:before="12"/>
        <w:rPr>
          <w:sz w:val="22"/>
        </w:rPr>
      </w:pPr>
    </w:p>
    <w:p>
      <w:pPr>
        <w:pStyle w:val="Heading1"/>
        <w:numPr>
          <w:ilvl w:val="2"/>
          <w:numId w:val="5"/>
        </w:numPr>
        <w:tabs>
          <w:tab w:pos="1690" w:val="left" w:leader="none"/>
        </w:tabs>
        <w:spacing w:line="240" w:lineRule="auto" w:before="0" w:after="0"/>
        <w:ind w:left="1689" w:right="0" w:hanging="720"/>
        <w:jc w:val="left"/>
      </w:pPr>
      <w:bookmarkStart w:name="_TOC_250021" w:id="52"/>
      <w:bookmarkEnd w:id="52"/>
      <w:r>
        <w:rPr/>
        <w:t>严重原发性肺动脉高压</w:t>
      </w:r>
    </w:p>
    <w:p>
      <w:pPr>
        <w:pStyle w:val="BodyText"/>
        <w:spacing w:before="5"/>
        <w:rPr>
          <w:rFonts w:ascii="Microsoft JhengHei UI"/>
          <w:b/>
          <w:sz w:val="23"/>
        </w:rPr>
      </w:pPr>
    </w:p>
    <w:p>
      <w:pPr>
        <w:pStyle w:val="BodyText"/>
        <w:spacing w:line="307" w:lineRule="auto" w:before="1"/>
        <w:ind w:left="117" w:right="232" w:firstLine="480"/>
        <w:jc w:val="both"/>
      </w:pPr>
      <w:r>
        <w:rPr>
          <w:spacing w:val="-5"/>
        </w:rPr>
        <w:t>指不明原因的肺动脉压力持续性增高，进行性发展而导致的慢性疾病，已经</w:t>
      </w:r>
      <w:r>
        <w:rPr>
          <w:spacing w:val="-10"/>
        </w:rPr>
        <w:t>造成永久不可逆性的体力活动能力受限，达到美国纽约心脏病学会心功能状态分</w:t>
      </w:r>
      <w:r>
        <w:rPr>
          <w:spacing w:val="-54"/>
          <w:w w:val="105"/>
        </w:rPr>
        <w:t>级 </w:t>
      </w:r>
      <w:r>
        <w:rPr>
          <w:w w:val="105"/>
        </w:rPr>
        <w:t>IV</w:t>
      </w:r>
      <w:r>
        <w:rPr>
          <w:spacing w:val="-16"/>
          <w:w w:val="105"/>
        </w:rPr>
        <w:t> 级，且静息状态下肺动脉平均压超过 </w:t>
      </w:r>
      <w:r>
        <w:rPr>
          <w:w w:val="105"/>
        </w:rPr>
        <w:t>30mmHg。</w:t>
      </w:r>
    </w:p>
    <w:p>
      <w:pPr>
        <w:spacing w:after="0" w:line="307" w:lineRule="auto"/>
        <w:jc w:val="both"/>
        <w:sectPr>
          <w:pgSz w:w="11910" w:h="16840"/>
          <w:pgMar w:header="0" w:footer="1045" w:top="1420" w:bottom="1240" w:left="1680" w:right="1560"/>
        </w:sectPr>
      </w:pPr>
    </w:p>
    <w:p>
      <w:pPr>
        <w:pStyle w:val="Heading1"/>
        <w:numPr>
          <w:ilvl w:val="2"/>
          <w:numId w:val="5"/>
        </w:numPr>
        <w:tabs>
          <w:tab w:pos="1690" w:val="left" w:leader="none"/>
        </w:tabs>
        <w:spacing w:line="380" w:lineRule="exact" w:before="0" w:after="0"/>
        <w:ind w:left="1689" w:right="0" w:hanging="720"/>
        <w:jc w:val="left"/>
      </w:pPr>
      <w:bookmarkStart w:name="_TOC_250020" w:id="53"/>
      <w:bookmarkEnd w:id="53"/>
      <w:r>
        <w:rPr/>
        <w:t>严重运动神经元病</w:t>
      </w:r>
    </w:p>
    <w:p>
      <w:pPr>
        <w:pStyle w:val="BodyText"/>
        <w:spacing w:before="8"/>
        <w:rPr>
          <w:rFonts w:ascii="Microsoft JhengHei UI"/>
          <w:b/>
          <w:sz w:val="23"/>
        </w:rPr>
      </w:pPr>
    </w:p>
    <w:p>
      <w:pPr>
        <w:pStyle w:val="BodyText"/>
        <w:spacing w:line="307" w:lineRule="auto"/>
        <w:ind w:left="117" w:right="105" w:firstLine="480"/>
        <w:jc w:val="both"/>
      </w:pPr>
      <w:r>
        <w:rPr>
          <w:spacing w:val="-5"/>
        </w:rPr>
        <w:t>是一组中枢神经系统神经元的进行性变性疾病，包括进行性脊肌萎缩症、进</w:t>
      </w:r>
      <w:r>
        <w:rPr>
          <w:spacing w:val="-11"/>
        </w:rPr>
        <w:t>行性延髓麻痹症、原发性侧索硬化症、肌萎缩性侧索硬化症。须满足自主生活能力完全丧失，无法独立完成六项基本日常生活活动中的三项或三项以上的条件。</w:t>
      </w:r>
    </w:p>
    <w:p>
      <w:pPr>
        <w:pStyle w:val="BodyText"/>
        <w:spacing w:before="9"/>
        <w:rPr>
          <w:sz w:val="22"/>
        </w:rPr>
      </w:pPr>
    </w:p>
    <w:p>
      <w:pPr>
        <w:pStyle w:val="Heading1"/>
        <w:numPr>
          <w:ilvl w:val="2"/>
          <w:numId w:val="5"/>
        </w:numPr>
        <w:tabs>
          <w:tab w:pos="1690" w:val="left" w:leader="none"/>
        </w:tabs>
        <w:spacing w:line="240" w:lineRule="auto" w:before="0" w:after="0"/>
        <w:ind w:left="1689" w:right="0" w:hanging="720"/>
        <w:jc w:val="left"/>
      </w:pPr>
      <w:bookmarkStart w:name="_TOC_250019" w:id="54"/>
      <w:bookmarkEnd w:id="54"/>
      <w:r>
        <w:rPr/>
        <w:t>语言能力丧失</w:t>
      </w:r>
    </w:p>
    <w:p>
      <w:pPr>
        <w:pStyle w:val="BodyText"/>
        <w:spacing w:before="7"/>
        <w:rPr>
          <w:rFonts w:ascii="Microsoft JhengHei UI"/>
          <w:b/>
          <w:sz w:val="23"/>
        </w:rPr>
      </w:pPr>
    </w:p>
    <w:p>
      <w:pPr>
        <w:pStyle w:val="BodyText"/>
        <w:spacing w:line="307" w:lineRule="auto"/>
        <w:ind w:left="117" w:right="192" w:firstLine="480"/>
      </w:pPr>
      <w:r>
        <w:rPr>
          <w:spacing w:val="-8"/>
        </w:rPr>
        <w:t>指因疾病或意外伤害导致完全丧失语言能力，经过积极治疗至少 </w:t>
      </w:r>
      <w:r>
        <w:rPr/>
        <w:t>12</w:t>
      </w:r>
      <w:r>
        <w:rPr>
          <w:spacing w:val="-55"/>
        </w:rPr>
        <w:t> 个月</w:t>
      </w:r>
      <w:r>
        <w:rPr/>
        <w:t>（声带完全切除不受此时间限制</w:t>
      </w:r>
      <w:r>
        <w:rPr>
          <w:spacing w:val="-120"/>
        </w:rPr>
        <w:t>）</w:t>
      </w:r>
      <w:r>
        <w:rPr/>
        <w:t>，仍无法通过现有医疗手段恢复。</w:t>
      </w:r>
    </w:p>
    <w:p>
      <w:pPr>
        <w:pStyle w:val="BodyText"/>
        <w:spacing w:before="16"/>
        <w:ind w:left="597"/>
      </w:pPr>
      <w:r>
        <w:rPr/>
        <w:t>精神心理因素所致的语言能力丧失不在保障范围内。</w:t>
      </w:r>
    </w:p>
    <w:p>
      <w:pPr>
        <w:pStyle w:val="BodyText"/>
        <w:rPr>
          <w:sz w:val="28"/>
        </w:rPr>
      </w:pPr>
    </w:p>
    <w:p>
      <w:pPr>
        <w:pStyle w:val="Heading1"/>
        <w:numPr>
          <w:ilvl w:val="2"/>
          <w:numId w:val="5"/>
        </w:numPr>
        <w:tabs>
          <w:tab w:pos="1690" w:val="left" w:leader="none"/>
        </w:tabs>
        <w:spacing w:line="240" w:lineRule="auto" w:before="0" w:after="0"/>
        <w:ind w:left="1689" w:right="0" w:hanging="720"/>
        <w:jc w:val="left"/>
      </w:pPr>
      <w:bookmarkStart w:name="_TOC_250018" w:id="55"/>
      <w:bookmarkEnd w:id="55"/>
      <w:r>
        <w:rPr/>
        <w:t>重型再生障碍性贫血</w:t>
      </w:r>
    </w:p>
    <w:p>
      <w:pPr>
        <w:pStyle w:val="BodyText"/>
        <w:spacing w:before="7"/>
        <w:rPr>
          <w:rFonts w:ascii="Microsoft JhengHei UI"/>
          <w:b/>
          <w:sz w:val="23"/>
        </w:rPr>
      </w:pPr>
    </w:p>
    <w:p>
      <w:pPr>
        <w:pStyle w:val="BodyText"/>
        <w:spacing w:line="307" w:lineRule="auto"/>
        <w:ind w:left="117" w:right="194" w:firstLine="480"/>
      </w:pPr>
      <w:r>
        <w:rPr>
          <w:spacing w:val="-5"/>
        </w:rPr>
        <w:t>指因骨髓造血功能慢性持续性衰竭导致的贫血、中性粒细胞减少及血小板减少。须满足下列全部条件：</w:t>
      </w:r>
    </w:p>
    <w:p>
      <w:pPr>
        <w:pStyle w:val="BodyText"/>
        <w:spacing w:before="16"/>
        <w:ind w:left="597"/>
      </w:pPr>
      <w:r>
        <w:rPr>
          <w:w w:val="95"/>
        </w:rPr>
        <w:t>（1）骨髓穿刺检查或骨髓活检结果支持诊断；</w:t>
      </w:r>
    </w:p>
    <w:p>
      <w:pPr>
        <w:pStyle w:val="BodyText"/>
        <w:spacing w:line="276" w:lineRule="auto" w:before="86"/>
        <w:ind w:left="597" w:right="4073"/>
      </w:pPr>
      <w:r>
        <w:rPr>
          <w:w w:val="95"/>
        </w:rPr>
        <w:t>（2）外周血象须具备以下三项条件： </w:t>
      </w:r>
      <w:r>
        <w:rPr>
          <w:position w:val="-5"/>
        </w:rPr>
        <w:t>中性粒细胞绝对值</w:t>
      </w:r>
      <w:r>
        <w:rPr>
          <w:rFonts w:ascii="Segoe UI Symbol" w:hAnsi="Segoe UI Symbol" w:eastAsia="Segoe UI Symbol"/>
        </w:rPr>
        <w:t> </w:t>
      </w:r>
      <w:r>
        <w:rPr>
          <w:rFonts w:ascii="Times New Roman" w:hAnsi="Times New Roman" w:eastAsia="Times New Roman"/>
        </w:rPr>
        <w:t>0.5 </w:t>
      </w:r>
      <w:r>
        <w:rPr>
          <w:rFonts w:ascii="Segoe UI Symbol" w:hAnsi="Segoe UI Symbol" w:eastAsia="Segoe UI Symbol"/>
        </w:rPr>
        <w:t></w:t>
      </w:r>
      <w:r>
        <w:rPr>
          <w:rFonts w:ascii="Times New Roman" w:hAnsi="Times New Roman" w:eastAsia="Times New Roman"/>
        </w:rPr>
        <w:t>10</w:t>
      </w:r>
      <w:r>
        <w:rPr>
          <w:rFonts w:ascii="Times New Roman" w:hAnsi="Times New Roman" w:eastAsia="Times New Roman"/>
          <w:position w:val="11"/>
          <w:sz w:val="14"/>
        </w:rPr>
        <w:t>9 </w:t>
      </w:r>
      <w:r>
        <w:rPr>
          <w:rFonts w:ascii="Times New Roman" w:hAnsi="Times New Roman" w:eastAsia="Times New Roman"/>
        </w:rPr>
        <w:t>/ </w:t>
      </w:r>
      <w:r>
        <w:rPr>
          <w:rFonts w:ascii="Times New Roman" w:hAnsi="Times New Roman" w:eastAsia="Times New Roman"/>
          <w:i/>
        </w:rPr>
        <w:t>L </w:t>
      </w:r>
      <w:r>
        <w:rPr>
          <w:position w:val="-5"/>
        </w:rPr>
        <w:t>；</w:t>
      </w:r>
    </w:p>
    <w:p>
      <w:pPr>
        <w:pStyle w:val="BodyText"/>
        <w:spacing w:line="346" w:lineRule="exact"/>
        <w:ind w:left="597"/>
      </w:pPr>
      <w:r>
        <w:rPr/>
        <w:t>网织红细胞</w:t>
      </w:r>
      <w:r>
        <w:rPr>
          <w:rFonts w:ascii="Segoe UI Symbol" w:hAnsi="Segoe UI Symbol" w:eastAsia="Segoe UI Symbol"/>
          <w:position w:val="6"/>
        </w:rPr>
        <w:t> </w:t>
      </w:r>
      <w:r>
        <w:rPr>
          <w:rFonts w:ascii="Times New Roman" w:hAnsi="Times New Roman" w:eastAsia="Times New Roman"/>
          <w:position w:val="6"/>
        </w:rPr>
        <w:t>1% </w:t>
      </w:r>
      <w:r>
        <w:rPr/>
        <w:t>；</w:t>
      </w:r>
    </w:p>
    <w:p>
      <w:pPr>
        <w:pStyle w:val="BodyText"/>
        <w:spacing w:before="48"/>
        <w:ind w:left="597"/>
        <w:rPr>
          <w:rFonts w:ascii="Times New Roman" w:hAnsi="Times New Roman" w:eastAsia="Times New Roman"/>
          <w:i/>
        </w:rPr>
      </w:pPr>
      <w:r>
        <w:rPr>
          <w:position w:val="-5"/>
        </w:rPr>
        <w:t>血小板绝对值</w:t>
      </w:r>
      <w:r>
        <w:rPr>
          <w:rFonts w:ascii="Segoe UI Symbol" w:hAnsi="Segoe UI Symbol" w:eastAsia="Segoe UI Symbol"/>
        </w:rPr>
        <w:t> </w:t>
      </w:r>
      <w:r>
        <w:rPr>
          <w:rFonts w:ascii="Times New Roman" w:hAnsi="Times New Roman" w:eastAsia="Times New Roman"/>
        </w:rPr>
        <w:t>20 </w:t>
      </w:r>
      <w:r>
        <w:rPr>
          <w:rFonts w:ascii="Segoe UI Symbol" w:hAnsi="Segoe UI Symbol" w:eastAsia="Segoe UI Symbol"/>
        </w:rPr>
        <w:t></w:t>
      </w:r>
      <w:r>
        <w:rPr>
          <w:rFonts w:ascii="Times New Roman" w:hAnsi="Times New Roman" w:eastAsia="Times New Roman"/>
        </w:rPr>
        <w:t>10</w:t>
      </w:r>
      <w:r>
        <w:rPr>
          <w:rFonts w:ascii="Times New Roman" w:hAnsi="Times New Roman" w:eastAsia="Times New Roman"/>
          <w:position w:val="11"/>
          <w:sz w:val="14"/>
        </w:rPr>
        <w:t>9 </w:t>
      </w:r>
      <w:r>
        <w:rPr>
          <w:rFonts w:ascii="Times New Roman" w:hAnsi="Times New Roman" w:eastAsia="Times New Roman"/>
        </w:rPr>
        <w:t>/ </w:t>
      </w:r>
      <w:r>
        <w:rPr>
          <w:rFonts w:ascii="Times New Roman" w:hAnsi="Times New Roman" w:eastAsia="Times New Roman"/>
          <w:i/>
        </w:rPr>
        <w:t>L</w:t>
      </w:r>
    </w:p>
    <w:p>
      <w:pPr>
        <w:pStyle w:val="BodyText"/>
        <w:rPr>
          <w:rFonts w:ascii="Times New Roman"/>
          <w:i/>
          <w:sz w:val="20"/>
        </w:rPr>
      </w:pPr>
    </w:p>
    <w:p>
      <w:pPr>
        <w:pStyle w:val="Heading1"/>
        <w:numPr>
          <w:ilvl w:val="2"/>
          <w:numId w:val="5"/>
        </w:numPr>
        <w:tabs>
          <w:tab w:pos="1690" w:val="left" w:leader="none"/>
        </w:tabs>
        <w:spacing w:line="240" w:lineRule="auto" w:before="137" w:after="0"/>
        <w:ind w:left="1689" w:right="0" w:hanging="720"/>
        <w:jc w:val="left"/>
      </w:pPr>
      <w:bookmarkStart w:name="_TOC_250017" w:id="56"/>
      <w:bookmarkEnd w:id="56"/>
      <w:r>
        <w:rPr/>
        <w:t>主动脉手术</w:t>
      </w:r>
    </w:p>
    <w:p>
      <w:pPr>
        <w:pStyle w:val="BodyText"/>
        <w:spacing w:before="5"/>
        <w:rPr>
          <w:rFonts w:ascii="Microsoft JhengHei UI"/>
          <w:b/>
          <w:sz w:val="23"/>
        </w:rPr>
      </w:pPr>
    </w:p>
    <w:p>
      <w:pPr>
        <w:pStyle w:val="BodyText"/>
        <w:spacing w:line="307" w:lineRule="auto"/>
        <w:ind w:left="117" w:right="192" w:firstLine="480"/>
        <w:jc w:val="both"/>
      </w:pPr>
      <w:r>
        <w:rPr>
          <w:spacing w:val="-5"/>
        </w:rPr>
        <w:t>指为治疗主动脉疾病，实际实施了开胸或开腹进行的切除、置换、修补病损</w:t>
      </w:r>
      <w:r>
        <w:rPr>
          <w:spacing w:val="-11"/>
        </w:rPr>
        <w:t>主动脉血管的手术。主动脉指胸主动脉和腹主动脉，不包括胸主动脉和腹主动脉的分支血管。</w:t>
      </w:r>
    </w:p>
    <w:p>
      <w:pPr>
        <w:pStyle w:val="BodyText"/>
        <w:spacing w:before="16"/>
        <w:ind w:left="597"/>
      </w:pPr>
      <w:r>
        <w:rPr/>
        <w:t>动脉内血管成形术不在保障范围内。</w:t>
      </w:r>
    </w:p>
    <w:p>
      <w:pPr>
        <w:pStyle w:val="BodyText"/>
        <w:rPr>
          <w:sz w:val="28"/>
        </w:rPr>
      </w:pPr>
    </w:p>
    <w:p>
      <w:pPr>
        <w:pStyle w:val="Heading1"/>
        <w:numPr>
          <w:ilvl w:val="2"/>
          <w:numId w:val="5"/>
        </w:numPr>
        <w:tabs>
          <w:tab w:pos="1690" w:val="left" w:leader="none"/>
        </w:tabs>
        <w:spacing w:line="240" w:lineRule="auto" w:before="0" w:after="0"/>
        <w:ind w:left="1689" w:right="0" w:hanging="720"/>
        <w:jc w:val="left"/>
      </w:pPr>
      <w:bookmarkStart w:name="_TOC_250016" w:id="57"/>
      <w:r>
        <w:rPr>
          <w:spacing w:val="0"/>
        </w:rPr>
        <w:t>系统性红斑狼疮  －  </w:t>
      </w:r>
      <w:bookmarkEnd w:id="57"/>
      <w:r>
        <w:rPr/>
        <w:t>III 型或以上狼疮性肾炎</w:t>
      </w:r>
    </w:p>
    <w:p>
      <w:pPr>
        <w:pStyle w:val="BodyText"/>
        <w:spacing w:before="7"/>
        <w:rPr>
          <w:rFonts w:ascii="Microsoft JhengHei UI"/>
          <w:b/>
          <w:sz w:val="23"/>
        </w:rPr>
      </w:pPr>
    </w:p>
    <w:p>
      <w:pPr>
        <w:pStyle w:val="BodyText"/>
        <w:spacing w:line="307" w:lineRule="auto"/>
        <w:ind w:left="117" w:right="112" w:firstLine="480"/>
      </w:pPr>
      <w:r>
        <w:rPr/>
        <w:t>系统性红斑狼疮是由多种因素引起，累及多系统的自身免疫性疾病。其特点是生成自身抗体对抗多种自身抗原。多见于育龄妇女。</w:t>
      </w:r>
    </w:p>
    <w:p>
      <w:pPr>
        <w:pStyle w:val="BodyText"/>
        <w:spacing w:before="16"/>
        <w:ind w:left="597"/>
      </w:pPr>
      <w:r>
        <w:rPr/>
        <w:t>本保单所指的系统性红斑狼疮仅限于累及肾脏（经肾脏活检确认的，符合</w:t>
      </w:r>
    </w:p>
    <w:p>
      <w:pPr>
        <w:pStyle w:val="BodyText"/>
        <w:spacing w:line="307" w:lineRule="auto" w:before="86"/>
        <w:ind w:left="117" w:right="194"/>
      </w:pPr>
      <w:r>
        <w:rPr>
          <w:w w:val="145"/>
        </w:rPr>
        <w:t>WHO</w:t>
      </w:r>
      <w:r>
        <w:rPr>
          <w:spacing w:val="-108"/>
          <w:w w:val="145"/>
        </w:rPr>
        <w:t> </w:t>
      </w:r>
      <w:r>
        <w:rPr>
          <w:spacing w:val="-8"/>
        </w:rPr>
        <w:t>诊断标准定义 </w:t>
      </w:r>
      <w:r>
        <w:rPr/>
        <w:t>III</w:t>
      </w:r>
      <w:r>
        <w:rPr>
          <w:spacing w:val="-28"/>
        </w:rPr>
        <w:t> 型至 </w:t>
      </w:r>
      <w:r>
        <w:rPr>
          <w:w w:val="115"/>
        </w:rPr>
        <w:t>V</w:t>
      </w:r>
      <w:r>
        <w:rPr>
          <w:spacing w:val="-72"/>
          <w:w w:val="115"/>
        </w:rPr>
        <w:t> </w:t>
      </w:r>
      <w:r>
        <w:rPr/>
        <w:t>型狼疮性肾炎）的系统性红斑狼疮。其他类型的红斑性狼疮，如盘状狼疮、仅累及血液及关节的狼疮不在本保单保障范围內。</w:t>
      </w:r>
    </w:p>
    <w:p>
      <w:pPr>
        <w:spacing w:after="0" w:line="307" w:lineRule="auto"/>
        <w:sectPr>
          <w:pgSz w:w="11910" w:h="16840"/>
          <w:pgMar w:header="0" w:footer="1045" w:top="1420" w:bottom="1240" w:left="1680" w:right="1600"/>
        </w:sectPr>
      </w:pPr>
    </w:p>
    <w:p>
      <w:pPr>
        <w:pStyle w:val="BodyText"/>
        <w:spacing w:line="390" w:lineRule="exact"/>
        <w:ind w:left="117"/>
      </w:pPr>
      <w:r>
        <w:rPr>
          <w:w w:val="95"/>
        </w:rPr>
        <w:t>本病必须由免疫和风湿科</w:t>
      </w:r>
      <w:r>
        <w:rPr>
          <w:rFonts w:ascii="Microsoft JhengHei UI" w:eastAsia="Microsoft JhengHei UI" w:hint="eastAsia"/>
          <w:b/>
          <w:w w:val="95"/>
          <w:sz w:val="25"/>
        </w:rPr>
        <w:t>专科医生</w:t>
      </w:r>
      <w:r>
        <w:rPr>
          <w:w w:val="95"/>
        </w:rPr>
        <w:t>（见释义  12.3）确诊。</w:t>
      </w:r>
    </w:p>
    <w:p>
      <w:pPr>
        <w:pStyle w:val="BodyText"/>
        <w:spacing w:before="215"/>
        <w:ind w:left="597"/>
      </w:pPr>
      <w:r>
        <w:rPr/>
        <w:t>世界卫生组织</w:t>
      </w:r>
      <w:r>
        <w:rPr>
          <w:w w:val="120"/>
        </w:rPr>
        <w:t>（WHO）</w:t>
      </w:r>
      <w:r>
        <w:rPr/>
        <w:t>狼疮性肾炎分型：</w:t>
      </w:r>
    </w:p>
    <w:p>
      <w:pPr>
        <w:pStyle w:val="ListParagraph"/>
        <w:numPr>
          <w:ilvl w:val="0"/>
          <w:numId w:val="10"/>
        </w:numPr>
        <w:tabs>
          <w:tab w:pos="759" w:val="left" w:leader="none"/>
          <w:tab w:pos="3703" w:val="left" w:leader="none"/>
        </w:tabs>
        <w:spacing w:line="240" w:lineRule="auto" w:before="86" w:after="0"/>
        <w:ind w:left="758" w:right="0" w:hanging="144"/>
        <w:jc w:val="left"/>
        <w:rPr>
          <w:sz w:val="24"/>
        </w:rPr>
      </w:pPr>
      <w:r>
        <w:rPr>
          <w:sz w:val="24"/>
        </w:rPr>
        <w:t>型（微小病变型）</w:t>
        <w:tab/>
        <w:t>镜下阴性，尿液正常</w:t>
      </w:r>
    </w:p>
    <w:p>
      <w:pPr>
        <w:pStyle w:val="ListParagraph"/>
        <w:numPr>
          <w:ilvl w:val="0"/>
          <w:numId w:val="10"/>
        </w:numPr>
        <w:tabs>
          <w:tab w:pos="843" w:val="left" w:leader="none"/>
          <w:tab w:pos="3703" w:val="left" w:leader="none"/>
        </w:tabs>
        <w:spacing w:line="240" w:lineRule="auto" w:before="84" w:after="0"/>
        <w:ind w:left="842" w:right="0" w:hanging="228"/>
        <w:jc w:val="left"/>
        <w:rPr>
          <w:sz w:val="24"/>
        </w:rPr>
      </w:pPr>
      <w:r>
        <w:rPr>
          <w:sz w:val="24"/>
        </w:rPr>
        <w:t>型（系膜病变型）</w:t>
        <w:tab/>
        <w:t>中度蛋白尿，偶有尿沉渣改变</w:t>
      </w:r>
    </w:p>
    <w:p>
      <w:pPr>
        <w:pStyle w:val="ListParagraph"/>
        <w:numPr>
          <w:ilvl w:val="0"/>
          <w:numId w:val="10"/>
        </w:numPr>
        <w:tabs>
          <w:tab w:pos="927" w:val="left" w:leader="none"/>
        </w:tabs>
        <w:spacing w:line="240" w:lineRule="auto" w:before="87" w:after="0"/>
        <w:ind w:left="926" w:right="0" w:hanging="312"/>
        <w:jc w:val="left"/>
        <w:rPr>
          <w:sz w:val="24"/>
        </w:rPr>
      </w:pPr>
      <w:r>
        <w:rPr>
          <w:sz w:val="24"/>
        </w:rPr>
        <w:t>型（局灶及节段增生型） 蛋白尿，尿沉渣改变</w:t>
      </w:r>
    </w:p>
    <w:p>
      <w:pPr>
        <w:pStyle w:val="ListParagraph"/>
        <w:numPr>
          <w:ilvl w:val="0"/>
          <w:numId w:val="10"/>
        </w:numPr>
        <w:tabs>
          <w:tab w:pos="922" w:val="left" w:leader="none"/>
          <w:tab w:pos="3703" w:val="left" w:leader="none"/>
        </w:tabs>
        <w:spacing w:line="240" w:lineRule="auto" w:before="87" w:after="0"/>
        <w:ind w:left="921" w:right="0" w:hanging="307"/>
        <w:jc w:val="left"/>
        <w:rPr>
          <w:sz w:val="24"/>
        </w:rPr>
      </w:pPr>
      <w:r>
        <w:rPr>
          <w:sz w:val="24"/>
        </w:rPr>
        <w:t>型（弥漫增生型）</w:t>
        <w:tab/>
        <w:t>急性肾炎伴有尿沉渣改变及／或肾病综合征</w:t>
      </w:r>
    </w:p>
    <w:p>
      <w:pPr>
        <w:pStyle w:val="ListParagraph"/>
        <w:numPr>
          <w:ilvl w:val="0"/>
          <w:numId w:val="10"/>
        </w:numPr>
        <w:tabs>
          <w:tab w:pos="838" w:val="left" w:leader="none"/>
          <w:tab w:pos="3703" w:val="left" w:leader="none"/>
        </w:tabs>
        <w:spacing w:line="240" w:lineRule="auto" w:before="84" w:after="0"/>
        <w:ind w:left="837" w:right="0" w:hanging="223"/>
        <w:jc w:val="left"/>
        <w:rPr>
          <w:sz w:val="24"/>
        </w:rPr>
      </w:pPr>
      <w:r>
        <w:rPr>
          <w:sz w:val="24"/>
        </w:rPr>
        <w:t>型（膜型）</w:t>
        <w:tab/>
        <w:t>肾病综合征或重度蛋白尿</w:t>
      </w:r>
    </w:p>
    <w:p>
      <w:pPr>
        <w:pStyle w:val="BodyText"/>
        <w:rPr>
          <w:sz w:val="28"/>
        </w:rPr>
      </w:pPr>
    </w:p>
    <w:p>
      <w:pPr>
        <w:pStyle w:val="Heading1"/>
        <w:numPr>
          <w:ilvl w:val="2"/>
          <w:numId w:val="5"/>
        </w:numPr>
        <w:tabs>
          <w:tab w:pos="1690" w:val="left" w:leader="none"/>
        </w:tabs>
        <w:spacing w:line="240" w:lineRule="auto" w:before="0" w:after="0"/>
        <w:ind w:left="1689" w:right="0" w:hanging="720"/>
        <w:jc w:val="left"/>
      </w:pPr>
      <w:bookmarkStart w:name="_TOC_250015" w:id="58"/>
      <w:bookmarkEnd w:id="58"/>
      <w:r>
        <w:rPr/>
        <w:t>经输血导致的人类免疫缺陷病毒（HIV）感染</w:t>
      </w:r>
    </w:p>
    <w:p>
      <w:pPr>
        <w:pStyle w:val="BodyText"/>
        <w:spacing w:before="7"/>
        <w:rPr>
          <w:rFonts w:ascii="Microsoft JhengHei UI"/>
          <w:b/>
          <w:sz w:val="23"/>
        </w:rPr>
      </w:pPr>
    </w:p>
    <w:p>
      <w:pPr>
        <w:pStyle w:val="BodyText"/>
        <w:ind w:left="597"/>
      </w:pPr>
      <w:r>
        <w:rPr/>
        <w:t>被保险人感染上人类免疫缺陷病毒（HIV）并且符合下列所有条件：</w:t>
      </w:r>
    </w:p>
    <w:p>
      <w:pPr>
        <w:pStyle w:val="BodyText"/>
        <w:spacing w:before="83"/>
        <w:ind w:left="597"/>
      </w:pPr>
      <w:r>
        <w:rPr/>
        <w:t>（1）在保障起始日或复效日之后，被保险人因输血而感染 HIV；</w:t>
      </w:r>
    </w:p>
    <w:p>
      <w:pPr>
        <w:pStyle w:val="BodyText"/>
        <w:spacing w:line="307" w:lineRule="auto" w:before="86"/>
        <w:ind w:left="117" w:right="232" w:firstLine="480"/>
      </w:pPr>
      <w:r>
        <w:rPr/>
        <w:t>（2）提供输血治疗的输血中心或医院出具该项输血感染属医疗责任事故的报告，或者法院终审裁定为医疗责任并且不准上诉；</w:t>
      </w:r>
    </w:p>
    <w:p>
      <w:pPr>
        <w:pStyle w:val="BodyText"/>
        <w:spacing w:before="17"/>
        <w:ind w:left="597"/>
      </w:pPr>
      <w:r>
        <w:rPr>
          <w:w w:val="95"/>
        </w:rPr>
        <w:t>（3）受感染的被保险人不是血友病患者。</w:t>
      </w:r>
    </w:p>
    <w:p>
      <w:pPr>
        <w:pStyle w:val="BodyText"/>
        <w:spacing w:line="307" w:lineRule="auto" w:before="86"/>
        <w:ind w:left="117" w:right="234" w:firstLine="480"/>
      </w:pPr>
      <w:r>
        <w:rPr/>
        <w:t>在任何治愈艾滋病（AIDS）或阻止 HIV 病毒作用的疗法被发现以后，或能防止 AIDS 发生的医疗方法被研究出来以后，本保障将不再予以赔付。</w:t>
      </w:r>
    </w:p>
    <w:p>
      <w:pPr>
        <w:pStyle w:val="BodyText"/>
        <w:spacing w:line="307" w:lineRule="auto" w:before="16"/>
        <w:ind w:left="117" w:right="234" w:firstLine="480"/>
        <w:jc w:val="both"/>
      </w:pPr>
      <w:r>
        <w:rPr/>
        <w:t>任何因其他传播方式（包括：性传播或静脉注射毒品）</w:t>
      </w:r>
      <w:r>
        <w:rPr>
          <w:spacing w:val="2"/>
        </w:rPr>
        <w:t>导致的 </w:t>
      </w:r>
      <w:r>
        <w:rPr/>
        <w:t>HIV</w:t>
      </w:r>
      <w:r>
        <w:rPr>
          <w:spacing w:val="1"/>
        </w:rPr>
        <w:t> 感染不</w:t>
      </w:r>
      <w:r>
        <w:rPr>
          <w:spacing w:val="-8"/>
        </w:rPr>
        <w:t>在本保单保障范围内。保险公司必须拥有获得使用被保险人的所有血液样本的权利和能够对这些样本进行独立检验的权利。</w:t>
      </w:r>
    </w:p>
    <w:p>
      <w:pPr>
        <w:pStyle w:val="BodyText"/>
        <w:spacing w:before="9"/>
        <w:rPr>
          <w:sz w:val="22"/>
        </w:rPr>
      </w:pPr>
    </w:p>
    <w:p>
      <w:pPr>
        <w:pStyle w:val="Heading1"/>
        <w:numPr>
          <w:ilvl w:val="2"/>
          <w:numId w:val="5"/>
        </w:numPr>
        <w:tabs>
          <w:tab w:pos="1690" w:val="left" w:leader="none"/>
        </w:tabs>
        <w:spacing w:line="240" w:lineRule="auto" w:before="0" w:after="0"/>
        <w:ind w:left="1689" w:right="0" w:hanging="720"/>
        <w:jc w:val="left"/>
      </w:pPr>
      <w:bookmarkStart w:name="_TOC_250014" w:id="59"/>
      <w:bookmarkEnd w:id="59"/>
      <w:r>
        <w:rPr/>
        <w:t>严重多发性硬化</w:t>
      </w:r>
    </w:p>
    <w:p>
      <w:pPr>
        <w:pStyle w:val="BodyText"/>
        <w:spacing w:before="7"/>
        <w:rPr>
          <w:rFonts w:ascii="Microsoft JhengHei UI"/>
          <w:b/>
          <w:sz w:val="23"/>
        </w:rPr>
      </w:pPr>
    </w:p>
    <w:p>
      <w:pPr>
        <w:pStyle w:val="BodyText"/>
        <w:spacing w:line="307" w:lineRule="auto"/>
        <w:ind w:left="117" w:right="232" w:firstLine="480"/>
        <w:jc w:val="both"/>
      </w:pPr>
      <w:r>
        <w:rPr>
          <w:spacing w:val="-4"/>
        </w:rPr>
        <w:t>多发性硬化为中枢神经系统白质多灶性脱髓鞘病变，病变有时累及灰质。多</w:t>
      </w:r>
      <w:r>
        <w:rPr>
          <w:spacing w:val="-11"/>
        </w:rPr>
        <w:t>发性硬化必须明确诊断，并且已经造成神经系统功能损害导致被保险人永久不可逆性的无法独立完成下列基本日常生活活动：</w:t>
      </w:r>
    </w:p>
    <w:p>
      <w:pPr>
        <w:pStyle w:val="BodyText"/>
        <w:spacing w:before="16"/>
        <w:ind w:left="597"/>
      </w:pPr>
      <w:r>
        <w:rPr>
          <w:w w:val="95"/>
        </w:rPr>
        <w:t>（1）移动：自己从一个房间移动到另一个房间；或者</w:t>
      </w:r>
    </w:p>
    <w:p>
      <w:pPr>
        <w:pStyle w:val="BodyText"/>
        <w:spacing w:before="86"/>
        <w:ind w:left="597"/>
      </w:pPr>
      <w:r>
        <w:rPr>
          <w:w w:val="95"/>
        </w:rPr>
        <w:t>（2）进食：自己从已准备好的碗或碟中取食物放入口中</w:t>
      </w:r>
    </w:p>
    <w:p>
      <w:pPr>
        <w:pStyle w:val="BodyText"/>
        <w:rPr>
          <w:sz w:val="28"/>
        </w:rPr>
      </w:pPr>
    </w:p>
    <w:p>
      <w:pPr>
        <w:pStyle w:val="Heading1"/>
        <w:numPr>
          <w:ilvl w:val="2"/>
          <w:numId w:val="5"/>
        </w:numPr>
        <w:tabs>
          <w:tab w:pos="1690" w:val="left" w:leader="none"/>
        </w:tabs>
        <w:spacing w:line="240" w:lineRule="auto" w:before="1" w:after="0"/>
        <w:ind w:left="1689" w:right="0" w:hanging="720"/>
        <w:jc w:val="left"/>
      </w:pPr>
      <w:bookmarkStart w:name="_TOC_250013" w:id="60"/>
      <w:bookmarkEnd w:id="60"/>
      <w:r>
        <w:rPr/>
        <w:t>严重类风湿性关节炎</w:t>
      </w:r>
    </w:p>
    <w:p>
      <w:pPr>
        <w:pStyle w:val="BodyText"/>
        <w:spacing w:before="6"/>
        <w:rPr>
          <w:rFonts w:ascii="Microsoft JhengHei UI"/>
          <w:b/>
          <w:sz w:val="23"/>
        </w:rPr>
      </w:pPr>
    </w:p>
    <w:p>
      <w:pPr>
        <w:pStyle w:val="BodyText"/>
        <w:spacing w:line="304" w:lineRule="auto"/>
        <w:ind w:left="117" w:right="112" w:firstLine="480"/>
      </w:pPr>
      <w:r>
        <w:rPr>
          <w:spacing w:val="0"/>
        </w:rPr>
        <w:t>类风湿性关节炎为广泛分布的慢性进行性多关节病变，表现为关节严重变</w:t>
      </w:r>
      <w:r>
        <w:rPr>
          <w:spacing w:val="-11"/>
        </w:rPr>
        <w:t>形，侵犯至少三个主要关节或关节组【如：双手</w:t>
      </w:r>
      <w:r>
        <w:rPr/>
        <w:t>（多手指</w:t>
      </w:r>
      <w:r>
        <w:rPr>
          <w:spacing w:val="-29"/>
        </w:rPr>
        <w:t>）</w:t>
      </w:r>
      <w:r>
        <w:rPr>
          <w:spacing w:val="-13"/>
        </w:rPr>
        <w:t>关节、双足</w:t>
      </w:r>
      <w:r>
        <w:rPr/>
        <w:t>（多足趾） </w:t>
      </w:r>
      <w:r>
        <w:rPr>
          <w:spacing w:val="-7"/>
        </w:rPr>
        <w:t>关节、双腕关节、双膝关节和双髋关节】。诊断必须由风湿科主任级和保险公司</w:t>
      </w:r>
      <w:r>
        <w:rPr>
          <w:spacing w:val="-12"/>
        </w:rPr>
        <w:t>的医务总监确认，被保人所患的类风湿性关节炎必须已经达到类风湿性关节炎功</w:t>
      </w:r>
    </w:p>
    <w:p>
      <w:pPr>
        <w:spacing w:after="0" w:line="304" w:lineRule="auto"/>
        <w:sectPr>
          <w:pgSz w:w="11910" w:h="16840"/>
          <w:pgMar w:header="0" w:footer="1045" w:top="1480" w:bottom="1240" w:left="1680" w:right="1560"/>
        </w:sectPr>
      </w:pPr>
    </w:p>
    <w:p>
      <w:pPr>
        <w:pStyle w:val="BodyText"/>
        <w:spacing w:line="307" w:lineRule="auto" w:before="41"/>
        <w:ind w:left="117" w:right="234"/>
      </w:pPr>
      <w:r>
        <w:rPr>
          <w:w w:val="95"/>
        </w:rPr>
        <w:t>能分级 III 级以上的功能障碍（严重限制，不能完成大部分的日常工作和活动） </w:t>
      </w:r>
      <w:r>
        <w:rPr/>
        <w:t>并且符合下列所有条件：</w:t>
      </w:r>
    </w:p>
    <w:p>
      <w:pPr>
        <w:pStyle w:val="BodyText"/>
        <w:spacing w:before="17"/>
        <w:ind w:left="597"/>
      </w:pPr>
      <w:r>
        <w:rPr>
          <w:w w:val="95"/>
        </w:rPr>
        <w:t>（1）晨僵</w:t>
      </w:r>
    </w:p>
    <w:p>
      <w:pPr>
        <w:pStyle w:val="BodyText"/>
        <w:spacing w:before="87"/>
        <w:ind w:left="597"/>
      </w:pPr>
      <w:r>
        <w:rPr>
          <w:w w:val="95"/>
        </w:rPr>
        <w:t>（2）对称性关节炎</w:t>
      </w:r>
    </w:p>
    <w:p>
      <w:pPr>
        <w:pStyle w:val="BodyText"/>
        <w:spacing w:before="87"/>
        <w:ind w:left="597"/>
      </w:pPr>
      <w:r>
        <w:rPr>
          <w:w w:val="95"/>
        </w:rPr>
        <w:t>（3）类风湿性皮下结节</w:t>
      </w:r>
    </w:p>
    <w:p>
      <w:pPr>
        <w:pStyle w:val="BodyText"/>
        <w:spacing w:before="84"/>
        <w:ind w:left="597"/>
      </w:pPr>
      <w:r>
        <w:rPr>
          <w:w w:val="95"/>
        </w:rPr>
        <w:t>（4）类风湿因子滴度升高</w:t>
      </w:r>
    </w:p>
    <w:p>
      <w:pPr>
        <w:pStyle w:val="BodyText"/>
        <w:spacing w:before="86"/>
        <w:ind w:left="597"/>
      </w:pPr>
      <w:r>
        <w:rPr/>
        <w:t>（5）X 线显示严重的关节（软骨和骨）破坏和关节畸形</w:t>
      </w:r>
    </w:p>
    <w:p>
      <w:pPr>
        <w:pStyle w:val="BodyText"/>
        <w:rPr>
          <w:sz w:val="28"/>
        </w:rPr>
      </w:pPr>
    </w:p>
    <w:p>
      <w:pPr>
        <w:pStyle w:val="Heading1"/>
        <w:numPr>
          <w:ilvl w:val="2"/>
          <w:numId w:val="5"/>
        </w:numPr>
        <w:tabs>
          <w:tab w:pos="1690" w:val="left" w:leader="none"/>
        </w:tabs>
        <w:spacing w:line="240" w:lineRule="auto" w:before="1" w:after="0"/>
        <w:ind w:left="1689" w:right="0" w:hanging="720"/>
        <w:jc w:val="left"/>
      </w:pPr>
      <w:bookmarkStart w:name="_TOC_250012" w:id="61"/>
      <w:bookmarkEnd w:id="61"/>
      <w:r>
        <w:rPr/>
        <w:t>慢性呼吸功能衰竭</w:t>
      </w:r>
    </w:p>
    <w:p>
      <w:pPr>
        <w:pStyle w:val="BodyText"/>
        <w:spacing w:before="8"/>
        <w:rPr>
          <w:rFonts w:ascii="Microsoft JhengHei UI"/>
          <w:b/>
          <w:sz w:val="23"/>
        </w:rPr>
      </w:pPr>
    </w:p>
    <w:p>
      <w:pPr>
        <w:pStyle w:val="BodyText"/>
        <w:spacing w:line="304" w:lineRule="auto"/>
        <w:ind w:left="117" w:right="234" w:firstLine="480"/>
      </w:pPr>
      <w:r>
        <w:rPr>
          <w:spacing w:val="-4"/>
        </w:rPr>
        <w:t>慢性肺部疾病导致永久不可逆性的慢性呼吸功能衰竭，必须由呼吸专科医师确认并符合下列所有条件：</w:t>
      </w:r>
    </w:p>
    <w:p>
      <w:pPr>
        <w:pStyle w:val="BodyText"/>
        <w:spacing w:before="21"/>
        <w:ind w:left="597"/>
      </w:pPr>
      <w:r>
        <w:rPr>
          <w:w w:val="95"/>
        </w:rPr>
        <w:t>（1）休息时出现呼吸困难；</w:t>
      </w:r>
    </w:p>
    <w:p>
      <w:pPr>
        <w:pStyle w:val="BodyText"/>
        <w:spacing w:before="42"/>
        <w:ind w:left="597"/>
      </w:pPr>
      <w:r>
        <w:rPr>
          <w:w w:val="105"/>
        </w:rPr>
        <w:t>（2）</w:t>
      </w:r>
      <w:r>
        <w:rPr>
          <w:spacing w:val="-1"/>
          <w:w w:val="105"/>
        </w:rPr>
        <w:t>动脉氧分压 </w:t>
      </w:r>
      <w:r>
        <w:rPr>
          <w:w w:val="105"/>
        </w:rPr>
        <w:t>（</w:t>
      </w:r>
      <w:r>
        <w:rPr>
          <w:spacing w:val="-83"/>
          <w:w w:val="105"/>
        </w:rPr>
        <w:t> </w:t>
      </w:r>
      <w:r>
        <w:rPr>
          <w:rFonts w:ascii="Times New Roman" w:eastAsia="Times New Roman"/>
          <w:i/>
          <w:w w:val="105"/>
          <w:position w:val="10"/>
        </w:rPr>
        <w:t>PaO</w:t>
      </w:r>
      <w:r>
        <w:rPr>
          <w:rFonts w:ascii="Times New Roman" w:eastAsia="Times New Roman"/>
          <w:w w:val="105"/>
          <w:position w:val="4"/>
          <w:sz w:val="14"/>
        </w:rPr>
        <w:t>2 </w:t>
      </w:r>
      <w:r>
        <w:rPr>
          <w:w w:val="105"/>
        </w:rPr>
        <w:t>）</w:t>
      </w:r>
      <w:r>
        <w:rPr>
          <w:spacing w:val="-33"/>
          <w:w w:val="105"/>
        </w:rPr>
        <w:t>&lt; </w:t>
      </w:r>
      <w:r>
        <w:rPr>
          <w:w w:val="105"/>
        </w:rPr>
        <w:t>50mmHg；</w:t>
      </w:r>
    </w:p>
    <w:p>
      <w:pPr>
        <w:spacing w:after="0"/>
        <w:sectPr>
          <w:pgSz w:w="11910" w:h="16840"/>
          <w:pgMar w:header="0" w:footer="1045" w:top="1420" w:bottom="1240" w:left="1680" w:right="1560"/>
        </w:sectPr>
      </w:pPr>
    </w:p>
    <w:p>
      <w:pPr>
        <w:spacing w:before="40"/>
        <w:ind w:left="597" w:right="0" w:firstLine="0"/>
        <w:jc w:val="left"/>
        <w:rPr>
          <w:rFonts w:ascii="Times New Roman" w:eastAsia="Times New Roman"/>
          <w:sz w:val="14"/>
        </w:rPr>
      </w:pPr>
      <w:r>
        <w:rPr>
          <w:sz w:val="24"/>
        </w:rPr>
        <w:t>（3）</w:t>
      </w:r>
      <w:r>
        <w:rPr>
          <w:spacing w:val="-2"/>
          <w:sz w:val="24"/>
        </w:rPr>
        <w:t>动脉血氧饱和度 </w:t>
      </w:r>
      <w:r>
        <w:rPr>
          <w:sz w:val="24"/>
        </w:rPr>
        <w:t>（</w:t>
      </w:r>
      <w:r>
        <w:rPr>
          <w:spacing w:val="-83"/>
          <w:sz w:val="24"/>
        </w:rPr>
        <w:t> </w:t>
      </w:r>
      <w:r>
        <w:rPr>
          <w:rFonts w:ascii="Times New Roman" w:eastAsia="Times New Roman"/>
          <w:i/>
          <w:position w:val="10"/>
          <w:sz w:val="24"/>
        </w:rPr>
        <w:t>SaO</w:t>
      </w:r>
      <w:r>
        <w:rPr>
          <w:rFonts w:ascii="Times New Roman" w:eastAsia="Times New Roman"/>
          <w:position w:val="4"/>
          <w:sz w:val="14"/>
        </w:rPr>
        <w:t>2</w:t>
      </w:r>
    </w:p>
    <w:p>
      <w:pPr>
        <w:pStyle w:val="BodyText"/>
        <w:spacing w:before="84"/>
        <w:ind w:left="118"/>
      </w:pPr>
      <w:r>
        <w:rPr/>
        <w:br w:type="column"/>
      </w:r>
      <w:r>
        <w:rPr>
          <w:w w:val="105"/>
        </w:rPr>
        <w:t>）&lt;</w:t>
      </w:r>
      <w:r>
        <w:rPr>
          <w:spacing w:val="-94"/>
          <w:w w:val="105"/>
        </w:rPr>
        <w:t> </w:t>
      </w:r>
      <w:r>
        <w:rPr>
          <w:w w:val="105"/>
        </w:rPr>
        <w:t>80％；</w:t>
      </w:r>
    </w:p>
    <w:p>
      <w:pPr>
        <w:spacing w:after="0"/>
        <w:sectPr>
          <w:type w:val="continuous"/>
          <w:pgSz w:w="11910" w:h="16840"/>
          <w:pgMar w:top="320" w:bottom="280" w:left="1680" w:right="1560"/>
          <w:cols w:num="2" w:equalWidth="0">
            <w:col w:w="3752" w:space="40"/>
            <w:col w:w="4878"/>
          </w:cols>
        </w:sectPr>
      </w:pPr>
    </w:p>
    <w:p>
      <w:pPr>
        <w:pStyle w:val="BodyText"/>
        <w:spacing w:before="86"/>
        <w:ind w:left="597"/>
      </w:pPr>
      <w:r>
        <w:rPr>
          <w:w w:val="95"/>
        </w:rPr>
        <w:t>（4）因缺氧必须接受持续的输氧治疗。</w:t>
      </w:r>
    </w:p>
    <w:p>
      <w:pPr>
        <w:pStyle w:val="BodyText"/>
        <w:rPr>
          <w:sz w:val="28"/>
        </w:rPr>
      </w:pPr>
    </w:p>
    <w:p>
      <w:pPr>
        <w:pStyle w:val="Heading1"/>
        <w:numPr>
          <w:ilvl w:val="1"/>
          <w:numId w:val="5"/>
        </w:numPr>
        <w:tabs>
          <w:tab w:pos="1224" w:val="left" w:leader="none"/>
        </w:tabs>
        <w:spacing w:line="240" w:lineRule="auto" w:before="0" w:after="0"/>
        <w:ind w:left="597" w:right="0" w:firstLine="60"/>
        <w:jc w:val="left"/>
      </w:pPr>
      <w:bookmarkStart w:name="_TOC_250011" w:id="62"/>
      <w:bookmarkEnd w:id="62"/>
      <w:r>
        <w:rPr/>
        <w:t>语言能力或咀嚼吞咽能力完全丧失</w:t>
      </w:r>
    </w:p>
    <w:p>
      <w:pPr>
        <w:pStyle w:val="BodyText"/>
        <w:spacing w:before="5"/>
        <w:rPr>
          <w:rFonts w:ascii="Microsoft JhengHei UI"/>
          <w:b/>
          <w:sz w:val="23"/>
        </w:rPr>
      </w:pPr>
    </w:p>
    <w:p>
      <w:pPr>
        <w:pStyle w:val="BodyText"/>
        <w:spacing w:line="307" w:lineRule="auto"/>
        <w:ind w:left="117" w:right="114" w:firstLine="480"/>
      </w:pPr>
      <w:r>
        <w:rPr>
          <w:spacing w:val="-5"/>
        </w:rPr>
        <w:t>语言能力完全丧失，指无法发出四种声音</w:t>
      </w:r>
      <w:r>
        <w:rPr/>
        <w:t>（</w:t>
      </w:r>
      <w:r>
        <w:rPr>
          <w:spacing w:val="-6"/>
        </w:rPr>
        <w:t>包括口唇音、齿舌音、口盖音和喉头音</w:t>
      </w:r>
      <w:r>
        <w:rPr>
          <w:spacing w:val="-70"/>
        </w:rPr>
        <w:t>）</w:t>
      </w:r>
      <w:r>
        <w:rPr>
          <w:spacing w:val="-13"/>
        </w:rPr>
        <w:t>中的任何三种、或声带全部切除，或因大脑语言中枢受伤害而患失语症。</w:t>
      </w:r>
    </w:p>
    <w:p>
      <w:pPr>
        <w:pStyle w:val="BodyText"/>
        <w:spacing w:line="304" w:lineRule="auto" w:before="19"/>
        <w:ind w:left="117" w:right="152" w:firstLine="480"/>
      </w:pPr>
      <w:r>
        <w:rPr/>
        <w:t>咀嚼吞咽能力完全丧失，指因牙齿以外的原因导致器质障碍或机能障碍，以致不能作咀嚼吞咽动作，除流质食物外不能摄取或吞咽的状态。</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10" w:id="63"/>
      <w:bookmarkEnd w:id="63"/>
      <w:r>
        <w:rPr/>
        <w:t>六项基本日常生活活动</w:t>
      </w:r>
    </w:p>
    <w:p>
      <w:pPr>
        <w:pStyle w:val="BodyText"/>
        <w:spacing w:before="7"/>
        <w:rPr>
          <w:rFonts w:ascii="Microsoft JhengHei UI"/>
          <w:b/>
          <w:sz w:val="23"/>
        </w:rPr>
      </w:pPr>
    </w:p>
    <w:p>
      <w:pPr>
        <w:pStyle w:val="BodyText"/>
        <w:spacing w:line="304" w:lineRule="auto"/>
        <w:ind w:left="117" w:right="114" w:firstLine="480"/>
        <w:jc w:val="both"/>
      </w:pPr>
      <w:r>
        <w:rPr>
          <w:spacing w:val="-10"/>
        </w:rPr>
        <w:t>六项基本日常生活活动是指：</w:t>
      </w:r>
      <w:r>
        <w:rPr/>
        <w:t>（</w:t>
      </w:r>
      <w:r>
        <w:rPr>
          <w:w w:val="93"/>
        </w:rPr>
        <w:t>1</w:t>
      </w:r>
      <w:r>
        <w:rPr/>
        <w:t>）</w:t>
      </w:r>
      <w:r>
        <w:rPr>
          <w:spacing w:val="-10"/>
        </w:rPr>
        <w:t>穿衣：自己能够穿衣及脱衣；</w:t>
      </w:r>
      <w:r>
        <w:rPr/>
        <w:t>（</w:t>
      </w:r>
      <w:r>
        <w:rPr>
          <w:w w:val="93"/>
        </w:rPr>
        <w:t>2</w:t>
      </w:r>
      <w:r>
        <w:rPr/>
        <w:t>）移动：</w:t>
      </w:r>
      <w:r>
        <w:rPr>
          <w:spacing w:val="-9"/>
        </w:rPr>
        <w:t>自己从一个房间到另一个房间；</w:t>
      </w:r>
      <w:r>
        <w:rPr/>
        <w:t>（</w:t>
      </w:r>
      <w:r>
        <w:rPr>
          <w:w w:val="93"/>
        </w:rPr>
        <w:t>3</w:t>
      </w:r>
      <w:r>
        <w:rPr/>
        <w:t>）</w:t>
      </w:r>
      <w:r>
        <w:rPr>
          <w:spacing w:val="-9"/>
        </w:rPr>
        <w:t>行动：自己上下床或上下轮椅；</w:t>
      </w:r>
      <w:r>
        <w:rPr/>
        <w:t>（</w:t>
      </w:r>
      <w:r>
        <w:rPr>
          <w:w w:val="93"/>
        </w:rPr>
        <w:t>4</w:t>
      </w:r>
      <w:r>
        <w:rPr/>
        <w:t>）如厕：</w:t>
      </w:r>
      <w:r>
        <w:rPr>
          <w:spacing w:val="-12"/>
        </w:rPr>
        <w:t>自己控制进行大小便；</w:t>
      </w:r>
      <w:r>
        <w:rPr/>
        <w:t>（</w:t>
      </w:r>
      <w:r>
        <w:rPr>
          <w:w w:val="93"/>
        </w:rPr>
        <w:t>5</w:t>
      </w:r>
      <w:r>
        <w:rPr>
          <w:spacing w:val="1"/>
        </w:rPr>
        <w:t>）</w:t>
      </w:r>
      <w:r>
        <w:rPr/>
        <w:t>进食：自己从已准备好的碗或碟中取食物放入口中；</w:t>
      </w:r>
    </w:p>
    <w:p>
      <w:pPr>
        <w:pStyle w:val="BodyText"/>
        <w:spacing w:before="21"/>
        <w:ind w:left="117"/>
      </w:pPr>
      <w:r>
        <w:rPr>
          <w:w w:val="95"/>
        </w:rPr>
        <w:t>（6）洗澡：自己进行淋浴或盆浴。</w:t>
      </w:r>
    </w:p>
    <w:p>
      <w:pPr>
        <w:pStyle w:val="BodyText"/>
        <w:rPr>
          <w:sz w:val="28"/>
        </w:rPr>
      </w:pPr>
    </w:p>
    <w:p>
      <w:pPr>
        <w:pStyle w:val="Heading1"/>
        <w:numPr>
          <w:ilvl w:val="1"/>
          <w:numId w:val="5"/>
        </w:numPr>
        <w:tabs>
          <w:tab w:pos="1224" w:val="left" w:leader="none"/>
        </w:tabs>
        <w:spacing w:line="240" w:lineRule="auto" w:before="1" w:after="0"/>
        <w:ind w:left="597" w:right="0" w:firstLine="60"/>
        <w:jc w:val="left"/>
      </w:pPr>
      <w:bookmarkStart w:name="_TOC_250009" w:id="64"/>
      <w:bookmarkEnd w:id="64"/>
      <w:r>
        <w:rPr/>
        <w:t>肢体机能完全丧失</w:t>
      </w:r>
    </w:p>
    <w:p>
      <w:pPr>
        <w:pStyle w:val="BodyText"/>
        <w:spacing w:before="6"/>
        <w:rPr>
          <w:rFonts w:ascii="Microsoft JhengHei UI"/>
          <w:b/>
          <w:sz w:val="23"/>
        </w:rPr>
      </w:pPr>
    </w:p>
    <w:p>
      <w:pPr>
        <w:pStyle w:val="BodyText"/>
        <w:spacing w:line="307" w:lineRule="auto"/>
        <w:ind w:left="117" w:right="152" w:firstLine="480"/>
      </w:pPr>
      <w:r>
        <w:rPr/>
        <w:t>指肢体的三大关节中的两大关节僵硬，或不能随意识活动。肢体是指包括肩关节的整个上肢或包括髋关节的整个下肢。</w:t>
      </w:r>
    </w:p>
    <w:p>
      <w:pPr>
        <w:spacing w:after="0" w:line="307" w:lineRule="auto"/>
        <w:sectPr>
          <w:type w:val="continuous"/>
          <w:pgSz w:w="11910" w:h="16840"/>
          <w:pgMar w:top="320" w:bottom="280" w:left="1680" w:right="1560"/>
        </w:sectPr>
      </w:pPr>
    </w:p>
    <w:p>
      <w:pPr>
        <w:pStyle w:val="Heading1"/>
        <w:numPr>
          <w:ilvl w:val="1"/>
          <w:numId w:val="5"/>
        </w:numPr>
        <w:tabs>
          <w:tab w:pos="1224" w:val="left" w:leader="none"/>
        </w:tabs>
        <w:spacing w:line="380" w:lineRule="exact" w:before="0" w:after="0"/>
        <w:ind w:left="597" w:right="0" w:firstLine="60"/>
        <w:jc w:val="left"/>
      </w:pPr>
      <w:bookmarkStart w:name="_TOC_250008" w:id="65"/>
      <w:bookmarkEnd w:id="65"/>
      <w:r>
        <w:rPr/>
        <w:t>永久不可逆</w:t>
      </w:r>
    </w:p>
    <w:p>
      <w:pPr>
        <w:pStyle w:val="BodyText"/>
        <w:spacing w:before="8"/>
        <w:rPr>
          <w:rFonts w:ascii="Microsoft JhengHei UI"/>
          <w:b/>
          <w:sz w:val="23"/>
        </w:rPr>
      </w:pPr>
    </w:p>
    <w:p>
      <w:pPr>
        <w:pStyle w:val="BodyText"/>
        <w:spacing w:line="307" w:lineRule="auto"/>
        <w:ind w:left="117" w:right="114" w:firstLine="480"/>
      </w:pPr>
      <w:r>
        <w:rPr>
          <w:spacing w:val="-5"/>
        </w:rPr>
        <w:t>指自疾病确诊或意外伤害发生之日起，经过积极治疗 </w:t>
      </w:r>
      <w:r>
        <w:rPr/>
        <w:t>180</w:t>
      </w:r>
      <w:r>
        <w:rPr>
          <w:spacing w:val="-14"/>
        </w:rPr>
        <w:t> 天后，仍无法通过现有医疗手段恢复。</w:t>
      </w:r>
    </w:p>
    <w:p>
      <w:pPr>
        <w:pStyle w:val="BodyText"/>
        <w:spacing w:before="12"/>
        <w:rPr>
          <w:sz w:val="22"/>
        </w:rPr>
      </w:pPr>
    </w:p>
    <w:p>
      <w:pPr>
        <w:pStyle w:val="Heading1"/>
        <w:numPr>
          <w:ilvl w:val="1"/>
          <w:numId w:val="5"/>
        </w:numPr>
        <w:tabs>
          <w:tab w:pos="1224" w:val="left" w:leader="none"/>
        </w:tabs>
        <w:spacing w:line="240" w:lineRule="auto" w:before="0" w:after="0"/>
        <w:ind w:left="597" w:right="0" w:firstLine="60"/>
        <w:jc w:val="left"/>
      </w:pPr>
      <w:bookmarkStart w:name="_TOC_250007" w:id="66"/>
      <w:bookmarkEnd w:id="66"/>
      <w:r>
        <w:rPr/>
        <w:t>毒品</w:t>
      </w:r>
    </w:p>
    <w:p>
      <w:pPr>
        <w:pStyle w:val="BodyText"/>
        <w:spacing w:before="5"/>
        <w:rPr>
          <w:rFonts w:ascii="Microsoft JhengHei UI"/>
          <w:b/>
          <w:sz w:val="23"/>
        </w:rPr>
      </w:pPr>
    </w:p>
    <w:p>
      <w:pPr>
        <w:pStyle w:val="BodyText"/>
        <w:spacing w:line="304" w:lineRule="auto" w:before="1"/>
        <w:ind w:left="117" w:right="114" w:firstLine="480"/>
        <w:jc w:val="both"/>
      </w:pPr>
      <w:r>
        <w:rPr/>
        <w:t>指中华人民共和国刑法规定的鸦片、海洛因、甲基苯丙胺（冰毒</w:t>
      </w:r>
      <w:r>
        <w:rPr>
          <w:spacing w:val="-120"/>
        </w:rPr>
        <w:t>）</w:t>
      </w:r>
      <w:r>
        <w:rPr/>
        <w:t>、吗啡、大麻、可卡因以及国家规定管制的其他能够使人形成瘾癖的麻醉药品和精神药</w:t>
      </w:r>
      <w:r>
        <w:rPr>
          <w:spacing w:val="-10"/>
        </w:rPr>
        <w:t>品，但不包括由医生开具并遵医嘱使用的用于治疗疾病但含有毒品成分的处方药品。</w:t>
      </w:r>
    </w:p>
    <w:p>
      <w:pPr>
        <w:pStyle w:val="BodyText"/>
        <w:spacing w:before="2"/>
        <w:rPr>
          <w:sz w:val="23"/>
        </w:rPr>
      </w:pPr>
    </w:p>
    <w:p>
      <w:pPr>
        <w:pStyle w:val="Heading1"/>
        <w:numPr>
          <w:ilvl w:val="1"/>
          <w:numId w:val="5"/>
        </w:numPr>
        <w:tabs>
          <w:tab w:pos="1224" w:val="left" w:leader="none"/>
        </w:tabs>
        <w:spacing w:line="240" w:lineRule="auto" w:before="0" w:after="0"/>
        <w:ind w:left="597" w:right="0" w:firstLine="60"/>
        <w:jc w:val="left"/>
      </w:pPr>
      <w:bookmarkStart w:name="_TOC_250006" w:id="67"/>
      <w:bookmarkEnd w:id="67"/>
      <w:r>
        <w:rPr/>
        <w:t>酒后驾驶</w:t>
      </w:r>
    </w:p>
    <w:p>
      <w:pPr>
        <w:pStyle w:val="BodyText"/>
        <w:spacing w:before="8"/>
        <w:rPr>
          <w:rFonts w:ascii="Microsoft JhengHei UI"/>
          <w:b/>
          <w:sz w:val="23"/>
        </w:rPr>
      </w:pPr>
    </w:p>
    <w:p>
      <w:pPr>
        <w:pStyle w:val="BodyText"/>
        <w:spacing w:line="304" w:lineRule="auto"/>
        <w:ind w:left="117" w:right="112" w:firstLine="480"/>
        <w:jc w:val="both"/>
      </w:pPr>
      <w:r>
        <w:rPr>
          <w:spacing w:val="-10"/>
        </w:rPr>
        <w:t>指经检测或鉴定，发生事故时车辆驾驶人员每百毫升血液中的酒精含量达到</w:t>
      </w:r>
      <w:r>
        <w:rPr>
          <w:spacing w:val="-13"/>
        </w:rPr>
        <w:t>或超过一定的标准，公安机关交通管理部门依据《道路交通安全法》的规定认定为饮酒后驾驶或醉酒后驾驶。</w:t>
      </w:r>
    </w:p>
    <w:p>
      <w:pPr>
        <w:pStyle w:val="ListParagraph"/>
        <w:numPr>
          <w:ilvl w:val="1"/>
          <w:numId w:val="5"/>
        </w:numPr>
        <w:tabs>
          <w:tab w:pos="1224" w:val="left" w:leader="none"/>
        </w:tabs>
        <w:spacing w:line="732" w:lineRule="exact" w:before="54" w:after="0"/>
        <w:ind w:left="597" w:right="4919" w:firstLine="60"/>
        <w:jc w:val="left"/>
        <w:rPr>
          <w:sz w:val="24"/>
        </w:rPr>
      </w:pPr>
      <w:r>
        <w:rPr>
          <w:rFonts w:ascii="Microsoft JhengHei UI" w:eastAsia="Microsoft JhengHei UI" w:hint="eastAsia"/>
          <w:b/>
          <w:sz w:val="24"/>
        </w:rPr>
        <w:t>无合法有效驾驶证驾驶</w:t>
      </w:r>
      <w:r>
        <w:rPr>
          <w:sz w:val="24"/>
        </w:rPr>
        <w:t>指下列情形之一：</w:t>
      </w:r>
    </w:p>
    <w:p>
      <w:pPr>
        <w:pStyle w:val="BodyText"/>
        <w:spacing w:line="286" w:lineRule="exact"/>
        <w:ind w:left="597"/>
      </w:pPr>
      <w:r>
        <w:rPr>
          <w:w w:val="95"/>
        </w:rPr>
        <w:t>（1）没有取得驾驶资格；</w:t>
      </w:r>
    </w:p>
    <w:p>
      <w:pPr>
        <w:pStyle w:val="BodyText"/>
        <w:spacing w:before="87"/>
        <w:ind w:left="597"/>
      </w:pPr>
      <w:r>
        <w:rPr>
          <w:w w:val="95"/>
        </w:rPr>
        <w:t>（2）驾驶与驾驶证准驾车型不相符合的车辆；</w:t>
      </w:r>
    </w:p>
    <w:p>
      <w:pPr>
        <w:pStyle w:val="BodyText"/>
        <w:spacing w:before="86"/>
        <w:ind w:left="597"/>
      </w:pPr>
      <w:r>
        <w:rPr>
          <w:w w:val="95"/>
        </w:rPr>
        <w:t>（3）持审验不合格的驾驶证驾驶；</w:t>
      </w:r>
    </w:p>
    <w:p>
      <w:pPr>
        <w:pStyle w:val="BodyText"/>
        <w:spacing w:line="307" w:lineRule="auto" w:before="84"/>
        <w:ind w:left="117" w:right="112" w:firstLine="480"/>
      </w:pPr>
      <w:r>
        <w:rPr/>
        <w:t>（4）持学习驾驶证学习驾车时，无教练员随车指导，或不按指定时间、路线学习驾车。</w:t>
      </w:r>
    </w:p>
    <w:p>
      <w:pPr>
        <w:pStyle w:val="ListParagraph"/>
        <w:numPr>
          <w:ilvl w:val="1"/>
          <w:numId w:val="5"/>
        </w:numPr>
        <w:tabs>
          <w:tab w:pos="1224" w:val="left" w:leader="none"/>
        </w:tabs>
        <w:spacing w:line="732" w:lineRule="exact" w:before="52" w:after="0"/>
        <w:ind w:left="597" w:right="5879" w:firstLine="60"/>
        <w:jc w:val="left"/>
        <w:rPr>
          <w:sz w:val="24"/>
        </w:rPr>
      </w:pPr>
      <w:r>
        <w:rPr>
          <w:rFonts w:ascii="Microsoft JhengHei UI" w:eastAsia="Microsoft JhengHei UI" w:hint="eastAsia"/>
          <w:b/>
          <w:sz w:val="24"/>
        </w:rPr>
        <w:t>无有效行驶证</w:t>
      </w:r>
      <w:r>
        <w:rPr>
          <w:sz w:val="24"/>
        </w:rPr>
        <w:t>指下列情形之一：</w:t>
      </w:r>
    </w:p>
    <w:p>
      <w:pPr>
        <w:pStyle w:val="BodyText"/>
        <w:spacing w:line="286" w:lineRule="exact"/>
        <w:ind w:left="597"/>
      </w:pPr>
      <w:r>
        <w:rPr>
          <w:w w:val="95"/>
        </w:rPr>
        <w:t>（1）机动车被依法注销登记的；</w:t>
      </w:r>
    </w:p>
    <w:p>
      <w:pPr>
        <w:pStyle w:val="BodyText"/>
        <w:spacing w:before="87"/>
        <w:ind w:left="597"/>
      </w:pPr>
      <w:r>
        <w:rPr>
          <w:w w:val="95"/>
        </w:rPr>
        <w:t>（2）未依法按时进行或通过机动车安全技术检验。</w:t>
      </w:r>
    </w:p>
    <w:p>
      <w:pPr>
        <w:pStyle w:val="BodyText"/>
        <w:rPr>
          <w:sz w:val="28"/>
        </w:rPr>
      </w:pPr>
    </w:p>
    <w:p>
      <w:pPr>
        <w:pStyle w:val="Heading1"/>
        <w:numPr>
          <w:ilvl w:val="1"/>
          <w:numId w:val="5"/>
        </w:numPr>
        <w:tabs>
          <w:tab w:pos="1224" w:val="left" w:leader="none"/>
        </w:tabs>
        <w:spacing w:line="240" w:lineRule="auto" w:before="1" w:after="0"/>
        <w:ind w:left="597" w:right="0" w:firstLine="60"/>
        <w:jc w:val="left"/>
      </w:pPr>
      <w:bookmarkStart w:name="_TOC_250005" w:id="68"/>
      <w:bookmarkEnd w:id="68"/>
      <w:r>
        <w:rPr/>
        <w:t>机动车</w:t>
      </w:r>
    </w:p>
    <w:p>
      <w:pPr>
        <w:pStyle w:val="BodyText"/>
        <w:spacing w:before="6"/>
        <w:rPr>
          <w:rFonts w:ascii="Microsoft JhengHei UI"/>
          <w:b/>
          <w:sz w:val="23"/>
        </w:rPr>
      </w:pPr>
    </w:p>
    <w:p>
      <w:pPr>
        <w:pStyle w:val="BodyText"/>
        <w:ind w:left="643"/>
      </w:pPr>
      <w:r>
        <w:rPr/>
        <w:t>指航空器、机动船舶及其他水上移动装置、火车、机动车辆（含汽车、电</w:t>
      </w:r>
    </w:p>
    <w:p>
      <w:pPr>
        <w:spacing w:after="0"/>
        <w:sectPr>
          <w:pgSz w:w="11910" w:h="16840"/>
          <w:pgMar w:header="0" w:footer="1045" w:top="1420" w:bottom="1240" w:left="1680" w:right="1680"/>
        </w:sectPr>
      </w:pPr>
    </w:p>
    <w:p>
      <w:pPr>
        <w:pStyle w:val="BodyText"/>
        <w:spacing w:before="41"/>
        <w:ind w:left="117"/>
      </w:pPr>
      <w:r>
        <w:rPr/>
        <w:t>车、电瓶车、摩托车、各种专用机械车（机</w:t>
      </w:r>
      <w:r>
        <w:rPr>
          <w:spacing w:val="-120"/>
        </w:rPr>
        <w:t>）</w:t>
      </w:r>
      <w:r>
        <w:rPr/>
        <w:t>、特种车</w:t>
      </w:r>
      <w:r>
        <w:rPr>
          <w:spacing w:val="-120"/>
        </w:rPr>
        <w:t>）</w:t>
      </w:r>
      <w:r>
        <w:rPr/>
        <w:t>。</w:t>
      </w:r>
    </w:p>
    <w:p>
      <w:pPr>
        <w:pStyle w:val="BodyText"/>
        <w:spacing w:before="1"/>
        <w:rPr>
          <w:sz w:val="28"/>
        </w:rPr>
      </w:pPr>
    </w:p>
    <w:p>
      <w:pPr>
        <w:pStyle w:val="Heading1"/>
        <w:numPr>
          <w:ilvl w:val="1"/>
          <w:numId w:val="5"/>
        </w:numPr>
        <w:tabs>
          <w:tab w:pos="1224" w:val="left" w:leader="none"/>
        </w:tabs>
        <w:spacing w:line="240" w:lineRule="auto" w:before="0" w:after="0"/>
        <w:ind w:left="597" w:right="0" w:firstLine="60"/>
        <w:jc w:val="left"/>
      </w:pPr>
      <w:bookmarkStart w:name="_TOC_250004" w:id="69"/>
      <w:bookmarkEnd w:id="69"/>
      <w:r>
        <w:rPr/>
        <w:t>感染艾滋病病毒或患艾滋病</w:t>
      </w:r>
    </w:p>
    <w:p>
      <w:pPr>
        <w:pStyle w:val="BodyText"/>
        <w:spacing w:before="8"/>
        <w:rPr>
          <w:rFonts w:ascii="Microsoft JhengHei UI"/>
          <w:b/>
          <w:sz w:val="23"/>
        </w:rPr>
      </w:pPr>
    </w:p>
    <w:p>
      <w:pPr>
        <w:pStyle w:val="BodyText"/>
        <w:spacing w:line="304" w:lineRule="auto"/>
        <w:ind w:left="117" w:right="152" w:firstLine="480"/>
      </w:pPr>
      <w:r>
        <w:rPr/>
        <w:t>艾滋病病毒指人类免疫缺陷病毒，英文缩写为 HIV。艾滋病指人类免疫缺陷病毒引起的获得性免疫缺陷综合症，英文缩写为 AIDS。</w:t>
      </w:r>
    </w:p>
    <w:p>
      <w:pPr>
        <w:pStyle w:val="BodyText"/>
        <w:spacing w:line="304" w:lineRule="auto" w:before="21"/>
        <w:ind w:left="117" w:right="232" w:firstLine="480"/>
        <w:jc w:val="both"/>
      </w:pPr>
      <w:r>
        <w:rPr>
          <w:spacing w:val="-4"/>
        </w:rPr>
        <w:t>在人体血液或其他样本中检测到艾滋病病毒或其抗体呈阳性，没有出现临床</w:t>
      </w:r>
      <w:r>
        <w:rPr>
          <w:spacing w:val="-10"/>
        </w:rPr>
        <w:t>症状或体征的，为感染艾滋病病毒；如果同时出现了明显临床症状或体征的，为患艾滋病。</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03" w:id="70"/>
      <w:bookmarkEnd w:id="70"/>
      <w:r>
        <w:rPr/>
        <w:t>遗传性疾病</w:t>
      </w:r>
    </w:p>
    <w:p>
      <w:pPr>
        <w:pStyle w:val="BodyText"/>
        <w:spacing w:before="8"/>
        <w:rPr>
          <w:rFonts w:ascii="Microsoft JhengHei UI"/>
          <w:b/>
          <w:sz w:val="23"/>
        </w:rPr>
      </w:pPr>
    </w:p>
    <w:p>
      <w:pPr>
        <w:pStyle w:val="BodyText"/>
        <w:spacing w:line="304" w:lineRule="auto"/>
        <w:ind w:left="117" w:right="152" w:firstLine="480"/>
      </w:pPr>
      <w:r>
        <w:rPr/>
        <w:t>指生殖细胞或受精卵的遗传物质（染色体和基因）发生突变或畸变所引起的疾病，通常具有由亲代传至后代的垂直传递的特征。</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02" w:id="71"/>
      <w:bookmarkEnd w:id="71"/>
      <w:r>
        <w:rPr/>
        <w:t>先天性畸形、变形或染色体异常</w:t>
      </w:r>
    </w:p>
    <w:p>
      <w:pPr>
        <w:pStyle w:val="BodyText"/>
        <w:spacing w:before="7"/>
        <w:rPr>
          <w:rFonts w:ascii="Microsoft JhengHei UI"/>
          <w:b/>
          <w:sz w:val="23"/>
        </w:rPr>
      </w:pPr>
    </w:p>
    <w:p>
      <w:pPr>
        <w:pStyle w:val="BodyText"/>
        <w:spacing w:line="304" w:lineRule="auto"/>
        <w:ind w:left="117" w:right="114" w:firstLine="480"/>
      </w:pPr>
      <w:r>
        <w:rPr>
          <w:spacing w:val="-5"/>
        </w:rPr>
        <w:t>指被保险人出生时就具有的畸形、变形或染色体异常。先天性畸形、变形和</w:t>
      </w:r>
      <w:r>
        <w:rPr>
          <w:spacing w:val="-9"/>
        </w:rPr>
        <w:t>染色体异常依照世界卫生组织《疾病和有关健康问题的国际统计分类</w:t>
      </w:r>
      <w:r>
        <w:rPr>
          <w:spacing w:val="-166"/>
        </w:rPr>
        <w:t>》</w:t>
      </w:r>
      <w:r>
        <w:rPr/>
        <w:t>（ICD-10） 确定。</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01" w:id="72"/>
      <w:bookmarkEnd w:id="72"/>
      <w:r>
        <w:rPr/>
        <w:t>未满期净保费</w:t>
      </w:r>
    </w:p>
    <w:p>
      <w:pPr>
        <w:pStyle w:val="BodyText"/>
        <w:spacing w:before="8"/>
        <w:rPr>
          <w:rFonts w:ascii="Microsoft JhengHei UI"/>
          <w:b/>
          <w:sz w:val="23"/>
        </w:rPr>
      </w:pPr>
    </w:p>
    <w:p>
      <w:pPr>
        <w:pStyle w:val="BodyText"/>
        <w:spacing w:line="304" w:lineRule="auto"/>
        <w:ind w:left="117" w:right="234" w:firstLine="480"/>
      </w:pPr>
      <w:r>
        <w:rPr/>
        <w:t>计算公式为保险费×75﹪×n/m</w:t>
      </w:r>
      <w:r>
        <w:rPr>
          <w:spacing w:val="-7"/>
        </w:rPr>
        <w:t>，其中 </w:t>
      </w:r>
      <w:r>
        <w:rPr/>
        <w:t>m</w:t>
      </w:r>
      <w:r>
        <w:rPr>
          <w:spacing w:val="-7"/>
        </w:rPr>
        <w:t> 为保险期间所包含的天数，</w:t>
      </w:r>
      <w:r>
        <w:rPr>
          <w:spacing w:val="-8"/>
        </w:rPr>
        <w:t>n</w:t>
      </w:r>
      <w:r>
        <w:rPr>
          <w:spacing w:val="-10"/>
        </w:rPr>
        <w:t> 为未经过天数。</w:t>
      </w:r>
    </w:p>
    <w:p>
      <w:pPr>
        <w:pStyle w:val="BodyText"/>
        <w:spacing w:before="1"/>
        <w:rPr>
          <w:sz w:val="23"/>
        </w:rPr>
      </w:pPr>
    </w:p>
    <w:p>
      <w:pPr>
        <w:pStyle w:val="Heading1"/>
        <w:numPr>
          <w:ilvl w:val="1"/>
          <w:numId w:val="5"/>
        </w:numPr>
        <w:tabs>
          <w:tab w:pos="1224" w:val="left" w:leader="none"/>
        </w:tabs>
        <w:spacing w:line="240" w:lineRule="auto" w:before="0" w:after="0"/>
        <w:ind w:left="597" w:right="0" w:firstLine="60"/>
        <w:jc w:val="left"/>
      </w:pPr>
      <w:bookmarkStart w:name="_TOC_250000" w:id="73"/>
      <w:bookmarkEnd w:id="73"/>
      <w:r>
        <w:rPr/>
        <w:t>周岁</w:t>
      </w:r>
    </w:p>
    <w:p>
      <w:pPr>
        <w:pStyle w:val="BodyText"/>
        <w:spacing w:before="5"/>
        <w:rPr>
          <w:rFonts w:ascii="Microsoft JhengHei UI"/>
          <w:b/>
          <w:sz w:val="27"/>
        </w:rPr>
      </w:pPr>
    </w:p>
    <w:p>
      <w:pPr>
        <w:pStyle w:val="BodyText"/>
        <w:spacing w:line="477" w:lineRule="auto" w:before="1"/>
        <w:ind w:left="117" w:right="232" w:firstLine="420"/>
      </w:pPr>
      <w:r>
        <w:rPr/>
        <w:t>指以法定身份证明文件中记载的出生日期为基础</w:t>
      </w:r>
      <w:r>
        <w:rPr>
          <w:w w:val="75"/>
        </w:rPr>
        <w:t>, </w:t>
      </w:r>
      <w:r>
        <w:rPr/>
        <w:t>按照公历的年、月、日， 从周岁生日的第二天起计算的年龄。</w:t>
      </w:r>
    </w:p>
    <w:sectPr>
      <w:pgSz w:w="11910" w:h="16840"/>
      <w:pgMar w:header="0" w:footer="1045" w:top="1420" w:bottom="1240" w:left="16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icrosoft JhengHei UI">
    <w:altName w:val="Microsoft JhengHei UI"/>
    <w:charset w:val="0"/>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 w:name="黑体">
    <w:altName w:val="黑体"/>
    <w:charset w:val="86"/>
    <w:family w:val="modern"/>
    <w:pitch w:val="fixed"/>
  </w:font>
  <w:font w:name="Segoe UI Symbol">
    <w:altName w:val="Segoe UI Symbo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8.883003pt;margin-top:778.645996pt;width:152.6pt;height:13.75pt;mso-position-horizontal-relative:page;mso-position-vertical-relative:page;z-index:-19648" type="#_x0000_t202" filled="false" stroked="false">
          <v:textbox inset="0,0,0,0">
            <w:txbxContent>
              <w:p>
                <w:pPr>
                  <w:spacing w:line="223" w:lineRule="exact" w:before="0"/>
                  <w:ind w:left="20" w:right="0" w:firstLine="0"/>
                  <w:jc w:val="left"/>
                  <w:rPr>
                    <w:sz w:val="18"/>
                  </w:rPr>
                </w:pPr>
                <w:r>
                  <w:rPr>
                    <w:w w:val="95"/>
                    <w:sz w:val="18"/>
                  </w:rPr>
                  <w:t>中新大东方团体重大疾病保险(A1)条款</w:t>
                </w:r>
              </w:p>
            </w:txbxContent>
          </v:textbox>
          <w10:wrap type="none"/>
        </v:shape>
      </w:pict>
    </w:r>
    <w:r>
      <w:rPr/>
      <w:pict>
        <v:shape style="position:absolute;margin-left:494.916992pt;margin-top:778.645996pt;width:12.45pt;height:13.75pt;mso-position-horizontal-relative:page;mso-position-vertical-relative:page;z-index:-19624" type="#_x0000_t202" filled="false" stroked="false">
          <v:textbox inset="0,0,0,0">
            <w:txbxContent>
              <w:p>
                <w:pPr>
                  <w:spacing w:line="223" w:lineRule="exact" w:before="0"/>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758" w:hanging="144"/>
        <w:jc w:val="left"/>
      </w:pPr>
      <w:rPr>
        <w:rFonts w:hint="default" w:ascii="宋体" w:hAnsi="宋体" w:eastAsia="宋体" w:cs="宋体"/>
        <w:w w:val="70"/>
        <w:sz w:val="24"/>
        <w:szCs w:val="24"/>
      </w:rPr>
    </w:lvl>
    <w:lvl w:ilvl="1">
      <w:start w:val="0"/>
      <w:numFmt w:val="bullet"/>
      <w:lvlText w:val="•"/>
      <w:lvlJc w:val="left"/>
      <w:pPr>
        <w:ind w:left="1550" w:hanging="144"/>
      </w:pPr>
      <w:rPr>
        <w:rFonts w:hint="default"/>
      </w:rPr>
    </w:lvl>
    <w:lvl w:ilvl="2">
      <w:start w:val="0"/>
      <w:numFmt w:val="bullet"/>
      <w:lvlText w:val="•"/>
      <w:lvlJc w:val="left"/>
      <w:pPr>
        <w:ind w:left="2341" w:hanging="144"/>
      </w:pPr>
      <w:rPr>
        <w:rFonts w:hint="default"/>
      </w:rPr>
    </w:lvl>
    <w:lvl w:ilvl="3">
      <w:start w:val="0"/>
      <w:numFmt w:val="bullet"/>
      <w:lvlText w:val="•"/>
      <w:lvlJc w:val="left"/>
      <w:pPr>
        <w:ind w:left="3131" w:hanging="144"/>
      </w:pPr>
      <w:rPr>
        <w:rFonts w:hint="default"/>
      </w:rPr>
    </w:lvl>
    <w:lvl w:ilvl="4">
      <w:start w:val="0"/>
      <w:numFmt w:val="bullet"/>
      <w:lvlText w:val="•"/>
      <w:lvlJc w:val="left"/>
      <w:pPr>
        <w:ind w:left="3922" w:hanging="144"/>
      </w:pPr>
      <w:rPr>
        <w:rFonts w:hint="default"/>
      </w:rPr>
    </w:lvl>
    <w:lvl w:ilvl="5">
      <w:start w:val="0"/>
      <w:numFmt w:val="bullet"/>
      <w:lvlText w:val="•"/>
      <w:lvlJc w:val="left"/>
      <w:pPr>
        <w:ind w:left="4712" w:hanging="144"/>
      </w:pPr>
      <w:rPr>
        <w:rFonts w:hint="default"/>
      </w:rPr>
    </w:lvl>
    <w:lvl w:ilvl="6">
      <w:start w:val="0"/>
      <w:numFmt w:val="bullet"/>
      <w:lvlText w:val="•"/>
      <w:lvlJc w:val="left"/>
      <w:pPr>
        <w:ind w:left="5503" w:hanging="144"/>
      </w:pPr>
      <w:rPr>
        <w:rFonts w:hint="default"/>
      </w:rPr>
    </w:lvl>
    <w:lvl w:ilvl="7">
      <w:start w:val="0"/>
      <w:numFmt w:val="bullet"/>
      <w:lvlText w:val="•"/>
      <w:lvlJc w:val="left"/>
      <w:pPr>
        <w:ind w:left="6293" w:hanging="144"/>
      </w:pPr>
      <w:rPr>
        <w:rFonts w:hint="default"/>
      </w:rPr>
    </w:lvl>
    <w:lvl w:ilvl="8">
      <w:start w:val="0"/>
      <w:numFmt w:val="bullet"/>
      <w:lvlText w:val="•"/>
      <w:lvlJc w:val="left"/>
      <w:pPr>
        <w:ind w:left="7084" w:hanging="144"/>
      </w:pPr>
      <w:rPr>
        <w:rFonts w:hint="default"/>
      </w:rPr>
    </w:lvl>
  </w:abstractNum>
  <w:abstractNum w:abstractNumId="8">
    <w:multiLevelType w:val="hybridMultilevel"/>
    <w:lvl w:ilvl="0">
      <w:start w:val="1"/>
      <w:numFmt w:val="decimal"/>
      <w:lvlText w:val="（%1）"/>
      <w:lvlJc w:val="left"/>
      <w:pPr>
        <w:ind w:left="1250" w:hanging="713"/>
        <w:jc w:val="left"/>
      </w:pPr>
      <w:rPr>
        <w:rFonts w:hint="default" w:ascii="宋体" w:hAnsi="宋体" w:eastAsia="宋体" w:cs="宋体"/>
        <w:w w:val="100"/>
        <w:sz w:val="24"/>
        <w:szCs w:val="24"/>
      </w:rPr>
    </w:lvl>
    <w:lvl w:ilvl="1">
      <w:start w:val="0"/>
      <w:numFmt w:val="bullet"/>
      <w:lvlText w:val="•"/>
      <w:lvlJc w:val="left"/>
      <w:pPr>
        <w:ind w:left="1996" w:hanging="713"/>
      </w:pPr>
      <w:rPr>
        <w:rFonts w:hint="default"/>
      </w:rPr>
    </w:lvl>
    <w:lvl w:ilvl="2">
      <w:start w:val="0"/>
      <w:numFmt w:val="bullet"/>
      <w:lvlText w:val="•"/>
      <w:lvlJc w:val="left"/>
      <w:pPr>
        <w:ind w:left="2733" w:hanging="713"/>
      </w:pPr>
      <w:rPr>
        <w:rFonts w:hint="default"/>
      </w:rPr>
    </w:lvl>
    <w:lvl w:ilvl="3">
      <w:start w:val="0"/>
      <w:numFmt w:val="bullet"/>
      <w:lvlText w:val="•"/>
      <w:lvlJc w:val="left"/>
      <w:pPr>
        <w:ind w:left="3469" w:hanging="713"/>
      </w:pPr>
      <w:rPr>
        <w:rFonts w:hint="default"/>
      </w:rPr>
    </w:lvl>
    <w:lvl w:ilvl="4">
      <w:start w:val="0"/>
      <w:numFmt w:val="bullet"/>
      <w:lvlText w:val="•"/>
      <w:lvlJc w:val="left"/>
      <w:pPr>
        <w:ind w:left="4206" w:hanging="713"/>
      </w:pPr>
      <w:rPr>
        <w:rFonts w:hint="default"/>
      </w:rPr>
    </w:lvl>
    <w:lvl w:ilvl="5">
      <w:start w:val="0"/>
      <w:numFmt w:val="bullet"/>
      <w:lvlText w:val="•"/>
      <w:lvlJc w:val="left"/>
      <w:pPr>
        <w:ind w:left="4942" w:hanging="713"/>
      </w:pPr>
      <w:rPr>
        <w:rFonts w:hint="default"/>
      </w:rPr>
    </w:lvl>
    <w:lvl w:ilvl="6">
      <w:start w:val="0"/>
      <w:numFmt w:val="bullet"/>
      <w:lvlText w:val="•"/>
      <w:lvlJc w:val="left"/>
      <w:pPr>
        <w:ind w:left="5679" w:hanging="713"/>
      </w:pPr>
      <w:rPr>
        <w:rFonts w:hint="default"/>
      </w:rPr>
    </w:lvl>
    <w:lvl w:ilvl="7">
      <w:start w:val="0"/>
      <w:numFmt w:val="bullet"/>
      <w:lvlText w:val="•"/>
      <w:lvlJc w:val="left"/>
      <w:pPr>
        <w:ind w:left="6415" w:hanging="713"/>
      </w:pPr>
      <w:rPr>
        <w:rFonts w:hint="default"/>
      </w:rPr>
    </w:lvl>
    <w:lvl w:ilvl="8">
      <w:start w:val="0"/>
      <w:numFmt w:val="bullet"/>
      <w:lvlText w:val="•"/>
      <w:lvlJc w:val="left"/>
      <w:pPr>
        <w:ind w:left="7152" w:hanging="713"/>
      </w:pPr>
      <w:rPr>
        <w:rFonts w:hint="default"/>
      </w:rPr>
    </w:lvl>
  </w:abstractNum>
  <w:abstractNum w:abstractNumId="7">
    <w:multiLevelType w:val="hybridMultilevel"/>
    <w:lvl w:ilvl="0">
      <w:start w:val="1"/>
      <w:numFmt w:val="decimal"/>
      <w:lvlText w:val="（%1）"/>
      <w:lvlJc w:val="left"/>
      <w:pPr>
        <w:ind w:left="1250" w:hanging="653"/>
        <w:jc w:val="left"/>
      </w:pPr>
      <w:rPr>
        <w:rFonts w:hint="default" w:ascii="宋体" w:hAnsi="宋体" w:eastAsia="宋体" w:cs="宋体"/>
        <w:w w:val="100"/>
        <w:sz w:val="24"/>
        <w:szCs w:val="24"/>
      </w:rPr>
    </w:lvl>
    <w:lvl w:ilvl="1">
      <w:start w:val="0"/>
      <w:numFmt w:val="bullet"/>
      <w:lvlText w:val="•"/>
      <w:lvlJc w:val="left"/>
      <w:pPr>
        <w:ind w:left="1996" w:hanging="653"/>
      </w:pPr>
      <w:rPr>
        <w:rFonts w:hint="default"/>
      </w:rPr>
    </w:lvl>
    <w:lvl w:ilvl="2">
      <w:start w:val="0"/>
      <w:numFmt w:val="bullet"/>
      <w:lvlText w:val="•"/>
      <w:lvlJc w:val="left"/>
      <w:pPr>
        <w:ind w:left="2733" w:hanging="653"/>
      </w:pPr>
      <w:rPr>
        <w:rFonts w:hint="default"/>
      </w:rPr>
    </w:lvl>
    <w:lvl w:ilvl="3">
      <w:start w:val="0"/>
      <w:numFmt w:val="bullet"/>
      <w:lvlText w:val="•"/>
      <w:lvlJc w:val="left"/>
      <w:pPr>
        <w:ind w:left="3469" w:hanging="653"/>
      </w:pPr>
      <w:rPr>
        <w:rFonts w:hint="default"/>
      </w:rPr>
    </w:lvl>
    <w:lvl w:ilvl="4">
      <w:start w:val="0"/>
      <w:numFmt w:val="bullet"/>
      <w:lvlText w:val="•"/>
      <w:lvlJc w:val="left"/>
      <w:pPr>
        <w:ind w:left="4206" w:hanging="653"/>
      </w:pPr>
      <w:rPr>
        <w:rFonts w:hint="default"/>
      </w:rPr>
    </w:lvl>
    <w:lvl w:ilvl="5">
      <w:start w:val="0"/>
      <w:numFmt w:val="bullet"/>
      <w:lvlText w:val="•"/>
      <w:lvlJc w:val="left"/>
      <w:pPr>
        <w:ind w:left="4942" w:hanging="653"/>
      </w:pPr>
      <w:rPr>
        <w:rFonts w:hint="default"/>
      </w:rPr>
    </w:lvl>
    <w:lvl w:ilvl="6">
      <w:start w:val="0"/>
      <w:numFmt w:val="bullet"/>
      <w:lvlText w:val="•"/>
      <w:lvlJc w:val="left"/>
      <w:pPr>
        <w:ind w:left="5679" w:hanging="653"/>
      </w:pPr>
      <w:rPr>
        <w:rFonts w:hint="default"/>
      </w:rPr>
    </w:lvl>
    <w:lvl w:ilvl="7">
      <w:start w:val="0"/>
      <w:numFmt w:val="bullet"/>
      <w:lvlText w:val="•"/>
      <w:lvlJc w:val="left"/>
      <w:pPr>
        <w:ind w:left="6415" w:hanging="653"/>
      </w:pPr>
      <w:rPr>
        <w:rFonts w:hint="default"/>
      </w:rPr>
    </w:lvl>
    <w:lvl w:ilvl="8">
      <w:start w:val="0"/>
      <w:numFmt w:val="bullet"/>
      <w:lvlText w:val="•"/>
      <w:lvlJc w:val="left"/>
      <w:pPr>
        <w:ind w:left="7152" w:hanging="653"/>
      </w:pPr>
      <w:rPr>
        <w:rFonts w:hint="default"/>
      </w:rPr>
    </w:lvl>
  </w:abstractNum>
  <w:abstractNum w:abstractNumId="6">
    <w:multiLevelType w:val="hybridMultilevel"/>
    <w:lvl w:ilvl="0">
      <w:start w:val="1"/>
      <w:numFmt w:val="decimal"/>
      <w:lvlText w:val="（%1）"/>
      <w:lvlJc w:val="left"/>
      <w:pPr>
        <w:ind w:left="1250" w:hanging="713"/>
        <w:jc w:val="left"/>
      </w:pPr>
      <w:rPr>
        <w:rFonts w:hint="default" w:ascii="宋体" w:hAnsi="宋体" w:eastAsia="宋体" w:cs="宋体"/>
        <w:w w:val="100"/>
        <w:sz w:val="24"/>
        <w:szCs w:val="24"/>
      </w:rPr>
    </w:lvl>
    <w:lvl w:ilvl="1">
      <w:start w:val="0"/>
      <w:numFmt w:val="bullet"/>
      <w:lvlText w:val="•"/>
      <w:lvlJc w:val="left"/>
      <w:pPr>
        <w:ind w:left="1988" w:hanging="713"/>
      </w:pPr>
      <w:rPr>
        <w:rFonts w:hint="default"/>
      </w:rPr>
    </w:lvl>
    <w:lvl w:ilvl="2">
      <w:start w:val="0"/>
      <w:numFmt w:val="bullet"/>
      <w:lvlText w:val="•"/>
      <w:lvlJc w:val="left"/>
      <w:pPr>
        <w:ind w:left="2717" w:hanging="713"/>
      </w:pPr>
      <w:rPr>
        <w:rFonts w:hint="default"/>
      </w:rPr>
    </w:lvl>
    <w:lvl w:ilvl="3">
      <w:start w:val="0"/>
      <w:numFmt w:val="bullet"/>
      <w:lvlText w:val="•"/>
      <w:lvlJc w:val="left"/>
      <w:pPr>
        <w:ind w:left="3445" w:hanging="713"/>
      </w:pPr>
      <w:rPr>
        <w:rFonts w:hint="default"/>
      </w:rPr>
    </w:lvl>
    <w:lvl w:ilvl="4">
      <w:start w:val="0"/>
      <w:numFmt w:val="bullet"/>
      <w:lvlText w:val="•"/>
      <w:lvlJc w:val="left"/>
      <w:pPr>
        <w:ind w:left="4174" w:hanging="713"/>
      </w:pPr>
      <w:rPr>
        <w:rFonts w:hint="default"/>
      </w:rPr>
    </w:lvl>
    <w:lvl w:ilvl="5">
      <w:start w:val="0"/>
      <w:numFmt w:val="bullet"/>
      <w:lvlText w:val="•"/>
      <w:lvlJc w:val="left"/>
      <w:pPr>
        <w:ind w:left="4902" w:hanging="713"/>
      </w:pPr>
      <w:rPr>
        <w:rFonts w:hint="default"/>
      </w:rPr>
    </w:lvl>
    <w:lvl w:ilvl="6">
      <w:start w:val="0"/>
      <w:numFmt w:val="bullet"/>
      <w:lvlText w:val="•"/>
      <w:lvlJc w:val="left"/>
      <w:pPr>
        <w:ind w:left="5631" w:hanging="713"/>
      </w:pPr>
      <w:rPr>
        <w:rFonts w:hint="default"/>
      </w:rPr>
    </w:lvl>
    <w:lvl w:ilvl="7">
      <w:start w:val="0"/>
      <w:numFmt w:val="bullet"/>
      <w:lvlText w:val="•"/>
      <w:lvlJc w:val="left"/>
      <w:pPr>
        <w:ind w:left="6359" w:hanging="713"/>
      </w:pPr>
      <w:rPr>
        <w:rFonts w:hint="default"/>
      </w:rPr>
    </w:lvl>
    <w:lvl w:ilvl="8">
      <w:start w:val="0"/>
      <w:numFmt w:val="bullet"/>
      <w:lvlText w:val="•"/>
      <w:lvlJc w:val="left"/>
      <w:pPr>
        <w:ind w:left="7088" w:hanging="713"/>
      </w:pPr>
      <w:rPr>
        <w:rFonts w:hint="default"/>
      </w:rPr>
    </w:lvl>
  </w:abstractNum>
  <w:abstractNum w:abstractNumId="5">
    <w:multiLevelType w:val="hybridMultilevel"/>
    <w:lvl w:ilvl="0">
      <w:start w:val="1"/>
      <w:numFmt w:val="decimal"/>
      <w:lvlText w:val="（%1）"/>
      <w:lvlJc w:val="left"/>
      <w:pPr>
        <w:ind w:left="1250" w:hanging="713"/>
        <w:jc w:val="left"/>
      </w:pPr>
      <w:rPr>
        <w:rFonts w:hint="default" w:ascii="宋体" w:hAnsi="宋体" w:eastAsia="宋体" w:cs="宋体"/>
        <w:w w:val="100"/>
        <w:sz w:val="24"/>
        <w:szCs w:val="24"/>
      </w:rPr>
    </w:lvl>
    <w:lvl w:ilvl="1">
      <w:start w:val="0"/>
      <w:numFmt w:val="bullet"/>
      <w:lvlText w:val="•"/>
      <w:lvlJc w:val="left"/>
      <w:pPr>
        <w:ind w:left="1988" w:hanging="713"/>
      </w:pPr>
      <w:rPr>
        <w:rFonts w:hint="default"/>
      </w:rPr>
    </w:lvl>
    <w:lvl w:ilvl="2">
      <w:start w:val="0"/>
      <w:numFmt w:val="bullet"/>
      <w:lvlText w:val="•"/>
      <w:lvlJc w:val="left"/>
      <w:pPr>
        <w:ind w:left="2717" w:hanging="713"/>
      </w:pPr>
      <w:rPr>
        <w:rFonts w:hint="default"/>
      </w:rPr>
    </w:lvl>
    <w:lvl w:ilvl="3">
      <w:start w:val="0"/>
      <w:numFmt w:val="bullet"/>
      <w:lvlText w:val="•"/>
      <w:lvlJc w:val="left"/>
      <w:pPr>
        <w:ind w:left="3445" w:hanging="713"/>
      </w:pPr>
      <w:rPr>
        <w:rFonts w:hint="default"/>
      </w:rPr>
    </w:lvl>
    <w:lvl w:ilvl="4">
      <w:start w:val="0"/>
      <w:numFmt w:val="bullet"/>
      <w:lvlText w:val="•"/>
      <w:lvlJc w:val="left"/>
      <w:pPr>
        <w:ind w:left="4174" w:hanging="713"/>
      </w:pPr>
      <w:rPr>
        <w:rFonts w:hint="default"/>
      </w:rPr>
    </w:lvl>
    <w:lvl w:ilvl="5">
      <w:start w:val="0"/>
      <w:numFmt w:val="bullet"/>
      <w:lvlText w:val="•"/>
      <w:lvlJc w:val="left"/>
      <w:pPr>
        <w:ind w:left="4902" w:hanging="713"/>
      </w:pPr>
      <w:rPr>
        <w:rFonts w:hint="default"/>
      </w:rPr>
    </w:lvl>
    <w:lvl w:ilvl="6">
      <w:start w:val="0"/>
      <w:numFmt w:val="bullet"/>
      <w:lvlText w:val="•"/>
      <w:lvlJc w:val="left"/>
      <w:pPr>
        <w:ind w:left="5631" w:hanging="713"/>
      </w:pPr>
      <w:rPr>
        <w:rFonts w:hint="default"/>
      </w:rPr>
    </w:lvl>
    <w:lvl w:ilvl="7">
      <w:start w:val="0"/>
      <w:numFmt w:val="bullet"/>
      <w:lvlText w:val="•"/>
      <w:lvlJc w:val="left"/>
      <w:pPr>
        <w:ind w:left="6359" w:hanging="713"/>
      </w:pPr>
      <w:rPr>
        <w:rFonts w:hint="default"/>
      </w:rPr>
    </w:lvl>
    <w:lvl w:ilvl="8">
      <w:start w:val="0"/>
      <w:numFmt w:val="bullet"/>
      <w:lvlText w:val="•"/>
      <w:lvlJc w:val="left"/>
      <w:pPr>
        <w:ind w:left="7088" w:hanging="713"/>
      </w:pPr>
      <w:rPr>
        <w:rFonts w:hint="default"/>
      </w:rPr>
    </w:lvl>
  </w:abstractNum>
  <w:abstractNum w:abstractNumId="4">
    <w:multiLevelType w:val="hybridMultilevel"/>
    <w:lvl w:ilvl="0">
      <w:start w:val="1"/>
      <w:numFmt w:val="decimal"/>
      <w:lvlText w:val="%1"/>
      <w:lvlJc w:val="left"/>
      <w:pPr>
        <w:ind w:left="542" w:hanging="425"/>
        <w:jc w:val="left"/>
      </w:pPr>
      <w:rPr>
        <w:rFonts w:hint="default" w:ascii="Microsoft JhengHei UI" w:hAnsi="Microsoft JhengHei UI" w:eastAsia="Microsoft JhengHei UI" w:cs="Microsoft JhengHei UI"/>
        <w:b/>
        <w:bCs/>
        <w:w w:val="78"/>
        <w:sz w:val="24"/>
        <w:szCs w:val="24"/>
      </w:rPr>
    </w:lvl>
    <w:lvl w:ilvl="1">
      <w:start w:val="1"/>
      <w:numFmt w:val="decimal"/>
      <w:lvlText w:val="%1.%2"/>
      <w:lvlJc w:val="left"/>
      <w:pPr>
        <w:ind w:left="1224" w:hanging="567"/>
        <w:jc w:val="left"/>
      </w:pPr>
      <w:rPr>
        <w:rFonts w:hint="default" w:ascii="Microsoft JhengHei UI" w:hAnsi="Microsoft JhengHei UI" w:eastAsia="Microsoft JhengHei UI" w:cs="Microsoft JhengHei UI"/>
        <w:b/>
        <w:bCs/>
        <w:w w:val="80"/>
        <w:sz w:val="24"/>
        <w:szCs w:val="24"/>
      </w:rPr>
    </w:lvl>
    <w:lvl w:ilvl="2">
      <w:start w:val="1"/>
      <w:numFmt w:val="decimal"/>
      <w:lvlText w:val="%1.%2.%3"/>
      <w:lvlJc w:val="left"/>
      <w:pPr>
        <w:ind w:left="1689" w:hanging="720"/>
        <w:jc w:val="left"/>
      </w:pPr>
      <w:rPr>
        <w:rFonts w:hint="default" w:ascii="Microsoft JhengHei UI" w:hAnsi="Microsoft JhengHei UI" w:eastAsia="Microsoft JhengHei UI" w:cs="Microsoft JhengHei UI"/>
        <w:b/>
        <w:bCs/>
        <w:w w:val="80"/>
        <w:sz w:val="24"/>
        <w:szCs w:val="24"/>
      </w:rPr>
    </w:lvl>
    <w:lvl w:ilvl="3">
      <w:start w:val="0"/>
      <w:numFmt w:val="bullet"/>
      <w:lvlText w:val="•"/>
      <w:lvlJc w:val="left"/>
      <w:pPr>
        <w:ind w:left="1460" w:hanging="720"/>
      </w:pPr>
      <w:rPr>
        <w:rFonts w:hint="default"/>
      </w:rPr>
    </w:lvl>
    <w:lvl w:ilvl="4">
      <w:start w:val="0"/>
      <w:numFmt w:val="bullet"/>
      <w:lvlText w:val="•"/>
      <w:lvlJc w:val="left"/>
      <w:pPr>
        <w:ind w:left="1680" w:hanging="720"/>
      </w:pPr>
      <w:rPr>
        <w:rFonts w:hint="default"/>
      </w:rPr>
    </w:lvl>
    <w:lvl w:ilvl="5">
      <w:start w:val="0"/>
      <w:numFmt w:val="bullet"/>
      <w:lvlText w:val="•"/>
      <w:lvlJc w:val="left"/>
      <w:pPr>
        <w:ind w:left="2824" w:hanging="720"/>
      </w:pPr>
      <w:rPr>
        <w:rFonts w:hint="default"/>
      </w:rPr>
    </w:lvl>
    <w:lvl w:ilvl="6">
      <w:start w:val="0"/>
      <w:numFmt w:val="bullet"/>
      <w:lvlText w:val="•"/>
      <w:lvlJc w:val="left"/>
      <w:pPr>
        <w:ind w:left="3968" w:hanging="720"/>
      </w:pPr>
      <w:rPr>
        <w:rFonts w:hint="default"/>
      </w:rPr>
    </w:lvl>
    <w:lvl w:ilvl="7">
      <w:start w:val="0"/>
      <w:numFmt w:val="bullet"/>
      <w:lvlText w:val="•"/>
      <w:lvlJc w:val="left"/>
      <w:pPr>
        <w:ind w:left="5112" w:hanging="720"/>
      </w:pPr>
      <w:rPr>
        <w:rFonts w:hint="default"/>
      </w:rPr>
    </w:lvl>
    <w:lvl w:ilvl="8">
      <w:start w:val="0"/>
      <w:numFmt w:val="bullet"/>
      <w:lvlText w:val="•"/>
      <w:lvlJc w:val="left"/>
      <w:pPr>
        <w:ind w:left="6257" w:hanging="720"/>
      </w:pPr>
      <w:rPr>
        <w:rFonts w:hint="default"/>
      </w:rPr>
    </w:lvl>
  </w:abstractNum>
  <w:abstractNum w:abstractNumId="3">
    <w:multiLevelType w:val="hybridMultilevel"/>
    <w:lvl w:ilvl="0">
      <w:start w:val="12"/>
      <w:numFmt w:val="decimal"/>
      <w:lvlText w:val="%1"/>
      <w:lvlJc w:val="left"/>
      <w:pPr>
        <w:ind w:left="1377" w:hanging="1261"/>
        <w:jc w:val="left"/>
      </w:pPr>
      <w:rPr>
        <w:rFonts w:hint="default"/>
      </w:rPr>
    </w:lvl>
    <w:lvl w:ilvl="1">
      <w:start w:val="10"/>
      <w:numFmt w:val="decimal"/>
      <w:lvlText w:val="%1.%2"/>
      <w:lvlJc w:val="left"/>
      <w:pPr>
        <w:ind w:left="1377" w:hanging="1261"/>
        <w:jc w:val="left"/>
      </w:pPr>
      <w:rPr>
        <w:rFonts w:hint="default" w:ascii="宋体" w:hAnsi="宋体" w:eastAsia="宋体" w:cs="宋体"/>
        <w:spacing w:val="-3"/>
        <w:w w:val="81"/>
        <w:sz w:val="21"/>
        <w:szCs w:val="21"/>
      </w:rPr>
    </w:lvl>
    <w:lvl w:ilvl="2">
      <w:start w:val="0"/>
      <w:numFmt w:val="bullet"/>
      <w:lvlText w:val="•"/>
      <w:lvlJc w:val="left"/>
      <w:pPr>
        <w:ind w:left="2813" w:hanging="1261"/>
      </w:pPr>
      <w:rPr>
        <w:rFonts w:hint="default"/>
      </w:rPr>
    </w:lvl>
    <w:lvl w:ilvl="3">
      <w:start w:val="0"/>
      <w:numFmt w:val="bullet"/>
      <w:lvlText w:val="•"/>
      <w:lvlJc w:val="left"/>
      <w:pPr>
        <w:ind w:left="3529" w:hanging="1261"/>
      </w:pPr>
      <w:rPr>
        <w:rFonts w:hint="default"/>
      </w:rPr>
    </w:lvl>
    <w:lvl w:ilvl="4">
      <w:start w:val="0"/>
      <w:numFmt w:val="bullet"/>
      <w:lvlText w:val="•"/>
      <w:lvlJc w:val="left"/>
      <w:pPr>
        <w:ind w:left="4246" w:hanging="1261"/>
      </w:pPr>
      <w:rPr>
        <w:rFonts w:hint="default"/>
      </w:rPr>
    </w:lvl>
    <w:lvl w:ilvl="5">
      <w:start w:val="0"/>
      <w:numFmt w:val="bullet"/>
      <w:lvlText w:val="•"/>
      <w:lvlJc w:val="left"/>
      <w:pPr>
        <w:ind w:left="4962" w:hanging="1261"/>
      </w:pPr>
      <w:rPr>
        <w:rFonts w:hint="default"/>
      </w:rPr>
    </w:lvl>
    <w:lvl w:ilvl="6">
      <w:start w:val="0"/>
      <w:numFmt w:val="bullet"/>
      <w:lvlText w:val="•"/>
      <w:lvlJc w:val="left"/>
      <w:pPr>
        <w:ind w:left="5679" w:hanging="1261"/>
      </w:pPr>
      <w:rPr>
        <w:rFonts w:hint="default"/>
      </w:rPr>
    </w:lvl>
    <w:lvl w:ilvl="7">
      <w:start w:val="0"/>
      <w:numFmt w:val="bullet"/>
      <w:lvlText w:val="•"/>
      <w:lvlJc w:val="left"/>
      <w:pPr>
        <w:ind w:left="6395" w:hanging="1261"/>
      </w:pPr>
      <w:rPr>
        <w:rFonts w:hint="default"/>
      </w:rPr>
    </w:lvl>
    <w:lvl w:ilvl="8">
      <w:start w:val="0"/>
      <w:numFmt w:val="bullet"/>
      <w:lvlText w:val="•"/>
      <w:lvlJc w:val="left"/>
      <w:pPr>
        <w:ind w:left="7112" w:hanging="1261"/>
      </w:pPr>
      <w:rPr>
        <w:rFonts w:hint="default"/>
      </w:rPr>
    </w:lvl>
  </w:abstractNum>
  <w:abstractNum w:abstractNumId="2">
    <w:multiLevelType w:val="hybridMultilevel"/>
    <w:lvl w:ilvl="0">
      <w:start w:val="12"/>
      <w:numFmt w:val="decimal"/>
      <w:lvlText w:val="%1"/>
      <w:lvlJc w:val="left"/>
      <w:pPr>
        <w:ind w:left="1377" w:hanging="1261"/>
        <w:jc w:val="left"/>
      </w:pPr>
      <w:rPr>
        <w:rFonts w:hint="default"/>
      </w:rPr>
    </w:lvl>
    <w:lvl w:ilvl="1">
      <w:start w:val="4"/>
      <w:numFmt w:val="decimal"/>
      <w:lvlText w:val="%1.%2"/>
      <w:lvlJc w:val="left"/>
      <w:pPr>
        <w:ind w:left="1377" w:hanging="1261"/>
        <w:jc w:val="left"/>
      </w:pPr>
      <w:rPr>
        <w:rFonts w:hint="default"/>
      </w:rPr>
    </w:lvl>
    <w:lvl w:ilvl="2">
      <w:start w:val="16"/>
      <w:numFmt w:val="decimal"/>
      <w:lvlText w:val="%1.%2.%3"/>
      <w:lvlJc w:val="left"/>
      <w:pPr>
        <w:ind w:left="1377" w:hanging="1261"/>
        <w:jc w:val="left"/>
      </w:pPr>
      <w:rPr>
        <w:rFonts w:hint="default" w:ascii="宋体" w:hAnsi="宋体" w:eastAsia="宋体" w:cs="宋体"/>
        <w:spacing w:val="-3"/>
        <w:w w:val="77"/>
        <w:sz w:val="21"/>
        <w:szCs w:val="21"/>
      </w:rPr>
    </w:lvl>
    <w:lvl w:ilvl="3">
      <w:start w:val="0"/>
      <w:numFmt w:val="bullet"/>
      <w:lvlText w:val="•"/>
      <w:lvlJc w:val="left"/>
      <w:pPr>
        <w:ind w:left="3529" w:hanging="1261"/>
      </w:pPr>
      <w:rPr>
        <w:rFonts w:hint="default"/>
      </w:rPr>
    </w:lvl>
    <w:lvl w:ilvl="4">
      <w:start w:val="0"/>
      <w:numFmt w:val="bullet"/>
      <w:lvlText w:val="•"/>
      <w:lvlJc w:val="left"/>
      <w:pPr>
        <w:ind w:left="4246" w:hanging="1261"/>
      </w:pPr>
      <w:rPr>
        <w:rFonts w:hint="default"/>
      </w:rPr>
    </w:lvl>
    <w:lvl w:ilvl="5">
      <w:start w:val="0"/>
      <w:numFmt w:val="bullet"/>
      <w:lvlText w:val="•"/>
      <w:lvlJc w:val="left"/>
      <w:pPr>
        <w:ind w:left="4962" w:hanging="1261"/>
      </w:pPr>
      <w:rPr>
        <w:rFonts w:hint="default"/>
      </w:rPr>
    </w:lvl>
    <w:lvl w:ilvl="6">
      <w:start w:val="0"/>
      <w:numFmt w:val="bullet"/>
      <w:lvlText w:val="•"/>
      <w:lvlJc w:val="left"/>
      <w:pPr>
        <w:ind w:left="5679" w:hanging="1261"/>
      </w:pPr>
      <w:rPr>
        <w:rFonts w:hint="default"/>
      </w:rPr>
    </w:lvl>
    <w:lvl w:ilvl="7">
      <w:start w:val="0"/>
      <w:numFmt w:val="bullet"/>
      <w:lvlText w:val="•"/>
      <w:lvlJc w:val="left"/>
      <w:pPr>
        <w:ind w:left="6395" w:hanging="1261"/>
      </w:pPr>
      <w:rPr>
        <w:rFonts w:hint="default"/>
      </w:rPr>
    </w:lvl>
    <w:lvl w:ilvl="8">
      <w:start w:val="0"/>
      <w:numFmt w:val="bullet"/>
      <w:lvlText w:val="•"/>
      <w:lvlJc w:val="left"/>
      <w:pPr>
        <w:ind w:left="7112" w:hanging="1261"/>
      </w:pPr>
      <w:rPr>
        <w:rFonts w:hint="default"/>
      </w:rPr>
    </w:lvl>
  </w:abstractNum>
  <w:abstractNum w:abstractNumId="1">
    <w:multiLevelType w:val="hybridMultilevel"/>
    <w:lvl w:ilvl="0">
      <w:start w:val="1"/>
      <w:numFmt w:val="decimal"/>
      <w:lvlText w:val="%1"/>
      <w:lvlJc w:val="left"/>
      <w:pPr>
        <w:ind w:left="1377" w:hanging="1261"/>
        <w:jc w:val="left"/>
      </w:pPr>
      <w:rPr>
        <w:rFonts w:hint="default" w:ascii="宋体" w:hAnsi="宋体" w:eastAsia="宋体" w:cs="宋体"/>
        <w:w w:val="94"/>
        <w:sz w:val="21"/>
        <w:szCs w:val="21"/>
      </w:rPr>
    </w:lvl>
    <w:lvl w:ilvl="1">
      <w:start w:val="1"/>
      <w:numFmt w:val="decimal"/>
      <w:lvlText w:val="%1.%2"/>
      <w:lvlJc w:val="left"/>
      <w:pPr>
        <w:ind w:left="1377" w:hanging="1261"/>
        <w:jc w:val="left"/>
      </w:pPr>
      <w:rPr>
        <w:rFonts w:hint="default" w:ascii="宋体" w:hAnsi="宋体" w:eastAsia="宋体" w:cs="宋体"/>
        <w:w w:val="77"/>
        <w:sz w:val="21"/>
        <w:szCs w:val="21"/>
      </w:rPr>
    </w:lvl>
    <w:lvl w:ilvl="2">
      <w:start w:val="1"/>
      <w:numFmt w:val="decimal"/>
      <w:lvlText w:val="%1.%2.%3"/>
      <w:lvlJc w:val="left"/>
      <w:pPr>
        <w:ind w:left="1377" w:hanging="1261"/>
        <w:jc w:val="left"/>
      </w:pPr>
      <w:rPr>
        <w:rFonts w:hint="default" w:ascii="宋体" w:hAnsi="宋体" w:eastAsia="宋体" w:cs="宋体"/>
        <w:spacing w:val="-3"/>
        <w:w w:val="69"/>
        <w:sz w:val="21"/>
        <w:szCs w:val="21"/>
      </w:rPr>
    </w:lvl>
    <w:lvl w:ilvl="3">
      <w:start w:val="0"/>
      <w:numFmt w:val="bullet"/>
      <w:lvlText w:val="•"/>
      <w:lvlJc w:val="left"/>
      <w:pPr>
        <w:ind w:left="3529" w:hanging="1261"/>
      </w:pPr>
      <w:rPr>
        <w:rFonts w:hint="default"/>
      </w:rPr>
    </w:lvl>
    <w:lvl w:ilvl="4">
      <w:start w:val="0"/>
      <w:numFmt w:val="bullet"/>
      <w:lvlText w:val="•"/>
      <w:lvlJc w:val="left"/>
      <w:pPr>
        <w:ind w:left="4246" w:hanging="1261"/>
      </w:pPr>
      <w:rPr>
        <w:rFonts w:hint="default"/>
      </w:rPr>
    </w:lvl>
    <w:lvl w:ilvl="5">
      <w:start w:val="0"/>
      <w:numFmt w:val="bullet"/>
      <w:lvlText w:val="•"/>
      <w:lvlJc w:val="left"/>
      <w:pPr>
        <w:ind w:left="4962" w:hanging="1261"/>
      </w:pPr>
      <w:rPr>
        <w:rFonts w:hint="default"/>
      </w:rPr>
    </w:lvl>
    <w:lvl w:ilvl="6">
      <w:start w:val="0"/>
      <w:numFmt w:val="bullet"/>
      <w:lvlText w:val="•"/>
      <w:lvlJc w:val="left"/>
      <w:pPr>
        <w:ind w:left="5679" w:hanging="1261"/>
      </w:pPr>
      <w:rPr>
        <w:rFonts w:hint="default"/>
      </w:rPr>
    </w:lvl>
    <w:lvl w:ilvl="7">
      <w:start w:val="0"/>
      <w:numFmt w:val="bullet"/>
      <w:lvlText w:val="•"/>
      <w:lvlJc w:val="left"/>
      <w:pPr>
        <w:ind w:left="6395" w:hanging="1261"/>
      </w:pPr>
      <w:rPr>
        <w:rFonts w:hint="default"/>
      </w:rPr>
    </w:lvl>
    <w:lvl w:ilvl="8">
      <w:start w:val="0"/>
      <w:numFmt w:val="bullet"/>
      <w:lvlText w:val="•"/>
      <w:lvlJc w:val="left"/>
      <w:pPr>
        <w:ind w:left="7112" w:hanging="1261"/>
      </w:pPr>
      <w:rPr>
        <w:rFonts w:hint="default"/>
      </w:rPr>
    </w:lvl>
  </w:abstractNum>
  <w:abstractNum w:abstractNumId="0">
    <w:multiLevelType w:val="hybridMultilevel"/>
    <w:lvl w:ilvl="0">
      <w:start w:val="0"/>
      <w:numFmt w:val="bullet"/>
      <w:lvlText w:val=""/>
      <w:lvlJc w:val="left"/>
      <w:pPr>
        <w:ind w:left="470" w:hanging="420"/>
      </w:pPr>
      <w:rPr>
        <w:rFonts w:hint="default" w:ascii="Wingdings" w:hAnsi="Wingdings" w:eastAsia="Wingdings" w:cs="Wingdings"/>
        <w:w w:val="100"/>
        <w:sz w:val="24"/>
        <w:szCs w:val="24"/>
      </w:rPr>
    </w:lvl>
    <w:lvl w:ilvl="1">
      <w:start w:val="0"/>
      <w:numFmt w:val="bullet"/>
      <w:lvlText w:val="•"/>
      <w:lvlJc w:val="left"/>
      <w:pPr>
        <w:ind w:left="1388" w:hanging="420"/>
      </w:pPr>
      <w:rPr>
        <w:rFonts w:hint="default"/>
      </w:rPr>
    </w:lvl>
    <w:lvl w:ilvl="2">
      <w:start w:val="0"/>
      <w:numFmt w:val="bullet"/>
      <w:lvlText w:val="•"/>
      <w:lvlJc w:val="left"/>
      <w:pPr>
        <w:ind w:left="2297" w:hanging="420"/>
      </w:pPr>
      <w:rPr>
        <w:rFonts w:hint="default"/>
      </w:rPr>
    </w:lvl>
    <w:lvl w:ilvl="3">
      <w:start w:val="0"/>
      <w:numFmt w:val="bullet"/>
      <w:lvlText w:val="•"/>
      <w:lvlJc w:val="left"/>
      <w:pPr>
        <w:ind w:left="3205" w:hanging="420"/>
      </w:pPr>
      <w:rPr>
        <w:rFonts w:hint="default"/>
      </w:rPr>
    </w:lvl>
    <w:lvl w:ilvl="4">
      <w:start w:val="0"/>
      <w:numFmt w:val="bullet"/>
      <w:lvlText w:val="•"/>
      <w:lvlJc w:val="left"/>
      <w:pPr>
        <w:ind w:left="4114" w:hanging="420"/>
      </w:pPr>
      <w:rPr>
        <w:rFonts w:hint="default"/>
      </w:rPr>
    </w:lvl>
    <w:lvl w:ilvl="5">
      <w:start w:val="0"/>
      <w:numFmt w:val="bullet"/>
      <w:lvlText w:val="•"/>
      <w:lvlJc w:val="left"/>
      <w:pPr>
        <w:ind w:left="5022" w:hanging="420"/>
      </w:pPr>
      <w:rPr>
        <w:rFonts w:hint="default"/>
      </w:rPr>
    </w:lvl>
    <w:lvl w:ilvl="6">
      <w:start w:val="0"/>
      <w:numFmt w:val="bullet"/>
      <w:lvlText w:val="•"/>
      <w:lvlJc w:val="left"/>
      <w:pPr>
        <w:ind w:left="5931" w:hanging="420"/>
      </w:pPr>
      <w:rPr>
        <w:rFonts w:hint="default"/>
      </w:rPr>
    </w:lvl>
    <w:lvl w:ilvl="7">
      <w:start w:val="0"/>
      <w:numFmt w:val="bullet"/>
      <w:lvlText w:val="•"/>
      <w:lvlJc w:val="left"/>
      <w:pPr>
        <w:ind w:left="6839" w:hanging="420"/>
      </w:pPr>
      <w:rPr>
        <w:rFonts w:hint="default"/>
      </w:rPr>
    </w:lvl>
    <w:lvl w:ilvl="8">
      <w:start w:val="0"/>
      <w:numFmt w:val="bullet"/>
      <w:lvlText w:val="•"/>
      <w:lvlJc w:val="left"/>
      <w:pPr>
        <w:ind w:left="7748"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377" w:hanging="1260"/>
    </w:pPr>
    <w:rPr>
      <w:rFonts w:ascii="宋体" w:hAnsi="宋体" w:eastAsia="宋体" w:cs="宋体"/>
      <w:sz w:val="21"/>
      <w:szCs w:val="21"/>
    </w:rPr>
  </w:style>
  <w:style w:styleId="BodyText" w:type="paragraph">
    <w:name w:val="Body Text"/>
    <w:basedOn w:val="Normal"/>
    <w:uiPriority w:val="1"/>
    <w:qFormat/>
    <w:pPr/>
    <w:rPr>
      <w:rFonts w:ascii="宋体" w:hAnsi="宋体" w:eastAsia="宋体" w:cs="宋体"/>
      <w:sz w:val="24"/>
      <w:szCs w:val="24"/>
    </w:rPr>
  </w:style>
  <w:style w:styleId="Heading1" w:type="paragraph">
    <w:name w:val="Heading 1"/>
    <w:basedOn w:val="Normal"/>
    <w:uiPriority w:val="1"/>
    <w:qFormat/>
    <w:pPr>
      <w:ind w:left="1689" w:hanging="720"/>
      <w:outlineLvl w:val="1"/>
    </w:pPr>
    <w:rPr>
      <w:rFonts w:ascii="Microsoft JhengHei UI" w:hAnsi="Microsoft JhengHei UI" w:eastAsia="Microsoft JhengHei UI" w:cs="Microsoft JhengHei UI"/>
      <w:b/>
      <w:bCs/>
      <w:sz w:val="24"/>
      <w:szCs w:val="24"/>
    </w:rPr>
  </w:style>
  <w:style w:styleId="ListParagraph" w:type="paragraph">
    <w:name w:val="List Paragraph"/>
    <w:basedOn w:val="Normal"/>
    <w:uiPriority w:val="1"/>
    <w:qFormat/>
    <w:pPr>
      <w:ind w:left="1377" w:hanging="12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2018-10-20T04:10:00Z</dcterms:created>
  <dcterms:modified xsi:type="dcterms:W3CDTF">2018-10-20T04:10:00Z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2014-06-23T00:00:00Z</vt:filetime>
  </property>
  <property fmtid="{D5CDD505-2E9C-101B-9397-08002B2CF9AE}" pid="3" name="LastSaved">
    <vt:filetime>2018-10-19T00:00:00Z</vt:filetime>
  </property>
</Properties>
</file>