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468"/>
        <w:jc w:val="right"/>
      </w:pPr>
      <w:r>
        <w:rPr/>
        <w:drawing>
          <wp:anchor distT="0" distB="0" distL="0" distR="0" allowOverlap="1" layoutInCell="1" locked="0" behindDoc="0" simplePos="0" relativeHeight="0">
            <wp:simplePos x="0" y="0"/>
            <wp:positionH relativeFrom="page">
              <wp:posOffset>5607050</wp:posOffset>
            </wp:positionH>
            <wp:positionV relativeFrom="paragraph">
              <wp:posOffset>244267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华泰人寿[2017]疾病保险 023 号</w:t>
      </w:r>
    </w:p>
    <w:p>
      <w:pPr>
        <w:pStyle w:val="BodyText"/>
        <w:spacing w:before="14"/>
        <w:ind w:right="783"/>
        <w:jc w:val="right"/>
      </w:pPr>
      <w:r>
        <w:rPr/>
        <w:t>请扫描以查询验证条款</w:t>
      </w:r>
    </w:p>
    <w:p>
      <w:pPr>
        <w:spacing w:line="220" w:lineRule="auto" w:before="44"/>
        <w:ind w:left="4192" w:right="2891" w:hanging="1523"/>
        <w:jc w:val="left"/>
        <w:rPr>
          <w:rFonts w:ascii="微软雅黑" w:eastAsia="微软雅黑" w:hint="eastAsia"/>
          <w:b/>
          <w:sz w:val="32"/>
        </w:rPr>
      </w:pPr>
      <w:r>
        <w:rPr>
          <w:rFonts w:ascii="微软雅黑" w:eastAsia="微软雅黑" w:hint="eastAsia"/>
          <w:b/>
          <w:sz w:val="32"/>
        </w:rPr>
        <w:t>附加豁免保险费重大疾病保险条款阅  读  指 引</w:t>
      </w:r>
    </w:p>
    <w:p>
      <w:pPr>
        <w:pStyle w:val="BodyText"/>
        <w:rPr>
          <w:rFonts w:ascii="微软雅黑"/>
          <w:b/>
          <w:sz w:val="11"/>
        </w:rPr>
      </w:pPr>
    </w:p>
    <w:p>
      <w:pPr>
        <w:pStyle w:val="BodyText"/>
        <w:spacing w:before="37"/>
        <w:ind w:left="1812" w:right="1967"/>
        <w:jc w:val="center"/>
      </w:pPr>
      <w:r>
        <w:rPr/>
        <w:drawing>
          <wp:anchor distT="0" distB="0" distL="0" distR="0" allowOverlap="1" layoutInCell="1" locked="0" behindDoc="1" simplePos="0" relativeHeight="268393895">
            <wp:simplePos x="0" y="0"/>
            <wp:positionH relativeFrom="page">
              <wp:posOffset>630936</wp:posOffset>
            </wp:positionH>
            <wp:positionV relativeFrom="paragraph">
              <wp:posOffset>271064</wp:posOffset>
            </wp:positionV>
            <wp:extent cx="6368542" cy="64169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68542" cy="6416929"/>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约</w:t>
      </w:r>
      <w:r>
        <w:rPr>
          <w:spacing w:val="-63"/>
          <w:w w:val="100"/>
          <w:position w:val="-7"/>
        </w:rPr>
        <w:t>．</w:t>
      </w:r>
      <w:r>
        <w:rPr>
          <w:spacing w:val="-152"/>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pStyle w:val="Heading1"/>
        <w:tabs>
          <w:tab w:pos="1263" w:val="left" w:leader="none"/>
        </w:tabs>
        <w:spacing w:before="82"/>
        <w:ind w:left="252"/>
      </w:pPr>
      <w:r>
        <w:rPr>
          <w:rFonts w:ascii="Arial" w:hAnsi="Arial" w:eastAsia="Arial"/>
          <w:w w:val="105"/>
          <w:position w:val="-11"/>
          <w:sz w:val="52"/>
        </w:rPr>
        <w:t></w:t>
        <w:tab/>
      </w:r>
      <w:r>
        <w:rPr>
          <w:spacing w:val="-1"/>
        </w:rPr>
        <w:t>您拥有的重要权益</w:t>
      </w:r>
    </w:p>
    <w:p>
      <w:pPr>
        <w:pStyle w:val="ListParagraph"/>
        <w:numPr>
          <w:ilvl w:val="0"/>
          <w:numId w:val="1"/>
        </w:numPr>
        <w:tabs>
          <w:tab w:pos="1282" w:val="left" w:leader="none"/>
          <w:tab w:pos="1283" w:val="left" w:leader="none"/>
        </w:tabs>
        <w:spacing w:line="240" w:lineRule="auto" w:before="25" w:after="0"/>
        <w:ind w:left="1282" w:right="0" w:hanging="398"/>
        <w:jc w:val="left"/>
        <w:rPr>
          <w:sz w:val="21"/>
        </w:rPr>
      </w:pPr>
      <w:r>
        <w:rPr>
          <w:spacing w:val="-6"/>
          <w:sz w:val="21"/>
        </w:rPr>
        <w:t>签收本附加合同之日起 </w:t>
      </w:r>
      <w:r>
        <w:rPr>
          <w:sz w:val="21"/>
        </w:rPr>
        <w:t>10</w:t>
      </w:r>
      <w:r>
        <w:rPr>
          <w:spacing w:val="-12"/>
          <w:sz w:val="21"/>
        </w:rPr>
        <w:t> 日内</w:t>
      </w:r>
      <w:r>
        <w:rPr>
          <w:spacing w:val="-3"/>
          <w:sz w:val="21"/>
        </w:rPr>
        <w:t>（即犹豫期</w:t>
      </w:r>
      <w:r>
        <w:rPr>
          <w:sz w:val="21"/>
        </w:rPr>
        <w:t>）</w:t>
      </w:r>
      <w:r>
        <w:rPr>
          <w:spacing w:val="-3"/>
          <w:sz w:val="21"/>
        </w:rPr>
        <w:t>您若要求退保，我们无息退还所交保险费</w:t>
      </w:r>
      <w:r>
        <w:rPr>
          <w:sz w:val="21"/>
        </w:rPr>
        <w:t>.1.4</w:t>
      </w:r>
    </w:p>
    <w:p>
      <w:pPr>
        <w:pStyle w:val="ListParagraph"/>
        <w:numPr>
          <w:ilvl w:val="0"/>
          <w:numId w:val="1"/>
        </w:numPr>
        <w:tabs>
          <w:tab w:pos="1282" w:val="left" w:leader="none"/>
          <w:tab w:pos="1283" w:val="left" w:leader="none"/>
          <w:tab w:pos="9581" w:val="right" w:leader="dot"/>
        </w:tabs>
        <w:spacing w:line="240" w:lineRule="auto" w:before="21" w:after="0"/>
        <w:ind w:left="1282" w:right="0" w:hanging="398"/>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82" w:val="left" w:leader="none"/>
          <w:tab w:pos="1283" w:val="left" w:leader="none"/>
          <w:tab w:pos="9578" w:val="right" w:leader="dot"/>
        </w:tabs>
        <w:spacing w:line="240" w:lineRule="auto" w:before="21" w:after="0"/>
        <w:ind w:left="128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6.1</w:t>
      </w:r>
    </w:p>
    <w:p>
      <w:pPr>
        <w:pStyle w:val="Heading1"/>
        <w:tabs>
          <w:tab w:pos="1263" w:val="left" w:leader="none"/>
        </w:tabs>
        <w:spacing w:before="21"/>
        <w:ind w:left="252"/>
      </w:pPr>
      <w:r>
        <w:rPr>
          <w:rFonts w:ascii="Arial" w:hAnsi="Arial" w:eastAsia="Arial"/>
          <w:w w:val="105"/>
          <w:position w:val="-11"/>
          <w:sz w:val="52"/>
        </w:rPr>
        <w:t></w:t>
        <w:tab/>
      </w:r>
      <w:r>
        <w:rPr>
          <w:spacing w:val="-1"/>
        </w:rPr>
        <w:t>您应当特别注意的事项</w:t>
      </w:r>
    </w:p>
    <w:p>
      <w:pPr>
        <w:pStyle w:val="ListParagraph"/>
        <w:numPr>
          <w:ilvl w:val="0"/>
          <w:numId w:val="1"/>
        </w:numPr>
        <w:tabs>
          <w:tab w:pos="1282" w:val="left" w:leader="none"/>
          <w:tab w:pos="1283" w:val="left" w:leader="none"/>
          <w:tab w:pos="9578" w:val="right" w:leader="dot"/>
        </w:tabs>
        <w:spacing w:line="240" w:lineRule="auto" w:before="25" w:after="0"/>
        <w:ind w:left="128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82" w:val="left" w:leader="none"/>
          <w:tab w:pos="1283" w:val="left" w:leader="none"/>
          <w:tab w:pos="9581" w:val="right" w:leader="dot"/>
        </w:tabs>
        <w:spacing w:line="240" w:lineRule="auto" w:before="22" w:after="0"/>
        <w:ind w:left="128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6.1</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7.1</w:t>
      </w:r>
    </w:p>
    <w:p>
      <w:pPr>
        <w:pStyle w:val="ListParagraph"/>
        <w:numPr>
          <w:ilvl w:val="0"/>
          <w:numId w:val="1"/>
        </w:numPr>
        <w:tabs>
          <w:tab w:pos="1282" w:val="left" w:leader="none"/>
          <w:tab w:pos="1283" w:val="left" w:leader="none"/>
          <w:tab w:pos="9369" w:val="right" w:leader="dot"/>
        </w:tabs>
        <w:spacing w:line="240" w:lineRule="auto" w:before="22" w:after="0"/>
        <w:ind w:left="128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9</w:t>
      </w:r>
    </w:p>
    <w:p>
      <w:pPr>
        <w:pStyle w:val="Heading1"/>
        <w:tabs>
          <w:tab w:pos="1263" w:val="left" w:leader="none"/>
        </w:tabs>
        <w:spacing w:before="22"/>
        <w:ind w:left="252"/>
      </w:pPr>
      <w:r>
        <w:rPr>
          <w:rFonts w:ascii="Arial" w:hAnsi="Arial" w:eastAsia="Arial"/>
          <w:w w:val="105"/>
          <w:position w:val="-11"/>
          <w:sz w:val="52"/>
        </w:rPr>
        <w:t></w:t>
        <w:tab/>
      </w:r>
      <w:r>
        <w:rPr>
          <w:spacing w:val="-3"/>
        </w:rPr>
        <w:t>条款是保险合同的重要内容，为充分保障您的权益，请您仔细阅读本条款。</w:t>
      </w:r>
    </w:p>
    <w:p>
      <w:pPr>
        <w:tabs>
          <w:tab w:pos="1263" w:val="left" w:leader="none"/>
        </w:tabs>
        <w:spacing w:before="26"/>
        <w:ind w:left="25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3"/>
        <w:gridCol w:w="2324"/>
        <w:gridCol w:w="2293"/>
        <w:gridCol w:w="2778"/>
      </w:tblGrid>
      <w:tr>
        <w:trPr>
          <w:trHeight w:val="4892" w:hRule="atLeast"/>
        </w:trPr>
        <w:tc>
          <w:tcPr>
            <w:tcW w:w="2393"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投保年龄</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犹豫期</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我们提供的保障</w:t>
            </w:r>
          </w:p>
          <w:p>
            <w:pPr>
              <w:pStyle w:val="TableParagraph"/>
              <w:numPr>
                <w:ilvl w:val="1"/>
                <w:numId w:val="2"/>
              </w:numPr>
              <w:tabs>
                <w:tab w:pos="726" w:val="left" w:leader="none"/>
              </w:tabs>
              <w:spacing w:line="240" w:lineRule="auto" w:before="36" w:after="0"/>
              <w:ind w:left="725" w:right="0" w:hanging="420"/>
              <w:jc w:val="left"/>
              <w:rPr>
                <w:sz w:val="21"/>
              </w:rPr>
            </w:pPr>
            <w:r>
              <w:rPr>
                <w:spacing w:val="-3"/>
                <w:sz w:val="21"/>
              </w:rPr>
              <w:t>基本保险金额</w:t>
            </w:r>
          </w:p>
          <w:p>
            <w:pPr>
              <w:pStyle w:val="TableParagraph"/>
              <w:numPr>
                <w:ilvl w:val="1"/>
                <w:numId w:val="2"/>
              </w:numPr>
              <w:tabs>
                <w:tab w:pos="728" w:val="left" w:leader="none"/>
              </w:tabs>
              <w:spacing w:line="240" w:lineRule="auto" w:before="36" w:after="0"/>
              <w:ind w:left="727" w:right="0" w:hanging="422"/>
              <w:jc w:val="left"/>
              <w:rPr>
                <w:sz w:val="21"/>
              </w:rPr>
            </w:pPr>
            <w:r>
              <w:rPr>
                <w:spacing w:val="-3"/>
                <w:sz w:val="21"/>
              </w:rPr>
              <w:t>保险期间</w:t>
            </w:r>
          </w:p>
          <w:p>
            <w:pPr>
              <w:pStyle w:val="TableParagraph"/>
              <w:numPr>
                <w:ilvl w:val="1"/>
                <w:numId w:val="2"/>
              </w:numPr>
              <w:tabs>
                <w:tab w:pos="728" w:val="left" w:leader="none"/>
              </w:tabs>
              <w:spacing w:line="240" w:lineRule="auto" w:before="36" w:after="0"/>
              <w:ind w:left="727" w:right="0" w:hanging="422"/>
              <w:jc w:val="left"/>
              <w:rPr>
                <w:sz w:val="21"/>
              </w:rPr>
            </w:pPr>
            <w:r>
              <w:rPr>
                <w:spacing w:val="-3"/>
                <w:sz w:val="21"/>
              </w:rPr>
              <w:t>保险责任</w:t>
            </w:r>
          </w:p>
          <w:p>
            <w:pPr>
              <w:pStyle w:val="TableParagraph"/>
              <w:numPr>
                <w:ilvl w:val="1"/>
                <w:numId w:val="2"/>
              </w:numPr>
              <w:tabs>
                <w:tab w:pos="728" w:val="left" w:leader="none"/>
              </w:tabs>
              <w:spacing w:line="240" w:lineRule="auto" w:before="36" w:after="0"/>
              <w:ind w:left="727" w:right="0" w:hanging="422"/>
              <w:jc w:val="left"/>
              <w:rPr>
                <w:sz w:val="21"/>
              </w:rPr>
            </w:pPr>
            <w:r>
              <w:rPr>
                <w:spacing w:val="-3"/>
                <w:sz w:val="21"/>
              </w:rPr>
              <w:t>责任免除</w:t>
            </w:r>
          </w:p>
          <w:p>
            <w:pPr>
              <w:pStyle w:val="TableParagraph"/>
              <w:numPr>
                <w:ilvl w:val="0"/>
                <w:numId w:val="2"/>
              </w:numPr>
              <w:tabs>
                <w:tab w:pos="517" w:val="left" w:leader="none"/>
              </w:tabs>
              <w:spacing w:line="240" w:lineRule="auto" w:before="36" w:after="0"/>
              <w:ind w:left="516" w:right="0" w:hanging="316"/>
              <w:jc w:val="left"/>
              <w:rPr>
                <w:b/>
                <w:sz w:val="21"/>
              </w:rPr>
            </w:pPr>
            <w:r>
              <w:rPr>
                <w:b/>
                <w:spacing w:val="-1"/>
                <w:sz w:val="21"/>
              </w:rPr>
              <w:t>豁免保险费的申请</w:t>
            </w:r>
          </w:p>
          <w:p>
            <w:pPr>
              <w:pStyle w:val="TableParagraph"/>
              <w:numPr>
                <w:ilvl w:val="1"/>
                <w:numId w:val="2"/>
              </w:numPr>
              <w:tabs>
                <w:tab w:pos="726" w:val="left" w:leader="none"/>
              </w:tabs>
              <w:spacing w:line="273" w:lineRule="auto" w:before="36" w:after="0"/>
              <w:ind w:left="200" w:right="194" w:firstLine="105"/>
              <w:jc w:val="left"/>
              <w:rPr>
                <w:sz w:val="21"/>
              </w:rPr>
            </w:pPr>
            <w:r>
              <w:rPr>
                <w:spacing w:val="-3"/>
                <w:sz w:val="21"/>
              </w:rPr>
              <w:t>豁免保险费的申请</w:t>
            </w:r>
          </w:p>
          <w:p>
            <w:pPr>
              <w:pStyle w:val="TableParagraph"/>
              <w:numPr>
                <w:ilvl w:val="1"/>
                <w:numId w:val="2"/>
              </w:numPr>
              <w:tabs>
                <w:tab w:pos="728" w:val="left" w:leader="none"/>
              </w:tabs>
              <w:spacing w:line="240" w:lineRule="auto" w:before="7" w:after="0"/>
              <w:ind w:left="727" w:right="0" w:hanging="422"/>
              <w:jc w:val="left"/>
              <w:rPr>
                <w:sz w:val="21"/>
              </w:rPr>
            </w:pPr>
            <w:r>
              <w:rPr>
                <w:spacing w:val="-3"/>
                <w:sz w:val="21"/>
              </w:rPr>
              <w:t>诉讼时效</w:t>
            </w:r>
          </w:p>
          <w:p>
            <w:pPr>
              <w:pStyle w:val="TableParagraph"/>
              <w:spacing w:line="255" w:lineRule="exact" w:before="37"/>
              <w:ind w:left="200"/>
              <w:rPr>
                <w:b/>
                <w:sz w:val="21"/>
              </w:rPr>
            </w:pPr>
            <w:r>
              <w:rPr>
                <w:b/>
                <w:sz w:val="21"/>
              </w:rPr>
              <w:t>4.保险费的交纳</w:t>
            </w:r>
          </w:p>
        </w:tc>
        <w:tc>
          <w:tcPr>
            <w:tcW w:w="2324" w:type="dxa"/>
          </w:tcPr>
          <w:p>
            <w:pPr>
              <w:pStyle w:val="TableParagraph"/>
              <w:spacing w:line="211" w:lineRule="exact"/>
              <w:ind w:left="291"/>
              <w:rPr>
                <w:sz w:val="21"/>
              </w:rPr>
            </w:pPr>
            <w:r>
              <w:rPr>
                <w:sz w:val="21"/>
              </w:rPr>
              <w:t>4.2 宽限期</w:t>
            </w:r>
          </w:p>
          <w:p>
            <w:pPr>
              <w:pStyle w:val="TableParagraph"/>
              <w:numPr>
                <w:ilvl w:val="0"/>
                <w:numId w:val="3"/>
              </w:numPr>
              <w:tabs>
                <w:tab w:pos="503" w:val="left" w:leader="none"/>
              </w:tabs>
              <w:spacing w:line="240" w:lineRule="auto" w:before="37" w:after="0"/>
              <w:ind w:left="185" w:right="0" w:firstLine="0"/>
              <w:jc w:val="left"/>
              <w:rPr>
                <w:b/>
                <w:sz w:val="21"/>
              </w:rPr>
            </w:pPr>
            <w:r>
              <w:rPr>
                <w:b/>
                <w:sz w:val="21"/>
              </w:rPr>
              <w:t>现金价值权益</w:t>
            </w:r>
          </w:p>
          <w:p>
            <w:pPr>
              <w:pStyle w:val="TableParagraph"/>
              <w:numPr>
                <w:ilvl w:val="1"/>
                <w:numId w:val="3"/>
              </w:numPr>
              <w:tabs>
                <w:tab w:pos="712" w:val="left" w:leader="none"/>
              </w:tabs>
              <w:spacing w:line="240" w:lineRule="auto" w:before="37" w:after="0"/>
              <w:ind w:left="711" w:right="0" w:hanging="420"/>
              <w:jc w:val="left"/>
              <w:rPr>
                <w:sz w:val="21"/>
              </w:rPr>
            </w:pPr>
            <w:r>
              <w:rPr>
                <w:spacing w:val="-2"/>
                <w:sz w:val="21"/>
              </w:rPr>
              <w:t>现金价值</w:t>
            </w:r>
          </w:p>
          <w:p>
            <w:pPr>
              <w:pStyle w:val="TableParagraph"/>
              <w:numPr>
                <w:ilvl w:val="0"/>
                <w:numId w:val="3"/>
              </w:numPr>
              <w:tabs>
                <w:tab w:pos="503" w:val="left" w:leader="none"/>
              </w:tabs>
              <w:spacing w:line="240" w:lineRule="auto" w:before="37" w:after="0"/>
              <w:ind w:left="185" w:right="0" w:firstLine="0"/>
              <w:jc w:val="left"/>
              <w:rPr>
                <w:b/>
                <w:sz w:val="21"/>
              </w:rPr>
            </w:pPr>
            <w:r>
              <w:rPr>
                <w:b/>
                <w:sz w:val="21"/>
              </w:rPr>
              <w:t>合同解除</w:t>
            </w:r>
          </w:p>
          <w:p>
            <w:pPr>
              <w:pStyle w:val="TableParagraph"/>
              <w:numPr>
                <w:ilvl w:val="1"/>
                <w:numId w:val="3"/>
              </w:numPr>
              <w:tabs>
                <w:tab w:pos="712" w:val="left" w:leader="none"/>
              </w:tabs>
              <w:spacing w:line="273" w:lineRule="auto" w:before="37" w:after="0"/>
              <w:ind w:left="185" w:right="139" w:firstLine="106"/>
              <w:jc w:val="left"/>
              <w:rPr>
                <w:sz w:val="21"/>
              </w:rPr>
            </w:pPr>
            <w:r>
              <w:rPr>
                <w:spacing w:val="-3"/>
                <w:sz w:val="21"/>
              </w:rPr>
              <w:t>您解除合同的手续及风险</w:t>
            </w:r>
          </w:p>
          <w:p>
            <w:pPr>
              <w:pStyle w:val="TableParagraph"/>
              <w:numPr>
                <w:ilvl w:val="1"/>
                <w:numId w:val="3"/>
              </w:numPr>
              <w:tabs>
                <w:tab w:pos="659" w:val="left" w:leader="none"/>
              </w:tabs>
              <w:spacing w:line="240" w:lineRule="auto" w:before="7" w:after="0"/>
              <w:ind w:left="658" w:right="0" w:hanging="367"/>
              <w:jc w:val="left"/>
              <w:rPr>
                <w:sz w:val="21"/>
              </w:rPr>
            </w:pPr>
            <w:r>
              <w:rPr>
                <w:spacing w:val="-2"/>
                <w:sz w:val="21"/>
              </w:rPr>
              <w:t>效力终止</w:t>
            </w:r>
          </w:p>
          <w:p>
            <w:pPr>
              <w:pStyle w:val="TableParagraph"/>
              <w:numPr>
                <w:ilvl w:val="1"/>
                <w:numId w:val="3"/>
              </w:numPr>
              <w:tabs>
                <w:tab w:pos="659" w:val="left" w:leader="none"/>
              </w:tabs>
              <w:spacing w:line="240" w:lineRule="auto" w:before="37" w:after="0"/>
              <w:ind w:left="658" w:right="0" w:hanging="367"/>
              <w:jc w:val="left"/>
              <w:rPr>
                <w:sz w:val="21"/>
              </w:rPr>
            </w:pPr>
            <w:r>
              <w:rPr>
                <w:spacing w:val="-2"/>
                <w:sz w:val="21"/>
              </w:rPr>
              <w:t>未还款项</w:t>
            </w:r>
          </w:p>
          <w:p>
            <w:pPr>
              <w:pStyle w:val="TableParagraph"/>
              <w:numPr>
                <w:ilvl w:val="0"/>
                <w:numId w:val="3"/>
              </w:numPr>
              <w:tabs>
                <w:tab w:pos="503" w:val="left" w:leader="none"/>
              </w:tabs>
              <w:spacing w:line="240" w:lineRule="auto" w:before="37" w:after="0"/>
              <w:ind w:left="185" w:right="0" w:firstLine="0"/>
              <w:jc w:val="left"/>
              <w:rPr>
                <w:b/>
                <w:sz w:val="21"/>
              </w:rPr>
            </w:pPr>
            <w:r>
              <w:rPr>
                <w:b/>
                <w:sz w:val="21"/>
              </w:rPr>
              <w:t>如实告知</w:t>
            </w:r>
          </w:p>
          <w:p>
            <w:pPr>
              <w:pStyle w:val="TableParagraph"/>
              <w:numPr>
                <w:ilvl w:val="1"/>
                <w:numId w:val="3"/>
              </w:numPr>
              <w:tabs>
                <w:tab w:pos="714" w:val="left" w:leader="none"/>
              </w:tabs>
              <w:spacing w:line="273" w:lineRule="auto" w:before="37" w:after="0"/>
              <w:ind w:left="291" w:right="136" w:firstLine="0"/>
              <w:jc w:val="left"/>
              <w:rPr>
                <w:sz w:val="21"/>
              </w:rPr>
            </w:pPr>
            <w:r>
              <w:rPr>
                <w:spacing w:val="-3"/>
                <w:sz w:val="21"/>
              </w:rPr>
              <w:t>明确说明与如实告知</w:t>
            </w:r>
          </w:p>
          <w:p>
            <w:pPr>
              <w:pStyle w:val="TableParagraph"/>
              <w:numPr>
                <w:ilvl w:val="0"/>
                <w:numId w:val="3"/>
              </w:numPr>
              <w:tabs>
                <w:tab w:pos="503" w:val="left" w:leader="none"/>
              </w:tabs>
              <w:spacing w:line="273" w:lineRule="auto" w:before="7" w:after="0"/>
              <w:ind w:left="185" w:right="129" w:firstLine="0"/>
              <w:jc w:val="left"/>
              <w:rPr>
                <w:b/>
                <w:sz w:val="21"/>
              </w:rPr>
            </w:pPr>
            <w:r>
              <w:rPr>
                <w:b/>
                <w:sz w:val="21"/>
              </w:rPr>
              <w:t>其他需要关注的事项</w:t>
            </w:r>
          </w:p>
          <w:p>
            <w:pPr>
              <w:pStyle w:val="TableParagraph"/>
              <w:numPr>
                <w:ilvl w:val="1"/>
                <w:numId w:val="3"/>
              </w:numPr>
              <w:tabs>
                <w:tab w:pos="714" w:val="left" w:leader="none"/>
              </w:tabs>
              <w:spacing w:line="240" w:lineRule="auto" w:before="7" w:after="0"/>
              <w:ind w:left="185" w:right="0" w:firstLine="106"/>
              <w:jc w:val="left"/>
              <w:rPr>
                <w:sz w:val="21"/>
              </w:rPr>
            </w:pPr>
            <w:r>
              <w:rPr>
                <w:spacing w:val="-3"/>
                <w:sz w:val="21"/>
              </w:rPr>
              <w:t>年龄或性别错误</w:t>
            </w:r>
          </w:p>
          <w:p>
            <w:pPr>
              <w:pStyle w:val="TableParagraph"/>
              <w:numPr>
                <w:ilvl w:val="1"/>
                <w:numId w:val="3"/>
              </w:numPr>
              <w:tabs>
                <w:tab w:pos="714" w:val="left" w:leader="none"/>
              </w:tabs>
              <w:spacing w:line="312" w:lineRule="exact" w:before="33" w:after="0"/>
              <w:ind w:left="185" w:right="136" w:firstLine="106"/>
              <w:jc w:val="left"/>
              <w:rPr>
                <w:sz w:val="21"/>
              </w:rPr>
            </w:pPr>
            <w:r>
              <w:rPr>
                <w:spacing w:val="-3"/>
                <w:sz w:val="21"/>
              </w:rPr>
              <w:t>身体检查与司法鉴定</w:t>
            </w:r>
          </w:p>
        </w:tc>
        <w:tc>
          <w:tcPr>
            <w:tcW w:w="2293" w:type="dxa"/>
          </w:tcPr>
          <w:p>
            <w:pPr>
              <w:pStyle w:val="TableParagraph"/>
              <w:numPr>
                <w:ilvl w:val="1"/>
                <w:numId w:val="4"/>
              </w:numPr>
              <w:tabs>
                <w:tab w:pos="656" w:val="left" w:leader="none"/>
              </w:tabs>
              <w:spacing w:line="211" w:lineRule="exact" w:before="0" w:after="0"/>
              <w:ind w:left="129" w:right="0" w:firstLine="106"/>
              <w:jc w:val="left"/>
              <w:rPr>
                <w:sz w:val="21"/>
              </w:rPr>
            </w:pPr>
            <w:r>
              <w:rPr>
                <w:spacing w:val="-3"/>
                <w:sz w:val="21"/>
              </w:rPr>
              <w:t>保险单年度</w:t>
            </w:r>
          </w:p>
          <w:p>
            <w:pPr>
              <w:pStyle w:val="TableParagraph"/>
              <w:numPr>
                <w:ilvl w:val="1"/>
                <w:numId w:val="4"/>
              </w:numPr>
              <w:tabs>
                <w:tab w:pos="656" w:val="left" w:leader="none"/>
              </w:tabs>
              <w:spacing w:line="273" w:lineRule="auto" w:before="37" w:after="0"/>
              <w:ind w:left="129" w:right="163" w:firstLine="106"/>
              <w:jc w:val="left"/>
              <w:rPr>
                <w:sz w:val="21"/>
              </w:rPr>
            </w:pPr>
            <w:r>
              <w:rPr>
                <w:spacing w:val="-3"/>
                <w:sz w:val="21"/>
              </w:rPr>
              <w:t>保险费约定交纳日</w:t>
            </w:r>
          </w:p>
          <w:p>
            <w:pPr>
              <w:pStyle w:val="TableParagraph"/>
              <w:numPr>
                <w:ilvl w:val="1"/>
                <w:numId w:val="4"/>
              </w:numPr>
              <w:tabs>
                <w:tab w:pos="659" w:val="left" w:leader="none"/>
              </w:tabs>
              <w:spacing w:line="240" w:lineRule="auto" w:before="7" w:after="0"/>
              <w:ind w:left="658" w:right="0" w:hanging="423"/>
              <w:jc w:val="left"/>
              <w:rPr>
                <w:sz w:val="21"/>
              </w:rPr>
            </w:pPr>
            <w:r>
              <w:rPr>
                <w:spacing w:val="-3"/>
                <w:sz w:val="21"/>
              </w:rPr>
              <w:t>周岁</w:t>
            </w:r>
          </w:p>
          <w:p>
            <w:pPr>
              <w:pStyle w:val="TableParagraph"/>
              <w:numPr>
                <w:ilvl w:val="1"/>
                <w:numId w:val="4"/>
              </w:numPr>
              <w:tabs>
                <w:tab w:pos="659" w:val="left" w:leader="none"/>
              </w:tabs>
              <w:spacing w:line="240" w:lineRule="auto" w:before="37" w:after="0"/>
              <w:ind w:left="658" w:right="0" w:hanging="423"/>
              <w:jc w:val="left"/>
              <w:rPr>
                <w:sz w:val="21"/>
              </w:rPr>
            </w:pPr>
            <w:r>
              <w:rPr>
                <w:spacing w:val="-3"/>
                <w:sz w:val="21"/>
              </w:rPr>
              <w:t>有效身份证件</w:t>
            </w:r>
          </w:p>
          <w:p>
            <w:pPr>
              <w:pStyle w:val="TableParagraph"/>
              <w:numPr>
                <w:ilvl w:val="1"/>
                <w:numId w:val="4"/>
              </w:numPr>
              <w:tabs>
                <w:tab w:pos="606" w:val="left" w:leader="none"/>
              </w:tabs>
              <w:spacing w:line="240" w:lineRule="auto" w:before="37" w:after="0"/>
              <w:ind w:left="605" w:right="0" w:hanging="370"/>
              <w:jc w:val="left"/>
              <w:rPr>
                <w:sz w:val="21"/>
              </w:rPr>
            </w:pPr>
            <w:r>
              <w:rPr>
                <w:spacing w:val="-3"/>
                <w:sz w:val="21"/>
              </w:rPr>
              <w:t>意外伤害事故</w:t>
            </w:r>
          </w:p>
          <w:p>
            <w:pPr>
              <w:pStyle w:val="TableParagraph"/>
              <w:numPr>
                <w:ilvl w:val="1"/>
                <w:numId w:val="4"/>
              </w:numPr>
              <w:tabs>
                <w:tab w:pos="606" w:val="left" w:leader="none"/>
              </w:tabs>
              <w:spacing w:line="240" w:lineRule="auto" w:before="37" w:after="0"/>
              <w:ind w:left="605" w:right="0" w:hanging="370"/>
              <w:jc w:val="left"/>
              <w:rPr>
                <w:sz w:val="21"/>
              </w:rPr>
            </w:pPr>
            <w:r>
              <w:rPr>
                <w:spacing w:val="-3"/>
                <w:sz w:val="21"/>
              </w:rPr>
              <w:t>医院</w:t>
            </w:r>
          </w:p>
          <w:p>
            <w:pPr>
              <w:pStyle w:val="TableParagraph"/>
              <w:numPr>
                <w:ilvl w:val="1"/>
                <w:numId w:val="4"/>
              </w:numPr>
              <w:tabs>
                <w:tab w:pos="606" w:val="left" w:leader="none"/>
              </w:tabs>
              <w:spacing w:line="240" w:lineRule="auto" w:before="37" w:after="0"/>
              <w:ind w:left="605" w:right="0" w:hanging="370"/>
              <w:jc w:val="left"/>
              <w:rPr>
                <w:sz w:val="21"/>
              </w:rPr>
            </w:pPr>
            <w:r>
              <w:rPr>
                <w:spacing w:val="-3"/>
                <w:sz w:val="21"/>
              </w:rPr>
              <w:t>专科医生</w:t>
            </w:r>
          </w:p>
          <w:p>
            <w:pPr>
              <w:pStyle w:val="TableParagraph"/>
              <w:numPr>
                <w:ilvl w:val="1"/>
                <w:numId w:val="4"/>
              </w:numPr>
              <w:tabs>
                <w:tab w:pos="606" w:val="left" w:leader="none"/>
              </w:tabs>
              <w:spacing w:line="240" w:lineRule="auto" w:before="37" w:after="0"/>
              <w:ind w:left="605" w:right="0" w:hanging="370"/>
              <w:jc w:val="left"/>
              <w:rPr>
                <w:sz w:val="21"/>
              </w:rPr>
            </w:pPr>
            <w:r>
              <w:rPr>
                <w:spacing w:val="-3"/>
                <w:sz w:val="21"/>
              </w:rPr>
              <w:t>轻型疾病</w:t>
            </w:r>
          </w:p>
          <w:p>
            <w:pPr>
              <w:pStyle w:val="TableParagraph"/>
              <w:numPr>
                <w:ilvl w:val="1"/>
                <w:numId w:val="4"/>
              </w:numPr>
              <w:tabs>
                <w:tab w:pos="659" w:val="left" w:leader="none"/>
              </w:tabs>
              <w:spacing w:line="273" w:lineRule="auto" w:before="37" w:after="0"/>
              <w:ind w:left="129" w:right="161" w:firstLine="106"/>
              <w:jc w:val="left"/>
              <w:rPr>
                <w:sz w:val="21"/>
              </w:rPr>
            </w:pPr>
            <w:r>
              <w:rPr>
                <w:spacing w:val="-3"/>
                <w:sz w:val="21"/>
              </w:rPr>
              <w:t>具有均衡保险费的长期附加合同</w:t>
            </w:r>
          </w:p>
          <w:p>
            <w:pPr>
              <w:pStyle w:val="TableParagraph"/>
              <w:numPr>
                <w:ilvl w:val="1"/>
                <w:numId w:val="4"/>
              </w:numPr>
              <w:tabs>
                <w:tab w:pos="709" w:val="left" w:leader="none"/>
              </w:tabs>
              <w:spacing w:line="240" w:lineRule="auto" w:before="7" w:after="0"/>
              <w:ind w:left="708" w:right="0" w:hanging="473"/>
              <w:jc w:val="left"/>
              <w:rPr>
                <w:sz w:val="21"/>
              </w:rPr>
            </w:pPr>
            <w:r>
              <w:rPr>
                <w:spacing w:val="-2"/>
                <w:sz w:val="21"/>
              </w:rPr>
              <w:t>重大疾病</w:t>
            </w:r>
          </w:p>
          <w:p>
            <w:pPr>
              <w:pStyle w:val="TableParagraph"/>
              <w:numPr>
                <w:ilvl w:val="1"/>
                <w:numId w:val="4"/>
              </w:numPr>
              <w:tabs>
                <w:tab w:pos="714" w:val="left" w:leader="none"/>
              </w:tabs>
              <w:spacing w:line="273" w:lineRule="auto" w:before="36" w:after="0"/>
              <w:ind w:left="129" w:right="106" w:firstLine="106"/>
              <w:jc w:val="left"/>
              <w:rPr>
                <w:sz w:val="21"/>
              </w:rPr>
            </w:pPr>
            <w:r>
              <w:rPr>
                <w:spacing w:val="-3"/>
                <w:sz w:val="21"/>
              </w:rPr>
              <w:t>《人身保险伤残评定标准与代码》</w:t>
            </w:r>
          </w:p>
          <w:p>
            <w:pPr>
              <w:pStyle w:val="TableParagraph"/>
              <w:numPr>
                <w:ilvl w:val="1"/>
                <w:numId w:val="4"/>
              </w:numPr>
              <w:tabs>
                <w:tab w:pos="709" w:val="left" w:leader="none"/>
              </w:tabs>
              <w:spacing w:line="240" w:lineRule="auto" w:before="7" w:after="0"/>
              <w:ind w:left="708" w:right="0" w:hanging="473"/>
              <w:jc w:val="left"/>
              <w:rPr>
                <w:sz w:val="21"/>
              </w:rPr>
            </w:pPr>
            <w:r>
              <w:rPr>
                <w:sz w:val="21"/>
              </w:rPr>
              <w:t>毒品</w:t>
            </w:r>
          </w:p>
          <w:p>
            <w:pPr>
              <w:pStyle w:val="TableParagraph"/>
              <w:numPr>
                <w:ilvl w:val="1"/>
                <w:numId w:val="4"/>
              </w:numPr>
              <w:tabs>
                <w:tab w:pos="709" w:val="left" w:leader="none"/>
              </w:tabs>
              <w:spacing w:line="255" w:lineRule="exact" w:before="37" w:after="0"/>
              <w:ind w:left="708" w:right="0" w:hanging="473"/>
              <w:jc w:val="left"/>
              <w:rPr>
                <w:sz w:val="21"/>
              </w:rPr>
            </w:pPr>
            <w:r>
              <w:rPr>
                <w:spacing w:val="-2"/>
                <w:sz w:val="21"/>
              </w:rPr>
              <w:t>酒后驾驶</w:t>
            </w:r>
          </w:p>
        </w:tc>
        <w:tc>
          <w:tcPr>
            <w:tcW w:w="2778" w:type="dxa"/>
          </w:tcPr>
          <w:p>
            <w:pPr>
              <w:pStyle w:val="TableParagraph"/>
              <w:numPr>
                <w:ilvl w:val="1"/>
                <w:numId w:val="5"/>
              </w:numPr>
              <w:tabs>
                <w:tab w:pos="685" w:val="left" w:leader="none"/>
              </w:tabs>
              <w:spacing w:line="211" w:lineRule="exact" w:before="0" w:after="0"/>
              <w:ind w:left="105" w:right="0" w:firstLine="105"/>
              <w:jc w:val="left"/>
              <w:rPr>
                <w:sz w:val="21"/>
              </w:rPr>
            </w:pPr>
            <w:r>
              <w:rPr>
                <w:spacing w:val="-3"/>
                <w:sz w:val="21"/>
              </w:rPr>
              <w:t>无合法有效驾驶证驾</w:t>
            </w:r>
          </w:p>
          <w:p>
            <w:pPr>
              <w:pStyle w:val="TableParagraph"/>
              <w:spacing w:before="37"/>
              <w:ind w:left="105"/>
              <w:rPr>
                <w:sz w:val="21"/>
              </w:rPr>
            </w:pPr>
            <w:r>
              <w:rPr>
                <w:w w:val="100"/>
                <w:sz w:val="21"/>
              </w:rPr>
              <w:t>驶</w:t>
            </w:r>
          </w:p>
          <w:p>
            <w:pPr>
              <w:pStyle w:val="TableParagraph"/>
              <w:numPr>
                <w:ilvl w:val="1"/>
                <w:numId w:val="5"/>
              </w:numPr>
              <w:tabs>
                <w:tab w:pos="685" w:val="left" w:leader="none"/>
              </w:tabs>
              <w:spacing w:line="240" w:lineRule="auto" w:before="37" w:after="0"/>
              <w:ind w:left="105" w:right="0" w:firstLine="105"/>
              <w:jc w:val="left"/>
              <w:rPr>
                <w:sz w:val="21"/>
              </w:rPr>
            </w:pPr>
            <w:r>
              <w:rPr>
                <w:spacing w:val="-3"/>
                <w:sz w:val="21"/>
              </w:rPr>
              <w:t>无有效行驶证</w:t>
            </w:r>
          </w:p>
          <w:p>
            <w:pPr>
              <w:pStyle w:val="TableParagraph"/>
              <w:numPr>
                <w:ilvl w:val="1"/>
                <w:numId w:val="5"/>
              </w:numPr>
              <w:tabs>
                <w:tab w:pos="685" w:val="left" w:leader="none"/>
              </w:tabs>
              <w:spacing w:line="240" w:lineRule="auto" w:before="37" w:after="0"/>
              <w:ind w:left="105" w:right="0" w:firstLine="105"/>
              <w:jc w:val="left"/>
              <w:rPr>
                <w:sz w:val="21"/>
              </w:rPr>
            </w:pPr>
            <w:r>
              <w:rPr>
                <w:spacing w:val="-2"/>
                <w:sz w:val="21"/>
              </w:rPr>
              <w:t>机动车</w:t>
            </w:r>
          </w:p>
          <w:p>
            <w:pPr>
              <w:pStyle w:val="TableParagraph"/>
              <w:numPr>
                <w:ilvl w:val="1"/>
                <w:numId w:val="5"/>
              </w:numPr>
              <w:tabs>
                <w:tab w:pos="685" w:val="left" w:leader="none"/>
              </w:tabs>
              <w:spacing w:line="273" w:lineRule="auto" w:before="37" w:after="0"/>
              <w:ind w:left="105" w:right="200" w:firstLine="105"/>
              <w:jc w:val="left"/>
              <w:rPr>
                <w:sz w:val="21"/>
              </w:rPr>
            </w:pPr>
            <w:r>
              <w:rPr>
                <w:spacing w:val="-3"/>
                <w:sz w:val="21"/>
              </w:rPr>
              <w:t>感染艾滋病病毒或患艾滋病</w:t>
            </w:r>
          </w:p>
          <w:p>
            <w:pPr>
              <w:pStyle w:val="TableParagraph"/>
              <w:numPr>
                <w:ilvl w:val="1"/>
                <w:numId w:val="5"/>
              </w:numPr>
              <w:tabs>
                <w:tab w:pos="685" w:val="left" w:leader="none"/>
              </w:tabs>
              <w:spacing w:line="240" w:lineRule="auto" w:before="7" w:after="0"/>
              <w:ind w:left="105" w:right="0" w:firstLine="105"/>
              <w:jc w:val="left"/>
              <w:rPr>
                <w:sz w:val="21"/>
              </w:rPr>
            </w:pPr>
            <w:r>
              <w:rPr>
                <w:spacing w:val="-3"/>
                <w:sz w:val="21"/>
              </w:rPr>
              <w:t>遗传性疾病</w:t>
            </w:r>
          </w:p>
          <w:p>
            <w:pPr>
              <w:pStyle w:val="TableParagraph"/>
              <w:numPr>
                <w:ilvl w:val="1"/>
                <w:numId w:val="5"/>
              </w:numPr>
              <w:tabs>
                <w:tab w:pos="685" w:val="left" w:leader="none"/>
              </w:tabs>
              <w:spacing w:line="273" w:lineRule="auto" w:before="37" w:after="0"/>
              <w:ind w:left="105" w:right="200" w:firstLine="105"/>
              <w:jc w:val="left"/>
              <w:rPr>
                <w:sz w:val="21"/>
              </w:rPr>
            </w:pPr>
            <w:r>
              <w:rPr>
                <w:spacing w:val="-3"/>
                <w:sz w:val="21"/>
              </w:rPr>
              <w:t>先天性畸形、变形或染色体异常</w:t>
            </w:r>
          </w:p>
          <w:p>
            <w:pPr>
              <w:pStyle w:val="TableParagraph"/>
              <w:numPr>
                <w:ilvl w:val="1"/>
                <w:numId w:val="5"/>
              </w:numPr>
              <w:tabs>
                <w:tab w:pos="738" w:val="left" w:leader="none"/>
              </w:tabs>
              <w:spacing w:line="240" w:lineRule="auto" w:before="7" w:after="0"/>
              <w:ind w:left="737" w:right="0" w:hanging="527"/>
              <w:jc w:val="left"/>
              <w:rPr>
                <w:sz w:val="21"/>
              </w:rPr>
            </w:pPr>
            <w:r>
              <w:rPr>
                <w:sz w:val="21"/>
              </w:rPr>
              <w:t>猝死</w:t>
            </w:r>
          </w:p>
          <w:p>
            <w:pPr>
              <w:pStyle w:val="TableParagraph"/>
              <w:numPr>
                <w:ilvl w:val="1"/>
                <w:numId w:val="5"/>
              </w:numPr>
              <w:tabs>
                <w:tab w:pos="685" w:val="left" w:leader="none"/>
              </w:tabs>
              <w:spacing w:line="273" w:lineRule="auto" w:before="36" w:after="0"/>
              <w:ind w:left="105" w:right="200" w:firstLine="105"/>
              <w:jc w:val="left"/>
              <w:rPr>
                <w:sz w:val="21"/>
              </w:rPr>
            </w:pPr>
            <w:r>
              <w:rPr>
                <w:spacing w:val="-3"/>
                <w:sz w:val="21"/>
              </w:rPr>
              <w:t>六项基本日常生活活动</w:t>
            </w:r>
          </w:p>
          <w:p>
            <w:pPr>
              <w:pStyle w:val="TableParagraph"/>
              <w:numPr>
                <w:ilvl w:val="1"/>
                <w:numId w:val="5"/>
              </w:numPr>
              <w:tabs>
                <w:tab w:pos="685" w:val="left" w:leader="none"/>
              </w:tabs>
              <w:spacing w:line="240" w:lineRule="auto" w:before="7" w:after="0"/>
              <w:ind w:left="105" w:right="0" w:firstLine="105"/>
              <w:jc w:val="left"/>
              <w:rPr>
                <w:sz w:val="21"/>
              </w:rPr>
            </w:pPr>
            <w:r>
              <w:rPr>
                <w:spacing w:val="-3"/>
                <w:sz w:val="21"/>
              </w:rPr>
              <w:t>永久不可逆</w:t>
            </w:r>
          </w:p>
          <w:p>
            <w:pPr>
              <w:pStyle w:val="TableParagraph"/>
              <w:numPr>
                <w:ilvl w:val="1"/>
                <w:numId w:val="5"/>
              </w:numPr>
              <w:tabs>
                <w:tab w:pos="685" w:val="left" w:leader="none"/>
              </w:tabs>
              <w:spacing w:line="240" w:lineRule="auto" w:before="37" w:after="0"/>
              <w:ind w:left="105" w:right="0" w:firstLine="105"/>
              <w:jc w:val="left"/>
              <w:rPr>
                <w:sz w:val="21"/>
              </w:rPr>
            </w:pPr>
            <w:r>
              <w:rPr>
                <w:spacing w:val="-3"/>
                <w:sz w:val="21"/>
              </w:rPr>
              <w:t>肢体机能完全丧失</w:t>
            </w:r>
          </w:p>
          <w:p>
            <w:pPr>
              <w:pStyle w:val="TableParagraph"/>
              <w:numPr>
                <w:ilvl w:val="1"/>
                <w:numId w:val="5"/>
              </w:numPr>
              <w:tabs>
                <w:tab w:pos="685" w:val="left" w:leader="none"/>
              </w:tabs>
              <w:spacing w:line="312" w:lineRule="exact" w:before="33" w:after="0"/>
              <w:ind w:left="105" w:right="200" w:firstLine="105"/>
              <w:jc w:val="left"/>
              <w:rPr>
                <w:sz w:val="21"/>
              </w:rPr>
            </w:pPr>
            <w:r>
              <w:rPr>
                <w:spacing w:val="-3"/>
                <w:sz w:val="21"/>
              </w:rPr>
              <w:t>语言能力或咀嚼吞咽能力完全丧失</w:t>
            </w:r>
          </w:p>
        </w:tc>
      </w:tr>
    </w:tbl>
    <w:p>
      <w:pPr>
        <w:spacing w:after="0" w:line="312" w:lineRule="exact"/>
        <w:jc w:val="left"/>
        <w:rPr>
          <w:sz w:val="21"/>
        </w:rPr>
        <w:sectPr>
          <w:footerReference w:type="default" r:id="rId5"/>
          <w:type w:val="continuous"/>
          <w:pgSz w:w="11910" w:h="16840"/>
          <w:pgMar w:footer="924" w:top="1380" w:bottom="1120" w:left="880" w:right="660"/>
          <w:pgNumType w:start="1"/>
        </w:sectPr>
      </w:pPr>
    </w:p>
    <w:p>
      <w:pPr>
        <w:pStyle w:val="BodyText"/>
        <w:spacing w:before="8"/>
        <w:rPr>
          <w:rFonts w:ascii="Times New Roman"/>
          <w:sz w:val="9"/>
        </w:rPr>
      </w:pPr>
      <w:r>
        <w:rPr/>
        <w:drawing>
          <wp:anchor distT="0" distB="0" distL="0" distR="0" allowOverlap="1" layoutInCell="1" locked="0" behindDoc="1" simplePos="0" relativeHeight="268393919">
            <wp:simplePos x="0" y="0"/>
            <wp:positionH relativeFrom="page">
              <wp:posOffset>630936</wp:posOffset>
            </wp:positionH>
            <wp:positionV relativeFrom="page">
              <wp:posOffset>900683</wp:posOffset>
            </wp:positionV>
            <wp:extent cx="6365220" cy="413766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365220" cy="4137660"/>
                    </a:xfrm>
                    <a:prstGeom prst="rect">
                      <a:avLst/>
                    </a:prstGeom>
                  </pic:spPr>
                </pic:pic>
              </a:graphicData>
            </a:graphic>
          </wp:anchor>
        </w:drawing>
      </w:r>
    </w:p>
    <w:tbl>
      <w:tblPr>
        <w:tblW w:w="0" w:type="auto"/>
        <w:jc w:val="left"/>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8"/>
        <w:gridCol w:w="1235"/>
      </w:tblGrid>
      <w:tr>
        <w:trPr>
          <w:trHeight w:val="211" w:hRule="atLeast"/>
        </w:trPr>
        <w:tc>
          <w:tcPr>
            <w:tcW w:w="2178" w:type="dxa"/>
          </w:tcPr>
          <w:p>
            <w:pPr>
              <w:pStyle w:val="TableParagraph"/>
              <w:spacing w:line="191" w:lineRule="exact"/>
              <w:ind w:left="200"/>
              <w:rPr>
                <w:sz w:val="21"/>
              </w:rPr>
            </w:pPr>
            <w:r>
              <w:rPr>
                <w:sz w:val="21"/>
              </w:rPr>
              <w:t>4.1 保险费的交纳</w:t>
            </w:r>
          </w:p>
        </w:tc>
        <w:tc>
          <w:tcPr>
            <w:tcW w:w="1235" w:type="dxa"/>
          </w:tcPr>
          <w:p>
            <w:pPr>
              <w:pStyle w:val="TableParagraph"/>
              <w:spacing w:line="191" w:lineRule="exact"/>
              <w:ind w:left="295"/>
              <w:rPr>
                <w:b/>
                <w:sz w:val="21"/>
              </w:rPr>
            </w:pPr>
            <w:r>
              <w:rPr>
                <w:b/>
                <w:sz w:val="21"/>
              </w:rPr>
              <w:t>9. 释义</w:t>
            </w:r>
          </w:p>
        </w:tc>
      </w:tr>
    </w:tbl>
    <w:p>
      <w:pPr>
        <w:spacing w:after="0" w:line="191" w:lineRule="exact"/>
        <w:rPr>
          <w:sz w:val="21"/>
        </w:rPr>
        <w:sectPr>
          <w:pgSz w:w="11910" w:h="16840"/>
          <w:pgMar w:header="0" w:footer="924" w:top="1400" w:bottom="1120" w:left="880" w:right="780"/>
        </w:sectPr>
      </w:pPr>
    </w:p>
    <w:p>
      <w:pPr>
        <w:spacing w:line="477" w:lineRule="exact" w:before="0"/>
        <w:ind w:left="3017" w:right="0" w:firstLine="0"/>
        <w:jc w:val="left"/>
        <w:rPr>
          <w:rFonts w:ascii="微软雅黑" w:eastAsia="微软雅黑" w:hint="eastAsia"/>
          <w:b/>
          <w:sz w:val="32"/>
        </w:rPr>
      </w:pPr>
      <w:r>
        <w:rPr>
          <w:rFonts w:ascii="微软雅黑" w:eastAsia="微软雅黑" w:hint="eastAsia"/>
          <w:b/>
          <w:sz w:val="32"/>
        </w:rPr>
        <w:t>华泰人寿保险股份有限公司</w:t>
      </w:r>
    </w:p>
    <w:p>
      <w:pPr>
        <w:spacing w:before="71"/>
        <w:ind w:left="2855" w:right="0" w:firstLine="0"/>
        <w:jc w:val="left"/>
        <w:rPr>
          <w:rFonts w:ascii="微软雅黑" w:eastAsia="微软雅黑" w:hint="eastAsia"/>
          <w:b/>
          <w:sz w:val="32"/>
        </w:rPr>
      </w:pPr>
      <w:r>
        <w:rPr>
          <w:rFonts w:ascii="微软雅黑" w:eastAsia="微软雅黑" w:hint="eastAsia"/>
          <w:b/>
          <w:sz w:val="32"/>
        </w:rPr>
        <w:t>附加豁免保险费重大疾病条款</w:t>
      </w:r>
    </w:p>
    <w:p>
      <w:pPr>
        <w:pStyle w:val="BodyText"/>
        <w:spacing w:before="5"/>
        <w:rPr>
          <w:rFonts w:ascii="微软雅黑"/>
          <w:b/>
          <w:sz w:val="33"/>
        </w:rPr>
      </w:pPr>
    </w:p>
    <w:p>
      <w:pPr>
        <w:pStyle w:val="BodyText"/>
        <w:spacing w:line="273" w:lineRule="auto"/>
        <w:ind w:left="212" w:right="296"/>
        <w:jc w:val="both"/>
      </w:pPr>
      <w:r>
        <w:rPr/>
        <w:t>在本条款中，“您”指投保人，“我们”、“本公司”均指在保险单上签章的华泰人寿保险股份有限公司，“本附加合同”指您与我们之间订立的“附加豁免保险费重大疾病保险合同”，“被保险人”指本附加合同的被保险人，投保人、被保险人的姓名在保险单上载明。</w:t>
      </w:r>
    </w:p>
    <w:p>
      <w:pPr>
        <w:pStyle w:val="BodyText"/>
        <w:rPr>
          <w:sz w:val="20"/>
        </w:rPr>
      </w:pPr>
    </w:p>
    <w:p>
      <w:pPr>
        <w:pStyle w:val="BodyText"/>
        <w:spacing w:before="10" w:after="1"/>
        <w:rPr>
          <w:sz w:val="13"/>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51"/>
        <w:gridCol w:w="7406"/>
      </w:tblGrid>
      <w:tr>
        <w:trPr>
          <w:trHeight w:val="422" w:hRule="atLeast"/>
        </w:trPr>
        <w:tc>
          <w:tcPr>
            <w:tcW w:w="693" w:type="dxa"/>
            <w:tcBorders>
              <w:bottom w:val="single" w:sz="4" w:space="0" w:color="000000"/>
            </w:tcBorders>
          </w:tcPr>
          <w:p>
            <w:pPr>
              <w:pStyle w:val="TableParagraph"/>
              <w:spacing w:line="240" w:lineRule="exact"/>
              <w:ind w:left="107"/>
              <w:rPr>
                <w:b/>
                <w:sz w:val="24"/>
              </w:rPr>
            </w:pPr>
            <w:r>
              <w:rPr>
                <w:b/>
                <w:sz w:val="24"/>
              </w:rPr>
              <w:t>1.</w:t>
            </w:r>
          </w:p>
        </w:tc>
        <w:tc>
          <w:tcPr>
            <w:tcW w:w="9057" w:type="dxa"/>
            <w:gridSpan w:val="2"/>
            <w:tcBorders>
              <w:bottom w:val="single" w:sz="4" w:space="0" w:color="000000"/>
            </w:tcBorders>
          </w:tcPr>
          <w:p>
            <w:pPr>
              <w:pStyle w:val="TableParagraph"/>
              <w:spacing w:line="240" w:lineRule="exact"/>
              <w:ind w:left="267"/>
              <w:rPr>
                <w:b/>
                <w:sz w:val="24"/>
              </w:rPr>
            </w:pPr>
            <w:r>
              <w:rPr>
                <w:b/>
                <w:w w:val="95"/>
                <w:sz w:val="24"/>
              </w:rPr>
              <w:t>您与我们订立的合同</w:t>
            </w:r>
          </w:p>
        </w:tc>
      </w:tr>
      <w:tr>
        <w:trPr>
          <w:trHeight w:val="2388" w:hRule="atLeast"/>
        </w:trPr>
        <w:tc>
          <w:tcPr>
            <w:tcW w:w="693" w:type="dxa"/>
            <w:tcBorders>
              <w:top w:val="single" w:sz="4" w:space="0" w:color="000000"/>
            </w:tcBorders>
          </w:tcPr>
          <w:p>
            <w:pPr>
              <w:pStyle w:val="TableParagraph"/>
              <w:spacing w:before="112"/>
              <w:ind w:left="107"/>
              <w:rPr>
                <w:b/>
                <w:sz w:val="21"/>
              </w:rPr>
            </w:pPr>
            <w:r>
              <w:rPr>
                <w:b/>
                <w:sz w:val="21"/>
              </w:rPr>
              <w:t>1.1</w:t>
            </w:r>
          </w:p>
        </w:tc>
        <w:tc>
          <w:tcPr>
            <w:tcW w:w="1651" w:type="dxa"/>
            <w:tcBorders>
              <w:top w:val="single" w:sz="4" w:space="0" w:color="000000"/>
            </w:tcBorders>
          </w:tcPr>
          <w:p>
            <w:pPr>
              <w:pStyle w:val="TableParagraph"/>
              <w:spacing w:before="112"/>
              <w:ind w:left="267"/>
              <w:rPr>
                <w:b/>
                <w:sz w:val="21"/>
              </w:rPr>
            </w:pPr>
            <w:r>
              <w:rPr>
                <w:b/>
                <w:sz w:val="21"/>
              </w:rPr>
              <w:t>合同构成</w:t>
            </w:r>
          </w:p>
        </w:tc>
        <w:tc>
          <w:tcPr>
            <w:tcW w:w="7406" w:type="dxa"/>
            <w:tcBorders>
              <w:top w:val="single" w:sz="4" w:space="0" w:color="000000"/>
            </w:tcBorders>
          </w:tcPr>
          <w:p>
            <w:pPr>
              <w:pStyle w:val="TableParagraph"/>
              <w:spacing w:line="273" w:lineRule="auto" w:before="112"/>
              <w:ind w:left="116" w:right="141"/>
              <w:jc w:val="both"/>
              <w:rPr>
                <w:sz w:val="21"/>
              </w:rPr>
            </w:pPr>
            <w:r>
              <w:rPr>
                <w:sz w:val="21"/>
              </w:rPr>
              <w:t>本附加合同包括本保险条款、保险单或其他保险凭证、投保单、与本附加合同有关的投保文件、合法有效的声明、批注、批单及其他约定您和我们之间权利义务关系的书面文件。</w:t>
            </w:r>
          </w:p>
          <w:p>
            <w:pPr>
              <w:pStyle w:val="TableParagraph"/>
              <w:spacing w:line="273" w:lineRule="auto" w:before="163"/>
              <w:ind w:left="116" w:right="141"/>
              <w:jc w:val="both"/>
              <w:rPr>
                <w:sz w:val="21"/>
              </w:rPr>
            </w:pPr>
            <w:r>
              <w:rPr>
                <w:sz w:val="21"/>
              </w:rPr>
              <w:t>主合同的条款也适用于本附加合同，若主合同与本附加合同的条款互有抵触， 则以本附加合同为准。</w:t>
            </w:r>
          </w:p>
          <w:p>
            <w:pPr>
              <w:pStyle w:val="TableParagraph"/>
              <w:spacing w:before="163"/>
              <w:ind w:left="116"/>
              <w:jc w:val="both"/>
              <w:rPr>
                <w:sz w:val="21"/>
              </w:rPr>
            </w:pPr>
            <w:r>
              <w:rPr>
                <w:sz w:val="21"/>
              </w:rPr>
              <w:t>阅读指引和条款目录仅供辅助理解使用，不构成保险合同的组成部分。</w:t>
            </w:r>
          </w:p>
        </w:tc>
      </w:tr>
      <w:tr>
        <w:trPr>
          <w:trHeight w:val="2652" w:hRule="atLeast"/>
        </w:trPr>
        <w:tc>
          <w:tcPr>
            <w:tcW w:w="693" w:type="dxa"/>
          </w:tcPr>
          <w:p>
            <w:pPr>
              <w:pStyle w:val="TableParagraph"/>
              <w:spacing w:before="64"/>
              <w:ind w:left="107"/>
              <w:rPr>
                <w:b/>
                <w:sz w:val="21"/>
              </w:rPr>
            </w:pPr>
            <w:r>
              <w:rPr>
                <w:b/>
                <w:sz w:val="21"/>
              </w:rPr>
              <w:t>1.2</w:t>
            </w:r>
          </w:p>
        </w:tc>
        <w:tc>
          <w:tcPr>
            <w:tcW w:w="1651" w:type="dxa"/>
          </w:tcPr>
          <w:p>
            <w:pPr>
              <w:pStyle w:val="TableParagraph"/>
              <w:spacing w:line="273" w:lineRule="auto" w:before="64"/>
              <w:ind w:left="267" w:right="114"/>
              <w:rPr>
                <w:b/>
                <w:sz w:val="21"/>
              </w:rPr>
            </w:pPr>
            <w:r>
              <w:rPr>
                <w:b/>
                <w:sz w:val="21"/>
              </w:rPr>
              <w:t>合同成立及生效</w:t>
            </w:r>
          </w:p>
        </w:tc>
        <w:tc>
          <w:tcPr>
            <w:tcW w:w="7406" w:type="dxa"/>
          </w:tcPr>
          <w:p>
            <w:pPr>
              <w:pStyle w:val="TableParagraph"/>
              <w:spacing w:before="64"/>
              <w:ind w:left="116"/>
              <w:rPr>
                <w:sz w:val="21"/>
              </w:rPr>
            </w:pPr>
            <w:r>
              <w:rPr>
                <w:sz w:val="21"/>
              </w:rPr>
              <w:t>您向我们提出保险申请，我们同意承保，本附加合同成立。</w:t>
            </w:r>
          </w:p>
          <w:p>
            <w:pPr>
              <w:pStyle w:val="TableParagraph"/>
              <w:spacing w:before="9"/>
              <w:rPr>
                <w:sz w:val="14"/>
              </w:rPr>
            </w:pPr>
          </w:p>
          <w:p>
            <w:pPr>
              <w:pStyle w:val="TableParagraph"/>
              <w:spacing w:line="273" w:lineRule="auto"/>
              <w:ind w:left="116" w:right="16"/>
              <w:rPr>
                <w:sz w:val="21"/>
              </w:rPr>
            </w:pPr>
            <w:r>
              <w:rPr>
                <w:spacing w:val="-9"/>
                <w:sz w:val="21"/>
              </w:rPr>
              <w:t>若本附加合同与主合同同时投保，则以主合同的生效日为本附加合同的生效日； </w:t>
            </w:r>
            <w:r>
              <w:rPr>
                <w:spacing w:val="-5"/>
                <w:sz w:val="21"/>
              </w:rPr>
              <w:t>若您于主合同有效期间内投保本附加合同，本附加合同的生效日期以保险单或</w:t>
            </w:r>
            <w:r>
              <w:rPr>
                <w:spacing w:val="-4"/>
                <w:sz w:val="21"/>
              </w:rPr>
              <w:t>批注上记载的日期为准。</w:t>
            </w:r>
          </w:p>
          <w:p>
            <w:pPr>
              <w:pStyle w:val="TableParagraph"/>
              <w:spacing w:line="273" w:lineRule="auto" w:before="163"/>
              <w:ind w:left="116" w:right="87"/>
              <w:rPr>
                <w:sz w:val="21"/>
              </w:rPr>
            </w:pPr>
            <w:r>
              <w:rPr>
                <w:spacing w:val="-3"/>
                <w:w w:val="100"/>
                <w:sz w:val="21"/>
              </w:rPr>
              <w:t>本附加合同生效日以后每年的对应日是保险单周年日。</w:t>
            </w:r>
            <w:r>
              <w:rPr>
                <w:b/>
                <w:w w:val="100"/>
                <w:sz w:val="21"/>
              </w:rPr>
              <w:t>保险单年度</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w:t>
            </w:r>
            <w:r>
              <w:rPr>
                <w:spacing w:val="-108"/>
                <w:w w:val="100"/>
                <w:sz w:val="21"/>
              </w:rPr>
              <w:t>）</w:t>
            </w:r>
            <w:r>
              <w:rPr>
                <w:w w:val="100"/>
                <w:sz w:val="21"/>
              </w:rPr>
              <w:t>、</w:t>
            </w:r>
            <w:r>
              <w:rPr>
                <w:b/>
                <w:sz w:val="21"/>
              </w:rPr>
              <w:t>保险费约定交纳日</w:t>
            </w:r>
            <w:r>
              <w:rPr>
                <w:spacing w:val="-3"/>
                <w:sz w:val="21"/>
              </w:rPr>
              <w:t>（</w:t>
            </w:r>
            <w:r>
              <w:rPr>
                <w:spacing w:val="-24"/>
                <w:sz w:val="21"/>
              </w:rPr>
              <w:t>见 </w:t>
            </w:r>
            <w:r>
              <w:rPr>
                <w:sz w:val="21"/>
              </w:rPr>
              <w:t>9.2）</w:t>
            </w:r>
            <w:r>
              <w:rPr>
                <w:spacing w:val="-3"/>
                <w:sz w:val="21"/>
              </w:rPr>
              <w:t>及保险单满期日均以本附加合同的生效日期为基础计算。如果当月无对应的同一日，则以该月最后一日作为对应日。</w:t>
            </w:r>
          </w:p>
        </w:tc>
      </w:tr>
      <w:tr>
        <w:trPr>
          <w:trHeight w:val="1634" w:hRule="atLeast"/>
        </w:trPr>
        <w:tc>
          <w:tcPr>
            <w:tcW w:w="693" w:type="dxa"/>
          </w:tcPr>
          <w:p>
            <w:pPr>
              <w:pStyle w:val="TableParagraph"/>
              <w:spacing w:before="64"/>
              <w:ind w:left="107"/>
              <w:rPr>
                <w:b/>
                <w:sz w:val="21"/>
              </w:rPr>
            </w:pPr>
            <w:r>
              <w:rPr>
                <w:b/>
                <w:sz w:val="21"/>
              </w:rPr>
              <w:t>1.3</w:t>
            </w:r>
          </w:p>
        </w:tc>
        <w:tc>
          <w:tcPr>
            <w:tcW w:w="1651" w:type="dxa"/>
          </w:tcPr>
          <w:p>
            <w:pPr>
              <w:pStyle w:val="TableParagraph"/>
              <w:spacing w:before="64"/>
              <w:ind w:left="267"/>
              <w:rPr>
                <w:b/>
                <w:sz w:val="21"/>
              </w:rPr>
            </w:pPr>
            <w:r>
              <w:rPr>
                <w:b/>
                <w:sz w:val="21"/>
              </w:rPr>
              <w:t>投保年龄</w:t>
            </w:r>
          </w:p>
        </w:tc>
        <w:tc>
          <w:tcPr>
            <w:tcW w:w="7406" w:type="dxa"/>
          </w:tcPr>
          <w:p>
            <w:pPr>
              <w:pStyle w:val="TableParagraph"/>
              <w:spacing w:line="273" w:lineRule="auto" w:before="64"/>
              <w:ind w:left="116" w:right="-29"/>
              <w:rPr>
                <w:sz w:val="21"/>
              </w:rPr>
            </w:pPr>
            <w:r>
              <w:rPr>
                <w:spacing w:val="-6"/>
                <w:sz w:val="21"/>
              </w:rPr>
              <w:t>主合同的投保人与被保险人不为同一人时，该投保人可以投保本附加合同，且作</w:t>
            </w:r>
            <w:r>
              <w:rPr>
                <w:spacing w:val="-4"/>
                <w:sz w:val="21"/>
              </w:rPr>
              <w:t>为本附加合同的被保险人。</w:t>
            </w:r>
          </w:p>
          <w:p>
            <w:pPr>
              <w:pStyle w:val="TableParagraph"/>
              <w:spacing w:line="273" w:lineRule="auto" w:before="163"/>
              <w:ind w:left="116" w:right="-29"/>
              <w:rPr>
                <w:sz w:val="21"/>
              </w:rPr>
            </w:pPr>
            <w:r>
              <w:rPr>
                <w:spacing w:val="-1"/>
                <w:sz w:val="21"/>
              </w:rPr>
              <w:t>投保年龄以</w:t>
            </w:r>
            <w:r>
              <w:rPr>
                <w:b/>
                <w:spacing w:val="-17"/>
                <w:sz w:val="21"/>
              </w:rPr>
              <w:t>周岁</w:t>
            </w:r>
            <w:r>
              <w:rPr>
                <w:spacing w:val="-3"/>
                <w:sz w:val="21"/>
              </w:rPr>
              <w:t>（</w:t>
            </w:r>
            <w:r>
              <w:rPr>
                <w:spacing w:val="-21"/>
                <w:sz w:val="21"/>
              </w:rPr>
              <w:t>见 </w:t>
            </w:r>
            <w:r>
              <w:rPr>
                <w:spacing w:val="-10"/>
                <w:sz w:val="21"/>
              </w:rPr>
              <w:t>9.3）</w:t>
            </w:r>
            <w:r>
              <w:rPr>
                <w:spacing w:val="-9"/>
                <w:sz w:val="21"/>
              </w:rPr>
              <w:t>计算，投保本附加合同时被保险人的年龄须为 </w:t>
            </w:r>
            <w:r>
              <w:rPr>
                <w:sz w:val="21"/>
              </w:rPr>
              <w:t>18</w:t>
            </w:r>
            <w:r>
              <w:rPr>
                <w:spacing w:val="-17"/>
                <w:sz w:val="21"/>
              </w:rPr>
              <w:t> 周岁</w:t>
            </w:r>
            <w:r>
              <w:rPr>
                <w:spacing w:val="-25"/>
                <w:sz w:val="21"/>
              </w:rPr>
              <w:t>至 </w:t>
            </w:r>
            <w:r>
              <w:rPr>
                <w:sz w:val="21"/>
              </w:rPr>
              <w:t>50</w:t>
            </w:r>
            <w:r>
              <w:rPr>
                <w:spacing w:val="-15"/>
                <w:sz w:val="21"/>
              </w:rPr>
              <w:t> 周岁。</w:t>
            </w:r>
          </w:p>
        </w:tc>
      </w:tr>
      <w:tr>
        <w:trPr>
          <w:trHeight w:val="2786" w:hRule="atLeast"/>
        </w:trPr>
        <w:tc>
          <w:tcPr>
            <w:tcW w:w="693" w:type="dxa"/>
          </w:tcPr>
          <w:p>
            <w:pPr>
              <w:pStyle w:val="TableParagraph"/>
              <w:spacing w:before="139"/>
              <w:ind w:left="107"/>
              <w:rPr>
                <w:b/>
                <w:sz w:val="21"/>
              </w:rPr>
            </w:pPr>
            <w:r>
              <w:rPr>
                <w:b/>
                <w:sz w:val="21"/>
              </w:rPr>
              <w:t>1.4</w:t>
            </w:r>
          </w:p>
        </w:tc>
        <w:tc>
          <w:tcPr>
            <w:tcW w:w="1651" w:type="dxa"/>
          </w:tcPr>
          <w:p>
            <w:pPr>
              <w:pStyle w:val="TableParagraph"/>
              <w:spacing w:before="139"/>
              <w:ind w:left="267"/>
              <w:rPr>
                <w:b/>
                <w:sz w:val="21"/>
              </w:rPr>
            </w:pPr>
            <w:r>
              <w:rPr>
                <w:b/>
                <w:sz w:val="21"/>
              </w:rPr>
              <w:t>犹豫期</w:t>
            </w:r>
          </w:p>
        </w:tc>
        <w:tc>
          <w:tcPr>
            <w:tcW w:w="7406" w:type="dxa"/>
          </w:tcPr>
          <w:p>
            <w:pPr>
              <w:pStyle w:val="TableParagraph"/>
              <w:spacing w:line="273" w:lineRule="auto" w:before="139"/>
              <w:ind w:left="116" w:right="122"/>
              <w:jc w:val="both"/>
              <w:rPr>
                <w:sz w:val="21"/>
              </w:rPr>
            </w:pPr>
            <w:r>
              <w:rPr>
                <w:spacing w:val="-7"/>
                <w:sz w:val="21"/>
              </w:rPr>
              <w:t>自您签收本附加合同之日起，有 </w:t>
            </w:r>
            <w:r>
              <w:rPr>
                <w:sz w:val="21"/>
              </w:rPr>
              <w:t>10</w:t>
            </w:r>
            <w:r>
              <w:rPr>
                <w:spacing w:val="-28"/>
                <w:sz w:val="21"/>
              </w:rPr>
              <w:t> 天</w:t>
            </w:r>
            <w:r>
              <w:rPr>
                <w:spacing w:val="-3"/>
                <w:sz w:val="21"/>
              </w:rPr>
              <w:t>（</w:t>
            </w:r>
            <w:r>
              <w:rPr>
                <w:sz w:val="21"/>
              </w:rPr>
              <w:t>含</w:t>
            </w:r>
            <w:r>
              <w:rPr>
                <w:spacing w:val="-20"/>
                <w:sz w:val="21"/>
              </w:rPr>
              <w:t>）</w:t>
            </w:r>
            <w:r>
              <w:rPr>
                <w:spacing w:val="-8"/>
                <w:sz w:val="21"/>
              </w:rPr>
              <w:t>的犹豫期。在此期间，请您认真阅</w:t>
            </w:r>
            <w:r>
              <w:rPr>
                <w:spacing w:val="-5"/>
                <w:sz w:val="21"/>
              </w:rPr>
              <w:t>读本附加合同，您可以在此期间提出解除本附加合同，我们将无息退还您所交</w:t>
            </w:r>
            <w:r>
              <w:rPr>
                <w:spacing w:val="-4"/>
                <w:sz w:val="21"/>
              </w:rPr>
              <w:t>纳的保险费。</w:t>
            </w:r>
          </w:p>
          <w:p>
            <w:pPr>
              <w:pStyle w:val="TableParagraph"/>
              <w:spacing w:line="273" w:lineRule="auto" w:before="163"/>
              <w:ind w:left="116" w:right="141"/>
              <w:jc w:val="both"/>
              <w:rPr>
                <w:sz w:val="21"/>
              </w:rPr>
            </w:pPr>
            <w:r>
              <w:rPr>
                <w:spacing w:val="-3"/>
                <w:sz w:val="21"/>
              </w:rPr>
              <w:t>在犹豫期内解除本附加合同时，您需要填写书面申请书，并提供本附加合同、</w:t>
            </w:r>
            <w:r>
              <w:rPr>
                <w:spacing w:val="-3"/>
                <w:w w:val="100"/>
                <w:sz w:val="21"/>
              </w:rPr>
              <w:t>交费凭证及</w:t>
            </w:r>
            <w:r>
              <w:rPr>
                <w:b/>
                <w:spacing w:val="-1"/>
                <w:w w:val="100"/>
                <w:sz w:val="21"/>
              </w:rPr>
              <w:t>有效身份证件</w:t>
            </w:r>
            <w:r>
              <w:rPr>
                <w:w w:val="100"/>
                <w:sz w:val="21"/>
              </w:rPr>
              <w:t>（见</w:t>
            </w:r>
            <w:r>
              <w:rPr>
                <w:spacing w:val="-53"/>
                <w:sz w:val="21"/>
              </w:rPr>
              <w:t> </w:t>
            </w:r>
            <w:r>
              <w:rPr>
                <w:spacing w:val="-2"/>
                <w:w w:val="100"/>
                <w:sz w:val="21"/>
              </w:rPr>
              <w:t>9</w:t>
            </w:r>
            <w:r>
              <w:rPr>
                <w:w w:val="100"/>
                <w:sz w:val="21"/>
              </w:rPr>
              <w:t>.4</w:t>
            </w:r>
            <w:r>
              <w:rPr>
                <w:spacing w:val="-108"/>
                <w:w w:val="100"/>
                <w:sz w:val="21"/>
              </w:rPr>
              <w:t>）</w:t>
            </w:r>
            <w:r>
              <w:rPr>
                <w:w w:val="100"/>
                <w:sz w:val="21"/>
              </w:rPr>
              <w:t>。</w:t>
            </w:r>
          </w:p>
          <w:p>
            <w:pPr>
              <w:pStyle w:val="TableParagraph"/>
              <w:spacing w:line="273" w:lineRule="auto" w:before="163"/>
              <w:ind w:left="116" w:right="124"/>
              <w:jc w:val="both"/>
              <w:rPr>
                <w:b/>
                <w:sz w:val="21"/>
              </w:rPr>
            </w:pPr>
            <w:r>
              <w:rPr>
                <w:b/>
                <w:spacing w:val="-3"/>
                <w:sz w:val="21"/>
              </w:rPr>
              <w:t>自我们收到您解除本附加合同的书面申请时起，本附加合同即被解除，合同解除前发生的保险事故我们不承担保险责任。</w:t>
            </w:r>
          </w:p>
        </w:tc>
      </w:tr>
      <w:tr>
        <w:trPr>
          <w:trHeight w:val="608" w:hRule="atLeast"/>
        </w:trPr>
        <w:tc>
          <w:tcPr>
            <w:tcW w:w="693" w:type="dxa"/>
            <w:tcBorders>
              <w:bottom w:val="single" w:sz="4" w:space="0" w:color="000000"/>
            </w:tcBorders>
          </w:tcPr>
          <w:p>
            <w:pPr>
              <w:pStyle w:val="TableParagraph"/>
              <w:spacing w:before="114"/>
              <w:ind w:left="107"/>
              <w:rPr>
                <w:b/>
                <w:sz w:val="24"/>
              </w:rPr>
            </w:pPr>
            <w:r>
              <w:rPr>
                <w:b/>
                <w:sz w:val="24"/>
              </w:rPr>
              <w:t>2.</w:t>
            </w:r>
          </w:p>
        </w:tc>
        <w:tc>
          <w:tcPr>
            <w:tcW w:w="9057" w:type="dxa"/>
            <w:gridSpan w:val="2"/>
            <w:tcBorders>
              <w:bottom w:val="single" w:sz="4" w:space="0" w:color="000000"/>
            </w:tcBorders>
          </w:tcPr>
          <w:p>
            <w:pPr>
              <w:pStyle w:val="TableParagraph"/>
              <w:spacing w:before="114"/>
              <w:ind w:left="267"/>
              <w:rPr>
                <w:b/>
                <w:sz w:val="24"/>
              </w:rPr>
            </w:pPr>
            <w:r>
              <w:rPr>
                <w:b/>
                <w:w w:val="95"/>
                <w:sz w:val="24"/>
              </w:rPr>
              <w:t>我们提供的保障</w:t>
            </w:r>
          </w:p>
        </w:tc>
      </w:tr>
      <w:tr>
        <w:trPr>
          <w:trHeight w:val="387" w:hRule="atLeast"/>
        </w:trPr>
        <w:tc>
          <w:tcPr>
            <w:tcW w:w="693" w:type="dxa"/>
            <w:tcBorders>
              <w:top w:val="single" w:sz="4" w:space="0" w:color="000000"/>
            </w:tcBorders>
          </w:tcPr>
          <w:p>
            <w:pPr>
              <w:pStyle w:val="TableParagraph"/>
              <w:spacing w:line="255" w:lineRule="exact" w:before="112"/>
              <w:ind w:left="107"/>
              <w:rPr>
                <w:b/>
                <w:sz w:val="21"/>
              </w:rPr>
            </w:pPr>
            <w:r>
              <w:rPr>
                <w:b/>
                <w:sz w:val="21"/>
              </w:rPr>
              <w:t>2.1</w:t>
            </w:r>
          </w:p>
        </w:tc>
        <w:tc>
          <w:tcPr>
            <w:tcW w:w="1651" w:type="dxa"/>
            <w:tcBorders>
              <w:top w:val="single" w:sz="4" w:space="0" w:color="000000"/>
            </w:tcBorders>
          </w:tcPr>
          <w:p>
            <w:pPr>
              <w:pStyle w:val="TableParagraph"/>
              <w:spacing w:line="255" w:lineRule="exact" w:before="112"/>
              <w:ind w:left="267"/>
              <w:rPr>
                <w:b/>
                <w:sz w:val="21"/>
              </w:rPr>
            </w:pPr>
            <w:r>
              <w:rPr>
                <w:b/>
                <w:sz w:val="21"/>
              </w:rPr>
              <w:t>基本保险金额</w:t>
            </w:r>
          </w:p>
        </w:tc>
        <w:tc>
          <w:tcPr>
            <w:tcW w:w="7406" w:type="dxa"/>
            <w:tcBorders>
              <w:top w:val="single" w:sz="4" w:space="0" w:color="000000"/>
            </w:tcBorders>
          </w:tcPr>
          <w:p>
            <w:pPr>
              <w:pStyle w:val="TableParagraph"/>
              <w:spacing w:line="255" w:lineRule="exact" w:before="112"/>
              <w:ind w:left="116"/>
              <w:rPr>
                <w:sz w:val="21"/>
              </w:rPr>
            </w:pPr>
            <w:r>
              <w:rPr>
                <w:sz w:val="21"/>
              </w:rPr>
              <w:t>本附加合同的基本保险金额由您在投保时与我们约定,并在本附加合同上载明。</w:t>
            </w:r>
          </w:p>
        </w:tc>
      </w:tr>
    </w:tbl>
    <w:p>
      <w:pPr>
        <w:spacing w:after="0" w:line="255" w:lineRule="exact"/>
        <w:rPr>
          <w:sz w:val="21"/>
        </w:rPr>
        <w:sectPr>
          <w:pgSz w:w="11910" w:h="16840"/>
          <w:pgMar w:header="0" w:footer="924" w:top="1220" w:bottom="120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440"/>
        <w:gridCol w:w="7674"/>
      </w:tblGrid>
      <w:tr>
        <w:trPr>
          <w:trHeight w:val="964" w:hRule="atLeast"/>
        </w:trPr>
        <w:tc>
          <w:tcPr>
            <w:tcW w:w="785" w:type="dxa"/>
          </w:tcPr>
          <w:p>
            <w:pPr>
              <w:pStyle w:val="TableParagraph"/>
              <w:spacing w:line="211" w:lineRule="exact"/>
              <w:ind w:left="200"/>
              <w:rPr>
                <w:b/>
                <w:sz w:val="21"/>
              </w:rPr>
            </w:pPr>
            <w:r>
              <w:rPr>
                <w:b/>
                <w:sz w:val="21"/>
              </w:rPr>
              <w:t>2.2</w:t>
            </w:r>
          </w:p>
        </w:tc>
        <w:tc>
          <w:tcPr>
            <w:tcW w:w="1440" w:type="dxa"/>
          </w:tcPr>
          <w:p>
            <w:pPr>
              <w:pStyle w:val="TableParagraph"/>
              <w:spacing w:line="211" w:lineRule="exact"/>
              <w:ind w:left="249" w:right="307"/>
              <w:jc w:val="center"/>
              <w:rPr>
                <w:b/>
                <w:sz w:val="21"/>
              </w:rPr>
            </w:pPr>
            <w:r>
              <w:rPr>
                <w:b/>
                <w:sz w:val="21"/>
              </w:rPr>
              <w:t>保险期间</w:t>
            </w:r>
          </w:p>
        </w:tc>
        <w:tc>
          <w:tcPr>
            <w:tcW w:w="7674" w:type="dxa"/>
          </w:tcPr>
          <w:p>
            <w:pPr>
              <w:pStyle w:val="TableParagraph"/>
              <w:spacing w:line="211" w:lineRule="exact"/>
              <w:ind w:left="327"/>
              <w:rPr>
                <w:sz w:val="21"/>
              </w:rPr>
            </w:pPr>
            <w:r>
              <w:rPr>
                <w:sz w:val="21"/>
              </w:rPr>
              <w:t>本附加合同保险期间与主合同的保险期间一致。除合同另有约定外，本附加合</w:t>
            </w:r>
          </w:p>
          <w:p>
            <w:pPr>
              <w:pStyle w:val="TableParagraph"/>
              <w:spacing w:line="273" w:lineRule="auto" w:before="37"/>
              <w:ind w:left="327" w:right="198"/>
              <w:rPr>
                <w:sz w:val="21"/>
              </w:rPr>
            </w:pPr>
            <w:r>
              <w:rPr>
                <w:sz w:val="21"/>
              </w:rPr>
              <w:t>同的保险期间自本附加合同生效日起，至合同约定的保险单满期日止。主合同效力终止的，本附加合同效力同时终止。</w:t>
            </w:r>
          </w:p>
        </w:tc>
      </w:tr>
      <w:tr>
        <w:trPr>
          <w:trHeight w:val="13308" w:hRule="atLeast"/>
        </w:trPr>
        <w:tc>
          <w:tcPr>
            <w:tcW w:w="785" w:type="dxa"/>
          </w:tcPr>
          <w:p>
            <w:pPr>
              <w:pStyle w:val="TableParagraph"/>
              <w:spacing w:before="64"/>
              <w:ind w:left="200"/>
              <w:rPr>
                <w:b/>
                <w:sz w:val="21"/>
              </w:rPr>
            </w:pPr>
            <w:r>
              <w:rPr>
                <w:b/>
                <w:sz w:val="21"/>
              </w:rPr>
              <w:t>2.3</w:t>
            </w:r>
          </w:p>
        </w:tc>
        <w:tc>
          <w:tcPr>
            <w:tcW w:w="1440" w:type="dxa"/>
          </w:tcPr>
          <w:p>
            <w:pPr>
              <w:pStyle w:val="TableParagraph"/>
              <w:spacing w:before="64"/>
              <w:ind w:left="249" w:right="307"/>
              <w:jc w:val="center"/>
              <w:rPr>
                <w:b/>
                <w:sz w:val="21"/>
              </w:rPr>
            </w:pPr>
            <w:r>
              <w:rPr>
                <w:b/>
                <w:sz w:val="21"/>
              </w:rPr>
              <w:t>保险责任</w:t>
            </w:r>
          </w:p>
        </w:tc>
        <w:tc>
          <w:tcPr>
            <w:tcW w:w="7674" w:type="dxa"/>
          </w:tcPr>
          <w:p>
            <w:pPr>
              <w:pStyle w:val="TableParagraph"/>
              <w:spacing w:before="64"/>
              <w:ind w:left="327"/>
              <w:rPr>
                <w:sz w:val="21"/>
              </w:rPr>
            </w:pPr>
            <w:r>
              <w:rPr>
                <w:sz w:val="21"/>
              </w:rPr>
              <w:t>在本附加合同保险期间内，我们按以下约定承担保险责任：</w:t>
            </w:r>
          </w:p>
          <w:p>
            <w:pPr>
              <w:pStyle w:val="TableParagraph"/>
              <w:spacing w:before="9"/>
              <w:rPr>
                <w:sz w:val="14"/>
              </w:rPr>
            </w:pPr>
          </w:p>
          <w:p>
            <w:pPr>
              <w:pStyle w:val="TableParagraph"/>
              <w:ind w:left="327"/>
              <w:rPr>
                <w:sz w:val="21"/>
              </w:rPr>
            </w:pPr>
            <w:r>
              <w:rPr>
                <w:sz w:val="21"/>
              </w:rPr>
              <w:t>1. 轻型疾病豁免保险费</w:t>
            </w:r>
          </w:p>
          <w:p>
            <w:pPr>
              <w:pStyle w:val="TableParagraph"/>
              <w:spacing w:before="12"/>
              <w:rPr>
                <w:sz w:val="18"/>
              </w:rPr>
            </w:pPr>
          </w:p>
          <w:p>
            <w:pPr>
              <w:pStyle w:val="TableParagraph"/>
              <w:spacing w:line="314" w:lineRule="auto"/>
              <w:ind w:left="1048" w:right="204" w:hanging="721"/>
              <w:jc w:val="both"/>
              <w:rPr>
                <w:sz w:val="21"/>
              </w:rPr>
            </w:pPr>
            <w:r>
              <w:rPr>
                <w:sz w:val="21"/>
              </w:rPr>
              <w:t>（1）</w:t>
            </w:r>
            <w:r>
              <w:rPr>
                <w:spacing w:val="-16"/>
                <w:sz w:val="21"/>
              </w:rPr>
              <w:t> 若被保险人</w:t>
            </w:r>
            <w:r>
              <w:rPr>
                <w:spacing w:val="-3"/>
                <w:sz w:val="21"/>
              </w:rPr>
              <w:t>（主合同投保人</w:t>
            </w:r>
            <w:r>
              <w:rPr>
                <w:spacing w:val="-101"/>
                <w:sz w:val="21"/>
              </w:rPr>
              <w:t>）</w:t>
            </w:r>
            <w:r>
              <w:rPr>
                <w:spacing w:val="-9"/>
                <w:sz w:val="21"/>
              </w:rPr>
              <w:t>于本附加合同生效之日或最后复效之日</w:t>
            </w:r>
            <w:r>
              <w:rPr>
                <w:sz w:val="21"/>
              </w:rPr>
              <w:t>（以</w:t>
            </w:r>
            <w:r>
              <w:rPr>
                <w:spacing w:val="-2"/>
                <w:w w:val="100"/>
                <w:sz w:val="21"/>
              </w:rPr>
              <w:t>较迟者为准</w:t>
            </w:r>
            <w:r>
              <w:rPr>
                <w:spacing w:val="-44"/>
                <w:w w:val="100"/>
                <w:sz w:val="21"/>
              </w:rPr>
              <w:t>）</w:t>
            </w:r>
            <w:r>
              <w:rPr>
                <w:w w:val="100"/>
                <w:sz w:val="21"/>
              </w:rPr>
              <w:t>起</w:t>
            </w:r>
            <w:r>
              <w:rPr>
                <w:spacing w:val="-3"/>
                <w:w w:val="100"/>
                <w:sz w:val="21"/>
              </w:rPr>
              <w:t>9</w:t>
            </w:r>
            <w:r>
              <w:rPr>
                <w:w w:val="100"/>
                <w:sz w:val="21"/>
              </w:rPr>
              <w:t>0</w:t>
            </w:r>
            <w:r>
              <w:rPr>
                <w:spacing w:val="-44"/>
                <w:w w:val="100"/>
                <w:sz w:val="21"/>
              </w:rPr>
              <w:t>天</w:t>
            </w:r>
            <w:r>
              <w:rPr>
                <w:spacing w:val="-3"/>
                <w:w w:val="100"/>
                <w:sz w:val="21"/>
              </w:rPr>
              <w:t>（</w:t>
            </w:r>
            <w:r>
              <w:rPr>
                <w:w w:val="100"/>
                <w:sz w:val="21"/>
              </w:rPr>
              <w:t>含</w:t>
            </w:r>
            <w:r>
              <w:rPr>
                <w:spacing w:val="-152"/>
                <w:w w:val="100"/>
                <w:sz w:val="21"/>
              </w:rPr>
              <w:t>）</w:t>
            </w:r>
            <w:r>
              <w:rPr>
                <w:w w:val="100"/>
                <w:sz w:val="21"/>
              </w:rPr>
              <w:t>（</w:t>
            </w:r>
            <w:r>
              <w:rPr>
                <w:b/>
                <w:w w:val="100"/>
                <w:sz w:val="21"/>
              </w:rPr>
              <w:t>此</w:t>
            </w:r>
            <w:r>
              <w:rPr>
                <w:b/>
                <w:w w:val="99"/>
                <w:sz w:val="21"/>
              </w:rPr>
              <w:t>90</w:t>
            </w:r>
            <w:r>
              <w:rPr>
                <w:b/>
                <w:w w:val="100"/>
                <w:sz w:val="21"/>
              </w:rPr>
              <w:t>天称为等待期</w:t>
            </w:r>
            <w:r>
              <w:rPr>
                <w:spacing w:val="-46"/>
                <w:w w:val="100"/>
                <w:sz w:val="21"/>
              </w:rPr>
              <w:t>）</w:t>
            </w:r>
            <w:r>
              <w:rPr>
                <w:spacing w:val="-1"/>
                <w:w w:val="100"/>
                <w:sz w:val="21"/>
              </w:rPr>
              <w:t>内因</w:t>
            </w:r>
            <w:r>
              <w:rPr>
                <w:b/>
                <w:spacing w:val="-8"/>
                <w:w w:val="100"/>
                <w:sz w:val="21"/>
              </w:rPr>
              <w:t>意外伤害事故</w:t>
            </w:r>
            <w:r>
              <w:rPr>
                <w:spacing w:val="-3"/>
                <w:w w:val="100"/>
                <w:sz w:val="21"/>
              </w:rPr>
              <w:t>（</w:t>
            </w:r>
            <w:r>
              <w:rPr>
                <w:w w:val="100"/>
                <w:sz w:val="21"/>
              </w:rPr>
              <w:t>见</w:t>
            </w:r>
          </w:p>
          <w:p>
            <w:pPr>
              <w:pStyle w:val="TableParagraph"/>
              <w:spacing w:line="314" w:lineRule="auto" w:before="19"/>
              <w:ind w:left="1048" w:right="205"/>
              <w:jc w:val="both"/>
              <w:rPr>
                <w:sz w:val="21"/>
              </w:rPr>
            </w:pPr>
            <w:r>
              <w:rPr>
                <w:spacing w:val="-7"/>
                <w:sz w:val="21"/>
              </w:rPr>
              <w:t>9.5）以外的原因，首次发生并在本公司认可的</w:t>
            </w:r>
            <w:r>
              <w:rPr>
                <w:b/>
                <w:spacing w:val="-14"/>
                <w:sz w:val="21"/>
              </w:rPr>
              <w:t>医院</w:t>
            </w:r>
            <w:r>
              <w:rPr>
                <w:sz w:val="21"/>
              </w:rPr>
              <w:t>（</w:t>
            </w:r>
            <w:r>
              <w:rPr>
                <w:spacing w:val="-3"/>
                <w:sz w:val="21"/>
              </w:rPr>
              <w:t>见</w:t>
            </w:r>
            <w:r>
              <w:rPr>
                <w:spacing w:val="-7"/>
                <w:sz w:val="21"/>
              </w:rPr>
              <w:t>9.6）</w:t>
            </w:r>
            <w:r>
              <w:rPr>
                <w:spacing w:val="-3"/>
                <w:sz w:val="21"/>
              </w:rPr>
              <w:t>由</w:t>
            </w:r>
            <w:r>
              <w:rPr>
                <w:b/>
                <w:sz w:val="21"/>
              </w:rPr>
              <w:t>专科医</w:t>
            </w:r>
            <w:r>
              <w:rPr>
                <w:b/>
                <w:spacing w:val="7"/>
                <w:sz w:val="21"/>
              </w:rPr>
              <w:t>生</w:t>
            </w:r>
            <w:r>
              <w:rPr>
                <w:spacing w:val="5"/>
                <w:sz w:val="21"/>
              </w:rPr>
              <w:t>（</w:t>
            </w:r>
            <w:r>
              <w:rPr>
                <w:spacing w:val="2"/>
                <w:sz w:val="21"/>
              </w:rPr>
              <w:t>见</w:t>
            </w:r>
            <w:r>
              <w:rPr>
                <w:spacing w:val="1"/>
                <w:sz w:val="21"/>
              </w:rPr>
              <w:t>9.7）</w:t>
            </w:r>
            <w:r>
              <w:rPr>
                <w:spacing w:val="2"/>
                <w:sz w:val="21"/>
              </w:rPr>
              <w:t>确诊患本附加合同所列的任何一种或多种</w:t>
            </w:r>
            <w:r>
              <w:rPr>
                <w:b/>
                <w:spacing w:val="5"/>
                <w:sz w:val="21"/>
              </w:rPr>
              <w:t>轻型疾病</w:t>
            </w:r>
            <w:r>
              <w:rPr>
                <w:spacing w:val="5"/>
                <w:sz w:val="21"/>
              </w:rPr>
              <w:t>（</w:t>
            </w:r>
            <w:r>
              <w:rPr>
                <w:sz w:val="21"/>
              </w:rPr>
              <w:t>见</w:t>
            </w:r>
            <w:r>
              <w:rPr>
                <w:w w:val="100"/>
                <w:sz w:val="21"/>
              </w:rPr>
              <w:t>9.8）</w:t>
            </w:r>
            <w:r>
              <w:rPr>
                <w:sz w:val="21"/>
              </w:rPr>
              <w:t> </w:t>
            </w:r>
            <w:r>
              <w:rPr>
                <w:spacing w:val="-3"/>
                <w:w w:val="100"/>
                <w:sz w:val="21"/>
              </w:rPr>
              <w:t>，我们将退回本附加合同的</w:t>
            </w:r>
            <w:r>
              <w:rPr>
                <w:b/>
                <w:w w:val="100"/>
                <w:sz w:val="21"/>
              </w:rPr>
              <w:t>累计所交保险费</w:t>
            </w:r>
            <w:r>
              <w:rPr>
                <w:w w:val="100"/>
                <w:sz w:val="21"/>
              </w:rPr>
              <w:t>（</w:t>
            </w:r>
            <w:r>
              <w:rPr>
                <w:spacing w:val="-2"/>
                <w:w w:val="100"/>
                <w:sz w:val="21"/>
              </w:rPr>
              <w:t>不计息</w:t>
            </w:r>
            <w:r>
              <w:rPr>
                <w:spacing w:val="-106"/>
                <w:w w:val="100"/>
                <w:sz w:val="21"/>
              </w:rPr>
              <w:t>）</w:t>
            </w:r>
            <w:r>
              <w:rPr>
                <w:spacing w:val="-3"/>
                <w:w w:val="100"/>
                <w:sz w:val="21"/>
              </w:rPr>
              <w:t>，同时本</w:t>
            </w:r>
            <w:r>
              <w:rPr>
                <w:spacing w:val="-3"/>
                <w:sz w:val="21"/>
              </w:rPr>
              <w:t>附加合同效力终止；</w:t>
            </w:r>
          </w:p>
          <w:p>
            <w:pPr>
              <w:pStyle w:val="TableParagraph"/>
              <w:spacing w:line="314" w:lineRule="auto" w:before="139"/>
              <w:ind w:left="1048" w:right="203" w:hanging="721"/>
              <w:jc w:val="both"/>
              <w:rPr>
                <w:sz w:val="21"/>
              </w:rPr>
            </w:pPr>
            <w:r>
              <w:rPr>
                <w:sz w:val="21"/>
              </w:rPr>
              <w:t>（2）</w:t>
            </w:r>
            <w:r>
              <w:rPr>
                <w:spacing w:val="-5"/>
                <w:sz w:val="21"/>
              </w:rPr>
              <w:t> 若被保险人</w:t>
            </w:r>
            <w:r>
              <w:rPr>
                <w:spacing w:val="-3"/>
                <w:sz w:val="21"/>
              </w:rPr>
              <w:t>（主合同投保人</w:t>
            </w:r>
            <w:r>
              <w:rPr>
                <w:spacing w:val="-34"/>
                <w:sz w:val="21"/>
              </w:rPr>
              <w:t>）</w:t>
            </w:r>
            <w:r>
              <w:rPr>
                <w:spacing w:val="-7"/>
                <w:sz w:val="21"/>
              </w:rPr>
              <w:t>因意外伤害事故，或于本附加合同生效之</w:t>
            </w:r>
            <w:r>
              <w:rPr>
                <w:spacing w:val="-11"/>
                <w:sz w:val="21"/>
              </w:rPr>
              <w:t>日或最后复效之日</w:t>
            </w:r>
            <w:r>
              <w:rPr>
                <w:spacing w:val="-3"/>
                <w:sz w:val="21"/>
              </w:rPr>
              <w:t>（以较迟者为准</w:t>
            </w:r>
            <w:r>
              <w:rPr>
                <w:spacing w:val="-51"/>
                <w:sz w:val="21"/>
              </w:rPr>
              <w:t>）</w:t>
            </w:r>
            <w:r>
              <w:rPr>
                <w:sz w:val="21"/>
              </w:rPr>
              <w:t>起90</w:t>
            </w:r>
            <w:r>
              <w:rPr>
                <w:spacing w:val="-3"/>
                <w:sz w:val="21"/>
              </w:rPr>
              <w:t>天后因意外伤害事故以外的原</w:t>
            </w:r>
            <w:r>
              <w:rPr>
                <w:spacing w:val="-12"/>
                <w:sz w:val="21"/>
              </w:rPr>
              <w:t>因，首次发生并在本公司认可的医院由专科医生确诊患本附加合同所列</w:t>
            </w:r>
            <w:r>
              <w:rPr>
                <w:spacing w:val="-13"/>
                <w:sz w:val="21"/>
              </w:rPr>
              <w:t>的任何一种或多种轻型疾病，我们自轻型疾病确诊之日后的首个保险费约定交纳日开始，豁免本附加合同所对应的主合同或其附加的</w:t>
            </w:r>
            <w:r>
              <w:rPr>
                <w:b/>
                <w:sz w:val="21"/>
              </w:rPr>
              <w:t>具有均衡保险费的长期附加合同</w:t>
            </w:r>
            <w:r>
              <w:rPr>
                <w:spacing w:val="-5"/>
                <w:sz w:val="21"/>
              </w:rPr>
              <w:t>（</w:t>
            </w:r>
            <w:r>
              <w:rPr>
                <w:sz w:val="21"/>
              </w:rPr>
              <w:t>见9.9）</w:t>
            </w:r>
            <w:r>
              <w:rPr>
                <w:spacing w:val="-3"/>
                <w:sz w:val="21"/>
              </w:rPr>
              <w:t>的以后各期保险费，同时本附加合同效力终止。</w:t>
            </w:r>
          </w:p>
          <w:p>
            <w:pPr>
              <w:pStyle w:val="TableParagraph"/>
              <w:spacing w:before="85"/>
              <w:ind w:left="327"/>
              <w:rPr>
                <w:sz w:val="21"/>
              </w:rPr>
            </w:pPr>
            <w:r>
              <w:rPr>
                <w:sz w:val="21"/>
              </w:rPr>
              <w:t>2. 重大疾病豁免保险费</w:t>
            </w:r>
          </w:p>
          <w:p>
            <w:pPr>
              <w:pStyle w:val="TableParagraph"/>
              <w:spacing w:before="13"/>
              <w:rPr>
                <w:sz w:val="18"/>
              </w:rPr>
            </w:pPr>
          </w:p>
          <w:p>
            <w:pPr>
              <w:pStyle w:val="TableParagraph"/>
              <w:numPr>
                <w:ilvl w:val="0"/>
                <w:numId w:val="6"/>
              </w:numPr>
              <w:tabs>
                <w:tab w:pos="1048" w:val="left" w:leader="none"/>
              </w:tabs>
              <w:spacing w:line="314" w:lineRule="auto" w:before="0" w:after="0"/>
              <w:ind w:left="1048" w:right="203" w:hanging="721"/>
              <w:jc w:val="both"/>
              <w:rPr>
                <w:sz w:val="21"/>
              </w:rPr>
            </w:pPr>
            <w:r>
              <w:rPr>
                <w:spacing w:val="-22"/>
                <w:sz w:val="21"/>
              </w:rPr>
              <w:t>若被保险人</w:t>
            </w:r>
            <w:r>
              <w:rPr>
                <w:spacing w:val="-3"/>
                <w:sz w:val="21"/>
              </w:rPr>
              <w:t>（主合同投保人</w:t>
            </w:r>
            <w:r>
              <w:rPr>
                <w:spacing w:val="-101"/>
                <w:sz w:val="21"/>
              </w:rPr>
              <w:t>）</w:t>
            </w:r>
            <w:r>
              <w:rPr>
                <w:spacing w:val="-9"/>
                <w:sz w:val="21"/>
              </w:rPr>
              <w:t>于本附加合同生效之日或最后复效之日</w:t>
            </w:r>
            <w:r>
              <w:rPr>
                <w:sz w:val="21"/>
              </w:rPr>
              <w:t>（以</w:t>
            </w:r>
            <w:r>
              <w:rPr>
                <w:spacing w:val="-1"/>
                <w:w w:val="100"/>
                <w:sz w:val="21"/>
              </w:rPr>
              <w:t>较迟者为准</w:t>
            </w:r>
            <w:r>
              <w:rPr>
                <w:spacing w:val="-3"/>
                <w:w w:val="100"/>
                <w:sz w:val="21"/>
              </w:rPr>
              <w:t>）</w:t>
            </w:r>
            <w:r>
              <w:rPr>
                <w:spacing w:val="-1"/>
                <w:w w:val="100"/>
                <w:sz w:val="21"/>
              </w:rPr>
              <w:t>起</w:t>
            </w:r>
            <w:r>
              <w:rPr>
                <w:w w:val="100"/>
                <w:sz w:val="21"/>
              </w:rPr>
              <w:t>9</w:t>
            </w:r>
            <w:r>
              <w:rPr>
                <w:spacing w:val="-3"/>
                <w:w w:val="100"/>
                <w:sz w:val="21"/>
              </w:rPr>
              <w:t>0</w:t>
            </w:r>
            <w:r>
              <w:rPr>
                <w:w w:val="100"/>
                <w:sz w:val="21"/>
              </w:rPr>
              <w:t>天</w:t>
            </w:r>
            <w:r>
              <w:rPr>
                <w:spacing w:val="-3"/>
                <w:w w:val="100"/>
                <w:sz w:val="21"/>
              </w:rPr>
              <w:t>（</w:t>
            </w:r>
            <w:r>
              <w:rPr>
                <w:w w:val="100"/>
                <w:sz w:val="21"/>
              </w:rPr>
              <w:t>含</w:t>
            </w:r>
            <w:r>
              <w:rPr>
                <w:spacing w:val="-108"/>
                <w:w w:val="100"/>
                <w:sz w:val="21"/>
              </w:rPr>
              <w:t>）</w:t>
            </w:r>
            <w:r>
              <w:rPr>
                <w:b/>
                <w:w w:val="100"/>
                <w:sz w:val="21"/>
              </w:rPr>
              <w:t>（等待期）</w:t>
            </w:r>
            <w:r>
              <w:rPr>
                <w:spacing w:val="-3"/>
                <w:w w:val="100"/>
                <w:sz w:val="21"/>
              </w:rPr>
              <w:t>内因意外伤害事故以外的原因，</w:t>
            </w:r>
            <w:r>
              <w:rPr>
                <w:sz w:val="21"/>
              </w:rPr>
              <w:t>首次发生并在本公司认可的医院由专科医生确诊患本附加合同所列的</w:t>
            </w:r>
            <w:r>
              <w:rPr>
                <w:spacing w:val="-2"/>
                <w:w w:val="100"/>
                <w:sz w:val="21"/>
              </w:rPr>
              <w:t>任何一种</w:t>
            </w:r>
            <w:r>
              <w:rPr>
                <w:b/>
                <w:w w:val="100"/>
                <w:sz w:val="21"/>
              </w:rPr>
              <w:t>重大疾病</w:t>
            </w:r>
            <w:r>
              <w:rPr>
                <w:w w:val="100"/>
                <w:sz w:val="21"/>
              </w:rPr>
              <w:t>（</w:t>
            </w:r>
            <w:r>
              <w:rPr>
                <w:spacing w:val="-3"/>
                <w:w w:val="100"/>
                <w:sz w:val="21"/>
              </w:rPr>
              <w:t>见</w:t>
            </w:r>
            <w:r>
              <w:rPr>
                <w:w w:val="100"/>
                <w:sz w:val="21"/>
              </w:rPr>
              <w:t>9.</w:t>
            </w:r>
            <w:r>
              <w:rPr>
                <w:spacing w:val="-3"/>
                <w:w w:val="100"/>
                <w:sz w:val="21"/>
              </w:rPr>
              <w:t>1</w:t>
            </w:r>
            <w:r>
              <w:rPr>
                <w:w w:val="100"/>
                <w:sz w:val="21"/>
              </w:rPr>
              <w:t>0</w:t>
            </w:r>
            <w:r>
              <w:rPr>
                <w:spacing w:val="-106"/>
                <w:w w:val="100"/>
                <w:sz w:val="21"/>
              </w:rPr>
              <w:t>）</w:t>
            </w:r>
            <w:r>
              <w:rPr>
                <w:spacing w:val="-3"/>
                <w:w w:val="100"/>
                <w:sz w:val="21"/>
              </w:rPr>
              <w:t>，我们将退回本附加合同的</w:t>
            </w:r>
            <w:r>
              <w:rPr>
                <w:b/>
                <w:w w:val="100"/>
                <w:sz w:val="21"/>
              </w:rPr>
              <w:t>累计所交保险费</w:t>
            </w:r>
            <w:r>
              <w:rPr>
                <w:w w:val="100"/>
                <w:sz w:val="21"/>
              </w:rPr>
              <w:t>（</w:t>
            </w:r>
            <w:r>
              <w:rPr>
                <w:spacing w:val="-2"/>
                <w:w w:val="100"/>
                <w:sz w:val="21"/>
              </w:rPr>
              <w:t>不计息</w:t>
            </w:r>
            <w:r>
              <w:rPr>
                <w:spacing w:val="-108"/>
                <w:w w:val="100"/>
                <w:sz w:val="21"/>
              </w:rPr>
              <w:t>）</w:t>
            </w:r>
            <w:r>
              <w:rPr>
                <w:spacing w:val="-3"/>
                <w:w w:val="100"/>
                <w:sz w:val="21"/>
              </w:rPr>
              <w:t>，同时本附加合同效力终止；</w:t>
            </w:r>
          </w:p>
          <w:p>
            <w:pPr>
              <w:pStyle w:val="TableParagraph"/>
              <w:numPr>
                <w:ilvl w:val="0"/>
                <w:numId w:val="6"/>
              </w:numPr>
              <w:tabs>
                <w:tab w:pos="1048" w:val="left" w:leader="none"/>
              </w:tabs>
              <w:spacing w:line="314" w:lineRule="auto" w:before="140" w:after="0"/>
              <w:ind w:left="1048" w:right="203" w:hanging="721"/>
              <w:jc w:val="both"/>
              <w:rPr>
                <w:sz w:val="21"/>
              </w:rPr>
            </w:pPr>
            <w:r>
              <w:rPr>
                <w:spacing w:val="-8"/>
                <w:sz w:val="21"/>
              </w:rPr>
              <w:t>若被保险人</w:t>
            </w:r>
            <w:r>
              <w:rPr>
                <w:spacing w:val="-3"/>
                <w:sz w:val="21"/>
              </w:rPr>
              <w:t>（主合同投保人</w:t>
            </w:r>
            <w:r>
              <w:rPr>
                <w:spacing w:val="-34"/>
                <w:sz w:val="21"/>
              </w:rPr>
              <w:t>）</w:t>
            </w:r>
            <w:r>
              <w:rPr>
                <w:spacing w:val="-7"/>
                <w:sz w:val="21"/>
              </w:rPr>
              <w:t>因意外伤害事故，或于本附加合同生效之</w:t>
            </w:r>
            <w:r>
              <w:rPr>
                <w:spacing w:val="-11"/>
                <w:sz w:val="21"/>
              </w:rPr>
              <w:t>日或最后复效之日</w:t>
            </w:r>
            <w:r>
              <w:rPr>
                <w:spacing w:val="-3"/>
                <w:sz w:val="21"/>
              </w:rPr>
              <w:t>（以较迟者为准</w:t>
            </w:r>
            <w:r>
              <w:rPr>
                <w:spacing w:val="-51"/>
                <w:sz w:val="21"/>
              </w:rPr>
              <w:t>）</w:t>
            </w:r>
            <w:r>
              <w:rPr>
                <w:sz w:val="21"/>
              </w:rPr>
              <w:t>起90</w:t>
            </w:r>
            <w:r>
              <w:rPr>
                <w:spacing w:val="-3"/>
                <w:sz w:val="21"/>
              </w:rPr>
              <w:t>天后因意外伤害事故以外的原</w:t>
            </w:r>
            <w:r>
              <w:rPr>
                <w:spacing w:val="-12"/>
                <w:sz w:val="21"/>
              </w:rPr>
              <w:t>因，首次发生并在本公司认可的医院由专科医生确诊患本附加合同所列</w:t>
            </w:r>
            <w:r>
              <w:rPr>
                <w:spacing w:val="-13"/>
                <w:sz w:val="21"/>
              </w:rPr>
              <w:t>的任何一种重大疾病，我们自重大疾病确诊之日后的首个保险费约定交纳日开始，豁免本附加合同所对应的主合同或其附加的具有均衡保险费</w:t>
            </w:r>
            <w:r>
              <w:rPr>
                <w:spacing w:val="-6"/>
                <w:sz w:val="21"/>
              </w:rPr>
              <w:t>的长期附加合同的以后各期保险费，同时本附加合同效力终止。</w:t>
            </w:r>
          </w:p>
          <w:p>
            <w:pPr>
              <w:pStyle w:val="TableParagraph"/>
              <w:spacing w:before="85"/>
              <w:ind w:left="327"/>
              <w:rPr>
                <w:sz w:val="21"/>
              </w:rPr>
            </w:pPr>
            <w:r>
              <w:rPr>
                <w:sz w:val="21"/>
              </w:rPr>
              <w:t>3. 全残豁免保险费</w:t>
            </w:r>
          </w:p>
          <w:p>
            <w:pPr>
              <w:pStyle w:val="TableParagraph"/>
              <w:spacing w:before="13"/>
              <w:rPr>
                <w:sz w:val="18"/>
              </w:rPr>
            </w:pPr>
          </w:p>
          <w:p>
            <w:pPr>
              <w:pStyle w:val="TableParagraph"/>
              <w:numPr>
                <w:ilvl w:val="0"/>
                <w:numId w:val="7"/>
              </w:numPr>
              <w:tabs>
                <w:tab w:pos="1048" w:val="left" w:leader="none"/>
              </w:tabs>
              <w:spacing w:line="314" w:lineRule="auto" w:before="0" w:after="0"/>
              <w:ind w:left="1048" w:right="203" w:hanging="721"/>
              <w:jc w:val="both"/>
              <w:rPr>
                <w:sz w:val="21"/>
              </w:rPr>
            </w:pPr>
            <w:r>
              <w:rPr>
                <w:spacing w:val="-22"/>
                <w:sz w:val="21"/>
              </w:rPr>
              <w:t>若被保险人</w:t>
            </w:r>
            <w:r>
              <w:rPr>
                <w:spacing w:val="-3"/>
                <w:sz w:val="21"/>
              </w:rPr>
              <w:t>（主合同投保人</w:t>
            </w:r>
            <w:r>
              <w:rPr>
                <w:spacing w:val="-101"/>
                <w:sz w:val="21"/>
              </w:rPr>
              <w:t>）</w:t>
            </w:r>
            <w:r>
              <w:rPr>
                <w:spacing w:val="-9"/>
                <w:sz w:val="21"/>
              </w:rPr>
              <w:t>于本附加合同生效之日或最后复效之日</w:t>
            </w:r>
            <w:r>
              <w:rPr>
                <w:sz w:val="21"/>
              </w:rPr>
              <w:t>（以</w:t>
            </w:r>
            <w:r>
              <w:rPr>
                <w:spacing w:val="-1"/>
                <w:w w:val="100"/>
                <w:sz w:val="21"/>
              </w:rPr>
              <w:t>较迟者为准</w:t>
            </w:r>
            <w:r>
              <w:rPr>
                <w:spacing w:val="-3"/>
                <w:w w:val="100"/>
                <w:sz w:val="21"/>
              </w:rPr>
              <w:t>）</w:t>
            </w:r>
            <w:r>
              <w:rPr>
                <w:spacing w:val="-1"/>
                <w:w w:val="100"/>
                <w:sz w:val="21"/>
              </w:rPr>
              <w:t>起</w:t>
            </w:r>
            <w:r>
              <w:rPr>
                <w:w w:val="100"/>
                <w:sz w:val="21"/>
              </w:rPr>
              <w:t>9</w:t>
            </w:r>
            <w:r>
              <w:rPr>
                <w:spacing w:val="-3"/>
                <w:w w:val="100"/>
                <w:sz w:val="21"/>
              </w:rPr>
              <w:t>0</w:t>
            </w:r>
            <w:r>
              <w:rPr>
                <w:w w:val="100"/>
                <w:sz w:val="21"/>
              </w:rPr>
              <w:t>天</w:t>
            </w:r>
            <w:r>
              <w:rPr>
                <w:spacing w:val="-3"/>
                <w:w w:val="100"/>
                <w:sz w:val="21"/>
              </w:rPr>
              <w:t>（</w:t>
            </w:r>
            <w:r>
              <w:rPr>
                <w:w w:val="100"/>
                <w:sz w:val="21"/>
              </w:rPr>
              <w:t>含</w:t>
            </w:r>
            <w:r>
              <w:rPr>
                <w:spacing w:val="-108"/>
                <w:w w:val="100"/>
                <w:sz w:val="21"/>
              </w:rPr>
              <w:t>）</w:t>
            </w:r>
            <w:r>
              <w:rPr>
                <w:b/>
                <w:w w:val="100"/>
                <w:sz w:val="21"/>
              </w:rPr>
              <w:t>（等待期）</w:t>
            </w:r>
            <w:r>
              <w:rPr>
                <w:spacing w:val="-3"/>
                <w:w w:val="100"/>
                <w:sz w:val="21"/>
              </w:rPr>
              <w:t>内因意外伤害事故以外的原因导</w:t>
            </w:r>
            <w:r>
              <w:rPr>
                <w:spacing w:val="-3"/>
                <w:sz w:val="21"/>
              </w:rPr>
              <w:t>致</w:t>
            </w:r>
            <w:r>
              <w:rPr>
                <w:b/>
                <w:spacing w:val="-3"/>
                <w:sz w:val="21"/>
              </w:rPr>
              <w:t>全残</w:t>
            </w:r>
            <w:r>
              <w:rPr>
                <w:b/>
                <w:spacing w:val="-106"/>
                <w:sz w:val="21"/>
              </w:rPr>
              <w:t>（</w:t>
            </w:r>
            <w:r>
              <w:rPr>
                <w:b/>
                <w:spacing w:val="-10"/>
                <w:sz w:val="21"/>
              </w:rPr>
              <w:t>《人身保险伤残评定标准及代码》</w:t>
            </w:r>
            <w:r>
              <w:rPr>
                <w:spacing w:val="-3"/>
                <w:sz w:val="21"/>
              </w:rPr>
              <w:t>（见</w:t>
            </w:r>
            <w:r>
              <w:rPr>
                <w:sz w:val="21"/>
              </w:rPr>
              <w:t>9.11）</w:t>
            </w:r>
            <w:r>
              <w:rPr>
                <w:b/>
                <w:sz w:val="21"/>
              </w:rPr>
              <w:t>所列伤残等级为1 级的</w:t>
            </w:r>
            <w:r>
              <w:rPr>
                <w:b/>
                <w:spacing w:val="-71"/>
                <w:sz w:val="21"/>
              </w:rPr>
              <w:t>）</w:t>
            </w:r>
            <w:r>
              <w:rPr>
                <w:spacing w:val="-10"/>
                <w:sz w:val="21"/>
              </w:rPr>
              <w:t>，我们将退回本附加合同的</w:t>
            </w:r>
            <w:r>
              <w:rPr>
                <w:b/>
                <w:spacing w:val="-6"/>
                <w:sz w:val="21"/>
              </w:rPr>
              <w:t>累计所交保险费</w:t>
            </w:r>
            <w:r>
              <w:rPr>
                <w:spacing w:val="-3"/>
                <w:sz w:val="21"/>
              </w:rPr>
              <w:t>（</w:t>
            </w:r>
            <w:r>
              <w:rPr>
                <w:spacing w:val="-1"/>
                <w:sz w:val="21"/>
              </w:rPr>
              <w:t>不计息</w:t>
            </w:r>
            <w:r>
              <w:rPr>
                <w:spacing w:val="-71"/>
                <w:sz w:val="21"/>
              </w:rPr>
              <w:t>）</w:t>
            </w:r>
            <w:r>
              <w:rPr>
                <w:spacing w:val="-16"/>
                <w:sz w:val="21"/>
              </w:rPr>
              <w:t>，同时本附</w:t>
            </w:r>
            <w:r>
              <w:rPr>
                <w:spacing w:val="-7"/>
                <w:sz w:val="21"/>
              </w:rPr>
              <w:t>加合同效力终止；</w:t>
            </w:r>
          </w:p>
          <w:p>
            <w:pPr>
              <w:pStyle w:val="TableParagraph"/>
              <w:numPr>
                <w:ilvl w:val="0"/>
                <w:numId w:val="7"/>
              </w:numPr>
              <w:tabs>
                <w:tab w:pos="1048" w:val="left" w:leader="none"/>
              </w:tabs>
              <w:spacing w:line="255" w:lineRule="exact" w:before="140" w:after="0"/>
              <w:ind w:left="1048" w:right="0" w:hanging="721"/>
              <w:jc w:val="left"/>
              <w:rPr>
                <w:sz w:val="21"/>
              </w:rPr>
            </w:pPr>
            <w:r>
              <w:rPr>
                <w:spacing w:val="-9"/>
                <w:sz w:val="21"/>
              </w:rPr>
              <w:t>若被保险人</w:t>
            </w:r>
            <w:r>
              <w:rPr>
                <w:spacing w:val="-3"/>
                <w:sz w:val="21"/>
              </w:rPr>
              <w:t>（主合同投保人</w:t>
            </w:r>
            <w:r>
              <w:rPr>
                <w:spacing w:val="-34"/>
                <w:sz w:val="21"/>
              </w:rPr>
              <w:t>）</w:t>
            </w:r>
            <w:r>
              <w:rPr>
                <w:spacing w:val="-7"/>
                <w:sz w:val="21"/>
              </w:rPr>
              <w:t>因意外伤害事故，或于本附加合同生效之</w:t>
            </w:r>
          </w:p>
        </w:tc>
      </w:tr>
    </w:tbl>
    <w:p>
      <w:pPr>
        <w:spacing w:after="0" w:line="255" w:lineRule="exact"/>
        <w:jc w:val="left"/>
        <w:rPr>
          <w:sz w:val="21"/>
        </w:rPr>
        <w:sectPr>
          <w:pgSz w:w="11910" w:h="16840"/>
          <w:pgMar w:header="0" w:footer="924" w:top="1160" w:bottom="1120" w:left="820" w:right="9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440"/>
        <w:gridCol w:w="7696"/>
      </w:tblGrid>
      <w:tr>
        <w:trPr>
          <w:trHeight w:val="7509" w:hRule="atLeast"/>
        </w:trPr>
        <w:tc>
          <w:tcPr>
            <w:tcW w:w="785" w:type="dxa"/>
          </w:tcPr>
          <w:p>
            <w:pPr>
              <w:pStyle w:val="TableParagraph"/>
              <w:rPr>
                <w:rFonts w:ascii="Times New Roman"/>
                <w:sz w:val="20"/>
              </w:rPr>
            </w:pPr>
          </w:p>
        </w:tc>
        <w:tc>
          <w:tcPr>
            <w:tcW w:w="1440" w:type="dxa"/>
          </w:tcPr>
          <w:p>
            <w:pPr>
              <w:pStyle w:val="TableParagraph"/>
              <w:rPr>
                <w:rFonts w:ascii="Times New Roman"/>
                <w:sz w:val="20"/>
              </w:rPr>
            </w:pPr>
          </w:p>
        </w:tc>
        <w:tc>
          <w:tcPr>
            <w:tcW w:w="7696" w:type="dxa"/>
          </w:tcPr>
          <w:p>
            <w:pPr>
              <w:pStyle w:val="TableParagraph"/>
              <w:spacing w:line="211" w:lineRule="exact"/>
              <w:ind w:left="1048"/>
              <w:rPr>
                <w:sz w:val="21"/>
              </w:rPr>
            </w:pPr>
            <w:r>
              <w:rPr>
                <w:spacing w:val="-9"/>
                <w:sz w:val="21"/>
              </w:rPr>
              <w:t>日或最后复效之日</w:t>
            </w:r>
            <w:r>
              <w:rPr>
                <w:spacing w:val="-3"/>
                <w:sz w:val="21"/>
              </w:rPr>
              <w:t>（以较迟者为准</w:t>
            </w:r>
            <w:r>
              <w:rPr>
                <w:spacing w:val="-51"/>
                <w:sz w:val="21"/>
              </w:rPr>
              <w:t>）</w:t>
            </w:r>
            <w:r>
              <w:rPr>
                <w:sz w:val="21"/>
              </w:rPr>
              <w:t>起90</w:t>
            </w:r>
            <w:r>
              <w:rPr>
                <w:spacing w:val="-3"/>
                <w:sz w:val="21"/>
              </w:rPr>
              <w:t>天后因意外伤害事故以外的原</w:t>
            </w:r>
          </w:p>
          <w:p>
            <w:pPr>
              <w:pStyle w:val="TableParagraph"/>
              <w:spacing w:line="314" w:lineRule="auto" w:before="85"/>
              <w:ind w:left="1048" w:right="225"/>
              <w:jc w:val="both"/>
              <w:rPr>
                <w:sz w:val="21"/>
              </w:rPr>
            </w:pPr>
            <w:r>
              <w:rPr>
                <w:spacing w:val="-10"/>
                <w:sz w:val="21"/>
              </w:rPr>
              <w:t>因导致全残，我们自全残确认日后的首个保险费约定交纳日开始，豁免</w:t>
            </w:r>
            <w:r>
              <w:rPr>
                <w:spacing w:val="-3"/>
                <w:sz w:val="21"/>
              </w:rPr>
              <w:t>本附加合同所对应的主合同或其附加的具有均衡保险费的长期附加合同的以后各期保险费，同时本附加合同效力终止。</w:t>
            </w:r>
          </w:p>
          <w:p>
            <w:pPr>
              <w:pStyle w:val="TableParagraph"/>
              <w:spacing w:before="84"/>
              <w:ind w:left="327"/>
              <w:rPr>
                <w:sz w:val="21"/>
              </w:rPr>
            </w:pPr>
            <w:r>
              <w:rPr>
                <w:sz w:val="21"/>
              </w:rPr>
              <w:t>4. 身故豁免保险费</w:t>
            </w:r>
          </w:p>
          <w:p>
            <w:pPr>
              <w:pStyle w:val="TableParagraph"/>
              <w:spacing w:before="12"/>
              <w:rPr>
                <w:sz w:val="18"/>
              </w:rPr>
            </w:pPr>
          </w:p>
          <w:p>
            <w:pPr>
              <w:pStyle w:val="TableParagraph"/>
              <w:numPr>
                <w:ilvl w:val="0"/>
                <w:numId w:val="8"/>
              </w:numPr>
              <w:tabs>
                <w:tab w:pos="1048" w:val="left" w:leader="none"/>
              </w:tabs>
              <w:spacing w:line="314" w:lineRule="auto" w:before="0" w:after="0"/>
              <w:ind w:left="1048" w:right="225" w:hanging="721"/>
              <w:jc w:val="both"/>
              <w:rPr>
                <w:sz w:val="21"/>
              </w:rPr>
            </w:pPr>
            <w:r>
              <w:rPr>
                <w:spacing w:val="-22"/>
                <w:sz w:val="21"/>
              </w:rPr>
              <w:t>若被保险人</w:t>
            </w:r>
            <w:r>
              <w:rPr>
                <w:spacing w:val="-3"/>
                <w:sz w:val="21"/>
              </w:rPr>
              <w:t>（主合同投保人</w:t>
            </w:r>
            <w:r>
              <w:rPr>
                <w:spacing w:val="-101"/>
                <w:sz w:val="21"/>
              </w:rPr>
              <w:t>）</w:t>
            </w:r>
            <w:r>
              <w:rPr>
                <w:spacing w:val="-9"/>
                <w:sz w:val="21"/>
              </w:rPr>
              <w:t>于本附加合同生效之日或最后复效之日</w:t>
            </w:r>
            <w:r>
              <w:rPr>
                <w:sz w:val="21"/>
              </w:rPr>
              <w:t>（以</w:t>
            </w:r>
            <w:r>
              <w:rPr>
                <w:spacing w:val="-1"/>
                <w:w w:val="100"/>
                <w:sz w:val="21"/>
              </w:rPr>
              <w:t>较迟者为准</w:t>
            </w:r>
            <w:r>
              <w:rPr>
                <w:spacing w:val="-3"/>
                <w:w w:val="100"/>
                <w:sz w:val="21"/>
              </w:rPr>
              <w:t>）</w:t>
            </w:r>
            <w:r>
              <w:rPr>
                <w:spacing w:val="-1"/>
                <w:w w:val="100"/>
                <w:sz w:val="21"/>
              </w:rPr>
              <w:t>起</w:t>
            </w:r>
            <w:r>
              <w:rPr>
                <w:w w:val="100"/>
                <w:sz w:val="21"/>
              </w:rPr>
              <w:t>9</w:t>
            </w:r>
            <w:r>
              <w:rPr>
                <w:spacing w:val="-3"/>
                <w:w w:val="100"/>
                <w:sz w:val="21"/>
              </w:rPr>
              <w:t>0</w:t>
            </w:r>
            <w:r>
              <w:rPr>
                <w:w w:val="100"/>
                <w:sz w:val="21"/>
              </w:rPr>
              <w:t>天</w:t>
            </w:r>
            <w:r>
              <w:rPr>
                <w:spacing w:val="-3"/>
                <w:w w:val="100"/>
                <w:sz w:val="21"/>
              </w:rPr>
              <w:t>（</w:t>
            </w:r>
            <w:r>
              <w:rPr>
                <w:w w:val="100"/>
                <w:sz w:val="21"/>
              </w:rPr>
              <w:t>含</w:t>
            </w:r>
            <w:r>
              <w:rPr>
                <w:spacing w:val="-108"/>
                <w:w w:val="100"/>
                <w:sz w:val="21"/>
              </w:rPr>
              <w:t>）</w:t>
            </w:r>
            <w:r>
              <w:rPr>
                <w:b/>
                <w:w w:val="100"/>
                <w:sz w:val="21"/>
              </w:rPr>
              <w:t>（等待期）</w:t>
            </w:r>
            <w:r>
              <w:rPr>
                <w:spacing w:val="-3"/>
                <w:w w:val="100"/>
                <w:sz w:val="21"/>
              </w:rPr>
              <w:t>内因意外伤害事故以外的原因导致身故，我们将退回本附加合同的</w:t>
            </w:r>
            <w:r>
              <w:rPr>
                <w:b/>
                <w:w w:val="100"/>
                <w:sz w:val="21"/>
              </w:rPr>
              <w:t>累计所交保险费</w:t>
            </w:r>
            <w:r>
              <w:rPr>
                <w:w w:val="100"/>
                <w:sz w:val="21"/>
              </w:rPr>
              <w:t>（</w:t>
            </w:r>
            <w:r>
              <w:rPr>
                <w:spacing w:val="-2"/>
                <w:w w:val="100"/>
                <w:sz w:val="21"/>
              </w:rPr>
              <w:t>不计息</w:t>
            </w:r>
            <w:r>
              <w:rPr>
                <w:spacing w:val="-106"/>
                <w:w w:val="100"/>
                <w:sz w:val="21"/>
              </w:rPr>
              <w:t>）</w:t>
            </w:r>
            <w:r>
              <w:rPr>
                <w:spacing w:val="-3"/>
                <w:w w:val="100"/>
                <w:sz w:val="21"/>
              </w:rPr>
              <w:t>，同时本</w:t>
            </w:r>
            <w:r>
              <w:rPr>
                <w:spacing w:val="-3"/>
                <w:sz w:val="21"/>
              </w:rPr>
              <w:t>附加合同效力终止；</w:t>
            </w:r>
          </w:p>
          <w:p>
            <w:pPr>
              <w:pStyle w:val="TableParagraph"/>
              <w:numPr>
                <w:ilvl w:val="0"/>
                <w:numId w:val="8"/>
              </w:numPr>
              <w:tabs>
                <w:tab w:pos="1048" w:val="left" w:leader="none"/>
              </w:tabs>
              <w:spacing w:line="314" w:lineRule="auto" w:before="140" w:after="0"/>
              <w:ind w:left="1048" w:right="225" w:hanging="721"/>
              <w:jc w:val="both"/>
              <w:rPr>
                <w:sz w:val="21"/>
              </w:rPr>
            </w:pPr>
            <w:r>
              <w:rPr>
                <w:spacing w:val="-8"/>
                <w:sz w:val="21"/>
              </w:rPr>
              <w:t>若被保险人</w:t>
            </w:r>
            <w:r>
              <w:rPr>
                <w:spacing w:val="-3"/>
                <w:sz w:val="21"/>
              </w:rPr>
              <w:t>（主合同投保人</w:t>
            </w:r>
            <w:r>
              <w:rPr>
                <w:spacing w:val="-34"/>
                <w:sz w:val="21"/>
              </w:rPr>
              <w:t>）</w:t>
            </w:r>
            <w:r>
              <w:rPr>
                <w:spacing w:val="-7"/>
                <w:sz w:val="21"/>
              </w:rPr>
              <w:t>因意外伤害事故，或于本附加合同生效之</w:t>
            </w:r>
            <w:r>
              <w:rPr>
                <w:spacing w:val="-11"/>
                <w:sz w:val="21"/>
              </w:rPr>
              <w:t>日或最后复效之日</w:t>
            </w:r>
            <w:r>
              <w:rPr>
                <w:spacing w:val="-3"/>
                <w:sz w:val="21"/>
              </w:rPr>
              <w:t>（以较迟者为准</w:t>
            </w:r>
            <w:r>
              <w:rPr>
                <w:spacing w:val="-51"/>
                <w:sz w:val="21"/>
              </w:rPr>
              <w:t>）</w:t>
            </w:r>
            <w:r>
              <w:rPr>
                <w:sz w:val="21"/>
              </w:rPr>
              <w:t>起90</w:t>
            </w:r>
            <w:r>
              <w:rPr>
                <w:spacing w:val="-3"/>
                <w:sz w:val="21"/>
              </w:rPr>
              <w:t>天后因意外伤害事故以外的原</w:t>
            </w:r>
            <w:r>
              <w:rPr>
                <w:spacing w:val="-11"/>
                <w:sz w:val="21"/>
              </w:rPr>
              <w:t>因导致身故，我们自身故确认日后的首个保险费约定交纳日开始，豁免</w:t>
            </w:r>
            <w:r>
              <w:rPr>
                <w:spacing w:val="-5"/>
                <w:sz w:val="21"/>
              </w:rPr>
              <w:t>本附加合同所对应的主合同或其附加的具有均衡保险费的长期附加合</w:t>
            </w:r>
            <w:r>
              <w:rPr>
                <w:spacing w:val="-3"/>
                <w:sz w:val="21"/>
              </w:rPr>
              <w:t>同的以后各期保险费，同时本附加合同效力终止。</w:t>
            </w:r>
          </w:p>
          <w:p>
            <w:pPr>
              <w:pStyle w:val="TableParagraph"/>
              <w:spacing w:line="273" w:lineRule="auto" w:before="84"/>
              <w:ind w:left="327" w:right="220"/>
              <w:rPr>
                <w:sz w:val="21"/>
              </w:rPr>
            </w:pPr>
            <w:r>
              <w:rPr>
                <w:sz w:val="21"/>
              </w:rPr>
              <w:t>本附加合同所对应的主合同或其附加的具有均衡保险费的长期附加合同在保险单或批注上载明。</w:t>
            </w:r>
          </w:p>
          <w:p>
            <w:pPr>
              <w:pStyle w:val="TableParagraph"/>
              <w:spacing w:line="273" w:lineRule="auto" w:before="163"/>
              <w:ind w:left="327" w:right="206"/>
              <w:rPr>
                <w:b/>
                <w:sz w:val="21"/>
              </w:rPr>
            </w:pPr>
            <w:r>
              <w:rPr>
                <w:b/>
                <w:spacing w:val="-3"/>
                <w:sz w:val="21"/>
              </w:rPr>
              <w:t>若我们已依本附加合同豁免其所对应的主合同或其附加的具有均衡保险费的 </w:t>
            </w:r>
            <w:r>
              <w:rPr>
                <w:b/>
                <w:spacing w:val="-4"/>
                <w:sz w:val="21"/>
              </w:rPr>
              <w:t>长期附加合同的以后各期保险费，则不再接受任何变更其所对应的主合同及其附加的具有均衡保险费的长期附加合同的基本保险金额或更改保险费交费方 式的申请。</w:t>
            </w:r>
          </w:p>
        </w:tc>
      </w:tr>
      <w:tr>
        <w:trPr>
          <w:trHeight w:val="6580" w:hRule="atLeast"/>
        </w:trPr>
        <w:tc>
          <w:tcPr>
            <w:tcW w:w="785" w:type="dxa"/>
          </w:tcPr>
          <w:p>
            <w:pPr>
              <w:pStyle w:val="TableParagraph"/>
              <w:spacing w:before="64"/>
              <w:ind w:left="200"/>
              <w:rPr>
                <w:b/>
                <w:sz w:val="21"/>
              </w:rPr>
            </w:pPr>
            <w:r>
              <w:rPr>
                <w:b/>
                <w:sz w:val="21"/>
              </w:rPr>
              <w:t>2.4</w:t>
            </w:r>
          </w:p>
        </w:tc>
        <w:tc>
          <w:tcPr>
            <w:tcW w:w="1440" w:type="dxa"/>
          </w:tcPr>
          <w:p>
            <w:pPr>
              <w:pStyle w:val="TableParagraph"/>
              <w:spacing w:before="64"/>
              <w:ind w:left="267"/>
              <w:rPr>
                <w:b/>
                <w:sz w:val="21"/>
              </w:rPr>
            </w:pPr>
            <w:r>
              <w:rPr>
                <w:b/>
                <w:sz w:val="21"/>
              </w:rPr>
              <w:t>责任免除</w:t>
            </w:r>
          </w:p>
        </w:tc>
        <w:tc>
          <w:tcPr>
            <w:tcW w:w="7696" w:type="dxa"/>
          </w:tcPr>
          <w:p>
            <w:pPr>
              <w:pStyle w:val="TableParagraph"/>
              <w:spacing w:line="273" w:lineRule="auto" w:before="64"/>
              <w:ind w:left="327" w:right="164"/>
              <w:rPr>
                <w:b/>
                <w:sz w:val="21"/>
              </w:rPr>
            </w:pPr>
            <w:r>
              <w:rPr>
                <w:b/>
                <w:sz w:val="21"/>
              </w:rPr>
              <w:t>因下列情形之一导致被保险人全残、身故或确诊患本附加合同约定的轻型疾病、重大疾病的，我们不承担轻型疾病豁免保险费、重大疾病豁免保险费、全残豁免保险费或身故豁免保险费的责任：</w:t>
            </w:r>
          </w:p>
          <w:p>
            <w:pPr>
              <w:pStyle w:val="TableParagraph"/>
              <w:spacing w:before="163"/>
              <w:ind w:left="327"/>
              <w:rPr>
                <w:b/>
                <w:sz w:val="21"/>
              </w:rPr>
            </w:pPr>
            <w:r>
              <w:rPr>
                <w:b/>
                <w:sz w:val="21"/>
              </w:rPr>
              <w:t>1.被保险人故意犯罪或者抗拒依法采取的刑事强制措施；</w:t>
            </w:r>
          </w:p>
          <w:p>
            <w:pPr>
              <w:pStyle w:val="TableParagraph"/>
              <w:spacing w:before="9"/>
              <w:rPr>
                <w:sz w:val="14"/>
              </w:rPr>
            </w:pPr>
          </w:p>
          <w:p>
            <w:pPr>
              <w:pStyle w:val="TableParagraph"/>
              <w:spacing w:line="273" w:lineRule="auto" w:before="1"/>
              <w:ind w:left="327" w:right="205"/>
              <w:rPr>
                <w:b/>
                <w:sz w:val="21"/>
              </w:rPr>
            </w:pPr>
            <w:r>
              <w:rPr>
                <w:b/>
                <w:sz w:val="21"/>
              </w:rPr>
              <w:t>2.</w:t>
            </w:r>
            <w:r>
              <w:rPr>
                <w:b/>
                <w:spacing w:val="-5"/>
                <w:sz w:val="21"/>
              </w:rPr>
              <w:t>被保险人自本附加合同成立或者本附加合同最后一次效力恢复之日起 </w:t>
            </w:r>
            <w:r>
              <w:rPr>
                <w:b/>
                <w:sz w:val="21"/>
              </w:rPr>
              <w:t>2</w:t>
            </w:r>
            <w:r>
              <w:rPr>
                <w:b/>
                <w:spacing w:val="-20"/>
                <w:sz w:val="21"/>
              </w:rPr>
              <w:t> 年内</w:t>
            </w:r>
            <w:r>
              <w:rPr>
                <w:b/>
                <w:spacing w:val="-3"/>
                <w:sz w:val="21"/>
              </w:rPr>
              <w:t>自杀，但被保险人自杀时为无民事行为能力人的除外；</w:t>
            </w:r>
          </w:p>
          <w:p>
            <w:pPr>
              <w:pStyle w:val="TableParagraph"/>
              <w:spacing w:before="164"/>
              <w:ind w:left="327"/>
              <w:rPr>
                <w:b/>
                <w:sz w:val="21"/>
              </w:rPr>
            </w:pPr>
            <w:r>
              <w:rPr>
                <w:b/>
                <w:sz w:val="21"/>
              </w:rPr>
              <w:t>3. 被保险人故意自伤；</w:t>
            </w:r>
          </w:p>
          <w:p>
            <w:pPr>
              <w:pStyle w:val="TableParagraph"/>
              <w:spacing w:before="10"/>
              <w:rPr>
                <w:sz w:val="14"/>
              </w:rPr>
            </w:pPr>
          </w:p>
          <w:p>
            <w:pPr>
              <w:pStyle w:val="TableParagraph"/>
              <w:ind w:left="327"/>
              <w:rPr>
                <w:b/>
                <w:sz w:val="21"/>
              </w:rPr>
            </w:pPr>
            <w:r>
              <w:rPr>
                <w:b/>
                <w:w w:val="99"/>
                <w:sz w:val="21"/>
              </w:rPr>
              <w:t>4.</w:t>
            </w:r>
            <w:r>
              <w:rPr>
                <w:b/>
                <w:spacing w:val="-1"/>
                <w:w w:val="100"/>
                <w:sz w:val="21"/>
              </w:rPr>
              <w:t>被保险人主动吸食或注射毒品</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2</w:t>
            </w:r>
            <w:r>
              <w:rPr>
                <w:spacing w:val="-108"/>
                <w:w w:val="100"/>
                <w:sz w:val="21"/>
              </w:rPr>
              <w:t>）</w:t>
            </w:r>
            <w:r>
              <w:rPr>
                <w:b/>
                <w:w w:val="100"/>
                <w:sz w:val="21"/>
              </w:rPr>
              <w:t>；</w:t>
            </w:r>
          </w:p>
          <w:p>
            <w:pPr>
              <w:pStyle w:val="TableParagraph"/>
              <w:spacing w:before="9"/>
              <w:rPr>
                <w:sz w:val="14"/>
              </w:rPr>
            </w:pPr>
          </w:p>
          <w:p>
            <w:pPr>
              <w:pStyle w:val="TableParagraph"/>
              <w:spacing w:line="273" w:lineRule="auto"/>
              <w:ind w:left="327" w:right="202"/>
              <w:rPr>
                <w:b/>
                <w:sz w:val="21"/>
              </w:rPr>
            </w:pPr>
            <w:r>
              <w:rPr>
                <w:b/>
                <w:w w:val="99"/>
                <w:sz w:val="21"/>
              </w:rPr>
              <w:t>5.</w:t>
            </w:r>
            <w:r>
              <w:rPr>
                <w:b/>
                <w:spacing w:val="-4"/>
                <w:w w:val="100"/>
                <w:sz w:val="21"/>
              </w:rPr>
              <w:t>被保险人酒后驾驶</w:t>
            </w:r>
            <w:r>
              <w:rPr>
                <w:spacing w:val="-3"/>
                <w:w w:val="100"/>
                <w:sz w:val="21"/>
              </w:rPr>
              <w:t>（</w:t>
            </w:r>
            <w:r>
              <w:rPr>
                <w:w w:val="100"/>
                <w:sz w:val="21"/>
              </w:rPr>
              <w:t>见</w:t>
            </w:r>
            <w:r>
              <w:rPr>
                <w:spacing w:val="-53"/>
                <w:sz w:val="21"/>
              </w:rPr>
              <w:t> </w:t>
            </w:r>
            <w:r>
              <w:rPr>
                <w:spacing w:val="-3"/>
                <w:w w:val="100"/>
                <w:sz w:val="21"/>
              </w:rPr>
              <w:t>9</w:t>
            </w:r>
            <w:r>
              <w:rPr>
                <w:w w:val="100"/>
                <w:sz w:val="21"/>
              </w:rPr>
              <w:t>.13</w:t>
            </w:r>
            <w:r>
              <w:rPr>
                <w:spacing w:val="-108"/>
                <w:w w:val="100"/>
                <w:sz w:val="21"/>
              </w:rPr>
              <w:t>）</w:t>
            </w:r>
            <w:r>
              <w:rPr>
                <w:b/>
                <w:spacing w:val="-8"/>
                <w:w w:val="100"/>
                <w:sz w:val="21"/>
              </w:rPr>
              <w:t>，无合法有效驾驶证驾驶</w:t>
            </w:r>
            <w:r>
              <w:rPr>
                <w:w w:val="100"/>
                <w:sz w:val="21"/>
              </w:rPr>
              <w:t>（见</w:t>
            </w:r>
            <w:r>
              <w:rPr>
                <w:spacing w:val="-54"/>
                <w:sz w:val="21"/>
              </w:rPr>
              <w:t> </w:t>
            </w:r>
            <w:r>
              <w:rPr>
                <w:w w:val="100"/>
                <w:sz w:val="21"/>
              </w:rPr>
              <w:t>9.1</w:t>
            </w:r>
            <w:r>
              <w:rPr>
                <w:spacing w:val="-3"/>
                <w:w w:val="100"/>
                <w:sz w:val="21"/>
              </w:rPr>
              <w:t>4</w:t>
            </w:r>
            <w:r>
              <w:rPr>
                <w:spacing w:val="-108"/>
                <w:w w:val="100"/>
                <w:sz w:val="21"/>
              </w:rPr>
              <w:t>）</w:t>
            </w:r>
            <w:r>
              <w:rPr>
                <w:b/>
                <w:spacing w:val="-7"/>
                <w:w w:val="100"/>
                <w:sz w:val="21"/>
              </w:rPr>
              <w:t>，或驾驶无有效行驶证</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15</w:t>
            </w:r>
            <w:r>
              <w:rPr>
                <w:spacing w:val="-3"/>
                <w:w w:val="100"/>
                <w:sz w:val="21"/>
              </w:rPr>
              <w:t>）</w:t>
            </w:r>
            <w:r>
              <w:rPr>
                <w:b/>
                <w:w w:val="100"/>
                <w:sz w:val="21"/>
              </w:rPr>
              <w:t>的机动车</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6</w:t>
            </w:r>
            <w:r>
              <w:rPr>
                <w:spacing w:val="-108"/>
                <w:w w:val="100"/>
                <w:sz w:val="21"/>
              </w:rPr>
              <w:t>）</w:t>
            </w:r>
            <w:r>
              <w:rPr>
                <w:b/>
                <w:w w:val="100"/>
                <w:sz w:val="21"/>
              </w:rPr>
              <w:t>；</w:t>
            </w:r>
          </w:p>
          <w:p>
            <w:pPr>
              <w:pStyle w:val="TableParagraph"/>
              <w:spacing w:before="163"/>
              <w:ind w:left="327"/>
              <w:rPr>
                <w:b/>
                <w:sz w:val="21"/>
              </w:rPr>
            </w:pPr>
            <w:r>
              <w:rPr>
                <w:b/>
                <w:sz w:val="21"/>
              </w:rPr>
              <w:t>6.战争、军事冲突、暴乱或武装叛乱；</w:t>
            </w:r>
          </w:p>
          <w:p>
            <w:pPr>
              <w:pStyle w:val="TableParagraph"/>
              <w:spacing w:before="9"/>
              <w:rPr>
                <w:sz w:val="14"/>
              </w:rPr>
            </w:pPr>
          </w:p>
          <w:p>
            <w:pPr>
              <w:pStyle w:val="TableParagraph"/>
              <w:ind w:left="327"/>
              <w:rPr>
                <w:b/>
                <w:sz w:val="21"/>
              </w:rPr>
            </w:pPr>
            <w:r>
              <w:rPr>
                <w:b/>
                <w:sz w:val="21"/>
              </w:rPr>
              <w:t>7.核爆炸、核辐射或核污染；</w:t>
            </w:r>
          </w:p>
          <w:p>
            <w:pPr>
              <w:pStyle w:val="TableParagraph"/>
              <w:spacing w:before="9"/>
              <w:rPr>
                <w:sz w:val="14"/>
              </w:rPr>
            </w:pPr>
          </w:p>
          <w:p>
            <w:pPr>
              <w:pStyle w:val="TableParagraph"/>
              <w:ind w:left="327"/>
              <w:rPr>
                <w:b/>
                <w:sz w:val="21"/>
              </w:rPr>
            </w:pPr>
            <w:r>
              <w:rPr>
                <w:b/>
                <w:w w:val="99"/>
                <w:sz w:val="21"/>
              </w:rPr>
              <w:t>8.</w:t>
            </w:r>
            <w:r>
              <w:rPr>
                <w:b/>
                <w:spacing w:val="-1"/>
                <w:w w:val="100"/>
                <w:sz w:val="21"/>
              </w:rPr>
              <w:t>被保险人感染艾滋病病毒或患艾滋病</w:t>
            </w:r>
            <w:r>
              <w:rPr>
                <w:spacing w:val="-3"/>
                <w:w w:val="100"/>
                <w:sz w:val="21"/>
              </w:rPr>
              <w:t>（</w:t>
            </w:r>
            <w:r>
              <w:rPr>
                <w:w w:val="100"/>
                <w:sz w:val="21"/>
              </w:rPr>
              <w:t>见</w:t>
            </w:r>
            <w:r>
              <w:rPr>
                <w:spacing w:val="-53"/>
                <w:sz w:val="21"/>
              </w:rPr>
              <w:t> </w:t>
            </w:r>
            <w:r>
              <w:rPr>
                <w:spacing w:val="-3"/>
                <w:w w:val="100"/>
                <w:sz w:val="21"/>
              </w:rPr>
              <w:t>9</w:t>
            </w:r>
            <w:r>
              <w:rPr>
                <w:w w:val="100"/>
                <w:sz w:val="21"/>
              </w:rPr>
              <w:t>.17</w:t>
            </w:r>
            <w:r>
              <w:rPr>
                <w:spacing w:val="-108"/>
                <w:w w:val="100"/>
                <w:sz w:val="21"/>
              </w:rPr>
              <w:t>）</w:t>
            </w:r>
            <w:r>
              <w:rPr>
                <w:b/>
                <w:w w:val="100"/>
                <w:sz w:val="21"/>
              </w:rPr>
              <w:t>；</w:t>
            </w:r>
          </w:p>
          <w:p>
            <w:pPr>
              <w:pStyle w:val="TableParagraph"/>
              <w:spacing w:before="9"/>
              <w:rPr>
                <w:sz w:val="14"/>
              </w:rPr>
            </w:pPr>
          </w:p>
          <w:p>
            <w:pPr>
              <w:pStyle w:val="TableParagraph"/>
              <w:ind w:left="327"/>
              <w:rPr>
                <w:b/>
                <w:sz w:val="21"/>
              </w:rPr>
            </w:pPr>
            <w:r>
              <w:rPr>
                <w:b/>
                <w:w w:val="99"/>
                <w:sz w:val="21"/>
              </w:rPr>
              <w:t>9.</w:t>
            </w:r>
            <w:r>
              <w:rPr>
                <w:b/>
                <w:w w:val="100"/>
                <w:sz w:val="21"/>
              </w:rPr>
              <w:t>遗传性疾病</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8</w:t>
            </w:r>
            <w:r>
              <w:rPr>
                <w:spacing w:val="-108"/>
                <w:w w:val="100"/>
                <w:sz w:val="21"/>
              </w:rPr>
              <w:t>）</w:t>
            </w:r>
            <w:r>
              <w:rPr>
                <w:b/>
                <w:spacing w:val="-2"/>
                <w:w w:val="100"/>
                <w:sz w:val="21"/>
              </w:rPr>
              <w:t>、先天性畸形、变形或染色体异常</w:t>
            </w:r>
            <w:r>
              <w:rPr>
                <w:spacing w:val="-3"/>
                <w:w w:val="100"/>
                <w:sz w:val="21"/>
              </w:rPr>
              <w:t>（</w:t>
            </w:r>
            <w:r>
              <w:rPr>
                <w:w w:val="100"/>
                <w:sz w:val="21"/>
              </w:rPr>
              <w:t>见</w:t>
            </w:r>
            <w:r>
              <w:rPr>
                <w:spacing w:val="-53"/>
                <w:sz w:val="21"/>
              </w:rPr>
              <w:t> </w:t>
            </w:r>
            <w:r>
              <w:rPr>
                <w:w w:val="100"/>
                <w:sz w:val="21"/>
              </w:rPr>
              <w:t>9.</w:t>
            </w:r>
            <w:r>
              <w:rPr>
                <w:spacing w:val="-3"/>
                <w:w w:val="100"/>
                <w:sz w:val="21"/>
              </w:rPr>
              <w:t>1</w:t>
            </w:r>
            <w:r>
              <w:rPr>
                <w:w w:val="100"/>
                <w:sz w:val="21"/>
              </w:rPr>
              <w:t>9</w:t>
            </w:r>
            <w:r>
              <w:rPr>
                <w:spacing w:val="-108"/>
                <w:w w:val="100"/>
                <w:sz w:val="21"/>
              </w:rPr>
              <w:t>）</w:t>
            </w:r>
            <w:r>
              <w:rPr>
                <w:b/>
                <w:w w:val="100"/>
                <w:sz w:val="21"/>
              </w:rPr>
              <w:t>。</w:t>
            </w:r>
          </w:p>
          <w:p>
            <w:pPr>
              <w:pStyle w:val="TableParagraph"/>
              <w:spacing w:line="310" w:lineRule="atLeast" w:before="158"/>
              <w:ind w:left="327" w:right="198"/>
              <w:rPr>
                <w:b/>
                <w:sz w:val="21"/>
              </w:rPr>
            </w:pPr>
            <w:r>
              <w:rPr>
                <w:b/>
                <w:sz w:val="21"/>
              </w:rPr>
              <w:t>发生上述情形导致被保险人全残、身故或确诊患本附加合同约定的轻型疾病、重大疾病的，本附加合同效力终止，我们向您退还被保险人全残、身故或确诊</w:t>
            </w:r>
          </w:p>
        </w:tc>
      </w:tr>
    </w:tbl>
    <w:p>
      <w:pPr>
        <w:spacing w:after="0" w:line="310" w:lineRule="atLeast"/>
        <w:rPr>
          <w:sz w:val="21"/>
        </w:rPr>
        <w:sectPr>
          <w:pgSz w:w="11910" w:h="16840"/>
          <w:pgMar w:header="0" w:footer="924" w:top="1220" w:bottom="1120" w:left="820" w:right="9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51"/>
        <w:gridCol w:w="7387"/>
      </w:tblGrid>
      <w:tr>
        <w:trPr>
          <w:trHeight w:val="399" w:hRule="atLeast"/>
        </w:trPr>
        <w:tc>
          <w:tcPr>
            <w:tcW w:w="693" w:type="dxa"/>
          </w:tcPr>
          <w:p>
            <w:pPr>
              <w:pStyle w:val="TableParagraph"/>
              <w:rPr>
                <w:rFonts w:ascii="Times New Roman"/>
                <w:sz w:val="20"/>
              </w:rPr>
            </w:pPr>
          </w:p>
        </w:tc>
        <w:tc>
          <w:tcPr>
            <w:tcW w:w="1651" w:type="dxa"/>
          </w:tcPr>
          <w:p>
            <w:pPr>
              <w:pStyle w:val="TableParagraph"/>
              <w:rPr>
                <w:rFonts w:ascii="Times New Roman"/>
                <w:sz w:val="20"/>
              </w:rPr>
            </w:pPr>
          </w:p>
        </w:tc>
        <w:tc>
          <w:tcPr>
            <w:tcW w:w="7387" w:type="dxa"/>
          </w:tcPr>
          <w:p>
            <w:pPr>
              <w:pStyle w:val="TableParagraph"/>
              <w:spacing w:line="211" w:lineRule="exact"/>
              <w:ind w:left="116"/>
              <w:rPr>
                <w:b/>
                <w:sz w:val="21"/>
              </w:rPr>
            </w:pPr>
            <w:r>
              <w:rPr>
                <w:b/>
                <w:sz w:val="21"/>
              </w:rPr>
              <w:t>患病时本附加合同现金价值。</w:t>
            </w:r>
          </w:p>
        </w:tc>
      </w:tr>
      <w:tr>
        <w:trPr>
          <w:trHeight w:val="607" w:hRule="atLeast"/>
        </w:trPr>
        <w:tc>
          <w:tcPr>
            <w:tcW w:w="693" w:type="dxa"/>
            <w:tcBorders>
              <w:bottom w:val="single" w:sz="4" w:space="0" w:color="000000"/>
            </w:tcBorders>
          </w:tcPr>
          <w:p>
            <w:pPr>
              <w:pStyle w:val="TableParagraph"/>
              <w:spacing w:before="114"/>
              <w:ind w:left="107"/>
              <w:rPr>
                <w:b/>
                <w:sz w:val="24"/>
              </w:rPr>
            </w:pPr>
            <w:r>
              <w:rPr>
                <w:b/>
                <w:sz w:val="24"/>
              </w:rPr>
              <w:t>3.</w:t>
            </w:r>
          </w:p>
        </w:tc>
        <w:tc>
          <w:tcPr>
            <w:tcW w:w="9038" w:type="dxa"/>
            <w:gridSpan w:val="2"/>
            <w:tcBorders>
              <w:bottom w:val="single" w:sz="4" w:space="0" w:color="000000"/>
            </w:tcBorders>
          </w:tcPr>
          <w:p>
            <w:pPr>
              <w:pStyle w:val="TableParagraph"/>
              <w:spacing w:before="114"/>
              <w:ind w:left="267"/>
              <w:rPr>
                <w:b/>
                <w:sz w:val="24"/>
              </w:rPr>
            </w:pPr>
            <w:r>
              <w:rPr>
                <w:b/>
                <w:w w:val="95"/>
                <w:sz w:val="24"/>
              </w:rPr>
              <w:t>豁免保险费的申请</w:t>
            </w:r>
          </w:p>
        </w:tc>
      </w:tr>
      <w:tr>
        <w:trPr>
          <w:trHeight w:val="12871" w:hRule="atLeast"/>
        </w:trPr>
        <w:tc>
          <w:tcPr>
            <w:tcW w:w="693" w:type="dxa"/>
            <w:tcBorders>
              <w:top w:val="single" w:sz="4" w:space="0" w:color="000000"/>
            </w:tcBorders>
          </w:tcPr>
          <w:p>
            <w:pPr>
              <w:pStyle w:val="TableParagraph"/>
              <w:spacing w:before="114"/>
              <w:ind w:left="107"/>
              <w:rPr>
                <w:b/>
                <w:sz w:val="21"/>
              </w:rPr>
            </w:pPr>
            <w:r>
              <w:rPr>
                <w:b/>
                <w:sz w:val="21"/>
              </w:rPr>
              <w:t>3.1</w:t>
            </w:r>
          </w:p>
        </w:tc>
        <w:tc>
          <w:tcPr>
            <w:tcW w:w="1651" w:type="dxa"/>
            <w:tcBorders>
              <w:top w:val="single" w:sz="4" w:space="0" w:color="000000"/>
            </w:tcBorders>
          </w:tcPr>
          <w:p>
            <w:pPr>
              <w:pStyle w:val="TableParagraph"/>
              <w:spacing w:line="273" w:lineRule="auto" w:before="114"/>
              <w:ind w:left="267" w:right="114"/>
              <w:rPr>
                <w:b/>
                <w:sz w:val="21"/>
              </w:rPr>
            </w:pPr>
            <w:r>
              <w:rPr>
                <w:b/>
                <w:sz w:val="21"/>
              </w:rPr>
              <w:t>豁免保险费的申请</w:t>
            </w:r>
          </w:p>
        </w:tc>
        <w:tc>
          <w:tcPr>
            <w:tcW w:w="7387" w:type="dxa"/>
            <w:tcBorders>
              <w:top w:val="single" w:sz="4" w:space="0" w:color="000000"/>
            </w:tcBorders>
          </w:tcPr>
          <w:p>
            <w:pPr>
              <w:pStyle w:val="TableParagraph"/>
              <w:numPr>
                <w:ilvl w:val="0"/>
                <w:numId w:val="9"/>
              </w:numPr>
              <w:tabs>
                <w:tab w:pos="434" w:val="left" w:leader="none"/>
              </w:tabs>
              <w:spacing w:line="273" w:lineRule="auto" w:before="114" w:after="0"/>
              <w:ind w:left="116" w:right="105" w:firstLine="0"/>
              <w:jc w:val="both"/>
              <w:rPr>
                <w:sz w:val="21"/>
              </w:rPr>
            </w:pPr>
            <w:r>
              <w:rPr>
                <w:spacing w:val="-7"/>
                <w:sz w:val="21"/>
              </w:rPr>
              <w:t>因被保险人</w:t>
            </w:r>
            <w:r>
              <w:rPr>
                <w:spacing w:val="-3"/>
                <w:sz w:val="21"/>
              </w:rPr>
              <w:t>（主合同投保人</w:t>
            </w:r>
            <w:r>
              <w:rPr>
                <w:spacing w:val="-32"/>
                <w:sz w:val="21"/>
              </w:rPr>
              <w:t>）</w:t>
            </w:r>
            <w:r>
              <w:rPr>
                <w:spacing w:val="-5"/>
                <w:sz w:val="21"/>
              </w:rPr>
              <w:t>患本附加合同约定的轻型疾病、重大疾病申请</w:t>
            </w:r>
            <w:r>
              <w:rPr>
                <w:spacing w:val="-3"/>
                <w:sz w:val="21"/>
              </w:rPr>
              <w:t>豁免保险费时，本附加合同被保险人须填写豁免保险费申请书，并须提供下列证明和资料：</w:t>
            </w:r>
          </w:p>
          <w:p>
            <w:pPr>
              <w:pStyle w:val="TableParagraph"/>
              <w:spacing w:before="163"/>
              <w:ind w:left="327"/>
              <w:rPr>
                <w:sz w:val="21"/>
              </w:rPr>
            </w:pPr>
            <w:r>
              <w:rPr>
                <w:sz w:val="21"/>
              </w:rPr>
              <w:t>（1）保险合同；</w:t>
            </w:r>
          </w:p>
          <w:p>
            <w:pPr>
              <w:pStyle w:val="TableParagraph"/>
              <w:spacing w:before="9"/>
              <w:rPr>
                <w:sz w:val="14"/>
              </w:rPr>
            </w:pPr>
          </w:p>
          <w:p>
            <w:pPr>
              <w:pStyle w:val="TableParagraph"/>
              <w:ind w:left="327"/>
              <w:rPr>
                <w:sz w:val="21"/>
              </w:rPr>
            </w:pPr>
            <w:r>
              <w:rPr>
                <w:sz w:val="21"/>
              </w:rPr>
              <w:t>（2）主合同被保险人的有效身份证件；</w:t>
            </w:r>
          </w:p>
          <w:p>
            <w:pPr>
              <w:pStyle w:val="TableParagraph"/>
              <w:spacing w:before="9"/>
              <w:rPr>
                <w:sz w:val="14"/>
              </w:rPr>
            </w:pPr>
          </w:p>
          <w:p>
            <w:pPr>
              <w:pStyle w:val="TableParagraph"/>
              <w:ind w:left="327"/>
              <w:rPr>
                <w:sz w:val="21"/>
              </w:rPr>
            </w:pPr>
            <w:r>
              <w:rPr>
                <w:sz w:val="21"/>
              </w:rPr>
              <w:t>（3）本附加合同被保险人的有效身份证件；</w:t>
            </w:r>
          </w:p>
          <w:p>
            <w:pPr>
              <w:pStyle w:val="TableParagraph"/>
              <w:spacing w:before="10"/>
              <w:rPr>
                <w:sz w:val="14"/>
              </w:rPr>
            </w:pPr>
          </w:p>
          <w:p>
            <w:pPr>
              <w:pStyle w:val="TableParagraph"/>
              <w:spacing w:line="273" w:lineRule="auto"/>
              <w:ind w:left="327" w:right="100"/>
              <w:jc w:val="both"/>
              <w:rPr>
                <w:sz w:val="21"/>
              </w:rPr>
            </w:pPr>
            <w:r>
              <w:rPr>
                <w:w w:val="100"/>
                <w:sz w:val="21"/>
              </w:rPr>
              <w:t>（4</w:t>
            </w:r>
            <w:r>
              <w:rPr>
                <w:spacing w:val="-87"/>
                <w:w w:val="100"/>
                <w:sz w:val="21"/>
              </w:rPr>
              <w:t>）</w:t>
            </w:r>
            <w:r>
              <w:rPr>
                <w:spacing w:val="-3"/>
                <w:w w:val="100"/>
                <w:sz w:val="21"/>
              </w:rPr>
              <w:t>由我们认可的医院的专科医生出具的被保险人的疾病诊断证明及相关医</w:t>
            </w:r>
            <w:r>
              <w:rPr>
                <w:spacing w:val="-3"/>
                <w:sz w:val="21"/>
              </w:rPr>
              <w:t>疗文件</w:t>
            </w:r>
            <w:r>
              <w:rPr>
                <w:sz w:val="21"/>
              </w:rPr>
              <w:t>（</w:t>
            </w:r>
            <w:r>
              <w:rPr>
                <w:spacing w:val="-3"/>
                <w:sz w:val="21"/>
              </w:rPr>
              <w:t>包括完整的门诊及住院病历记录、出院小结、影像学、病理检查、</w:t>
            </w:r>
            <w:r>
              <w:rPr>
                <w:spacing w:val="-3"/>
                <w:w w:val="100"/>
                <w:sz w:val="21"/>
              </w:rPr>
              <w:t>实验室检查及其他相关检查报告</w:t>
            </w:r>
            <w:r>
              <w:rPr>
                <w:spacing w:val="-106"/>
                <w:w w:val="100"/>
                <w:sz w:val="21"/>
              </w:rPr>
              <w:t>）</w:t>
            </w:r>
            <w:r>
              <w:rPr>
                <w:w w:val="100"/>
                <w:sz w:val="21"/>
              </w:rPr>
              <w:t>；</w:t>
            </w:r>
          </w:p>
          <w:p>
            <w:pPr>
              <w:pStyle w:val="TableParagraph"/>
              <w:spacing w:before="163"/>
              <w:ind w:left="327"/>
              <w:rPr>
                <w:sz w:val="21"/>
              </w:rPr>
            </w:pPr>
            <w:r>
              <w:rPr>
                <w:sz w:val="21"/>
              </w:rPr>
              <w:t>（5）所能提供的与确认保险事故的性质、原因等有关的其他证明和资料。</w:t>
            </w:r>
          </w:p>
          <w:p>
            <w:pPr>
              <w:pStyle w:val="TableParagraph"/>
              <w:spacing w:before="9"/>
              <w:rPr>
                <w:sz w:val="14"/>
              </w:rPr>
            </w:pPr>
          </w:p>
          <w:p>
            <w:pPr>
              <w:pStyle w:val="TableParagraph"/>
              <w:numPr>
                <w:ilvl w:val="0"/>
                <w:numId w:val="9"/>
              </w:numPr>
              <w:tabs>
                <w:tab w:pos="434" w:val="left" w:leader="none"/>
              </w:tabs>
              <w:spacing w:line="273" w:lineRule="auto" w:before="0" w:after="0"/>
              <w:ind w:left="116" w:right="102" w:firstLine="0"/>
              <w:jc w:val="both"/>
              <w:rPr>
                <w:sz w:val="21"/>
              </w:rPr>
            </w:pPr>
            <w:r>
              <w:rPr>
                <w:spacing w:val="-7"/>
                <w:sz w:val="21"/>
              </w:rPr>
              <w:t>因被保险人</w:t>
            </w:r>
            <w:r>
              <w:rPr>
                <w:spacing w:val="-3"/>
                <w:sz w:val="21"/>
              </w:rPr>
              <w:t>（主合同投保人</w:t>
            </w:r>
            <w:r>
              <w:rPr>
                <w:spacing w:val="-32"/>
                <w:sz w:val="21"/>
              </w:rPr>
              <w:t>）</w:t>
            </w:r>
            <w:r>
              <w:rPr>
                <w:spacing w:val="-6"/>
                <w:sz w:val="21"/>
              </w:rPr>
              <w:t>全残申请豁免保险费时，本附加合同被保险人</w:t>
            </w:r>
            <w:r>
              <w:rPr>
                <w:spacing w:val="-3"/>
                <w:sz w:val="21"/>
              </w:rPr>
              <w:t>须填写豁免保险费申请书，并须提供下列证明和资料：</w:t>
            </w:r>
          </w:p>
          <w:p>
            <w:pPr>
              <w:pStyle w:val="TableParagraph"/>
              <w:spacing w:before="163"/>
              <w:ind w:left="327"/>
              <w:rPr>
                <w:sz w:val="21"/>
              </w:rPr>
            </w:pPr>
            <w:r>
              <w:rPr>
                <w:sz w:val="21"/>
              </w:rPr>
              <w:t>（1）保险合同；</w:t>
            </w:r>
          </w:p>
          <w:p>
            <w:pPr>
              <w:pStyle w:val="TableParagraph"/>
              <w:spacing w:before="9"/>
              <w:rPr>
                <w:sz w:val="14"/>
              </w:rPr>
            </w:pPr>
          </w:p>
          <w:p>
            <w:pPr>
              <w:pStyle w:val="TableParagraph"/>
              <w:ind w:left="327"/>
              <w:rPr>
                <w:sz w:val="21"/>
              </w:rPr>
            </w:pPr>
            <w:r>
              <w:rPr>
                <w:sz w:val="21"/>
              </w:rPr>
              <w:t>（2）主合同被保险人的有效身份证件；</w:t>
            </w:r>
          </w:p>
          <w:p>
            <w:pPr>
              <w:pStyle w:val="TableParagraph"/>
              <w:spacing w:before="9"/>
              <w:rPr>
                <w:sz w:val="14"/>
              </w:rPr>
            </w:pPr>
          </w:p>
          <w:p>
            <w:pPr>
              <w:pStyle w:val="TableParagraph"/>
              <w:ind w:left="327"/>
              <w:rPr>
                <w:sz w:val="21"/>
              </w:rPr>
            </w:pPr>
            <w:r>
              <w:rPr>
                <w:sz w:val="21"/>
              </w:rPr>
              <w:t>（3）本附加合同被保险人的有效身份证件；</w:t>
            </w:r>
          </w:p>
          <w:p>
            <w:pPr>
              <w:pStyle w:val="TableParagraph"/>
              <w:spacing w:before="9"/>
              <w:rPr>
                <w:sz w:val="14"/>
              </w:rPr>
            </w:pPr>
          </w:p>
          <w:p>
            <w:pPr>
              <w:pStyle w:val="TableParagraph"/>
              <w:spacing w:line="408" w:lineRule="auto"/>
              <w:ind w:left="327" w:right="227"/>
              <w:rPr>
                <w:sz w:val="21"/>
              </w:rPr>
            </w:pPr>
            <w:r>
              <w:rPr>
                <w:sz w:val="21"/>
              </w:rPr>
              <w:t>（4）国家卫生行政部门认定的医疗机构出具的诊断证明、完整的门诊及住院病历、出院小结、检查检验报告等完整的就诊资料；</w:t>
            </w:r>
          </w:p>
          <w:p>
            <w:pPr>
              <w:pStyle w:val="TableParagraph"/>
              <w:spacing w:line="273" w:lineRule="auto" w:before="46"/>
              <w:ind w:left="327" w:right="100"/>
              <w:rPr>
                <w:sz w:val="21"/>
              </w:rPr>
            </w:pPr>
            <w:r>
              <w:rPr>
                <w:spacing w:val="-10"/>
                <w:sz w:val="21"/>
              </w:rPr>
              <w:t>（5）</w:t>
            </w:r>
            <w:r>
              <w:rPr>
                <w:spacing w:val="-7"/>
                <w:sz w:val="21"/>
              </w:rPr>
              <w:t>由我们认可的有资质的医院或者鉴定机构，根据《人身保险伤残评定标</w:t>
            </w:r>
            <w:r>
              <w:rPr>
                <w:spacing w:val="-5"/>
                <w:sz w:val="21"/>
              </w:rPr>
              <w:t>准及代码》出具的被保险人残疾程度的资料或者身体伤残程度鉴定书；</w:t>
            </w:r>
          </w:p>
          <w:p>
            <w:pPr>
              <w:pStyle w:val="TableParagraph"/>
              <w:spacing w:before="164"/>
              <w:ind w:left="327"/>
              <w:rPr>
                <w:sz w:val="21"/>
              </w:rPr>
            </w:pPr>
            <w:r>
              <w:rPr>
                <w:sz w:val="21"/>
              </w:rPr>
              <w:t>（6）所能提供的与确认保险事故的性质、原因等有关的其他证明和资料。</w:t>
            </w:r>
          </w:p>
          <w:p>
            <w:pPr>
              <w:pStyle w:val="TableParagraph"/>
              <w:spacing w:before="10"/>
              <w:rPr>
                <w:sz w:val="14"/>
              </w:rPr>
            </w:pPr>
          </w:p>
          <w:p>
            <w:pPr>
              <w:pStyle w:val="TableParagraph"/>
              <w:numPr>
                <w:ilvl w:val="0"/>
                <w:numId w:val="9"/>
              </w:numPr>
              <w:tabs>
                <w:tab w:pos="434" w:val="left" w:leader="none"/>
              </w:tabs>
              <w:spacing w:line="273" w:lineRule="auto" w:before="0" w:after="0"/>
              <w:ind w:left="116" w:right="103" w:firstLine="0"/>
              <w:jc w:val="both"/>
              <w:rPr>
                <w:sz w:val="21"/>
              </w:rPr>
            </w:pPr>
            <w:r>
              <w:rPr>
                <w:spacing w:val="-9"/>
                <w:sz w:val="21"/>
              </w:rPr>
              <w:t>因被保险人</w:t>
            </w:r>
            <w:r>
              <w:rPr>
                <w:spacing w:val="-3"/>
                <w:sz w:val="21"/>
              </w:rPr>
              <w:t>（主合同投保人</w:t>
            </w:r>
            <w:r>
              <w:rPr>
                <w:spacing w:val="-32"/>
                <w:sz w:val="21"/>
              </w:rPr>
              <w:t>）</w:t>
            </w:r>
            <w:r>
              <w:rPr>
                <w:spacing w:val="-6"/>
                <w:sz w:val="21"/>
              </w:rPr>
              <w:t>身故申请豁免保险费时，主合同被保险人须填</w:t>
            </w:r>
            <w:r>
              <w:rPr>
                <w:spacing w:val="-4"/>
                <w:sz w:val="21"/>
              </w:rPr>
              <w:t>写豁免保险费申请书，并须提供下列证明和资料：</w:t>
            </w:r>
          </w:p>
          <w:p>
            <w:pPr>
              <w:pStyle w:val="TableParagraph"/>
              <w:spacing w:before="164"/>
              <w:ind w:left="327"/>
              <w:rPr>
                <w:sz w:val="21"/>
              </w:rPr>
            </w:pPr>
            <w:r>
              <w:rPr>
                <w:sz w:val="21"/>
              </w:rPr>
              <w:t>（1）保险合同；</w:t>
            </w:r>
          </w:p>
          <w:p>
            <w:pPr>
              <w:pStyle w:val="TableParagraph"/>
              <w:spacing w:before="9"/>
              <w:rPr>
                <w:sz w:val="14"/>
              </w:rPr>
            </w:pPr>
          </w:p>
          <w:p>
            <w:pPr>
              <w:pStyle w:val="TableParagraph"/>
              <w:ind w:left="327"/>
              <w:rPr>
                <w:sz w:val="21"/>
              </w:rPr>
            </w:pPr>
            <w:r>
              <w:rPr>
                <w:sz w:val="21"/>
              </w:rPr>
              <w:t>（2）主合同被保险人的有效身份证件；</w:t>
            </w:r>
          </w:p>
          <w:p>
            <w:pPr>
              <w:pStyle w:val="TableParagraph"/>
              <w:spacing w:before="9"/>
              <w:rPr>
                <w:sz w:val="14"/>
              </w:rPr>
            </w:pPr>
          </w:p>
          <w:p>
            <w:pPr>
              <w:pStyle w:val="TableParagraph"/>
              <w:spacing w:line="273" w:lineRule="auto"/>
              <w:ind w:left="327" w:right="100"/>
              <w:rPr>
                <w:sz w:val="21"/>
              </w:rPr>
            </w:pPr>
            <w:r>
              <w:rPr>
                <w:spacing w:val="-15"/>
                <w:sz w:val="21"/>
              </w:rPr>
              <w:t>（3）</w:t>
            </w:r>
            <w:r>
              <w:rPr>
                <w:spacing w:val="-6"/>
                <w:sz w:val="21"/>
              </w:rPr>
              <w:t>国家卫生行政部门认定的医疗机构、公安部门或其他相关机构出具的被</w:t>
            </w:r>
            <w:r>
              <w:rPr>
                <w:spacing w:val="-4"/>
                <w:sz w:val="21"/>
              </w:rPr>
              <w:t>保险人死亡证明或人民法院出具的宣告死亡证明文件；</w:t>
            </w:r>
          </w:p>
          <w:p>
            <w:pPr>
              <w:pStyle w:val="TableParagraph"/>
              <w:spacing w:before="163"/>
              <w:ind w:left="116" w:firstLine="211"/>
              <w:rPr>
                <w:sz w:val="21"/>
              </w:rPr>
            </w:pPr>
            <w:r>
              <w:rPr>
                <w:sz w:val="21"/>
              </w:rPr>
              <w:t>（4）所能提供的与确认保险事故的性质、原因等有关的其他证明和资料。</w:t>
            </w:r>
          </w:p>
          <w:p>
            <w:pPr>
              <w:pStyle w:val="TableParagraph"/>
              <w:spacing w:before="9"/>
              <w:rPr>
                <w:sz w:val="14"/>
              </w:rPr>
            </w:pPr>
          </w:p>
          <w:p>
            <w:pPr>
              <w:pStyle w:val="TableParagraph"/>
              <w:spacing w:line="273" w:lineRule="auto"/>
              <w:ind w:left="116" w:right="122"/>
              <w:jc w:val="both"/>
              <w:rPr>
                <w:sz w:val="21"/>
              </w:rPr>
            </w:pPr>
            <w:r>
              <w:rPr>
                <w:sz w:val="21"/>
              </w:rPr>
              <w:t>若委托他人办理申请豁免保险费，还须提供授权委托书及委托人、受托人身份证件等材料。</w:t>
            </w:r>
          </w:p>
          <w:p>
            <w:pPr>
              <w:pStyle w:val="TableParagraph"/>
              <w:spacing w:line="310" w:lineRule="atLeast" w:before="128"/>
              <w:ind w:left="116" w:right="122"/>
              <w:jc w:val="both"/>
              <w:rPr>
                <w:sz w:val="21"/>
              </w:rPr>
            </w:pPr>
            <w:r>
              <w:rPr>
                <w:sz w:val="21"/>
              </w:rPr>
              <w:t>以上证明和资料不完整的，我们将及时一次性通知申请人补充提供有关证明和资料。</w:t>
            </w:r>
          </w:p>
        </w:tc>
      </w:tr>
    </w:tbl>
    <w:p>
      <w:pPr>
        <w:spacing w:after="0" w:line="310" w:lineRule="atLeast"/>
        <w:jc w:val="both"/>
        <w:rPr>
          <w:sz w:val="21"/>
        </w:rPr>
        <w:sectPr>
          <w:pgSz w:w="11910" w:h="16840"/>
          <w:pgMar w:header="0" w:footer="924" w:top="1160" w:bottom="1120" w:left="920" w:right="10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51"/>
        <w:gridCol w:w="7387"/>
      </w:tblGrid>
      <w:tr>
        <w:trPr>
          <w:trHeight w:val="476" w:hRule="atLeast"/>
        </w:trPr>
        <w:tc>
          <w:tcPr>
            <w:tcW w:w="693" w:type="dxa"/>
          </w:tcPr>
          <w:p>
            <w:pPr>
              <w:pStyle w:val="TableParagraph"/>
              <w:rPr>
                <w:rFonts w:ascii="Times New Roman"/>
                <w:sz w:val="20"/>
              </w:rPr>
            </w:pPr>
          </w:p>
        </w:tc>
        <w:tc>
          <w:tcPr>
            <w:tcW w:w="1651" w:type="dxa"/>
          </w:tcPr>
          <w:p>
            <w:pPr>
              <w:pStyle w:val="TableParagraph"/>
              <w:rPr>
                <w:rFonts w:ascii="Times New Roman"/>
                <w:sz w:val="20"/>
              </w:rPr>
            </w:pPr>
          </w:p>
        </w:tc>
        <w:tc>
          <w:tcPr>
            <w:tcW w:w="7387" w:type="dxa"/>
          </w:tcPr>
          <w:p>
            <w:pPr>
              <w:pStyle w:val="TableParagraph"/>
              <w:spacing w:line="211" w:lineRule="exact"/>
              <w:ind w:left="116"/>
              <w:rPr>
                <w:sz w:val="21"/>
              </w:rPr>
            </w:pPr>
            <w:r>
              <w:rPr>
                <w:sz w:val="21"/>
              </w:rPr>
              <w:t>除有关法律、行政法规不允许外，我们将保留进行医学鉴定或核实的权利。</w:t>
            </w:r>
          </w:p>
        </w:tc>
      </w:tr>
      <w:tr>
        <w:trPr>
          <w:trHeight w:val="975" w:hRule="atLeast"/>
        </w:trPr>
        <w:tc>
          <w:tcPr>
            <w:tcW w:w="693" w:type="dxa"/>
          </w:tcPr>
          <w:p>
            <w:pPr>
              <w:pStyle w:val="TableParagraph"/>
              <w:spacing w:before="5"/>
              <w:rPr>
                <w:sz w:val="15"/>
              </w:rPr>
            </w:pPr>
          </w:p>
          <w:p>
            <w:pPr>
              <w:pStyle w:val="TableParagraph"/>
              <w:ind w:left="107"/>
              <w:rPr>
                <w:b/>
                <w:sz w:val="21"/>
              </w:rPr>
            </w:pPr>
            <w:r>
              <w:rPr>
                <w:b/>
                <w:sz w:val="21"/>
              </w:rPr>
              <w:t>3.2</w:t>
            </w:r>
          </w:p>
        </w:tc>
        <w:tc>
          <w:tcPr>
            <w:tcW w:w="1651" w:type="dxa"/>
          </w:tcPr>
          <w:p>
            <w:pPr>
              <w:pStyle w:val="TableParagraph"/>
              <w:spacing w:before="5"/>
              <w:rPr>
                <w:sz w:val="15"/>
              </w:rPr>
            </w:pPr>
          </w:p>
          <w:p>
            <w:pPr>
              <w:pStyle w:val="TableParagraph"/>
              <w:ind w:left="267"/>
              <w:rPr>
                <w:b/>
                <w:sz w:val="21"/>
              </w:rPr>
            </w:pPr>
            <w:r>
              <w:rPr>
                <w:b/>
                <w:sz w:val="21"/>
              </w:rPr>
              <w:t>诉讼时效</w:t>
            </w:r>
          </w:p>
        </w:tc>
        <w:tc>
          <w:tcPr>
            <w:tcW w:w="7387" w:type="dxa"/>
          </w:tcPr>
          <w:p>
            <w:pPr>
              <w:pStyle w:val="TableParagraph"/>
              <w:spacing w:before="5"/>
              <w:rPr>
                <w:sz w:val="15"/>
              </w:rPr>
            </w:pPr>
          </w:p>
          <w:p>
            <w:pPr>
              <w:pStyle w:val="TableParagraph"/>
              <w:spacing w:line="273" w:lineRule="auto"/>
              <w:ind w:left="116" w:right="122"/>
              <w:rPr>
                <w:sz w:val="21"/>
              </w:rPr>
            </w:pPr>
            <w:r>
              <w:rPr>
                <w:spacing w:val="-5"/>
                <w:sz w:val="21"/>
              </w:rPr>
              <w:t>被保险人向我们请求承担保险责任的诉讼时效期间为 </w:t>
            </w:r>
            <w:r>
              <w:rPr>
                <w:sz w:val="21"/>
              </w:rPr>
              <w:t>2</w:t>
            </w:r>
            <w:r>
              <w:rPr>
                <w:spacing w:val="-8"/>
                <w:sz w:val="21"/>
              </w:rPr>
              <w:t> 年，自其知道或者应当</w:t>
            </w:r>
            <w:r>
              <w:rPr>
                <w:spacing w:val="-5"/>
                <w:sz w:val="21"/>
              </w:rPr>
              <w:t>知道保险事故发生之日起计算。</w:t>
            </w:r>
          </w:p>
        </w:tc>
      </w:tr>
      <w:tr>
        <w:trPr>
          <w:trHeight w:val="608" w:hRule="atLeast"/>
        </w:trPr>
        <w:tc>
          <w:tcPr>
            <w:tcW w:w="693" w:type="dxa"/>
            <w:tcBorders>
              <w:bottom w:val="single" w:sz="4" w:space="0" w:color="000000"/>
            </w:tcBorders>
          </w:tcPr>
          <w:p>
            <w:pPr>
              <w:pStyle w:val="TableParagraph"/>
              <w:spacing w:before="112"/>
              <w:ind w:left="107"/>
              <w:rPr>
                <w:b/>
                <w:sz w:val="24"/>
              </w:rPr>
            </w:pPr>
            <w:r>
              <w:rPr>
                <w:b/>
                <w:sz w:val="24"/>
              </w:rPr>
              <w:t>4.</w:t>
            </w:r>
          </w:p>
        </w:tc>
        <w:tc>
          <w:tcPr>
            <w:tcW w:w="9038" w:type="dxa"/>
            <w:gridSpan w:val="2"/>
            <w:tcBorders>
              <w:bottom w:val="single" w:sz="4" w:space="0" w:color="000000"/>
            </w:tcBorders>
          </w:tcPr>
          <w:p>
            <w:pPr>
              <w:pStyle w:val="TableParagraph"/>
              <w:spacing w:before="112"/>
              <w:ind w:left="267"/>
              <w:rPr>
                <w:b/>
                <w:sz w:val="24"/>
              </w:rPr>
            </w:pPr>
            <w:r>
              <w:rPr>
                <w:b/>
                <w:w w:val="95"/>
                <w:sz w:val="24"/>
              </w:rPr>
              <w:t>保险费的交纳</w:t>
            </w:r>
          </w:p>
        </w:tc>
      </w:tr>
      <w:tr>
        <w:trPr>
          <w:trHeight w:val="1364" w:hRule="atLeast"/>
        </w:trPr>
        <w:tc>
          <w:tcPr>
            <w:tcW w:w="693" w:type="dxa"/>
            <w:tcBorders>
              <w:top w:val="single" w:sz="4" w:space="0" w:color="000000"/>
            </w:tcBorders>
          </w:tcPr>
          <w:p>
            <w:pPr>
              <w:pStyle w:val="TableParagraph"/>
              <w:spacing w:before="112"/>
              <w:ind w:left="107"/>
              <w:rPr>
                <w:b/>
                <w:sz w:val="21"/>
              </w:rPr>
            </w:pPr>
            <w:r>
              <w:rPr>
                <w:b/>
                <w:sz w:val="21"/>
              </w:rPr>
              <w:t>4.1</w:t>
            </w:r>
          </w:p>
        </w:tc>
        <w:tc>
          <w:tcPr>
            <w:tcW w:w="1651" w:type="dxa"/>
            <w:tcBorders>
              <w:top w:val="single" w:sz="4" w:space="0" w:color="000000"/>
            </w:tcBorders>
          </w:tcPr>
          <w:p>
            <w:pPr>
              <w:pStyle w:val="TableParagraph"/>
              <w:spacing w:before="112"/>
              <w:ind w:left="267"/>
              <w:rPr>
                <w:b/>
                <w:sz w:val="21"/>
              </w:rPr>
            </w:pPr>
            <w:r>
              <w:rPr>
                <w:b/>
                <w:sz w:val="21"/>
              </w:rPr>
              <w:t>保险费的交纳</w:t>
            </w:r>
          </w:p>
        </w:tc>
        <w:tc>
          <w:tcPr>
            <w:tcW w:w="7387" w:type="dxa"/>
            <w:tcBorders>
              <w:top w:val="single" w:sz="4" w:space="0" w:color="000000"/>
            </w:tcBorders>
          </w:tcPr>
          <w:p>
            <w:pPr>
              <w:pStyle w:val="TableParagraph"/>
              <w:spacing w:before="112"/>
              <w:ind w:left="116"/>
              <w:rPr>
                <w:sz w:val="21"/>
              </w:rPr>
            </w:pPr>
            <w:r>
              <w:rPr>
                <w:sz w:val="21"/>
              </w:rPr>
              <w:t>本附加合同的交费方式和交费期间由您和我们约定并在保险单上载明。</w:t>
            </w:r>
          </w:p>
          <w:p>
            <w:pPr>
              <w:pStyle w:val="TableParagraph"/>
              <w:spacing w:before="9"/>
              <w:rPr>
                <w:sz w:val="14"/>
              </w:rPr>
            </w:pPr>
          </w:p>
          <w:p>
            <w:pPr>
              <w:pStyle w:val="TableParagraph"/>
              <w:spacing w:line="273" w:lineRule="auto" w:before="1"/>
              <w:ind w:left="116" w:right="122"/>
              <w:rPr>
                <w:sz w:val="21"/>
              </w:rPr>
            </w:pPr>
            <w:r>
              <w:rPr>
                <w:sz w:val="21"/>
              </w:rPr>
              <w:t>分期支付保险费的，在交纳首期保险费后，您应当按照约定，在每个保险费约定交纳日交纳其余各期的保险费。</w:t>
            </w:r>
          </w:p>
        </w:tc>
      </w:tr>
      <w:tr>
        <w:trPr>
          <w:trHeight w:val="2312" w:hRule="atLeast"/>
        </w:trPr>
        <w:tc>
          <w:tcPr>
            <w:tcW w:w="693" w:type="dxa"/>
          </w:tcPr>
          <w:p>
            <w:pPr>
              <w:pStyle w:val="TableParagraph"/>
              <w:spacing w:before="133"/>
              <w:ind w:left="107"/>
              <w:rPr>
                <w:b/>
                <w:sz w:val="21"/>
              </w:rPr>
            </w:pPr>
            <w:r>
              <w:rPr>
                <w:b/>
                <w:sz w:val="21"/>
              </w:rPr>
              <w:t>4.2</w:t>
            </w:r>
          </w:p>
        </w:tc>
        <w:tc>
          <w:tcPr>
            <w:tcW w:w="1651" w:type="dxa"/>
          </w:tcPr>
          <w:p>
            <w:pPr>
              <w:pStyle w:val="TableParagraph"/>
              <w:spacing w:before="133"/>
              <w:ind w:left="267"/>
              <w:rPr>
                <w:b/>
                <w:sz w:val="21"/>
              </w:rPr>
            </w:pPr>
            <w:r>
              <w:rPr>
                <w:b/>
                <w:sz w:val="21"/>
              </w:rPr>
              <w:t>宽限期</w:t>
            </w:r>
          </w:p>
        </w:tc>
        <w:tc>
          <w:tcPr>
            <w:tcW w:w="7387" w:type="dxa"/>
          </w:tcPr>
          <w:p>
            <w:pPr>
              <w:pStyle w:val="TableParagraph"/>
              <w:spacing w:line="273" w:lineRule="auto" w:before="133"/>
              <w:ind w:left="116" w:right="102"/>
              <w:jc w:val="both"/>
              <w:rPr>
                <w:sz w:val="21"/>
              </w:rPr>
            </w:pPr>
            <w:r>
              <w:rPr>
                <w:spacing w:val="-3"/>
                <w:sz w:val="21"/>
              </w:rPr>
              <w:t>分期支付保险费的，您支付首期保险费后，除本附加合同另有约定外，如果您</w:t>
            </w:r>
            <w:r>
              <w:rPr>
                <w:spacing w:val="-10"/>
                <w:sz w:val="21"/>
              </w:rPr>
              <w:t>到期未支付保险费，自保险费约定交纳日的次日零时起 </w:t>
            </w:r>
            <w:r>
              <w:rPr>
                <w:sz w:val="21"/>
              </w:rPr>
              <w:t>60</w:t>
            </w:r>
            <w:r>
              <w:rPr>
                <w:spacing w:val="-12"/>
                <w:sz w:val="21"/>
              </w:rPr>
              <w:t> 日为宽限期。宽限期</w:t>
            </w:r>
            <w:r>
              <w:rPr>
                <w:spacing w:val="-6"/>
                <w:sz w:val="21"/>
              </w:rPr>
              <w:t>内发生的保险事故，我们仍会承担保险责任，但在豁免保险费时，您应先补交</w:t>
            </w:r>
            <w:r>
              <w:rPr>
                <w:spacing w:val="-4"/>
                <w:sz w:val="21"/>
              </w:rPr>
              <w:t>欠交的保险费。</w:t>
            </w:r>
          </w:p>
          <w:p>
            <w:pPr>
              <w:pStyle w:val="TableParagraph"/>
              <w:spacing w:line="273" w:lineRule="auto" w:before="163"/>
              <w:ind w:left="116" w:right="122"/>
              <w:jc w:val="both"/>
              <w:rPr>
                <w:sz w:val="21"/>
              </w:rPr>
            </w:pPr>
            <w:r>
              <w:rPr>
                <w:sz w:val="21"/>
              </w:rPr>
              <w:t>如果您宽限期结束之后仍未支付保险费，则本附加合同自宽限期满的次日零时起效力中止。</w:t>
            </w:r>
          </w:p>
        </w:tc>
      </w:tr>
      <w:tr>
        <w:trPr>
          <w:trHeight w:val="607" w:hRule="atLeast"/>
        </w:trPr>
        <w:tc>
          <w:tcPr>
            <w:tcW w:w="693" w:type="dxa"/>
            <w:tcBorders>
              <w:bottom w:val="single" w:sz="4" w:space="0" w:color="000000"/>
            </w:tcBorders>
          </w:tcPr>
          <w:p>
            <w:pPr>
              <w:pStyle w:val="TableParagraph"/>
              <w:spacing w:before="114"/>
              <w:ind w:left="107"/>
              <w:rPr>
                <w:b/>
                <w:sz w:val="24"/>
              </w:rPr>
            </w:pPr>
            <w:r>
              <w:rPr>
                <w:b/>
                <w:sz w:val="24"/>
              </w:rPr>
              <w:t>5.</w:t>
            </w:r>
          </w:p>
        </w:tc>
        <w:tc>
          <w:tcPr>
            <w:tcW w:w="9038" w:type="dxa"/>
            <w:gridSpan w:val="2"/>
            <w:tcBorders>
              <w:bottom w:val="single" w:sz="4" w:space="0" w:color="000000"/>
            </w:tcBorders>
          </w:tcPr>
          <w:p>
            <w:pPr>
              <w:pStyle w:val="TableParagraph"/>
              <w:spacing w:before="114"/>
              <w:ind w:left="267"/>
              <w:rPr>
                <w:b/>
                <w:sz w:val="24"/>
              </w:rPr>
            </w:pPr>
            <w:r>
              <w:rPr>
                <w:b/>
                <w:w w:val="95"/>
                <w:sz w:val="24"/>
              </w:rPr>
              <w:t>现金价值权益</w:t>
            </w:r>
          </w:p>
        </w:tc>
      </w:tr>
      <w:tr>
        <w:trPr>
          <w:trHeight w:val="1755" w:hRule="atLeast"/>
        </w:trPr>
        <w:tc>
          <w:tcPr>
            <w:tcW w:w="693" w:type="dxa"/>
            <w:tcBorders>
              <w:top w:val="single" w:sz="4" w:space="0" w:color="000000"/>
            </w:tcBorders>
          </w:tcPr>
          <w:p>
            <w:pPr>
              <w:pStyle w:val="TableParagraph"/>
              <w:spacing w:before="112"/>
              <w:ind w:left="107"/>
              <w:rPr>
                <w:b/>
                <w:sz w:val="21"/>
              </w:rPr>
            </w:pPr>
            <w:r>
              <w:rPr>
                <w:b/>
                <w:sz w:val="21"/>
              </w:rPr>
              <w:t>5.1</w:t>
            </w:r>
          </w:p>
        </w:tc>
        <w:tc>
          <w:tcPr>
            <w:tcW w:w="1651" w:type="dxa"/>
            <w:tcBorders>
              <w:top w:val="single" w:sz="4" w:space="0" w:color="000000"/>
            </w:tcBorders>
          </w:tcPr>
          <w:p>
            <w:pPr>
              <w:pStyle w:val="TableParagraph"/>
              <w:spacing w:before="112"/>
              <w:ind w:left="267"/>
              <w:rPr>
                <w:b/>
                <w:sz w:val="21"/>
              </w:rPr>
            </w:pPr>
            <w:r>
              <w:rPr>
                <w:b/>
                <w:sz w:val="21"/>
              </w:rPr>
              <w:t>现金价值</w:t>
            </w:r>
          </w:p>
        </w:tc>
        <w:tc>
          <w:tcPr>
            <w:tcW w:w="7387" w:type="dxa"/>
            <w:tcBorders>
              <w:top w:val="single" w:sz="4" w:space="0" w:color="000000"/>
            </w:tcBorders>
          </w:tcPr>
          <w:p>
            <w:pPr>
              <w:pStyle w:val="TableParagraph"/>
              <w:spacing w:line="273" w:lineRule="auto" w:before="112"/>
              <w:ind w:left="116" w:right="122"/>
              <w:rPr>
                <w:sz w:val="21"/>
              </w:rPr>
            </w:pPr>
            <w:r>
              <w:rPr>
                <w:sz w:val="21"/>
              </w:rPr>
              <w:t>指保险单所具有的价值，通常体现为解除合同时，根据精算原理计算的，由我们退还的那部分金额。</w:t>
            </w:r>
          </w:p>
          <w:p>
            <w:pPr>
              <w:pStyle w:val="TableParagraph"/>
              <w:spacing w:line="273" w:lineRule="auto" w:before="163"/>
              <w:ind w:left="116" w:right="122"/>
              <w:rPr>
                <w:sz w:val="21"/>
              </w:rPr>
            </w:pPr>
            <w:r>
              <w:rPr>
                <w:sz w:val="21"/>
              </w:rPr>
              <w:t>我们会在保险单或批注上载明本附加合同保险单年度末的现金价值。如果您需要了解保险单年度内的现金价值，可向我们查询。</w:t>
            </w:r>
          </w:p>
        </w:tc>
      </w:tr>
      <w:tr>
        <w:trPr>
          <w:trHeight w:val="620" w:hRule="atLeast"/>
        </w:trPr>
        <w:tc>
          <w:tcPr>
            <w:tcW w:w="693" w:type="dxa"/>
            <w:tcBorders>
              <w:bottom w:val="single" w:sz="4" w:space="0" w:color="000000"/>
            </w:tcBorders>
          </w:tcPr>
          <w:p>
            <w:pPr>
              <w:pStyle w:val="TableParagraph"/>
              <w:spacing w:before="201"/>
              <w:ind w:left="107"/>
              <w:rPr>
                <w:b/>
                <w:sz w:val="24"/>
              </w:rPr>
            </w:pPr>
            <w:r>
              <w:rPr>
                <w:b/>
                <w:sz w:val="24"/>
              </w:rPr>
              <w:t>6.</w:t>
            </w:r>
          </w:p>
        </w:tc>
        <w:tc>
          <w:tcPr>
            <w:tcW w:w="1651" w:type="dxa"/>
            <w:tcBorders>
              <w:bottom w:val="single" w:sz="4" w:space="0" w:color="000000"/>
            </w:tcBorders>
          </w:tcPr>
          <w:p>
            <w:pPr>
              <w:pStyle w:val="TableParagraph"/>
              <w:spacing w:before="201"/>
              <w:ind w:left="267"/>
              <w:rPr>
                <w:b/>
                <w:sz w:val="24"/>
              </w:rPr>
            </w:pPr>
            <w:r>
              <w:rPr>
                <w:b/>
                <w:sz w:val="24"/>
              </w:rPr>
              <w:t>合同解除</w:t>
            </w:r>
          </w:p>
        </w:tc>
        <w:tc>
          <w:tcPr>
            <w:tcW w:w="7387" w:type="dxa"/>
            <w:tcBorders>
              <w:bottom w:val="single" w:sz="4" w:space="0" w:color="000000"/>
            </w:tcBorders>
          </w:tcPr>
          <w:p>
            <w:pPr>
              <w:pStyle w:val="TableParagraph"/>
              <w:rPr>
                <w:rFonts w:ascii="Times New Roman"/>
                <w:sz w:val="20"/>
              </w:rPr>
            </w:pPr>
          </w:p>
        </w:tc>
      </w:tr>
      <w:tr>
        <w:trPr>
          <w:trHeight w:val="3538" w:hRule="atLeast"/>
        </w:trPr>
        <w:tc>
          <w:tcPr>
            <w:tcW w:w="693" w:type="dxa"/>
            <w:tcBorders>
              <w:top w:val="single" w:sz="4" w:space="0" w:color="000000"/>
            </w:tcBorders>
          </w:tcPr>
          <w:p>
            <w:pPr>
              <w:pStyle w:val="TableParagraph"/>
              <w:spacing w:line="262" w:lineRule="exact"/>
              <w:ind w:left="107"/>
              <w:rPr>
                <w:b/>
                <w:sz w:val="21"/>
              </w:rPr>
            </w:pPr>
            <w:r>
              <w:rPr>
                <w:b/>
                <w:sz w:val="21"/>
              </w:rPr>
              <w:t>6.1</w:t>
            </w:r>
          </w:p>
        </w:tc>
        <w:tc>
          <w:tcPr>
            <w:tcW w:w="1651" w:type="dxa"/>
            <w:tcBorders>
              <w:top w:val="single" w:sz="4" w:space="0" w:color="000000"/>
            </w:tcBorders>
          </w:tcPr>
          <w:p>
            <w:pPr>
              <w:pStyle w:val="TableParagraph"/>
              <w:spacing w:line="273" w:lineRule="auto"/>
              <w:ind w:left="267" w:right="114"/>
              <w:rPr>
                <w:b/>
                <w:sz w:val="21"/>
              </w:rPr>
            </w:pPr>
            <w:r>
              <w:rPr>
                <w:b/>
                <w:sz w:val="21"/>
              </w:rPr>
              <w:t>您解除合同的手续及风险</w:t>
            </w:r>
          </w:p>
        </w:tc>
        <w:tc>
          <w:tcPr>
            <w:tcW w:w="7387" w:type="dxa"/>
            <w:tcBorders>
              <w:top w:val="single" w:sz="4" w:space="0" w:color="000000"/>
            </w:tcBorders>
          </w:tcPr>
          <w:p>
            <w:pPr>
              <w:pStyle w:val="TableParagraph"/>
              <w:spacing w:line="273" w:lineRule="auto"/>
              <w:ind w:left="116" w:right="122"/>
              <w:rPr>
                <w:sz w:val="21"/>
              </w:rPr>
            </w:pPr>
            <w:r>
              <w:rPr>
                <w:sz w:val="21"/>
              </w:rPr>
              <w:t>如您在犹豫期后申请解除本附加合同，请填写解除合同申请书并向我们提供下列资料：</w:t>
            </w:r>
          </w:p>
          <w:p>
            <w:pPr>
              <w:pStyle w:val="TableParagraph"/>
              <w:spacing w:before="176"/>
              <w:ind w:left="116"/>
              <w:rPr>
                <w:sz w:val="21"/>
              </w:rPr>
            </w:pPr>
            <w:r>
              <w:rPr>
                <w:sz w:val="21"/>
              </w:rPr>
              <w:t>1.保险合同；</w:t>
            </w:r>
          </w:p>
          <w:p>
            <w:pPr>
              <w:pStyle w:val="TableParagraph"/>
              <w:spacing w:before="9"/>
              <w:rPr>
                <w:sz w:val="14"/>
              </w:rPr>
            </w:pPr>
          </w:p>
          <w:p>
            <w:pPr>
              <w:pStyle w:val="TableParagraph"/>
              <w:ind w:left="116"/>
              <w:rPr>
                <w:sz w:val="21"/>
              </w:rPr>
            </w:pPr>
            <w:r>
              <w:rPr>
                <w:sz w:val="21"/>
              </w:rPr>
              <w:t>2.您的有效身份证件。</w:t>
            </w:r>
          </w:p>
          <w:p>
            <w:pPr>
              <w:pStyle w:val="TableParagraph"/>
              <w:spacing w:before="10"/>
              <w:rPr>
                <w:sz w:val="14"/>
              </w:rPr>
            </w:pPr>
          </w:p>
          <w:p>
            <w:pPr>
              <w:pStyle w:val="TableParagraph"/>
              <w:spacing w:line="273" w:lineRule="auto"/>
              <w:ind w:left="116" w:right="122"/>
              <w:rPr>
                <w:sz w:val="21"/>
              </w:rPr>
            </w:pPr>
            <w:r>
              <w:rPr>
                <w:sz w:val="21"/>
              </w:rPr>
              <w:t>如您委托他人办理书面申请解除本附加合同，还须提供授权委托书及受托人身份证件。</w:t>
            </w:r>
          </w:p>
          <w:p>
            <w:pPr>
              <w:pStyle w:val="TableParagraph"/>
              <w:spacing w:line="273" w:lineRule="auto" w:before="163"/>
              <w:ind w:left="116" w:right="107"/>
              <w:rPr>
                <w:sz w:val="21"/>
              </w:rPr>
            </w:pPr>
            <w:r>
              <w:rPr>
                <w:b/>
                <w:sz w:val="21"/>
              </w:rPr>
              <w:t>自我们收到解除本附加合同申请书时起，本附加合同效力终止。</w:t>
            </w:r>
            <w:r>
              <w:rPr>
                <w:sz w:val="21"/>
              </w:rPr>
              <w:t>我们自本附加合同效力终止之日起 30 日内向您退还本附加合同效力终止时的现金价值。</w:t>
            </w:r>
          </w:p>
          <w:p>
            <w:pPr>
              <w:pStyle w:val="TableParagraph"/>
              <w:spacing w:line="255" w:lineRule="exact" w:before="163"/>
              <w:ind w:left="116"/>
              <w:rPr>
                <w:b/>
                <w:sz w:val="21"/>
              </w:rPr>
            </w:pPr>
            <w:r>
              <w:rPr>
                <w:b/>
                <w:sz w:val="21"/>
              </w:rPr>
              <w:t>您犹豫期后解除合同会遭受一定损失。</w:t>
            </w:r>
          </w:p>
        </w:tc>
      </w:tr>
    </w:tbl>
    <w:p>
      <w:pPr>
        <w:spacing w:after="0" w:line="255" w:lineRule="exact"/>
        <w:rPr>
          <w:sz w:val="21"/>
        </w:rPr>
        <w:sectPr>
          <w:pgSz w:w="11910" w:h="16840"/>
          <w:pgMar w:header="0" w:footer="924" w:top="1160" w:bottom="1120" w:left="920" w:right="10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19"/>
        <w:gridCol w:w="7363"/>
      </w:tblGrid>
      <w:tr>
        <w:trPr>
          <w:trHeight w:val="3661" w:hRule="atLeast"/>
        </w:trPr>
        <w:tc>
          <w:tcPr>
            <w:tcW w:w="664" w:type="dxa"/>
          </w:tcPr>
          <w:p>
            <w:pPr>
              <w:pStyle w:val="TableParagraph"/>
              <w:spacing w:line="234" w:lineRule="exact"/>
              <w:ind w:left="107"/>
              <w:rPr>
                <w:rFonts w:ascii="Times New Roman"/>
                <w:b/>
                <w:sz w:val="21"/>
              </w:rPr>
            </w:pPr>
            <w:r>
              <w:rPr>
                <w:rFonts w:ascii="Times New Roman"/>
                <w:b/>
                <w:sz w:val="21"/>
              </w:rPr>
              <w:t>6.2</w:t>
            </w:r>
          </w:p>
        </w:tc>
        <w:tc>
          <w:tcPr>
            <w:tcW w:w="1619" w:type="dxa"/>
          </w:tcPr>
          <w:p>
            <w:pPr>
              <w:pStyle w:val="TableParagraph"/>
              <w:spacing w:line="218" w:lineRule="exact"/>
              <w:ind w:left="296"/>
              <w:rPr>
                <w:b/>
                <w:sz w:val="21"/>
              </w:rPr>
            </w:pPr>
            <w:r>
              <w:rPr>
                <w:b/>
                <w:sz w:val="21"/>
              </w:rPr>
              <w:t>效力终止</w:t>
            </w:r>
          </w:p>
        </w:tc>
        <w:tc>
          <w:tcPr>
            <w:tcW w:w="7363" w:type="dxa"/>
          </w:tcPr>
          <w:p>
            <w:pPr>
              <w:pStyle w:val="TableParagraph"/>
              <w:spacing w:line="218" w:lineRule="exact"/>
              <w:ind w:left="177"/>
              <w:rPr>
                <w:sz w:val="21"/>
              </w:rPr>
            </w:pPr>
            <w:r>
              <w:rPr>
                <w:sz w:val="21"/>
              </w:rPr>
              <w:t>发生下列情况之一时，本附加合同效力终止：</w:t>
            </w:r>
          </w:p>
          <w:p>
            <w:pPr>
              <w:pStyle w:val="TableParagraph"/>
              <w:spacing w:before="10"/>
              <w:rPr>
                <w:sz w:val="14"/>
              </w:rPr>
            </w:pPr>
          </w:p>
          <w:p>
            <w:pPr>
              <w:pStyle w:val="TableParagraph"/>
              <w:ind w:left="177"/>
              <w:rPr>
                <w:sz w:val="21"/>
              </w:rPr>
            </w:pPr>
            <w:r>
              <w:rPr>
                <w:sz w:val="21"/>
              </w:rPr>
              <w:t>（1）您申请解除主合同或者申请解除本附加合同；</w:t>
            </w:r>
          </w:p>
          <w:p>
            <w:pPr>
              <w:pStyle w:val="TableParagraph"/>
              <w:spacing w:before="9"/>
              <w:rPr>
                <w:sz w:val="14"/>
              </w:rPr>
            </w:pPr>
          </w:p>
          <w:p>
            <w:pPr>
              <w:pStyle w:val="TableParagraph"/>
              <w:ind w:left="177"/>
              <w:rPr>
                <w:sz w:val="21"/>
              </w:rPr>
            </w:pPr>
            <w:r>
              <w:rPr>
                <w:sz w:val="21"/>
              </w:rPr>
              <w:t>（2）自本附加合同中止效力之日起满 2 年您与我们未达成效力恢复协议；</w:t>
            </w:r>
          </w:p>
          <w:p>
            <w:pPr>
              <w:pStyle w:val="TableParagraph"/>
              <w:spacing w:before="9"/>
              <w:rPr>
                <w:sz w:val="14"/>
              </w:rPr>
            </w:pPr>
          </w:p>
          <w:p>
            <w:pPr>
              <w:pStyle w:val="TableParagraph"/>
              <w:ind w:left="177"/>
              <w:rPr>
                <w:sz w:val="21"/>
              </w:rPr>
            </w:pPr>
            <w:r>
              <w:rPr>
                <w:sz w:val="21"/>
              </w:rPr>
              <w:t>（3）主合同被保险人身故；</w:t>
            </w:r>
          </w:p>
          <w:p>
            <w:pPr>
              <w:pStyle w:val="TableParagraph"/>
              <w:spacing w:before="9"/>
              <w:rPr>
                <w:sz w:val="14"/>
              </w:rPr>
            </w:pPr>
          </w:p>
          <w:p>
            <w:pPr>
              <w:pStyle w:val="TableParagraph"/>
              <w:ind w:left="177"/>
              <w:rPr>
                <w:sz w:val="21"/>
              </w:rPr>
            </w:pPr>
            <w:r>
              <w:rPr>
                <w:sz w:val="21"/>
              </w:rPr>
              <w:t>（4）主合同或其附加的具有均衡保险费的长期附加合同已豁免保险费；</w:t>
            </w:r>
          </w:p>
          <w:p>
            <w:pPr>
              <w:pStyle w:val="TableParagraph"/>
              <w:spacing w:before="9"/>
              <w:rPr>
                <w:sz w:val="14"/>
              </w:rPr>
            </w:pPr>
          </w:p>
          <w:p>
            <w:pPr>
              <w:pStyle w:val="TableParagraph"/>
              <w:ind w:left="177"/>
              <w:rPr>
                <w:sz w:val="21"/>
              </w:rPr>
            </w:pPr>
            <w:r>
              <w:rPr>
                <w:sz w:val="21"/>
              </w:rPr>
              <w:t>（5）主合同变更为减额交清；</w:t>
            </w:r>
          </w:p>
          <w:p>
            <w:pPr>
              <w:pStyle w:val="TableParagraph"/>
              <w:spacing w:before="9"/>
              <w:rPr>
                <w:sz w:val="14"/>
              </w:rPr>
            </w:pPr>
          </w:p>
          <w:p>
            <w:pPr>
              <w:pStyle w:val="TableParagraph"/>
              <w:ind w:left="177"/>
              <w:rPr>
                <w:sz w:val="21"/>
              </w:rPr>
            </w:pPr>
            <w:r>
              <w:rPr>
                <w:sz w:val="21"/>
              </w:rPr>
              <w:t>（6）主合同变更投保人；</w:t>
            </w:r>
          </w:p>
          <w:p>
            <w:pPr>
              <w:pStyle w:val="TableParagraph"/>
              <w:spacing w:before="9"/>
              <w:rPr>
                <w:sz w:val="14"/>
              </w:rPr>
            </w:pPr>
          </w:p>
          <w:p>
            <w:pPr>
              <w:pStyle w:val="TableParagraph"/>
              <w:ind w:left="177"/>
              <w:rPr>
                <w:sz w:val="21"/>
              </w:rPr>
            </w:pPr>
            <w:r>
              <w:rPr>
                <w:sz w:val="21"/>
              </w:rPr>
              <w:t>（7）因所依附的主合同或本附加合同其他条款所列情况而终止。</w:t>
            </w:r>
          </w:p>
        </w:tc>
      </w:tr>
      <w:tr>
        <w:trPr>
          <w:trHeight w:val="941" w:hRule="atLeast"/>
        </w:trPr>
        <w:tc>
          <w:tcPr>
            <w:tcW w:w="664" w:type="dxa"/>
          </w:tcPr>
          <w:p>
            <w:pPr>
              <w:pStyle w:val="TableParagraph"/>
              <w:spacing w:before="159"/>
              <w:ind w:left="107"/>
              <w:rPr>
                <w:rFonts w:ascii="Times New Roman"/>
                <w:b/>
                <w:sz w:val="21"/>
              </w:rPr>
            </w:pPr>
            <w:r>
              <w:rPr>
                <w:rFonts w:ascii="Times New Roman"/>
                <w:b/>
                <w:sz w:val="21"/>
              </w:rPr>
              <w:t>6.3</w:t>
            </w:r>
          </w:p>
        </w:tc>
        <w:tc>
          <w:tcPr>
            <w:tcW w:w="1619" w:type="dxa"/>
          </w:tcPr>
          <w:p>
            <w:pPr>
              <w:pStyle w:val="TableParagraph"/>
              <w:spacing w:before="110"/>
              <w:ind w:left="296"/>
              <w:rPr>
                <w:b/>
                <w:sz w:val="21"/>
              </w:rPr>
            </w:pPr>
            <w:r>
              <w:rPr>
                <w:b/>
                <w:sz w:val="21"/>
              </w:rPr>
              <w:t>未还款项</w:t>
            </w:r>
          </w:p>
        </w:tc>
        <w:tc>
          <w:tcPr>
            <w:tcW w:w="7363" w:type="dxa"/>
          </w:tcPr>
          <w:p>
            <w:pPr>
              <w:pStyle w:val="TableParagraph"/>
              <w:spacing w:line="273" w:lineRule="auto" w:before="110"/>
              <w:ind w:left="177" w:right="18"/>
              <w:rPr>
                <w:sz w:val="21"/>
              </w:rPr>
            </w:pPr>
            <w:r>
              <w:rPr>
                <w:spacing w:val="-6"/>
                <w:sz w:val="21"/>
              </w:rPr>
              <w:t>我们在豁免保险费时， 申请人应先补交在本附加合同、主合同或其附加的具有</w:t>
            </w:r>
            <w:r>
              <w:rPr>
                <w:spacing w:val="-4"/>
                <w:sz w:val="21"/>
              </w:rPr>
              <w:t>均衡保险费的长期附加合同下的各项欠款及其利息。</w:t>
            </w:r>
          </w:p>
        </w:tc>
      </w:tr>
      <w:tr>
        <w:trPr>
          <w:trHeight w:val="719" w:hRule="atLeast"/>
        </w:trPr>
        <w:tc>
          <w:tcPr>
            <w:tcW w:w="664" w:type="dxa"/>
            <w:tcBorders>
              <w:bottom w:val="single" w:sz="8" w:space="0" w:color="000000"/>
            </w:tcBorders>
          </w:tcPr>
          <w:p>
            <w:pPr>
              <w:pStyle w:val="TableParagraph"/>
              <w:spacing w:before="170"/>
              <w:ind w:left="107"/>
              <w:rPr>
                <w:b/>
                <w:sz w:val="24"/>
              </w:rPr>
            </w:pPr>
            <w:r>
              <w:rPr>
                <w:b/>
                <w:w w:val="99"/>
                <w:sz w:val="24"/>
              </w:rPr>
              <w:t>7</w:t>
            </w:r>
          </w:p>
        </w:tc>
        <w:tc>
          <w:tcPr>
            <w:tcW w:w="1619" w:type="dxa"/>
            <w:tcBorders>
              <w:bottom w:val="single" w:sz="8" w:space="0" w:color="000000"/>
            </w:tcBorders>
          </w:tcPr>
          <w:p>
            <w:pPr>
              <w:pStyle w:val="TableParagraph"/>
              <w:spacing w:before="170"/>
              <w:ind w:left="238"/>
              <w:rPr>
                <w:b/>
                <w:sz w:val="24"/>
              </w:rPr>
            </w:pPr>
            <w:r>
              <w:rPr>
                <w:b/>
                <w:sz w:val="24"/>
              </w:rPr>
              <w:t>如实告知</w:t>
            </w:r>
          </w:p>
        </w:tc>
        <w:tc>
          <w:tcPr>
            <w:tcW w:w="7363" w:type="dxa"/>
            <w:tcBorders>
              <w:bottom w:val="single" w:sz="8" w:space="0" w:color="000000"/>
            </w:tcBorders>
          </w:tcPr>
          <w:p>
            <w:pPr>
              <w:pStyle w:val="TableParagraph"/>
              <w:rPr>
                <w:rFonts w:ascii="Times New Roman"/>
                <w:sz w:val="20"/>
              </w:rPr>
            </w:pPr>
          </w:p>
        </w:tc>
      </w:tr>
      <w:tr>
        <w:trPr>
          <w:trHeight w:val="5551" w:hRule="atLeast"/>
        </w:trPr>
        <w:tc>
          <w:tcPr>
            <w:tcW w:w="664" w:type="dxa"/>
            <w:tcBorders>
              <w:top w:val="single" w:sz="8" w:space="0" w:color="000000"/>
            </w:tcBorders>
          </w:tcPr>
          <w:p>
            <w:pPr>
              <w:pStyle w:val="TableParagraph"/>
              <w:spacing w:before="138"/>
              <w:ind w:left="107"/>
              <w:rPr>
                <w:b/>
                <w:sz w:val="21"/>
              </w:rPr>
            </w:pPr>
            <w:r>
              <w:rPr>
                <w:b/>
                <w:sz w:val="21"/>
              </w:rPr>
              <w:t>7.1</w:t>
            </w:r>
          </w:p>
        </w:tc>
        <w:tc>
          <w:tcPr>
            <w:tcW w:w="1619" w:type="dxa"/>
            <w:tcBorders>
              <w:top w:val="single" w:sz="8" w:space="0" w:color="000000"/>
            </w:tcBorders>
          </w:tcPr>
          <w:p>
            <w:pPr>
              <w:pStyle w:val="TableParagraph"/>
              <w:spacing w:line="273" w:lineRule="auto" w:before="138"/>
              <w:ind w:left="238" w:right="110"/>
              <w:rPr>
                <w:b/>
                <w:sz w:val="21"/>
              </w:rPr>
            </w:pPr>
            <w:r>
              <w:rPr>
                <w:b/>
                <w:sz w:val="21"/>
              </w:rPr>
              <w:t>明确说明与如实告知</w:t>
            </w:r>
          </w:p>
        </w:tc>
        <w:tc>
          <w:tcPr>
            <w:tcW w:w="7363" w:type="dxa"/>
            <w:tcBorders>
              <w:top w:val="single" w:sz="8" w:space="0" w:color="000000"/>
            </w:tcBorders>
          </w:tcPr>
          <w:p>
            <w:pPr>
              <w:pStyle w:val="TableParagraph"/>
              <w:spacing w:before="138"/>
              <w:ind w:left="129"/>
              <w:rPr>
                <w:sz w:val="21"/>
              </w:rPr>
            </w:pPr>
            <w:r>
              <w:rPr>
                <w:sz w:val="21"/>
              </w:rPr>
              <w:t>订立本附加合同时，我们应向您说明本附加合同的内容。</w:t>
            </w:r>
          </w:p>
          <w:p>
            <w:pPr>
              <w:pStyle w:val="TableParagraph"/>
              <w:spacing w:before="9"/>
              <w:rPr>
                <w:sz w:val="14"/>
              </w:rPr>
            </w:pPr>
          </w:p>
          <w:p>
            <w:pPr>
              <w:pStyle w:val="TableParagraph"/>
              <w:spacing w:line="273" w:lineRule="auto"/>
              <w:ind w:left="129"/>
              <w:jc w:val="both"/>
              <w:rPr>
                <w:sz w:val="21"/>
              </w:rPr>
            </w:pPr>
            <w:r>
              <w:rPr>
                <w:b/>
                <w:spacing w:val="-5"/>
                <w:sz w:val="21"/>
              </w:rPr>
              <w:t>对保险条款中免除我们责任的条款，我们在订立合同时应当在投保单、保险单或者其他保险凭证上作出足以引起您注意的提示</w:t>
            </w:r>
            <w:r>
              <w:rPr>
                <w:spacing w:val="-7"/>
                <w:sz w:val="21"/>
              </w:rPr>
              <w:t>，并对该条款的内容以书面或</w:t>
            </w:r>
            <w:r>
              <w:rPr>
                <w:spacing w:val="-12"/>
                <w:sz w:val="21"/>
              </w:rPr>
              <w:t>者口头形式向您作出明确说明，未作提示或者明确说明的，该条款不产生效力。</w:t>
            </w:r>
          </w:p>
          <w:p>
            <w:pPr>
              <w:pStyle w:val="TableParagraph"/>
              <w:spacing w:before="163"/>
              <w:ind w:left="129"/>
              <w:rPr>
                <w:sz w:val="21"/>
              </w:rPr>
            </w:pPr>
            <w:r>
              <w:rPr>
                <w:sz w:val="21"/>
              </w:rPr>
              <w:t>我们就您和被保险人的有关情况提出询问，您应当如实告知。</w:t>
            </w:r>
          </w:p>
          <w:p>
            <w:pPr>
              <w:pStyle w:val="TableParagraph"/>
              <w:spacing w:before="9"/>
              <w:rPr>
                <w:sz w:val="14"/>
              </w:rPr>
            </w:pPr>
          </w:p>
          <w:p>
            <w:pPr>
              <w:pStyle w:val="TableParagraph"/>
              <w:spacing w:line="273" w:lineRule="auto"/>
              <w:ind w:left="129" w:right="48"/>
              <w:rPr>
                <w:b/>
                <w:sz w:val="21"/>
              </w:rPr>
            </w:pPr>
            <w:r>
              <w:rPr>
                <w:b/>
                <w:sz w:val="21"/>
              </w:rPr>
              <w:t>如果您故意或者因重大过失未履行前款规定的如实告知义务，足以影响我们决定是否同意承保或者提高保险费率的，我们有权解除本附加合同。</w:t>
            </w:r>
          </w:p>
          <w:p>
            <w:pPr>
              <w:pStyle w:val="TableParagraph"/>
              <w:spacing w:line="273" w:lineRule="auto" w:before="163"/>
              <w:ind w:left="129" w:right="48"/>
              <w:rPr>
                <w:b/>
                <w:sz w:val="21"/>
              </w:rPr>
            </w:pPr>
            <w:r>
              <w:rPr>
                <w:b/>
                <w:sz w:val="21"/>
              </w:rPr>
              <w:t>如果您故意不履行如实告知义务，对于本附加合同解除前发生的保险事故，我们不承担豁免保险费的责任，并不退还保险费。</w:t>
            </w:r>
          </w:p>
          <w:p>
            <w:pPr>
              <w:pStyle w:val="TableParagraph"/>
              <w:spacing w:line="273" w:lineRule="auto" w:before="163"/>
              <w:ind w:left="129" w:right="106"/>
              <w:jc w:val="both"/>
              <w:rPr>
                <w:b/>
                <w:sz w:val="21"/>
              </w:rPr>
            </w:pPr>
            <w:r>
              <w:rPr>
                <w:b/>
                <w:spacing w:val="-5"/>
                <w:sz w:val="21"/>
              </w:rPr>
              <w:t>如果您因重大过失未履行如实告知义务，对保险事故的发生有严重影响的，对</w:t>
            </w:r>
            <w:r>
              <w:rPr>
                <w:b/>
                <w:spacing w:val="-7"/>
                <w:sz w:val="21"/>
              </w:rPr>
              <w:t>于本附加合同解除前发生的保险事故，我们不承担豁免保险费的责任，但应当退还保险费。</w:t>
            </w:r>
          </w:p>
          <w:p>
            <w:pPr>
              <w:pStyle w:val="TableParagraph"/>
              <w:spacing w:line="273" w:lineRule="auto" w:before="164"/>
              <w:ind w:left="129" w:right="75"/>
              <w:rPr>
                <w:sz w:val="21"/>
              </w:rPr>
            </w:pPr>
            <w:r>
              <w:rPr>
                <w:sz w:val="21"/>
              </w:rPr>
              <w:t>我们在合同订立时已经知道您未如实告知的情况的，我们不得解除合同；发生保险事故的，我们承担豁免保险费的责任。</w:t>
            </w:r>
          </w:p>
        </w:tc>
      </w:tr>
      <w:tr>
        <w:trPr>
          <w:trHeight w:val="626" w:hRule="atLeast"/>
        </w:trPr>
        <w:tc>
          <w:tcPr>
            <w:tcW w:w="664" w:type="dxa"/>
            <w:tcBorders>
              <w:bottom w:val="single" w:sz="8" w:space="0" w:color="000000"/>
            </w:tcBorders>
          </w:tcPr>
          <w:p>
            <w:pPr>
              <w:pStyle w:val="TableParagraph"/>
              <w:spacing w:before="70"/>
              <w:ind w:left="107"/>
              <w:rPr>
                <w:b/>
                <w:sz w:val="24"/>
              </w:rPr>
            </w:pPr>
            <w:r>
              <w:rPr>
                <w:b/>
                <w:sz w:val="24"/>
              </w:rPr>
              <w:t>8.</w:t>
            </w:r>
          </w:p>
        </w:tc>
        <w:tc>
          <w:tcPr>
            <w:tcW w:w="8982" w:type="dxa"/>
            <w:gridSpan w:val="2"/>
            <w:tcBorders>
              <w:bottom w:val="single" w:sz="8" w:space="0" w:color="000000"/>
            </w:tcBorders>
          </w:tcPr>
          <w:p>
            <w:pPr>
              <w:pStyle w:val="TableParagraph"/>
              <w:spacing w:before="70"/>
              <w:ind w:left="238"/>
              <w:rPr>
                <w:b/>
                <w:sz w:val="24"/>
              </w:rPr>
            </w:pPr>
            <w:r>
              <w:rPr>
                <w:b/>
                <w:w w:val="95"/>
                <w:sz w:val="24"/>
              </w:rPr>
              <w:t>其他需要关注的事项</w:t>
            </w:r>
          </w:p>
        </w:tc>
      </w:tr>
      <w:tr>
        <w:trPr>
          <w:trHeight w:val="2597" w:hRule="atLeast"/>
        </w:trPr>
        <w:tc>
          <w:tcPr>
            <w:tcW w:w="664" w:type="dxa"/>
            <w:tcBorders>
              <w:top w:val="single" w:sz="8" w:space="0" w:color="000000"/>
            </w:tcBorders>
          </w:tcPr>
          <w:p>
            <w:pPr>
              <w:pStyle w:val="TableParagraph"/>
              <w:spacing w:before="138"/>
              <w:ind w:left="107"/>
              <w:rPr>
                <w:b/>
                <w:sz w:val="21"/>
              </w:rPr>
            </w:pPr>
            <w:r>
              <w:rPr>
                <w:b/>
                <w:sz w:val="21"/>
              </w:rPr>
              <w:t>8.1</w:t>
            </w:r>
          </w:p>
        </w:tc>
        <w:tc>
          <w:tcPr>
            <w:tcW w:w="1619" w:type="dxa"/>
            <w:tcBorders>
              <w:top w:val="single" w:sz="8" w:space="0" w:color="000000"/>
            </w:tcBorders>
          </w:tcPr>
          <w:p>
            <w:pPr>
              <w:pStyle w:val="TableParagraph"/>
              <w:spacing w:line="273" w:lineRule="auto" w:before="138"/>
              <w:ind w:left="238" w:right="110"/>
              <w:rPr>
                <w:b/>
                <w:sz w:val="21"/>
              </w:rPr>
            </w:pPr>
            <w:r>
              <w:rPr>
                <w:b/>
                <w:sz w:val="21"/>
              </w:rPr>
              <w:t>年龄或性别错误</w:t>
            </w:r>
          </w:p>
        </w:tc>
        <w:tc>
          <w:tcPr>
            <w:tcW w:w="7363" w:type="dxa"/>
            <w:tcBorders>
              <w:top w:val="single" w:sz="8" w:space="0" w:color="000000"/>
            </w:tcBorders>
          </w:tcPr>
          <w:p>
            <w:pPr>
              <w:pStyle w:val="TableParagraph"/>
              <w:spacing w:line="273" w:lineRule="auto" w:before="138"/>
              <w:ind w:left="129" w:right="106" w:firstLine="2"/>
              <w:jc w:val="both"/>
              <w:rPr>
                <w:sz w:val="21"/>
              </w:rPr>
            </w:pPr>
            <w:r>
              <w:rPr>
                <w:spacing w:val="-5"/>
                <w:sz w:val="21"/>
              </w:rPr>
              <w:t>您在申请投保时，应将与有效身份证件相符的被保险人的出生日期及性别在投</w:t>
            </w:r>
            <w:r>
              <w:rPr>
                <w:spacing w:val="-3"/>
                <w:sz w:val="21"/>
              </w:rPr>
              <w:t>保单上填明，如果发生错误按照下列方式办理：</w:t>
            </w:r>
          </w:p>
          <w:p>
            <w:pPr>
              <w:pStyle w:val="TableParagraph"/>
              <w:spacing w:line="273" w:lineRule="auto" w:before="163"/>
              <w:ind w:left="115" w:right="106" w:firstLine="14"/>
              <w:jc w:val="both"/>
              <w:rPr>
                <w:b/>
                <w:sz w:val="21"/>
              </w:rPr>
            </w:pPr>
            <w:r>
              <w:rPr>
                <w:sz w:val="21"/>
              </w:rPr>
              <w:t>1. </w:t>
            </w:r>
            <w:r>
              <w:rPr>
                <w:b/>
                <w:spacing w:val="-3"/>
                <w:sz w:val="21"/>
              </w:rPr>
              <w:t>您申报的被保险人年龄不真实，并且其真实年龄不符合本附加合同约定投</w:t>
            </w:r>
            <w:r>
              <w:rPr>
                <w:b/>
                <w:spacing w:val="-6"/>
                <w:sz w:val="21"/>
              </w:rPr>
              <w:t>保年龄限制的，我们有权解除本附加合同。对于解除本附加合同的，本附加合</w:t>
            </w:r>
            <w:r>
              <w:rPr>
                <w:b/>
                <w:spacing w:val="-8"/>
                <w:sz w:val="21"/>
              </w:rPr>
              <w:t>同自解除之日起终止，我们向您退还本附加合同效力终止时的现金价值。对于本附加合同解除前发生的保险事故，我们不承担豁免保险费的责任。</w:t>
            </w:r>
          </w:p>
          <w:p>
            <w:pPr>
              <w:pStyle w:val="TableParagraph"/>
              <w:spacing w:line="255" w:lineRule="exact" w:before="163"/>
              <w:ind w:left="112"/>
              <w:jc w:val="both"/>
              <w:rPr>
                <w:sz w:val="21"/>
              </w:rPr>
            </w:pPr>
            <w:r>
              <w:rPr>
                <w:sz w:val="21"/>
              </w:rPr>
              <w:t>2.</w:t>
            </w:r>
            <w:r>
              <w:rPr>
                <w:spacing w:val="-9"/>
                <w:sz w:val="21"/>
              </w:rPr>
              <w:t>您申报的被保险人年龄或性别不真实，致使您实付保险费少于应付保险费的，</w:t>
            </w:r>
          </w:p>
        </w:tc>
      </w:tr>
    </w:tbl>
    <w:p>
      <w:pPr>
        <w:spacing w:after="0" w:line="255" w:lineRule="exact"/>
        <w:jc w:val="both"/>
        <w:rPr>
          <w:sz w:val="21"/>
        </w:rPr>
        <w:sectPr>
          <w:pgSz w:w="11910" w:h="16840"/>
          <w:pgMar w:header="0" w:footer="924" w:top="1160" w:bottom="1120" w:left="920" w:right="11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7"/>
        <w:gridCol w:w="1646"/>
        <w:gridCol w:w="7428"/>
      </w:tblGrid>
      <w:tr>
        <w:trPr>
          <w:trHeight w:val="1432" w:hRule="atLeast"/>
        </w:trPr>
        <w:tc>
          <w:tcPr>
            <w:tcW w:w="657" w:type="dxa"/>
          </w:tcPr>
          <w:p>
            <w:pPr>
              <w:pStyle w:val="TableParagraph"/>
              <w:rPr>
                <w:rFonts w:ascii="Times New Roman"/>
                <w:sz w:val="20"/>
              </w:rPr>
            </w:pPr>
          </w:p>
        </w:tc>
        <w:tc>
          <w:tcPr>
            <w:tcW w:w="1646" w:type="dxa"/>
          </w:tcPr>
          <w:p>
            <w:pPr>
              <w:pStyle w:val="TableParagraph"/>
              <w:rPr>
                <w:rFonts w:ascii="Times New Roman"/>
                <w:sz w:val="20"/>
              </w:rPr>
            </w:pPr>
          </w:p>
        </w:tc>
        <w:tc>
          <w:tcPr>
            <w:tcW w:w="7428" w:type="dxa"/>
          </w:tcPr>
          <w:p>
            <w:pPr>
              <w:pStyle w:val="TableParagraph"/>
              <w:spacing w:line="211" w:lineRule="exact"/>
              <w:ind w:left="107"/>
              <w:rPr>
                <w:b/>
                <w:sz w:val="21"/>
              </w:rPr>
            </w:pPr>
            <w:r>
              <w:rPr>
                <w:sz w:val="21"/>
              </w:rPr>
              <w:t>我们有权更正并要求您补交保险费。</w:t>
            </w:r>
            <w:r>
              <w:rPr>
                <w:b/>
                <w:sz w:val="21"/>
              </w:rPr>
              <w:t>若已经发生保险事故，在豁免保险费时按</w:t>
            </w:r>
          </w:p>
          <w:p>
            <w:pPr>
              <w:pStyle w:val="TableParagraph"/>
              <w:spacing w:before="37"/>
              <w:ind w:left="107"/>
              <w:rPr>
                <w:sz w:val="21"/>
              </w:rPr>
            </w:pPr>
            <w:r>
              <w:rPr>
                <w:b/>
                <w:sz w:val="21"/>
              </w:rPr>
              <w:t>实付保险费和应付保险费的比例豁免</w:t>
            </w:r>
            <w:r>
              <w:rPr>
                <w:sz w:val="21"/>
              </w:rPr>
              <w:t>。</w:t>
            </w:r>
          </w:p>
          <w:p>
            <w:pPr>
              <w:pStyle w:val="TableParagraph"/>
              <w:spacing w:before="9"/>
              <w:rPr>
                <w:sz w:val="14"/>
              </w:rPr>
            </w:pPr>
          </w:p>
          <w:p>
            <w:pPr>
              <w:pStyle w:val="TableParagraph"/>
              <w:spacing w:line="273" w:lineRule="auto"/>
              <w:ind w:left="109" w:right="379"/>
              <w:rPr>
                <w:sz w:val="21"/>
              </w:rPr>
            </w:pPr>
            <w:r>
              <w:rPr>
                <w:sz w:val="21"/>
              </w:rPr>
              <w:t>3.您申报的被保险人年龄或性别不真实，致使您实付保险费多于应付保险费的，我们会将多收的保险费退还给您。</w:t>
            </w:r>
          </w:p>
        </w:tc>
      </w:tr>
      <w:tr>
        <w:trPr>
          <w:trHeight w:val="1083" w:hRule="atLeast"/>
        </w:trPr>
        <w:tc>
          <w:tcPr>
            <w:tcW w:w="657" w:type="dxa"/>
          </w:tcPr>
          <w:p>
            <w:pPr>
              <w:pStyle w:val="TableParagraph"/>
              <w:spacing w:before="64"/>
              <w:ind w:left="107"/>
              <w:rPr>
                <w:b/>
                <w:sz w:val="21"/>
              </w:rPr>
            </w:pPr>
            <w:r>
              <w:rPr>
                <w:b/>
                <w:sz w:val="21"/>
              </w:rPr>
              <w:t>8.2</w:t>
            </w:r>
          </w:p>
        </w:tc>
        <w:tc>
          <w:tcPr>
            <w:tcW w:w="1646" w:type="dxa"/>
          </w:tcPr>
          <w:p>
            <w:pPr>
              <w:pStyle w:val="TableParagraph"/>
              <w:spacing w:line="273" w:lineRule="auto" w:before="64"/>
              <w:ind w:left="245" w:right="130"/>
              <w:rPr>
                <w:b/>
                <w:sz w:val="21"/>
              </w:rPr>
            </w:pPr>
            <w:r>
              <w:rPr>
                <w:b/>
                <w:sz w:val="21"/>
              </w:rPr>
              <w:t>身体检查与司法鉴定</w:t>
            </w:r>
          </w:p>
        </w:tc>
        <w:tc>
          <w:tcPr>
            <w:tcW w:w="7428" w:type="dxa"/>
          </w:tcPr>
          <w:p>
            <w:pPr>
              <w:pStyle w:val="TableParagraph"/>
              <w:spacing w:line="273" w:lineRule="auto" w:before="64"/>
              <w:ind w:left="109" w:right="189"/>
              <w:rPr>
                <w:sz w:val="21"/>
              </w:rPr>
            </w:pPr>
            <w:r>
              <w:rPr>
                <w:spacing w:val="-5"/>
                <w:sz w:val="21"/>
              </w:rPr>
              <w:t>被保险人申请豁免保险费时，我们有权要求被保险人做身体检查或提供有关的</w:t>
            </w:r>
            <w:r>
              <w:rPr>
                <w:spacing w:val="-4"/>
                <w:sz w:val="21"/>
              </w:rPr>
              <w:t>检验报告,有权申请司法鉴定机构或者国家认可的鉴定机构对保险事故进行鉴定。</w:t>
            </w:r>
          </w:p>
        </w:tc>
      </w:tr>
      <w:tr>
        <w:trPr>
          <w:trHeight w:val="541" w:hRule="atLeast"/>
        </w:trPr>
        <w:tc>
          <w:tcPr>
            <w:tcW w:w="657" w:type="dxa"/>
            <w:tcBorders>
              <w:bottom w:val="single" w:sz="4" w:space="0" w:color="000000"/>
            </w:tcBorders>
          </w:tcPr>
          <w:p>
            <w:pPr>
              <w:pStyle w:val="TableParagraph"/>
              <w:spacing w:before="45"/>
              <w:ind w:left="107"/>
              <w:rPr>
                <w:b/>
                <w:sz w:val="24"/>
              </w:rPr>
            </w:pPr>
            <w:r>
              <w:rPr>
                <w:b/>
                <w:sz w:val="24"/>
              </w:rPr>
              <w:t>9.</w:t>
            </w:r>
          </w:p>
        </w:tc>
        <w:tc>
          <w:tcPr>
            <w:tcW w:w="1646" w:type="dxa"/>
            <w:tcBorders>
              <w:bottom w:val="single" w:sz="4" w:space="0" w:color="000000"/>
            </w:tcBorders>
          </w:tcPr>
          <w:p>
            <w:pPr>
              <w:pStyle w:val="TableParagraph"/>
              <w:spacing w:before="45"/>
              <w:ind w:left="303"/>
              <w:rPr>
                <w:b/>
                <w:sz w:val="24"/>
              </w:rPr>
            </w:pPr>
            <w:r>
              <w:rPr>
                <w:b/>
                <w:sz w:val="24"/>
              </w:rPr>
              <w:t>释义</w:t>
            </w:r>
          </w:p>
        </w:tc>
        <w:tc>
          <w:tcPr>
            <w:tcW w:w="7428" w:type="dxa"/>
            <w:tcBorders>
              <w:bottom w:val="single" w:sz="4" w:space="0" w:color="000000"/>
            </w:tcBorders>
          </w:tcPr>
          <w:p>
            <w:pPr>
              <w:pStyle w:val="TableParagraph"/>
              <w:rPr>
                <w:rFonts w:ascii="Times New Roman"/>
                <w:sz w:val="20"/>
              </w:rPr>
            </w:pPr>
          </w:p>
        </w:tc>
      </w:tr>
      <w:tr>
        <w:trPr>
          <w:trHeight w:val="796" w:hRule="atLeast"/>
        </w:trPr>
        <w:tc>
          <w:tcPr>
            <w:tcW w:w="657" w:type="dxa"/>
            <w:tcBorders>
              <w:top w:val="single" w:sz="4" w:space="0" w:color="000000"/>
            </w:tcBorders>
          </w:tcPr>
          <w:p>
            <w:pPr>
              <w:pStyle w:val="TableParagraph"/>
              <w:spacing w:before="112"/>
              <w:ind w:left="107"/>
              <w:rPr>
                <w:b/>
                <w:sz w:val="21"/>
              </w:rPr>
            </w:pPr>
            <w:r>
              <w:rPr>
                <w:b/>
                <w:sz w:val="21"/>
              </w:rPr>
              <w:t>9.1</w:t>
            </w:r>
          </w:p>
        </w:tc>
        <w:tc>
          <w:tcPr>
            <w:tcW w:w="1646" w:type="dxa"/>
            <w:tcBorders>
              <w:top w:val="single" w:sz="4" w:space="0" w:color="000000"/>
            </w:tcBorders>
          </w:tcPr>
          <w:p>
            <w:pPr>
              <w:pStyle w:val="TableParagraph"/>
              <w:spacing w:before="112"/>
              <w:ind w:left="303"/>
              <w:rPr>
                <w:b/>
                <w:sz w:val="21"/>
              </w:rPr>
            </w:pPr>
            <w:r>
              <w:rPr>
                <w:b/>
                <w:sz w:val="21"/>
              </w:rPr>
              <w:t>保险单年度</w:t>
            </w:r>
          </w:p>
        </w:tc>
        <w:tc>
          <w:tcPr>
            <w:tcW w:w="7428" w:type="dxa"/>
            <w:tcBorders>
              <w:top w:val="single" w:sz="4" w:space="0" w:color="000000"/>
            </w:tcBorders>
          </w:tcPr>
          <w:p>
            <w:pPr>
              <w:pStyle w:val="TableParagraph"/>
              <w:spacing w:line="273" w:lineRule="auto" w:before="112"/>
              <w:ind w:left="157" w:right="122"/>
              <w:rPr>
                <w:sz w:val="21"/>
              </w:rPr>
            </w:pPr>
            <w:r>
              <w:rPr>
                <w:sz w:val="21"/>
              </w:rPr>
              <w:t>指从本附加合同生效日或生效对应日起至下一年度本附加合同生效对应日止的期间为一个保险单年度。</w:t>
            </w:r>
          </w:p>
        </w:tc>
      </w:tr>
      <w:tr>
        <w:trPr>
          <w:trHeight w:val="716" w:hRule="atLeast"/>
        </w:trPr>
        <w:tc>
          <w:tcPr>
            <w:tcW w:w="657" w:type="dxa"/>
          </w:tcPr>
          <w:p>
            <w:pPr>
              <w:pStyle w:val="TableParagraph"/>
              <w:spacing w:before="33"/>
              <w:ind w:left="107"/>
              <w:rPr>
                <w:b/>
                <w:sz w:val="21"/>
              </w:rPr>
            </w:pPr>
            <w:r>
              <w:rPr>
                <w:b/>
                <w:sz w:val="21"/>
              </w:rPr>
              <w:t>9.2</w:t>
            </w:r>
          </w:p>
        </w:tc>
        <w:tc>
          <w:tcPr>
            <w:tcW w:w="1646" w:type="dxa"/>
          </w:tcPr>
          <w:p>
            <w:pPr>
              <w:pStyle w:val="TableParagraph"/>
              <w:spacing w:line="273" w:lineRule="auto" w:before="33"/>
              <w:ind w:left="303" w:right="73"/>
              <w:rPr>
                <w:b/>
                <w:sz w:val="21"/>
              </w:rPr>
            </w:pPr>
            <w:r>
              <w:rPr>
                <w:b/>
                <w:sz w:val="21"/>
              </w:rPr>
              <w:t>保险费约定交纳日</w:t>
            </w:r>
          </w:p>
        </w:tc>
        <w:tc>
          <w:tcPr>
            <w:tcW w:w="7428" w:type="dxa"/>
          </w:tcPr>
          <w:p>
            <w:pPr>
              <w:pStyle w:val="TableParagraph"/>
              <w:spacing w:line="273" w:lineRule="auto" w:before="33"/>
              <w:ind w:left="157" w:right="122"/>
              <w:rPr>
                <w:sz w:val="21"/>
              </w:rPr>
            </w:pPr>
            <w:r>
              <w:rPr>
                <w:sz w:val="21"/>
              </w:rPr>
              <w:t>指本附加合同生效日在每月、每季、每半年或每年（根据交费方式确定）的对应日。如果当月无对应的同一日，则以该月最后一日为对应日。</w:t>
            </w:r>
          </w:p>
        </w:tc>
      </w:tr>
      <w:tr>
        <w:trPr>
          <w:trHeight w:val="783" w:hRule="atLeast"/>
        </w:trPr>
        <w:tc>
          <w:tcPr>
            <w:tcW w:w="657" w:type="dxa"/>
          </w:tcPr>
          <w:p>
            <w:pPr>
              <w:pStyle w:val="TableParagraph"/>
              <w:spacing w:before="32"/>
              <w:ind w:left="107"/>
              <w:rPr>
                <w:b/>
                <w:sz w:val="21"/>
              </w:rPr>
            </w:pPr>
            <w:r>
              <w:rPr>
                <w:b/>
                <w:sz w:val="21"/>
              </w:rPr>
              <w:t>9.3</w:t>
            </w:r>
          </w:p>
        </w:tc>
        <w:tc>
          <w:tcPr>
            <w:tcW w:w="1646" w:type="dxa"/>
          </w:tcPr>
          <w:p>
            <w:pPr>
              <w:pStyle w:val="TableParagraph"/>
              <w:spacing w:before="32"/>
              <w:ind w:left="303"/>
              <w:rPr>
                <w:b/>
                <w:sz w:val="21"/>
              </w:rPr>
            </w:pPr>
            <w:r>
              <w:rPr>
                <w:b/>
                <w:sz w:val="21"/>
              </w:rPr>
              <w:t>周岁</w:t>
            </w:r>
          </w:p>
        </w:tc>
        <w:tc>
          <w:tcPr>
            <w:tcW w:w="7428" w:type="dxa"/>
          </w:tcPr>
          <w:p>
            <w:pPr>
              <w:pStyle w:val="TableParagraph"/>
              <w:spacing w:line="273" w:lineRule="auto" w:before="32"/>
              <w:ind w:left="157" w:right="177"/>
              <w:rPr>
                <w:sz w:val="21"/>
              </w:rPr>
            </w:pPr>
            <w:r>
              <w:rPr>
                <w:spacing w:val="-3"/>
                <w:sz w:val="21"/>
              </w:rPr>
              <w:t>以户籍证明或其他法定的身份证件中记载的出生日期为标准计算年龄（</w:t>
            </w:r>
            <w:r>
              <w:rPr>
                <w:spacing w:val="-10"/>
                <w:sz w:val="21"/>
              </w:rPr>
              <w:t>不足 </w:t>
            </w:r>
            <w:r>
              <w:rPr>
                <w:sz w:val="21"/>
              </w:rPr>
              <w:t>1 </w:t>
            </w:r>
            <w:r>
              <w:rPr>
                <w:spacing w:val="-1"/>
                <w:sz w:val="21"/>
              </w:rPr>
              <w:t>年不计</w:t>
            </w:r>
            <w:r>
              <w:rPr>
                <w:spacing w:val="-106"/>
                <w:sz w:val="21"/>
              </w:rPr>
              <w:t>）</w:t>
            </w:r>
            <w:r>
              <w:rPr>
                <w:sz w:val="21"/>
              </w:rPr>
              <w:t>。</w:t>
            </w:r>
          </w:p>
        </w:tc>
      </w:tr>
      <w:tr>
        <w:trPr>
          <w:trHeight w:val="857" w:hRule="atLeast"/>
        </w:trPr>
        <w:tc>
          <w:tcPr>
            <w:tcW w:w="657" w:type="dxa"/>
          </w:tcPr>
          <w:p>
            <w:pPr>
              <w:pStyle w:val="TableParagraph"/>
              <w:spacing w:before="100"/>
              <w:ind w:left="107"/>
              <w:rPr>
                <w:b/>
                <w:sz w:val="21"/>
              </w:rPr>
            </w:pPr>
            <w:r>
              <w:rPr>
                <w:b/>
                <w:sz w:val="21"/>
              </w:rPr>
              <w:t>9.4</w:t>
            </w:r>
          </w:p>
        </w:tc>
        <w:tc>
          <w:tcPr>
            <w:tcW w:w="1646" w:type="dxa"/>
          </w:tcPr>
          <w:p>
            <w:pPr>
              <w:pStyle w:val="TableParagraph"/>
              <w:spacing w:before="100"/>
              <w:ind w:right="73"/>
              <w:jc w:val="right"/>
              <w:rPr>
                <w:b/>
                <w:sz w:val="21"/>
              </w:rPr>
            </w:pPr>
            <w:r>
              <w:rPr>
                <w:b/>
                <w:sz w:val="21"/>
              </w:rPr>
              <w:t>有效身份证件</w:t>
            </w:r>
          </w:p>
        </w:tc>
        <w:tc>
          <w:tcPr>
            <w:tcW w:w="7428" w:type="dxa"/>
          </w:tcPr>
          <w:p>
            <w:pPr>
              <w:pStyle w:val="TableParagraph"/>
              <w:spacing w:line="273" w:lineRule="auto" w:before="100"/>
              <w:ind w:left="157" w:right="122"/>
              <w:rPr>
                <w:sz w:val="21"/>
              </w:rPr>
            </w:pPr>
            <w:r>
              <w:rPr>
                <w:sz w:val="21"/>
              </w:rPr>
              <w:t>指由政府主管部门规定的证明其身份的证件，如：居民身份证、按规定可使用的有效护照、军官证、警官证、士兵证、户口簿等证件。</w:t>
            </w:r>
          </w:p>
        </w:tc>
      </w:tr>
      <w:tr>
        <w:trPr>
          <w:trHeight w:val="822" w:hRule="atLeast"/>
        </w:trPr>
        <w:tc>
          <w:tcPr>
            <w:tcW w:w="657" w:type="dxa"/>
          </w:tcPr>
          <w:p>
            <w:pPr>
              <w:pStyle w:val="TableParagraph"/>
              <w:spacing w:before="106"/>
              <w:ind w:left="107"/>
              <w:rPr>
                <w:b/>
                <w:sz w:val="21"/>
              </w:rPr>
            </w:pPr>
            <w:r>
              <w:rPr>
                <w:b/>
                <w:sz w:val="21"/>
              </w:rPr>
              <w:t>9.5</w:t>
            </w:r>
          </w:p>
        </w:tc>
        <w:tc>
          <w:tcPr>
            <w:tcW w:w="1646" w:type="dxa"/>
          </w:tcPr>
          <w:p>
            <w:pPr>
              <w:pStyle w:val="TableParagraph"/>
              <w:spacing w:before="106"/>
              <w:ind w:right="73"/>
              <w:jc w:val="right"/>
              <w:rPr>
                <w:b/>
                <w:sz w:val="21"/>
              </w:rPr>
            </w:pPr>
            <w:r>
              <w:rPr>
                <w:b/>
                <w:sz w:val="21"/>
              </w:rPr>
              <w:t>意外伤害事故</w:t>
            </w:r>
          </w:p>
        </w:tc>
        <w:tc>
          <w:tcPr>
            <w:tcW w:w="7428" w:type="dxa"/>
          </w:tcPr>
          <w:p>
            <w:pPr>
              <w:pStyle w:val="TableParagraph"/>
              <w:spacing w:line="273" w:lineRule="auto" w:before="106"/>
              <w:ind w:left="157" w:right="122"/>
              <w:rPr>
                <w:b/>
                <w:sz w:val="21"/>
              </w:rPr>
            </w:pPr>
            <w:r>
              <w:rPr>
                <w:sz w:val="21"/>
              </w:rPr>
              <w:t>指遭受外来的、突发的、非本意的、非由疾病引起的使身体受到伤害的客观事件，</w:t>
            </w:r>
            <w:r>
              <w:rPr>
                <w:b/>
                <w:sz w:val="21"/>
              </w:rPr>
              <w:t>不包括猝死</w:t>
            </w:r>
            <w:r>
              <w:rPr>
                <w:sz w:val="21"/>
              </w:rPr>
              <w:t>（见 9.20）</w:t>
            </w:r>
            <w:r>
              <w:rPr>
                <w:b/>
                <w:sz w:val="21"/>
              </w:rPr>
              <w:t>情形。</w:t>
            </w:r>
          </w:p>
        </w:tc>
      </w:tr>
      <w:tr>
        <w:trPr>
          <w:trHeight w:val="2027" w:hRule="atLeast"/>
        </w:trPr>
        <w:tc>
          <w:tcPr>
            <w:tcW w:w="657" w:type="dxa"/>
          </w:tcPr>
          <w:p>
            <w:pPr>
              <w:pStyle w:val="TableParagraph"/>
              <w:spacing w:before="65"/>
              <w:ind w:left="107"/>
              <w:rPr>
                <w:b/>
                <w:sz w:val="21"/>
              </w:rPr>
            </w:pPr>
            <w:r>
              <w:rPr>
                <w:b/>
                <w:sz w:val="21"/>
              </w:rPr>
              <w:t>9.6</w:t>
            </w:r>
          </w:p>
        </w:tc>
        <w:tc>
          <w:tcPr>
            <w:tcW w:w="1646" w:type="dxa"/>
          </w:tcPr>
          <w:p>
            <w:pPr>
              <w:pStyle w:val="TableParagraph"/>
              <w:spacing w:before="65"/>
              <w:ind w:left="303"/>
              <w:rPr>
                <w:b/>
                <w:sz w:val="21"/>
              </w:rPr>
            </w:pPr>
            <w:r>
              <w:rPr>
                <w:b/>
                <w:sz w:val="21"/>
              </w:rPr>
              <w:t>医院</w:t>
            </w:r>
          </w:p>
        </w:tc>
        <w:tc>
          <w:tcPr>
            <w:tcW w:w="7428" w:type="dxa"/>
          </w:tcPr>
          <w:p>
            <w:pPr>
              <w:pStyle w:val="TableParagraph"/>
              <w:spacing w:line="273" w:lineRule="auto" w:before="65"/>
              <w:ind w:left="157" w:right="36"/>
              <w:rPr>
                <w:sz w:val="21"/>
              </w:rPr>
            </w:pPr>
            <w:r>
              <w:rPr>
                <w:spacing w:val="-3"/>
                <w:sz w:val="21"/>
              </w:rPr>
              <w:t>本附加合同所称医院指我们指定医院或经中华人民共和国卫生部门评审确定  的</w:t>
            </w:r>
            <w:r>
              <w:rPr>
                <w:b/>
                <w:sz w:val="21"/>
              </w:rPr>
              <w:t>二级或以上之公立医院</w:t>
            </w:r>
            <w:r>
              <w:rPr>
                <w:spacing w:val="-39"/>
                <w:sz w:val="21"/>
              </w:rPr>
              <w:t>，</w:t>
            </w:r>
            <w:r>
              <w:rPr>
                <w:b/>
                <w:spacing w:val="-9"/>
                <w:sz w:val="21"/>
              </w:rPr>
              <w:t>但不包括精神病院及专供康复、护理、疗养、戒酒、</w:t>
            </w:r>
            <w:r>
              <w:rPr>
                <w:b/>
                <w:spacing w:val="-8"/>
                <w:sz w:val="21"/>
              </w:rPr>
              <w:t>戒毒、养老等非以直接诊治病人为目的之医疗机构。</w:t>
            </w:r>
            <w:r>
              <w:rPr>
                <w:spacing w:val="-3"/>
                <w:sz w:val="21"/>
              </w:rPr>
              <w:t>该医院必须具有符合国家</w:t>
            </w:r>
            <w:r>
              <w:rPr>
                <w:spacing w:val="-5"/>
                <w:sz w:val="21"/>
              </w:rPr>
              <w:t>有关医院管理规则设置标准的医疗设备，且全天 </w:t>
            </w:r>
            <w:r>
              <w:rPr>
                <w:sz w:val="21"/>
              </w:rPr>
              <w:t>24</w:t>
            </w:r>
            <w:r>
              <w:rPr>
                <w:spacing w:val="-8"/>
                <w:sz w:val="21"/>
              </w:rPr>
              <w:t> 小时有合格的医生和护士驻</w:t>
            </w:r>
            <w:r>
              <w:rPr>
                <w:spacing w:val="-6"/>
                <w:sz w:val="21"/>
              </w:rPr>
              <w:t>院提供医疗和护理服务。当被保险人因急诊和遭受意外伤害事故须急救时不受</w:t>
            </w:r>
            <w:r>
              <w:rPr>
                <w:spacing w:val="-4"/>
                <w:sz w:val="21"/>
              </w:rPr>
              <w:t>此限，但病情稳定后须转入本附加合同所指医院治疗。</w:t>
            </w:r>
          </w:p>
        </w:tc>
      </w:tr>
      <w:tr>
        <w:trPr>
          <w:trHeight w:val="2077" w:hRule="atLeast"/>
        </w:trPr>
        <w:tc>
          <w:tcPr>
            <w:tcW w:w="657" w:type="dxa"/>
          </w:tcPr>
          <w:p>
            <w:pPr>
              <w:pStyle w:val="TableParagraph"/>
              <w:spacing w:before="63"/>
              <w:ind w:left="107"/>
              <w:rPr>
                <w:b/>
                <w:sz w:val="21"/>
              </w:rPr>
            </w:pPr>
            <w:r>
              <w:rPr>
                <w:b/>
                <w:sz w:val="21"/>
              </w:rPr>
              <w:t>9.7</w:t>
            </w:r>
          </w:p>
        </w:tc>
        <w:tc>
          <w:tcPr>
            <w:tcW w:w="1646" w:type="dxa"/>
          </w:tcPr>
          <w:p>
            <w:pPr>
              <w:pStyle w:val="TableParagraph"/>
              <w:spacing w:before="63"/>
              <w:ind w:left="303"/>
              <w:rPr>
                <w:b/>
                <w:sz w:val="21"/>
              </w:rPr>
            </w:pPr>
            <w:r>
              <w:rPr>
                <w:b/>
                <w:sz w:val="21"/>
              </w:rPr>
              <w:t>专科医生</w:t>
            </w:r>
          </w:p>
        </w:tc>
        <w:tc>
          <w:tcPr>
            <w:tcW w:w="7428" w:type="dxa"/>
          </w:tcPr>
          <w:p>
            <w:pPr>
              <w:pStyle w:val="TableParagraph"/>
              <w:spacing w:before="63"/>
              <w:ind w:left="157"/>
              <w:rPr>
                <w:sz w:val="21"/>
              </w:rPr>
            </w:pPr>
            <w:r>
              <w:rPr>
                <w:sz w:val="21"/>
              </w:rPr>
              <w:t>专科医生应当同时满足以下四项资格条件：</w:t>
            </w:r>
          </w:p>
          <w:p>
            <w:pPr>
              <w:pStyle w:val="TableParagraph"/>
              <w:spacing w:before="36"/>
              <w:ind w:left="157"/>
              <w:rPr>
                <w:sz w:val="21"/>
              </w:rPr>
            </w:pPr>
            <w:r>
              <w:rPr>
                <w:sz w:val="21"/>
              </w:rPr>
              <w:t>1.具有有效的中华人民共和国《医师资格证书》；</w:t>
            </w:r>
          </w:p>
          <w:p>
            <w:pPr>
              <w:pStyle w:val="TableParagraph"/>
              <w:spacing w:before="36"/>
              <w:ind w:left="157"/>
              <w:rPr>
                <w:sz w:val="21"/>
              </w:rPr>
            </w:pPr>
            <w:r>
              <w:rPr>
                <w:sz w:val="21"/>
              </w:rPr>
              <w:t>2.</w:t>
            </w:r>
            <w:r>
              <w:rPr>
                <w:spacing w:val="-11"/>
                <w:sz w:val="21"/>
              </w:rPr>
              <w:t>具有有效的中华人民共和国《医师执业证书》，并按期到相关部门登记注册；</w:t>
            </w:r>
          </w:p>
          <w:p>
            <w:pPr>
              <w:pStyle w:val="TableParagraph"/>
              <w:spacing w:line="273" w:lineRule="auto" w:before="37"/>
              <w:ind w:left="157" w:right="331"/>
              <w:rPr>
                <w:sz w:val="21"/>
              </w:rPr>
            </w:pPr>
            <w:r>
              <w:rPr>
                <w:sz w:val="21"/>
              </w:rPr>
              <w:t>3.具有有效的中华人民共和国主治医师或主治医师以上职称的《医师职称证书》；</w:t>
            </w:r>
          </w:p>
          <w:p>
            <w:pPr>
              <w:pStyle w:val="TableParagraph"/>
              <w:spacing w:before="7"/>
              <w:ind w:left="157"/>
              <w:rPr>
                <w:sz w:val="21"/>
              </w:rPr>
            </w:pPr>
            <w:r>
              <w:rPr>
                <w:sz w:val="21"/>
              </w:rPr>
              <w:t>4.在二级或二级以上医院的相应科室从事临床工作 </w:t>
            </w:r>
            <w:r>
              <w:rPr>
                <w:rFonts w:ascii="Times New Roman" w:eastAsia="Times New Roman"/>
                <w:sz w:val="21"/>
              </w:rPr>
              <w:t>3 </w:t>
            </w:r>
            <w:r>
              <w:rPr>
                <w:sz w:val="21"/>
              </w:rPr>
              <w:t>年以上。</w:t>
            </w:r>
          </w:p>
        </w:tc>
      </w:tr>
      <w:tr>
        <w:trPr>
          <w:trHeight w:val="3028" w:hRule="atLeast"/>
        </w:trPr>
        <w:tc>
          <w:tcPr>
            <w:tcW w:w="657" w:type="dxa"/>
          </w:tcPr>
          <w:p>
            <w:pPr>
              <w:pStyle w:val="TableParagraph"/>
              <w:spacing w:before="98"/>
              <w:ind w:left="107"/>
              <w:rPr>
                <w:b/>
                <w:sz w:val="21"/>
              </w:rPr>
            </w:pPr>
            <w:r>
              <w:rPr>
                <w:b/>
                <w:sz w:val="21"/>
              </w:rPr>
              <w:t>9.8</w:t>
            </w:r>
          </w:p>
        </w:tc>
        <w:tc>
          <w:tcPr>
            <w:tcW w:w="1646" w:type="dxa"/>
          </w:tcPr>
          <w:p>
            <w:pPr>
              <w:pStyle w:val="TableParagraph"/>
              <w:spacing w:before="98"/>
              <w:ind w:left="231"/>
              <w:rPr>
                <w:b/>
                <w:sz w:val="21"/>
              </w:rPr>
            </w:pPr>
            <w:r>
              <w:rPr>
                <w:b/>
                <w:sz w:val="21"/>
              </w:rPr>
              <w:t>轻型疾病</w:t>
            </w:r>
          </w:p>
        </w:tc>
        <w:tc>
          <w:tcPr>
            <w:tcW w:w="7428" w:type="dxa"/>
          </w:tcPr>
          <w:p>
            <w:pPr>
              <w:pStyle w:val="TableParagraph"/>
              <w:spacing w:before="118"/>
              <w:ind w:left="75"/>
              <w:rPr>
                <w:sz w:val="21"/>
              </w:rPr>
            </w:pPr>
            <w:r>
              <w:rPr>
                <w:sz w:val="21"/>
              </w:rPr>
              <w:t>本附加合同中所列轻型疾病包括以下 50 种：</w:t>
            </w:r>
          </w:p>
          <w:p>
            <w:pPr>
              <w:pStyle w:val="TableParagraph"/>
              <w:spacing w:line="273" w:lineRule="auto" w:before="176"/>
              <w:ind w:left="496" w:right="401" w:hanging="421"/>
              <w:jc w:val="both"/>
              <w:rPr>
                <w:b/>
                <w:sz w:val="21"/>
              </w:rPr>
            </w:pPr>
            <w:r>
              <w:rPr>
                <w:sz w:val="21"/>
              </w:rPr>
              <w:t>1.</w:t>
            </w:r>
            <w:r>
              <w:rPr>
                <w:spacing w:val="-3"/>
                <w:sz w:val="21"/>
              </w:rPr>
              <w:t> 原位癌：指恶性肿瘤细胞未穿透基底膜的原位无浸润的恶性肿瘤。诊断需以固定组织标本的病理组织学检查结果为依据，任何组织涂片和穿刺活检结果均不能作为诊断依据。</w:t>
            </w:r>
            <w:r>
              <w:rPr>
                <w:b/>
                <w:spacing w:val="-2"/>
                <w:sz w:val="21"/>
              </w:rPr>
              <w:t>被保险人必须已经接受了针对原位癌病</w:t>
            </w:r>
            <w:r>
              <w:rPr>
                <w:b/>
                <w:spacing w:val="-3"/>
                <w:sz w:val="21"/>
              </w:rPr>
              <w:t>灶的积极治疗，包括手术、化疗或放疗等治疗方式。</w:t>
            </w:r>
          </w:p>
          <w:p>
            <w:pPr>
              <w:pStyle w:val="TableParagraph"/>
              <w:spacing w:line="273" w:lineRule="auto" w:before="163"/>
              <w:ind w:left="496" w:right="497"/>
              <w:rPr>
                <w:b/>
                <w:sz w:val="21"/>
              </w:rPr>
            </w:pPr>
            <w:r>
              <w:rPr>
                <w:b/>
                <w:sz w:val="21"/>
              </w:rPr>
              <w:t>原位癌必须在生前诊断,对被保险人所患癌症在被诊断时已经超越原位癌阶段者，本公司不再针对原位癌赔付原位癌保险金。</w:t>
            </w:r>
          </w:p>
          <w:p>
            <w:pPr>
              <w:pStyle w:val="TableParagraph"/>
              <w:spacing w:line="255" w:lineRule="exact" w:before="163"/>
              <w:ind w:left="496"/>
              <w:rPr>
                <w:b/>
                <w:sz w:val="21"/>
              </w:rPr>
            </w:pPr>
            <w:r>
              <w:rPr>
                <w:b/>
                <w:sz w:val="21"/>
              </w:rPr>
              <w:t>癌前病变（包括宫颈上皮内瘤样病变 CIN-1，CIN-2，重度不典型增生但</w:t>
            </w:r>
          </w:p>
        </w:tc>
      </w:tr>
    </w:tbl>
    <w:p>
      <w:pPr>
        <w:spacing w:after="0" w:line="255" w:lineRule="exact"/>
        <w:rPr>
          <w:sz w:val="21"/>
        </w:rPr>
        <w:sectPr>
          <w:pgSz w:w="11910" w:h="16840"/>
          <w:pgMar w:header="0" w:footer="924" w:top="1160" w:bottom="1120" w:left="920" w:right="1040"/>
        </w:sectPr>
      </w:pPr>
    </w:p>
    <w:p>
      <w:pPr>
        <w:pStyle w:val="Heading1"/>
        <w:spacing w:before="22"/>
      </w:pPr>
      <w:r>
        <w:rPr/>
        <w:t>非原位癌）不在本附加合同保障范围内。</w:t>
      </w:r>
    </w:p>
    <w:p>
      <w:pPr>
        <w:pStyle w:val="BodyText"/>
        <w:spacing w:before="10"/>
        <w:rPr>
          <w:b/>
          <w:sz w:val="14"/>
        </w:rPr>
      </w:pPr>
    </w:p>
    <w:p>
      <w:pPr>
        <w:pStyle w:val="ListParagraph"/>
        <w:numPr>
          <w:ilvl w:val="1"/>
          <w:numId w:val="1"/>
        </w:numPr>
        <w:tabs>
          <w:tab w:pos="2145" w:val="left" w:leader="none"/>
        </w:tabs>
        <w:spacing w:line="273" w:lineRule="auto" w:before="0" w:after="0"/>
        <w:ind w:left="2144" w:right="263" w:hanging="421"/>
        <w:jc w:val="both"/>
        <w:rPr>
          <w:sz w:val="21"/>
        </w:rPr>
      </w:pPr>
      <w:r>
        <w:rPr>
          <w:spacing w:val="-3"/>
          <w:sz w:val="21"/>
        </w:rPr>
        <w:t>非危及生命的恶性肿瘤：指经组织病理学检查被明确诊断为下列恶性病变，并且接受了相应的治疗。</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spacing w:val="-14"/>
          <w:sz w:val="21"/>
        </w:rPr>
        <w:t>相当于 </w:t>
      </w:r>
      <w:r>
        <w:rPr>
          <w:sz w:val="21"/>
        </w:rPr>
        <w:t>Binet</w:t>
      </w:r>
      <w:r>
        <w:rPr>
          <w:spacing w:val="-9"/>
          <w:sz w:val="21"/>
        </w:rPr>
        <w:t> 分期方案 </w:t>
      </w:r>
      <w:r>
        <w:rPr>
          <w:sz w:val="21"/>
        </w:rPr>
        <w:t>A</w:t>
      </w:r>
      <w:r>
        <w:rPr>
          <w:spacing w:val="-9"/>
          <w:sz w:val="21"/>
        </w:rPr>
        <w:t> 期程度的慢性淋巴细胞白血病；</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14"/>
          <w:sz w:val="21"/>
        </w:rPr>
        <w:t>相当于 </w:t>
      </w:r>
      <w:r>
        <w:rPr>
          <w:sz w:val="21"/>
        </w:rPr>
        <w:t>Ann</w:t>
      </w:r>
      <w:r>
        <w:rPr>
          <w:spacing w:val="3"/>
          <w:sz w:val="21"/>
        </w:rPr>
        <w:t> </w:t>
      </w:r>
      <w:r>
        <w:rPr>
          <w:sz w:val="21"/>
        </w:rPr>
        <w:t>Arbor</w:t>
      </w:r>
      <w:r>
        <w:rPr>
          <w:spacing w:val="-10"/>
          <w:sz w:val="21"/>
        </w:rPr>
        <w:t> 分期方案 </w:t>
      </w:r>
      <w:r>
        <w:rPr>
          <w:sz w:val="21"/>
        </w:rPr>
        <w:t>I</w:t>
      </w:r>
      <w:r>
        <w:rPr>
          <w:spacing w:val="-9"/>
          <w:sz w:val="21"/>
        </w:rPr>
        <w:t> 期程度的何杰金氏病；</w:t>
      </w:r>
    </w:p>
    <w:p>
      <w:pPr>
        <w:pStyle w:val="BodyText"/>
        <w:spacing w:before="9"/>
        <w:rPr>
          <w:sz w:val="14"/>
        </w:rPr>
      </w:pPr>
    </w:p>
    <w:p>
      <w:pPr>
        <w:pStyle w:val="ListParagraph"/>
        <w:numPr>
          <w:ilvl w:val="2"/>
          <w:numId w:val="1"/>
        </w:numPr>
        <w:tabs>
          <w:tab w:pos="2985" w:val="left" w:leader="none"/>
        </w:tabs>
        <w:spacing w:line="273" w:lineRule="auto" w:before="0" w:after="0"/>
        <w:ind w:left="2984" w:right="258" w:hanging="420"/>
        <w:jc w:val="both"/>
        <w:rPr>
          <w:sz w:val="21"/>
        </w:rPr>
      </w:pPr>
      <w:r>
        <w:rPr>
          <w:spacing w:val="-3"/>
          <w:sz w:val="21"/>
        </w:rPr>
        <w:t>皮肤癌；指皮肤表皮发生的恶性肿瘤。皮肤癌的诊断必须由专科医生诊断并且经病理学检查结果确诊。</w:t>
      </w:r>
      <w:r>
        <w:rPr>
          <w:b/>
          <w:spacing w:val="-1"/>
          <w:sz w:val="21"/>
        </w:rPr>
        <w:t>恶性黑色素瘤及已发</w:t>
      </w:r>
      <w:r>
        <w:rPr>
          <w:b/>
          <w:spacing w:val="-2"/>
          <w:sz w:val="21"/>
        </w:rPr>
        <w:t>生转移的皮肤癌不在本附加合同保障范围内</w:t>
      </w:r>
      <w:r>
        <w:rPr>
          <w:sz w:val="21"/>
        </w:rPr>
        <w:t>；</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position w:val="1"/>
          <w:sz w:val="21"/>
        </w:rPr>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期或更轻分期的前列腺癌。</w:t>
      </w:r>
    </w:p>
    <w:p>
      <w:pPr>
        <w:pStyle w:val="BodyText"/>
        <w:spacing w:before="10"/>
        <w:rPr>
          <w:sz w:val="14"/>
        </w:rPr>
      </w:pPr>
    </w:p>
    <w:p>
      <w:pPr>
        <w:pStyle w:val="Heading1"/>
        <w:spacing w:line="273" w:lineRule="auto" w:before="1"/>
        <w:ind w:right="125"/>
      </w:pPr>
      <w:r>
        <w:rPr/>
        <w:t>癌前病变（包括宫颈上皮内瘤样病变 CIN-1，CIN-2，重度不典型增生但非原位癌）不在本附加合同保障范围内。</w:t>
      </w:r>
    </w:p>
    <w:p>
      <w:pPr>
        <w:pStyle w:val="ListParagraph"/>
        <w:numPr>
          <w:ilvl w:val="1"/>
          <w:numId w:val="1"/>
        </w:numPr>
        <w:tabs>
          <w:tab w:pos="2145" w:val="left" w:leader="none"/>
        </w:tabs>
        <w:spacing w:line="273" w:lineRule="auto" w:before="164" w:after="0"/>
        <w:ind w:left="2144" w:right="263" w:hanging="421"/>
        <w:jc w:val="both"/>
        <w:rPr>
          <w:sz w:val="21"/>
        </w:rPr>
      </w:pPr>
      <w:r>
        <w:rPr>
          <w:spacing w:val="-3"/>
          <w:sz w:val="21"/>
        </w:rPr>
        <w:t>不典型的急性心肌梗塞：指被临床诊断为急性心肌梗塞并接受了急性心肌梗塞治疗虽然未达到重大疾病“急性心肌梗塞”的给付标准。</w:t>
      </w:r>
    </w:p>
    <w:p>
      <w:pPr>
        <w:pStyle w:val="BodyText"/>
        <w:spacing w:before="164"/>
        <w:ind w:left="2144"/>
      </w:pPr>
      <w:r>
        <w:rPr/>
        <w:t>但满足下列全部条件：</w:t>
      </w:r>
    </w:p>
    <w:p>
      <w:pPr>
        <w:pStyle w:val="BodyText"/>
        <w:spacing w:before="10"/>
        <w:rPr>
          <w:sz w:val="14"/>
        </w:rPr>
      </w:pPr>
    </w:p>
    <w:p>
      <w:pPr>
        <w:pStyle w:val="ListParagraph"/>
        <w:numPr>
          <w:ilvl w:val="2"/>
          <w:numId w:val="1"/>
        </w:numPr>
        <w:tabs>
          <w:tab w:pos="2984" w:val="left" w:leader="none"/>
          <w:tab w:pos="2985" w:val="left" w:leader="none"/>
        </w:tabs>
        <w:spacing w:line="273" w:lineRule="auto" w:before="0" w:after="0"/>
        <w:ind w:left="2984" w:right="263" w:hanging="420"/>
        <w:jc w:val="left"/>
        <w:rPr>
          <w:sz w:val="21"/>
        </w:rPr>
      </w:pPr>
      <w:r>
        <w:rPr>
          <w:spacing w:val="-3"/>
          <w:sz w:val="21"/>
        </w:rPr>
        <w:t>心肌酶或肌钙蛋白有诊断意义的升高，或呈符合急性心肌梗塞的动态性变化；</w:t>
      </w:r>
    </w:p>
    <w:p>
      <w:pPr>
        <w:pStyle w:val="ListParagraph"/>
        <w:numPr>
          <w:ilvl w:val="2"/>
          <w:numId w:val="1"/>
        </w:numPr>
        <w:tabs>
          <w:tab w:pos="2984" w:val="left" w:leader="none"/>
          <w:tab w:pos="2985" w:val="left" w:leader="none"/>
        </w:tabs>
        <w:spacing w:line="408" w:lineRule="auto" w:before="163" w:after="0"/>
        <w:ind w:left="2144" w:right="1422" w:firstLine="420"/>
        <w:jc w:val="left"/>
        <w:rPr>
          <w:b/>
          <w:sz w:val="21"/>
        </w:rPr>
      </w:pPr>
      <w:r>
        <w:rPr>
          <w:spacing w:val="-9"/>
          <w:sz w:val="21"/>
        </w:rPr>
        <w:t>心电图有损伤性的 </w:t>
      </w:r>
      <w:r>
        <w:rPr>
          <w:sz w:val="21"/>
        </w:rPr>
        <w:t>ST</w:t>
      </w:r>
      <w:r>
        <w:rPr>
          <w:spacing w:val="-13"/>
          <w:sz w:val="21"/>
        </w:rPr>
        <w:t> 段改变但未出现病理 </w:t>
      </w:r>
      <w:r>
        <w:rPr>
          <w:sz w:val="21"/>
        </w:rPr>
        <w:t>Q</w:t>
      </w:r>
      <w:r>
        <w:rPr>
          <w:spacing w:val="-17"/>
          <w:sz w:val="21"/>
        </w:rPr>
        <w:t> 波。</w:t>
      </w:r>
      <w:r>
        <w:rPr>
          <w:b/>
          <w:spacing w:val="-12"/>
          <w:sz w:val="21"/>
        </w:rPr>
        <w:t>以下情况不属于本附加合同保障范围内：</w:t>
      </w:r>
    </w:p>
    <w:p>
      <w:pPr>
        <w:pStyle w:val="Heading1"/>
        <w:numPr>
          <w:ilvl w:val="0"/>
          <w:numId w:val="10"/>
        </w:numPr>
        <w:tabs>
          <w:tab w:pos="2984" w:val="left" w:leader="none"/>
          <w:tab w:pos="2985" w:val="left" w:leader="none"/>
        </w:tabs>
        <w:spacing w:line="273" w:lineRule="auto" w:before="45" w:after="0"/>
        <w:ind w:left="2984" w:right="193" w:hanging="420"/>
        <w:jc w:val="left"/>
      </w:pPr>
      <w:r>
        <w:rPr>
          <w:spacing w:val="-5"/>
        </w:rPr>
        <w:t>其他非心肌梗死性的急性冠状动脉综合征</w:t>
      </w:r>
      <w:r>
        <w:rPr/>
        <w:t>（</w:t>
      </w:r>
      <w:r>
        <w:rPr>
          <w:spacing w:val="-2"/>
        </w:rPr>
        <w:t>稳定性</w:t>
      </w:r>
      <w:r>
        <w:rPr>
          <w:spacing w:val="-3"/>
        </w:rPr>
        <w:t>/</w:t>
      </w:r>
      <w:r>
        <w:rPr/>
        <w:t>不稳定性心</w:t>
      </w:r>
      <w:r>
        <w:rPr>
          <w:w w:val="100"/>
        </w:rPr>
        <w:t>绞痛</w:t>
      </w:r>
      <w:r>
        <w:rPr>
          <w:spacing w:val="-106"/>
          <w:w w:val="100"/>
        </w:rPr>
        <w:t>）</w:t>
      </w:r>
      <w:r>
        <w:rPr>
          <w:w w:val="100"/>
        </w:rPr>
        <w:t>；</w:t>
      </w:r>
    </w:p>
    <w:p>
      <w:pPr>
        <w:pStyle w:val="ListParagraph"/>
        <w:numPr>
          <w:ilvl w:val="0"/>
          <w:numId w:val="10"/>
        </w:numPr>
        <w:tabs>
          <w:tab w:pos="2984" w:val="left" w:leader="none"/>
          <w:tab w:pos="2985" w:val="left" w:leader="none"/>
        </w:tabs>
        <w:spacing w:line="240" w:lineRule="auto" w:before="163" w:after="0"/>
        <w:ind w:left="2984" w:right="0" w:hanging="420"/>
        <w:jc w:val="left"/>
        <w:rPr>
          <w:b/>
          <w:sz w:val="21"/>
        </w:rPr>
      </w:pPr>
      <w:r>
        <w:rPr>
          <w:b/>
          <w:spacing w:val="-3"/>
          <w:sz w:val="21"/>
        </w:rPr>
        <w:t>由于心脏或冠状动脉介入手术引起的心脏损害。</w:t>
      </w:r>
    </w:p>
    <w:p>
      <w:pPr>
        <w:pStyle w:val="BodyText"/>
        <w:spacing w:before="9"/>
        <w:rPr>
          <w:b/>
          <w:sz w:val="14"/>
        </w:rPr>
      </w:pPr>
    </w:p>
    <w:p>
      <w:pPr>
        <w:pStyle w:val="ListParagraph"/>
        <w:numPr>
          <w:ilvl w:val="1"/>
          <w:numId w:val="1"/>
        </w:numPr>
        <w:tabs>
          <w:tab w:pos="2145" w:val="left" w:leader="none"/>
        </w:tabs>
        <w:spacing w:line="273" w:lineRule="auto" w:before="0" w:after="0"/>
        <w:ind w:left="2144" w:right="263" w:hanging="421"/>
        <w:jc w:val="both"/>
        <w:rPr>
          <w:sz w:val="21"/>
        </w:rPr>
      </w:pPr>
      <w:r>
        <w:rPr>
          <w:spacing w:val="-3"/>
          <w:sz w:val="21"/>
        </w:rPr>
        <w:t>轻微脑中风：指因脑血管的突发病变出现神经系统功能障碍表现，头颅</w:t>
      </w:r>
      <w:r>
        <w:rPr>
          <w:spacing w:val="-3"/>
          <w:w w:val="100"/>
          <w:sz w:val="21"/>
        </w:rPr>
        <w:t>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等影像学检查证实存在对应病灶，确</w:t>
      </w:r>
      <w:r>
        <w:rPr>
          <w:spacing w:val="-3"/>
          <w:sz w:val="21"/>
        </w:rPr>
        <w:t>诊为脑出血、脑栓塞或脑梗塞。</w:t>
      </w:r>
    </w:p>
    <w:p>
      <w:pPr>
        <w:pStyle w:val="BodyText"/>
        <w:spacing w:line="273" w:lineRule="auto" w:before="163"/>
        <w:ind w:left="2144" w:right="263"/>
        <w:jc w:val="both"/>
      </w:pPr>
      <w:r>
        <w:rPr>
          <w:spacing w:val="-11"/>
        </w:rPr>
        <w:t>在确诊 </w:t>
      </w:r>
      <w:r>
        <w:rPr/>
        <w:t>180</w:t>
      </w:r>
      <w:r>
        <w:rPr>
          <w:spacing w:val="-8"/>
        </w:rPr>
        <w:t> 天后仍遗留神经系统功能障碍。遗留的神经系统功能障碍程</w:t>
      </w:r>
      <w:r>
        <w:rPr>
          <w:spacing w:val="-5"/>
        </w:rPr>
        <w:t>度虽未达到重大疾病“脑中风后遗症”的给付标准，但仍遗留下列一种</w:t>
      </w:r>
      <w:r>
        <w:rPr>
          <w:spacing w:val="-4"/>
        </w:rPr>
        <w:t>或一种以上障碍：</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spacing w:val="-1"/>
          <w:sz w:val="21"/>
        </w:rPr>
        <w:t>一侧肢体</w:t>
      </w:r>
      <w:r>
        <w:rPr>
          <w:spacing w:val="-3"/>
          <w:sz w:val="21"/>
        </w:rPr>
        <w:t>（上肢和下肢）</w:t>
      </w:r>
      <w:r>
        <w:rPr>
          <w:spacing w:val="-9"/>
          <w:sz w:val="21"/>
        </w:rPr>
        <w:t>的肌力为 </w:t>
      </w:r>
      <w:r>
        <w:rPr>
          <w:sz w:val="21"/>
        </w:rPr>
        <w:t>2</w:t>
      </w:r>
      <w:r>
        <w:rPr>
          <w:spacing w:val="-10"/>
          <w:sz w:val="21"/>
        </w:rPr>
        <w:t> 级或更低；</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3"/>
          <w:sz w:val="21"/>
        </w:rPr>
        <w:t>自主生活能力丧失，无法独立完成</w:t>
      </w:r>
      <w:r>
        <w:rPr>
          <w:b/>
          <w:spacing w:val="-1"/>
          <w:sz w:val="21"/>
        </w:rPr>
        <w:t>六项基本日常生活活动</w:t>
      </w:r>
      <w:r>
        <w:rPr>
          <w:sz w:val="21"/>
        </w:rPr>
        <w:t>（见</w:t>
      </w:r>
    </w:p>
    <w:p>
      <w:pPr>
        <w:pStyle w:val="BodyText"/>
        <w:spacing w:line="408" w:lineRule="auto" w:before="37"/>
        <w:ind w:left="2144" w:right="4257" w:firstLine="840"/>
      </w:pPr>
      <w:r>
        <w:rPr/>
        <w:t>9.21）中的两项。肌力分级：</w:t>
      </w:r>
    </w:p>
    <w:p>
      <w:pPr>
        <w:pStyle w:val="ListParagraph"/>
        <w:numPr>
          <w:ilvl w:val="0"/>
          <w:numId w:val="11"/>
        </w:numPr>
        <w:tabs>
          <w:tab w:pos="2303" w:val="left" w:leader="none"/>
        </w:tabs>
        <w:spacing w:line="240" w:lineRule="auto" w:before="46" w:after="0"/>
        <w:ind w:left="2302" w:right="0" w:hanging="158"/>
        <w:jc w:val="both"/>
        <w:rPr>
          <w:sz w:val="21"/>
        </w:rPr>
      </w:pPr>
      <w:r>
        <w:rPr>
          <w:spacing w:val="-3"/>
          <w:sz w:val="21"/>
        </w:rPr>
        <w:t>级  完全瘫痪，测不到肌肉收缩；</w:t>
      </w:r>
    </w:p>
    <w:p>
      <w:pPr>
        <w:pStyle w:val="BodyText"/>
        <w:spacing w:before="9"/>
        <w:rPr>
          <w:sz w:val="14"/>
        </w:rPr>
      </w:pPr>
    </w:p>
    <w:p>
      <w:pPr>
        <w:pStyle w:val="ListParagraph"/>
        <w:numPr>
          <w:ilvl w:val="0"/>
          <w:numId w:val="11"/>
        </w:numPr>
        <w:tabs>
          <w:tab w:pos="2303" w:val="left" w:leader="none"/>
        </w:tabs>
        <w:spacing w:line="240" w:lineRule="auto" w:before="0" w:after="0"/>
        <w:ind w:left="2302" w:right="0" w:hanging="158"/>
        <w:jc w:val="both"/>
        <w:rPr>
          <w:sz w:val="21"/>
        </w:rPr>
      </w:pPr>
      <w:r>
        <w:rPr>
          <w:spacing w:val="-3"/>
          <w:sz w:val="21"/>
        </w:rPr>
        <w:t>级  可见肌肉轻微收缩，但不能带动关节；</w:t>
      </w:r>
    </w:p>
    <w:p>
      <w:pPr>
        <w:pStyle w:val="BodyText"/>
        <w:spacing w:before="9"/>
        <w:rPr>
          <w:sz w:val="14"/>
        </w:rPr>
      </w:pPr>
    </w:p>
    <w:p>
      <w:pPr>
        <w:pStyle w:val="ListParagraph"/>
        <w:numPr>
          <w:ilvl w:val="0"/>
          <w:numId w:val="11"/>
        </w:numPr>
        <w:tabs>
          <w:tab w:pos="2303" w:val="left" w:leader="none"/>
        </w:tabs>
        <w:spacing w:line="240" w:lineRule="auto" w:before="0" w:after="0"/>
        <w:ind w:left="2302" w:right="0" w:hanging="158"/>
        <w:jc w:val="both"/>
        <w:rPr>
          <w:sz w:val="21"/>
        </w:rPr>
      </w:pPr>
      <w:r>
        <w:rPr>
          <w:spacing w:val="-3"/>
          <w:sz w:val="21"/>
        </w:rPr>
        <w:t>级  肢体能在床上平行移动，但不能抵抗自身重力，即不能抬离床面；</w:t>
      </w:r>
    </w:p>
    <w:p>
      <w:pPr>
        <w:spacing w:after="0" w:line="240" w:lineRule="auto"/>
        <w:jc w:val="both"/>
        <w:rPr>
          <w:sz w:val="21"/>
        </w:rPr>
        <w:sectPr>
          <w:pgSz w:w="11910" w:h="16840"/>
          <w:pgMar w:header="0" w:footer="924" w:top="1080" w:bottom="1120" w:left="1680" w:right="1300"/>
        </w:sectPr>
      </w:pPr>
    </w:p>
    <w:p>
      <w:pPr>
        <w:pStyle w:val="ListParagraph"/>
        <w:numPr>
          <w:ilvl w:val="0"/>
          <w:numId w:val="11"/>
        </w:numPr>
        <w:tabs>
          <w:tab w:pos="2303" w:val="left" w:leader="none"/>
          <w:tab w:pos="2722" w:val="left" w:leader="none"/>
        </w:tabs>
        <w:spacing w:line="240" w:lineRule="auto" w:before="22" w:after="0"/>
        <w:ind w:left="2302" w:right="0" w:hanging="158"/>
        <w:jc w:val="left"/>
        <w:rPr>
          <w:sz w:val="21"/>
        </w:rPr>
      </w:pPr>
      <w:r>
        <w:rPr>
          <w:sz w:val="21"/>
        </w:rPr>
        <w:t>级</w:t>
        <w:tab/>
        <w:t>肢</w:t>
      </w:r>
      <w:r>
        <w:rPr>
          <w:spacing w:val="-3"/>
          <w:sz w:val="21"/>
        </w:rPr>
        <w:t>体</w:t>
      </w:r>
      <w:r>
        <w:rPr>
          <w:sz w:val="21"/>
        </w:rPr>
        <w:t>可</w:t>
      </w:r>
      <w:r>
        <w:rPr>
          <w:spacing w:val="-3"/>
          <w:sz w:val="21"/>
        </w:rPr>
        <w:t>以</w:t>
      </w:r>
      <w:r>
        <w:rPr>
          <w:sz w:val="21"/>
        </w:rPr>
        <w:t>克</w:t>
      </w:r>
      <w:r>
        <w:rPr>
          <w:spacing w:val="-3"/>
          <w:sz w:val="21"/>
        </w:rPr>
        <w:t>服</w:t>
      </w:r>
      <w:r>
        <w:rPr>
          <w:sz w:val="21"/>
        </w:rPr>
        <w:t>地</w:t>
      </w:r>
      <w:r>
        <w:rPr>
          <w:spacing w:val="-3"/>
          <w:sz w:val="21"/>
        </w:rPr>
        <w:t>心</w:t>
      </w:r>
      <w:r>
        <w:rPr>
          <w:sz w:val="21"/>
        </w:rPr>
        <w:t>吸收</w:t>
      </w:r>
      <w:r>
        <w:rPr>
          <w:spacing w:val="-3"/>
          <w:sz w:val="21"/>
        </w:rPr>
        <w:t>力</w:t>
      </w:r>
      <w:r>
        <w:rPr>
          <w:sz w:val="21"/>
        </w:rPr>
        <w:t>，</w:t>
      </w:r>
      <w:r>
        <w:rPr>
          <w:spacing w:val="-3"/>
          <w:sz w:val="21"/>
        </w:rPr>
        <w:t>能</w:t>
      </w:r>
      <w:r>
        <w:rPr>
          <w:sz w:val="21"/>
        </w:rPr>
        <w:t>抬</w:t>
      </w:r>
      <w:r>
        <w:rPr>
          <w:spacing w:val="-3"/>
          <w:sz w:val="21"/>
        </w:rPr>
        <w:t>离</w:t>
      </w:r>
      <w:r>
        <w:rPr>
          <w:sz w:val="21"/>
        </w:rPr>
        <w:t>床</w:t>
      </w:r>
      <w:r>
        <w:rPr>
          <w:spacing w:val="-3"/>
          <w:sz w:val="21"/>
        </w:rPr>
        <w:t>面</w:t>
      </w:r>
      <w:r>
        <w:rPr>
          <w:sz w:val="21"/>
        </w:rPr>
        <w:t>，</w:t>
      </w:r>
      <w:r>
        <w:rPr>
          <w:spacing w:val="-3"/>
          <w:sz w:val="21"/>
        </w:rPr>
        <w:t>但</w:t>
      </w:r>
      <w:r>
        <w:rPr>
          <w:sz w:val="21"/>
        </w:rPr>
        <w:t>不能</w:t>
      </w:r>
      <w:r>
        <w:rPr>
          <w:spacing w:val="-3"/>
          <w:sz w:val="21"/>
        </w:rPr>
        <w:t>抵</w:t>
      </w:r>
      <w:r>
        <w:rPr>
          <w:sz w:val="21"/>
        </w:rPr>
        <w:t>抗</w:t>
      </w:r>
      <w:r>
        <w:rPr>
          <w:spacing w:val="-3"/>
          <w:sz w:val="21"/>
        </w:rPr>
        <w:t>阻</w:t>
      </w:r>
      <w:r>
        <w:rPr>
          <w:sz w:val="21"/>
        </w:rPr>
        <w:t>力；</w:t>
      </w:r>
    </w:p>
    <w:p>
      <w:pPr>
        <w:pStyle w:val="BodyText"/>
        <w:spacing w:before="10"/>
        <w:rPr>
          <w:sz w:val="14"/>
        </w:rPr>
      </w:pPr>
    </w:p>
    <w:p>
      <w:pPr>
        <w:pStyle w:val="ListParagraph"/>
        <w:numPr>
          <w:ilvl w:val="0"/>
          <w:numId w:val="11"/>
        </w:numPr>
        <w:tabs>
          <w:tab w:pos="2303" w:val="left" w:leader="none"/>
          <w:tab w:pos="2722" w:val="left" w:leader="none"/>
        </w:tabs>
        <w:spacing w:line="240" w:lineRule="auto" w:before="0" w:after="0"/>
        <w:ind w:left="2302" w:right="0" w:hanging="158"/>
        <w:jc w:val="left"/>
        <w:rPr>
          <w:sz w:val="21"/>
        </w:rPr>
      </w:pPr>
      <w:r>
        <w:rPr>
          <w:sz w:val="21"/>
        </w:rPr>
        <w:t>级</w:t>
        <w:tab/>
      </w:r>
      <w:r>
        <w:rPr>
          <w:spacing w:val="-1"/>
          <w:sz w:val="21"/>
        </w:rPr>
        <w:t>肢</w:t>
      </w:r>
      <w:r>
        <w:rPr>
          <w:spacing w:val="-3"/>
          <w:sz w:val="21"/>
        </w:rPr>
        <w:t>体</w:t>
      </w:r>
      <w:r>
        <w:rPr>
          <w:sz w:val="21"/>
        </w:rPr>
        <w:t>能</w:t>
      </w:r>
      <w:r>
        <w:rPr>
          <w:spacing w:val="-3"/>
          <w:sz w:val="21"/>
        </w:rPr>
        <w:t>做</w:t>
      </w:r>
      <w:r>
        <w:rPr>
          <w:sz w:val="21"/>
        </w:rPr>
        <w:t>对</w:t>
      </w:r>
      <w:r>
        <w:rPr>
          <w:spacing w:val="-3"/>
          <w:sz w:val="21"/>
        </w:rPr>
        <w:t>抗</w:t>
      </w:r>
      <w:r>
        <w:rPr>
          <w:sz w:val="21"/>
        </w:rPr>
        <w:t>外</w:t>
      </w:r>
      <w:r>
        <w:rPr>
          <w:spacing w:val="-3"/>
          <w:sz w:val="21"/>
        </w:rPr>
        <w:t>界</w:t>
      </w:r>
      <w:r>
        <w:rPr>
          <w:sz w:val="21"/>
        </w:rPr>
        <w:t>阻力</w:t>
      </w:r>
      <w:r>
        <w:rPr>
          <w:spacing w:val="-3"/>
          <w:sz w:val="21"/>
        </w:rPr>
        <w:t>的</w:t>
      </w:r>
      <w:r>
        <w:rPr>
          <w:sz w:val="21"/>
        </w:rPr>
        <w:t>运</w:t>
      </w:r>
      <w:r>
        <w:rPr>
          <w:spacing w:val="-3"/>
          <w:sz w:val="21"/>
        </w:rPr>
        <w:t>动</w:t>
      </w:r>
      <w:r>
        <w:rPr>
          <w:sz w:val="21"/>
        </w:rPr>
        <w:t>,</w:t>
      </w:r>
      <w:r>
        <w:rPr>
          <w:spacing w:val="-3"/>
          <w:sz w:val="21"/>
        </w:rPr>
        <w:t>但</w:t>
      </w:r>
      <w:r>
        <w:rPr>
          <w:sz w:val="21"/>
        </w:rPr>
        <w:t>肌</w:t>
      </w:r>
      <w:r>
        <w:rPr>
          <w:spacing w:val="-3"/>
          <w:sz w:val="21"/>
        </w:rPr>
        <w:t>力</w:t>
      </w:r>
      <w:r>
        <w:rPr>
          <w:sz w:val="21"/>
        </w:rPr>
        <w:t>低</w:t>
      </w:r>
      <w:r>
        <w:rPr>
          <w:spacing w:val="-3"/>
          <w:sz w:val="21"/>
        </w:rPr>
        <w:t>于正</w:t>
      </w:r>
      <w:r>
        <w:rPr>
          <w:sz w:val="21"/>
        </w:rPr>
        <w:t>常；</w:t>
      </w:r>
    </w:p>
    <w:p>
      <w:pPr>
        <w:pStyle w:val="BodyText"/>
        <w:spacing w:before="9"/>
        <w:rPr>
          <w:sz w:val="14"/>
        </w:rPr>
      </w:pPr>
    </w:p>
    <w:p>
      <w:pPr>
        <w:pStyle w:val="ListParagraph"/>
        <w:numPr>
          <w:ilvl w:val="0"/>
          <w:numId w:val="11"/>
        </w:numPr>
        <w:tabs>
          <w:tab w:pos="2303" w:val="left" w:leader="none"/>
          <w:tab w:pos="2722" w:val="left" w:leader="none"/>
        </w:tabs>
        <w:spacing w:line="240" w:lineRule="auto" w:before="0" w:after="0"/>
        <w:ind w:left="2302" w:right="0" w:hanging="158"/>
        <w:jc w:val="left"/>
        <w:rPr>
          <w:sz w:val="21"/>
        </w:rPr>
      </w:pPr>
      <w:r>
        <w:rPr>
          <w:sz w:val="21"/>
        </w:rPr>
        <w:t>级</w:t>
        <w:tab/>
        <w:t>肌</w:t>
      </w:r>
      <w:r>
        <w:rPr>
          <w:spacing w:val="-3"/>
          <w:sz w:val="21"/>
        </w:rPr>
        <w:t>力</w:t>
      </w:r>
      <w:r>
        <w:rPr>
          <w:sz w:val="21"/>
        </w:rPr>
        <w:t>正</w:t>
      </w:r>
      <w:r>
        <w:rPr>
          <w:spacing w:val="-3"/>
          <w:sz w:val="21"/>
        </w:rPr>
        <w:t>常</w:t>
      </w:r>
      <w:r>
        <w:rPr>
          <w:sz w:val="21"/>
        </w:rPr>
        <w:t>。</w:t>
      </w:r>
    </w:p>
    <w:p>
      <w:pPr>
        <w:pStyle w:val="BodyText"/>
        <w:spacing w:before="9"/>
        <w:rPr>
          <w:sz w:val="14"/>
        </w:rPr>
      </w:pPr>
    </w:p>
    <w:p>
      <w:pPr>
        <w:pStyle w:val="ListParagraph"/>
        <w:numPr>
          <w:ilvl w:val="1"/>
          <w:numId w:val="1"/>
        </w:numPr>
        <w:tabs>
          <w:tab w:pos="2145" w:val="left" w:leader="none"/>
        </w:tabs>
        <w:spacing w:line="273" w:lineRule="auto" w:before="0" w:after="0"/>
        <w:ind w:left="2144" w:right="127" w:hanging="421"/>
        <w:jc w:val="both"/>
        <w:rPr>
          <w:sz w:val="21"/>
        </w:rPr>
      </w:pPr>
      <w:r>
        <w:rPr>
          <w:spacing w:val="-3"/>
          <w:sz w:val="21"/>
        </w:rPr>
        <w:t>继发性肺动脉高压：继发性肺动脉压力持续增高，导致右心室肥厚，已经造成</w:t>
      </w:r>
      <w:r>
        <w:rPr>
          <w:b/>
          <w:sz w:val="21"/>
        </w:rPr>
        <w:t>永久不可逆</w:t>
      </w:r>
      <w:r>
        <w:rPr>
          <w:spacing w:val="-3"/>
          <w:sz w:val="21"/>
        </w:rPr>
        <w:t>（</w:t>
      </w:r>
      <w:r>
        <w:rPr>
          <w:spacing w:val="-16"/>
          <w:sz w:val="21"/>
        </w:rPr>
        <w:t>见 </w:t>
      </w:r>
      <w:r>
        <w:rPr>
          <w:sz w:val="21"/>
        </w:rPr>
        <w:t>9.22）</w:t>
      </w:r>
      <w:r>
        <w:rPr>
          <w:spacing w:val="-3"/>
          <w:sz w:val="21"/>
        </w:rPr>
        <w:t>性的体力活动能力受限，达到美国纽约心</w:t>
      </w:r>
      <w:r>
        <w:rPr>
          <w:spacing w:val="-7"/>
          <w:sz w:val="21"/>
        </w:rPr>
        <w:t>脏病学会心功能状态分级 </w:t>
      </w:r>
      <w:r>
        <w:rPr>
          <w:sz w:val="21"/>
        </w:rPr>
        <w:t>IV</w:t>
      </w:r>
      <w:r>
        <w:rPr>
          <w:spacing w:val="-16"/>
          <w:sz w:val="21"/>
        </w:rPr>
        <w:t> 级。</w:t>
      </w:r>
    </w:p>
    <w:p>
      <w:pPr>
        <w:pStyle w:val="BodyText"/>
        <w:spacing w:line="273" w:lineRule="auto" w:before="163"/>
        <w:ind w:left="2144" w:right="183"/>
      </w:pPr>
      <w:r>
        <w:rPr/>
        <w:t>诊断需要由心脏科专家确诊，并且心导管检查报告显示静息状态下肺动脉平均压超过 30mmHg。</w:t>
      </w:r>
    </w:p>
    <w:p>
      <w:pPr>
        <w:pStyle w:val="Heading1"/>
        <w:spacing w:line="273" w:lineRule="auto" w:before="163"/>
        <w:ind w:right="162"/>
      </w:pPr>
      <w:r>
        <w:rPr/>
        <w:t>所有原发性肺动脉高血压不在本附加合同保障范围内。所有先天性心脏疾病直接或间接引起的肺动脉高压也不在本附加合同保障范围内。</w:t>
      </w:r>
    </w:p>
    <w:p>
      <w:pPr>
        <w:pStyle w:val="ListParagraph"/>
        <w:numPr>
          <w:ilvl w:val="1"/>
          <w:numId w:val="1"/>
        </w:numPr>
        <w:tabs>
          <w:tab w:pos="2145" w:val="left" w:leader="none"/>
        </w:tabs>
        <w:spacing w:line="273" w:lineRule="auto" w:before="163" w:after="0"/>
        <w:ind w:left="2144" w:right="183" w:hanging="421"/>
        <w:jc w:val="both"/>
        <w:rPr>
          <w:sz w:val="21"/>
        </w:rPr>
      </w:pPr>
      <w:r>
        <w:rPr>
          <w:spacing w:val="-3"/>
          <w:sz w:val="21"/>
        </w:rPr>
        <w:t>早期肝硬化：肝硬化须由专科医生明确诊断。必须由活检证实有再生的肝细胞结节和典型的肝组织纤维化。以下条件必须全部满足并至少持续一年：</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spacing w:val="-6"/>
          <w:sz w:val="21"/>
        </w:rPr>
        <w:t>持续性黄疸，胆红素水平升高超过 </w:t>
      </w:r>
      <w:r>
        <w:rPr>
          <w:sz w:val="21"/>
        </w:rPr>
        <w:t>50µmol/</w:t>
      </w:r>
      <w:r>
        <w:rPr>
          <w:spacing w:val="10"/>
          <w:sz w:val="21"/>
        </w:rPr>
        <w:t> </w:t>
      </w:r>
      <w:r>
        <w:rPr>
          <w:sz w:val="21"/>
        </w:rPr>
        <w:t>L；</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6"/>
          <w:sz w:val="21"/>
        </w:rPr>
        <w:t>蛋白质合成异常，白蛋白水平低于 </w:t>
      </w:r>
      <w:r>
        <w:rPr>
          <w:sz w:val="21"/>
        </w:rPr>
        <w:t>27g/</w:t>
      </w:r>
      <w:r>
        <w:rPr>
          <w:spacing w:val="10"/>
          <w:sz w:val="21"/>
        </w:rPr>
        <w:t> </w:t>
      </w:r>
      <w:r>
        <w:rPr>
          <w:sz w:val="21"/>
        </w:rPr>
        <w:t>L；</w:t>
      </w:r>
    </w:p>
    <w:p>
      <w:pPr>
        <w:pStyle w:val="BodyText"/>
        <w:spacing w:before="9"/>
        <w:rPr>
          <w:sz w:val="14"/>
        </w:rPr>
      </w:pPr>
    </w:p>
    <w:p>
      <w:pPr>
        <w:pStyle w:val="ListParagraph"/>
        <w:numPr>
          <w:ilvl w:val="2"/>
          <w:numId w:val="1"/>
        </w:numPr>
        <w:tabs>
          <w:tab w:pos="2984" w:val="left" w:leader="none"/>
          <w:tab w:pos="2985" w:val="left" w:leader="none"/>
        </w:tabs>
        <w:spacing w:line="273" w:lineRule="auto" w:before="0" w:after="0"/>
        <w:ind w:left="2984" w:right="111" w:hanging="420"/>
        <w:jc w:val="left"/>
        <w:rPr>
          <w:sz w:val="21"/>
        </w:rPr>
      </w:pPr>
      <w:r>
        <w:rPr>
          <w:spacing w:val="-12"/>
          <w:sz w:val="21"/>
        </w:rPr>
        <w:t>异常凝血功能， 凝血酶原时间超过正常上限的 </w:t>
      </w:r>
      <w:r>
        <w:rPr>
          <w:sz w:val="21"/>
        </w:rPr>
        <w:t>2</w:t>
      </w:r>
      <w:r>
        <w:rPr>
          <w:spacing w:val="-16"/>
          <w:sz w:val="21"/>
        </w:rPr>
        <w:t> 倍或以上， 或</w:t>
      </w:r>
      <w:r>
        <w:rPr>
          <w:spacing w:val="-7"/>
          <w:sz w:val="21"/>
        </w:rPr>
        <w:t>者国际正常化比率</w:t>
      </w:r>
      <w:r>
        <w:rPr>
          <w:sz w:val="21"/>
        </w:rPr>
        <w:t>（INR）</w:t>
      </w:r>
      <w:r>
        <w:rPr>
          <w:spacing w:val="-24"/>
          <w:sz w:val="21"/>
        </w:rPr>
        <w:t>在 </w:t>
      </w:r>
      <w:r>
        <w:rPr>
          <w:sz w:val="21"/>
        </w:rPr>
        <w:t>2.0</w:t>
      </w:r>
      <w:r>
        <w:rPr>
          <w:spacing w:val="-14"/>
          <w:sz w:val="21"/>
        </w:rPr>
        <w:t> 以上。</w:t>
      </w:r>
    </w:p>
    <w:p>
      <w:pPr>
        <w:pStyle w:val="Heading1"/>
        <w:spacing w:before="163"/>
      </w:pPr>
      <w:r>
        <w:rPr/>
        <w:t>继发于酒精，毒品或药物滥用不在本附加合同保障范围内。</w:t>
      </w:r>
    </w:p>
    <w:p>
      <w:pPr>
        <w:pStyle w:val="BodyText"/>
        <w:spacing w:before="9"/>
        <w:rPr>
          <w:b/>
          <w:sz w:val="14"/>
        </w:rPr>
      </w:pPr>
    </w:p>
    <w:p>
      <w:pPr>
        <w:pStyle w:val="ListParagraph"/>
        <w:numPr>
          <w:ilvl w:val="1"/>
          <w:numId w:val="1"/>
        </w:numPr>
        <w:tabs>
          <w:tab w:pos="2145" w:val="left" w:leader="none"/>
        </w:tabs>
        <w:spacing w:line="273" w:lineRule="auto" w:before="0" w:after="0"/>
        <w:ind w:left="2144" w:right="183" w:hanging="421"/>
        <w:jc w:val="both"/>
        <w:rPr>
          <w:sz w:val="21"/>
        </w:rPr>
      </w:pPr>
      <w:r>
        <w:rPr>
          <w:spacing w:val="-3"/>
          <w:sz w:val="21"/>
        </w:rPr>
        <w:t>肺功能衰竭：是指被保险人必须经本公司认可的医院的呼吸科专科医师确诊患有慢性肺部疾病而出现慢性呼吸功能衰竭，其诊断标准包括以下各项：</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spacing w:val="-9"/>
          <w:sz w:val="21"/>
        </w:rPr>
        <w:t>肺功能测试其 </w:t>
      </w:r>
      <w:r>
        <w:rPr>
          <w:sz w:val="21"/>
        </w:rPr>
        <w:t>FEV1</w:t>
      </w:r>
      <w:r>
        <w:rPr>
          <w:spacing w:val="-12"/>
          <w:sz w:val="21"/>
        </w:rPr>
        <w:t> 持续低于预测值的 </w:t>
      </w:r>
      <w:r>
        <w:rPr>
          <w:sz w:val="21"/>
        </w:rPr>
        <w:t>50%；</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3"/>
          <w:sz w:val="21"/>
        </w:rPr>
        <w:t>病人血氧不足必须间断地进行输氧治疗；</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7"/>
          <w:sz w:val="21"/>
        </w:rPr>
        <w:t>动脉血气分析氧分压低于 </w:t>
      </w:r>
      <w:r>
        <w:rPr>
          <w:sz w:val="21"/>
        </w:rPr>
        <w:t>60mmHg。</w:t>
      </w:r>
    </w:p>
    <w:p>
      <w:pPr>
        <w:pStyle w:val="BodyText"/>
        <w:spacing w:before="9"/>
        <w:rPr>
          <w:sz w:val="14"/>
        </w:rPr>
      </w:pPr>
    </w:p>
    <w:p>
      <w:pPr>
        <w:pStyle w:val="ListParagraph"/>
        <w:numPr>
          <w:ilvl w:val="1"/>
          <w:numId w:val="1"/>
        </w:numPr>
        <w:tabs>
          <w:tab w:pos="2144" w:val="left" w:leader="none"/>
          <w:tab w:pos="2145" w:val="left" w:leader="none"/>
        </w:tabs>
        <w:spacing w:line="410" w:lineRule="auto" w:before="0" w:after="0"/>
        <w:ind w:left="2144" w:right="814" w:hanging="421"/>
        <w:jc w:val="left"/>
        <w:rPr>
          <w:sz w:val="21"/>
        </w:rPr>
      </w:pPr>
      <w:r>
        <w:rPr>
          <w:spacing w:val="-3"/>
          <w:sz w:val="21"/>
        </w:rPr>
        <w:t>慢性肾功能损害：慢性肾功能障碍是指慢性肾功能不全的晚期。须满足下列全部条件：</w:t>
      </w:r>
    </w:p>
    <w:p>
      <w:pPr>
        <w:pStyle w:val="ListParagraph"/>
        <w:numPr>
          <w:ilvl w:val="2"/>
          <w:numId w:val="1"/>
        </w:numPr>
        <w:tabs>
          <w:tab w:pos="2985" w:val="left" w:leader="none"/>
        </w:tabs>
        <w:spacing w:line="273" w:lineRule="auto" w:before="43" w:after="0"/>
        <w:ind w:left="2984" w:right="111" w:hanging="420"/>
        <w:jc w:val="both"/>
        <w:rPr>
          <w:sz w:val="21"/>
        </w:rPr>
      </w:pPr>
      <w:r>
        <w:rPr>
          <w:spacing w:val="-16"/>
          <w:sz w:val="21"/>
        </w:rPr>
        <w:t>肾小球滤过率</w:t>
      </w:r>
      <w:r>
        <w:rPr>
          <w:sz w:val="21"/>
        </w:rPr>
        <w:t>（</w:t>
      </w:r>
      <w:r>
        <w:rPr>
          <w:spacing w:val="-19"/>
          <w:sz w:val="21"/>
        </w:rPr>
        <w:t>使用 </w:t>
      </w:r>
      <w:r>
        <w:rPr>
          <w:sz w:val="21"/>
        </w:rPr>
        <w:t>MDRD 公式 或 Cockcroft-Gault</w:t>
      </w:r>
      <w:r>
        <w:rPr>
          <w:spacing w:val="-1"/>
          <w:sz w:val="21"/>
        </w:rPr>
        <w:t> 公式计算</w:t>
      </w:r>
      <w:r>
        <w:rPr>
          <w:spacing w:val="-2"/>
          <w:sz w:val="21"/>
        </w:rPr>
        <w:t>的结果</w:t>
      </w:r>
      <w:r>
        <w:rPr>
          <w:spacing w:val="-75"/>
          <w:sz w:val="21"/>
        </w:rPr>
        <w:t>）</w:t>
      </w:r>
      <w:r>
        <w:rPr>
          <w:spacing w:val="-31"/>
          <w:sz w:val="21"/>
        </w:rPr>
        <w:t>，低于 </w:t>
      </w:r>
      <w:r>
        <w:rPr>
          <w:sz w:val="21"/>
        </w:rPr>
        <w:t>30mL/min/1.73</w:t>
      </w:r>
      <w:r>
        <w:rPr>
          <w:spacing w:val="-14"/>
          <w:sz w:val="21"/>
        </w:rPr>
        <w:t> 平方米，且此状态须持续至少 </w:t>
      </w:r>
      <w:r>
        <w:rPr>
          <w:sz w:val="21"/>
        </w:rPr>
        <w:t>90 天；</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spacing w:val="-3"/>
          <w:sz w:val="21"/>
        </w:rPr>
        <w:t>慢性肾功能障碍的诊断必须由泌尿科或肾脏科医师确认。</w:t>
      </w:r>
    </w:p>
    <w:p>
      <w:pPr>
        <w:pStyle w:val="BodyText"/>
        <w:spacing w:before="9"/>
        <w:rPr>
          <w:sz w:val="14"/>
        </w:rPr>
      </w:pPr>
    </w:p>
    <w:p>
      <w:pPr>
        <w:pStyle w:val="ListParagraph"/>
        <w:numPr>
          <w:ilvl w:val="1"/>
          <w:numId w:val="1"/>
        </w:numPr>
        <w:tabs>
          <w:tab w:pos="2145" w:val="left" w:leader="none"/>
        </w:tabs>
        <w:spacing w:line="273" w:lineRule="auto" w:before="1" w:after="0"/>
        <w:ind w:left="2144" w:right="183" w:hanging="421"/>
        <w:jc w:val="both"/>
        <w:rPr>
          <w:sz w:val="21"/>
        </w:rPr>
      </w:pPr>
      <w:r>
        <w:rPr>
          <w:spacing w:val="-3"/>
          <w:sz w:val="21"/>
        </w:rPr>
        <w:t>视力严重受损：指因疾病或意外伤害导致双目视力永久不可逆性丧失， 双眼中较好眼须满足下列全部条件：</w:t>
      </w:r>
    </w:p>
    <w:p>
      <w:pPr>
        <w:pStyle w:val="ListParagraph"/>
        <w:numPr>
          <w:ilvl w:val="2"/>
          <w:numId w:val="1"/>
        </w:numPr>
        <w:tabs>
          <w:tab w:pos="2984" w:val="left" w:leader="none"/>
          <w:tab w:pos="2985" w:val="left" w:leader="none"/>
        </w:tabs>
        <w:spacing w:line="273" w:lineRule="auto" w:before="164" w:after="0"/>
        <w:ind w:left="2984" w:right="132" w:hanging="420"/>
        <w:jc w:val="left"/>
        <w:rPr>
          <w:sz w:val="21"/>
        </w:rPr>
      </w:pPr>
      <w:r>
        <w:rPr>
          <w:spacing w:val="-8"/>
          <w:sz w:val="21"/>
        </w:rPr>
        <w:t>矫正视力为 </w:t>
      </w:r>
      <w:r>
        <w:rPr>
          <w:sz w:val="21"/>
        </w:rPr>
        <w:t>0.02-0.1（</w:t>
      </w:r>
      <w:r>
        <w:rPr>
          <w:spacing w:val="-3"/>
          <w:sz w:val="21"/>
        </w:rPr>
        <w:t>采用国际标准视力表，如果使用其他视</w:t>
      </w:r>
      <w:r>
        <w:rPr>
          <w:spacing w:val="-3"/>
          <w:w w:val="100"/>
          <w:sz w:val="21"/>
        </w:rPr>
        <w:t>力表应进行换算</w:t>
      </w:r>
      <w:r>
        <w:rPr>
          <w:spacing w:val="-106"/>
          <w:w w:val="100"/>
          <w:sz w:val="21"/>
        </w:rPr>
        <w:t>）</w:t>
      </w:r>
      <w:r>
        <w:rPr>
          <w:w w:val="100"/>
          <w:sz w:val="21"/>
        </w:rPr>
        <w:t>；</w:t>
      </w:r>
    </w:p>
    <w:p>
      <w:pPr>
        <w:pStyle w:val="ListParagraph"/>
        <w:numPr>
          <w:ilvl w:val="2"/>
          <w:numId w:val="1"/>
        </w:numPr>
        <w:tabs>
          <w:tab w:pos="2984" w:val="left" w:leader="none"/>
          <w:tab w:pos="2985" w:val="left" w:leader="none"/>
        </w:tabs>
        <w:spacing w:line="240" w:lineRule="auto" w:before="164" w:after="0"/>
        <w:ind w:left="2984" w:right="0" w:hanging="420"/>
        <w:jc w:val="left"/>
        <w:rPr>
          <w:sz w:val="21"/>
        </w:rPr>
      </w:pPr>
      <w:r>
        <w:rPr>
          <w:spacing w:val="-11"/>
          <w:sz w:val="21"/>
        </w:rPr>
        <w:t>视野半径为 </w:t>
      </w:r>
      <w:r>
        <w:rPr>
          <w:sz w:val="21"/>
        </w:rPr>
        <w:t>5-20</w:t>
      </w:r>
      <w:r>
        <w:rPr>
          <w:spacing w:val="-18"/>
          <w:sz w:val="21"/>
        </w:rPr>
        <w:t> 度。</w:t>
      </w:r>
    </w:p>
    <w:p>
      <w:pPr>
        <w:spacing w:after="0" w:line="240" w:lineRule="auto"/>
        <w:jc w:val="left"/>
        <w:rPr>
          <w:sz w:val="21"/>
        </w:rPr>
        <w:sectPr>
          <w:pgSz w:w="11910" w:h="16840"/>
          <w:pgMar w:header="0" w:footer="924" w:top="1080" w:bottom="1200" w:left="1680" w:right="1380"/>
        </w:sectPr>
      </w:pPr>
    </w:p>
    <w:p>
      <w:pPr>
        <w:pStyle w:val="Heading1"/>
        <w:spacing w:line="273" w:lineRule="auto" w:before="22"/>
        <w:ind w:right="259"/>
      </w:pPr>
      <w:r>
        <w:rPr>
          <w:spacing w:val="-5"/>
        </w:rPr>
        <w:t>申请理赔时，被保险人年龄必须在 </w:t>
      </w:r>
      <w:r>
        <w:rPr/>
        <w:t>3</w:t>
      </w:r>
      <w:r>
        <w:rPr>
          <w:spacing w:val="-8"/>
        </w:rPr>
        <w:t> 周岁以上，并且须提供理赔当时的视力丧失诊断及检查证据。</w:t>
      </w:r>
    </w:p>
    <w:p>
      <w:pPr>
        <w:pStyle w:val="ListParagraph"/>
        <w:numPr>
          <w:ilvl w:val="1"/>
          <w:numId w:val="1"/>
        </w:numPr>
        <w:tabs>
          <w:tab w:pos="2145" w:val="left" w:leader="none"/>
        </w:tabs>
        <w:spacing w:line="273" w:lineRule="auto" w:before="164" w:after="0"/>
        <w:ind w:left="2144" w:right="283" w:hanging="421"/>
        <w:jc w:val="both"/>
        <w:rPr>
          <w:sz w:val="21"/>
        </w:rPr>
      </w:pPr>
      <w:r>
        <w:rPr>
          <w:spacing w:val="-3"/>
          <w:sz w:val="21"/>
        </w:rPr>
        <w:t>听力严重受损：指因疾病或意外伤害导致单耳或双耳听力永久不可逆性</w:t>
      </w:r>
      <w:r>
        <w:rPr>
          <w:spacing w:val="-13"/>
          <w:sz w:val="21"/>
        </w:rPr>
        <w:t>丧失。在 </w:t>
      </w:r>
      <w:r>
        <w:rPr>
          <w:sz w:val="21"/>
        </w:rPr>
        <w:t>500</w:t>
      </w:r>
      <w:r>
        <w:rPr>
          <w:spacing w:val="-14"/>
          <w:sz w:val="21"/>
        </w:rPr>
        <w:t> 赫兹，</w:t>
      </w:r>
      <w:r>
        <w:rPr>
          <w:sz w:val="21"/>
        </w:rPr>
        <w:t>1000</w:t>
      </w:r>
      <w:r>
        <w:rPr>
          <w:spacing w:val="-22"/>
          <w:sz w:val="21"/>
        </w:rPr>
        <w:t> 赫兹和 </w:t>
      </w:r>
      <w:r>
        <w:rPr>
          <w:sz w:val="21"/>
        </w:rPr>
        <w:t>2000</w:t>
      </w:r>
      <w:r>
        <w:rPr>
          <w:spacing w:val="-8"/>
          <w:sz w:val="21"/>
        </w:rPr>
        <w:t> 赫兹语音频率下，平均听阈大于</w:t>
      </w:r>
    </w:p>
    <w:p>
      <w:pPr>
        <w:pStyle w:val="BodyText"/>
        <w:spacing w:line="273" w:lineRule="auto" w:before="8"/>
        <w:ind w:left="2144" w:right="211"/>
      </w:pPr>
      <w:r>
        <w:rPr/>
        <w:t>80</w:t>
      </w:r>
      <w:r>
        <w:rPr>
          <w:spacing w:val="-14"/>
        </w:rPr>
        <w:t> 分贝但未达到 </w:t>
      </w:r>
      <w:r>
        <w:rPr/>
        <w:t>90</w:t>
      </w:r>
      <w:r>
        <w:rPr>
          <w:spacing w:val="-15"/>
        </w:rPr>
        <w:t> 分贝。需有纯音听力测试、声导抗检测或听觉诱发电</w:t>
      </w:r>
      <w:r>
        <w:rPr>
          <w:spacing w:val="-3"/>
        </w:rPr>
        <w:t>位检测等证实。</w:t>
      </w:r>
    </w:p>
    <w:p>
      <w:pPr>
        <w:pStyle w:val="Heading1"/>
        <w:spacing w:line="273" w:lineRule="auto" w:before="164"/>
        <w:ind w:right="259"/>
      </w:pPr>
      <w:r>
        <w:rPr>
          <w:spacing w:val="-5"/>
        </w:rPr>
        <w:t>申请理赔时，被保险人年龄必须在 </w:t>
      </w:r>
      <w:r>
        <w:rPr/>
        <w:t>3</w:t>
      </w:r>
      <w:r>
        <w:rPr>
          <w:spacing w:val="-8"/>
        </w:rPr>
        <w:t> 周岁以上，并且须提供理赔当时的听力丧失诊断及检查证据。</w:t>
      </w:r>
    </w:p>
    <w:p>
      <w:pPr>
        <w:pStyle w:val="ListParagraph"/>
        <w:numPr>
          <w:ilvl w:val="1"/>
          <w:numId w:val="1"/>
        </w:numPr>
        <w:tabs>
          <w:tab w:pos="2145" w:val="left" w:leader="none"/>
        </w:tabs>
        <w:spacing w:line="273" w:lineRule="auto" w:before="164" w:after="0"/>
        <w:ind w:left="2144" w:right="283" w:hanging="421"/>
        <w:jc w:val="both"/>
        <w:rPr>
          <w:sz w:val="21"/>
        </w:rPr>
      </w:pPr>
      <w:r>
        <w:rPr>
          <w:spacing w:val="-3"/>
          <w:sz w:val="21"/>
        </w:rPr>
        <w:t>心脏瓣膜经皮导管介入手术：指为治疗心脏瓣膜疾病，实际实施了或经皮导管介入手术进行心脏瓣膜置换或者修复手术，含经皮瓣膜成形术、经皮瓣膜扩张术和经皮瓣膜置换术。</w:t>
      </w:r>
    </w:p>
    <w:p>
      <w:pPr>
        <w:pStyle w:val="Heading1"/>
        <w:spacing w:line="273" w:lineRule="auto" w:before="164"/>
        <w:ind w:right="262"/>
      </w:pPr>
      <w:r>
        <w:rPr/>
        <w:t>手术过程必须是经皮血管内导管技术，任何经开胸术打开或进入胸部的手术均不在本附加合同保障范围内。</w:t>
      </w:r>
    </w:p>
    <w:p>
      <w:pPr>
        <w:pStyle w:val="ListParagraph"/>
        <w:numPr>
          <w:ilvl w:val="1"/>
          <w:numId w:val="1"/>
        </w:numPr>
        <w:tabs>
          <w:tab w:pos="2145" w:val="left" w:leader="none"/>
        </w:tabs>
        <w:spacing w:line="273" w:lineRule="auto" w:before="164" w:after="0"/>
        <w:ind w:left="2144" w:right="283" w:hanging="421"/>
        <w:jc w:val="both"/>
        <w:rPr>
          <w:sz w:val="21"/>
        </w:rPr>
      </w:pPr>
      <w:r>
        <w:rPr>
          <w:spacing w:val="-3"/>
          <w:sz w:val="21"/>
        </w:rPr>
        <w:t>主动脉内手术：为了治疗主动脉疾病实际实施了经皮经导管进行的动脉内手术，诊断需经心脏血管超声检查确诊，并由专科医师确认是在医学上是必要的。</w:t>
      </w:r>
    </w:p>
    <w:p>
      <w:pPr>
        <w:pStyle w:val="BodyText"/>
        <w:spacing w:before="164"/>
        <w:ind w:left="2144"/>
      </w:pPr>
      <w:r>
        <w:rPr/>
        <w:t>主动脉指胸主动脉和腹主动脉，不包括胸主动脉和腹主动脉的分支血管。</w:t>
      </w:r>
    </w:p>
    <w:p>
      <w:pPr>
        <w:pStyle w:val="BodyText"/>
        <w:spacing w:before="10"/>
        <w:rPr>
          <w:sz w:val="14"/>
        </w:rPr>
      </w:pPr>
    </w:p>
    <w:p>
      <w:pPr>
        <w:pStyle w:val="ListParagraph"/>
        <w:numPr>
          <w:ilvl w:val="1"/>
          <w:numId w:val="1"/>
        </w:numPr>
        <w:tabs>
          <w:tab w:pos="2145" w:val="left" w:leader="none"/>
        </w:tabs>
        <w:spacing w:line="273" w:lineRule="auto" w:before="0" w:after="0"/>
        <w:ind w:left="2144" w:right="208" w:hanging="421"/>
        <w:jc w:val="left"/>
        <w:rPr>
          <w:sz w:val="21"/>
        </w:rPr>
      </w:pPr>
      <w:r>
        <w:rPr>
          <w:spacing w:val="-3"/>
          <w:sz w:val="21"/>
        </w:rPr>
        <w:t>脑垂体瘤、脑囊肿：指实际实施的垂体瘤、脑囊肿的切除手术。诊断需</w:t>
      </w:r>
      <w:r>
        <w:rPr>
          <w:spacing w:val="-4"/>
          <w:sz w:val="21"/>
        </w:rPr>
        <w:t>经头颅断层扫描</w:t>
      </w:r>
      <w:r>
        <w:rPr>
          <w:spacing w:val="-3"/>
          <w:sz w:val="21"/>
        </w:rPr>
        <w:t>（CT）</w:t>
      </w:r>
      <w:r>
        <w:rPr>
          <w:spacing w:val="-4"/>
          <w:sz w:val="21"/>
        </w:rPr>
        <w:t>或核磁共振</w:t>
      </w:r>
      <w:r>
        <w:rPr>
          <w:spacing w:val="-3"/>
          <w:sz w:val="21"/>
        </w:rPr>
        <w:t>（MRI）</w:t>
      </w:r>
      <w:r>
        <w:rPr>
          <w:spacing w:val="-4"/>
          <w:sz w:val="21"/>
        </w:rPr>
        <w:t>确诊，并由专科医师确认此手</w:t>
      </w:r>
      <w:r>
        <w:rPr>
          <w:spacing w:val="-3"/>
          <w:sz w:val="21"/>
        </w:rPr>
        <w:t>术在医学上是必要的。在申请理赔时必须提交由病理科专科医生签署的固定活组织病理学检查报告和由专科医生签署的临床诊断及治疗报告。</w:t>
      </w:r>
    </w:p>
    <w:p>
      <w:pPr>
        <w:pStyle w:val="Heading1"/>
        <w:spacing w:before="163"/>
      </w:pPr>
      <w:r>
        <w:rPr/>
        <w:t>直径小于 1cm 的垂体微腺瘤不在本附加合同保障范围内。</w:t>
      </w:r>
    </w:p>
    <w:p>
      <w:pPr>
        <w:pStyle w:val="BodyText"/>
        <w:spacing w:before="9"/>
        <w:rPr>
          <w:b/>
          <w:sz w:val="14"/>
        </w:rPr>
      </w:pPr>
    </w:p>
    <w:p>
      <w:pPr>
        <w:pStyle w:val="ListParagraph"/>
        <w:numPr>
          <w:ilvl w:val="1"/>
          <w:numId w:val="1"/>
        </w:numPr>
        <w:tabs>
          <w:tab w:pos="2145" w:val="left" w:leader="none"/>
        </w:tabs>
        <w:spacing w:line="273" w:lineRule="auto" w:before="0" w:after="0"/>
        <w:ind w:left="2144" w:right="283" w:hanging="421"/>
        <w:jc w:val="both"/>
        <w:rPr>
          <w:sz w:val="21"/>
        </w:rPr>
      </w:pPr>
      <w:r>
        <w:rPr>
          <w:spacing w:val="-3"/>
          <w:sz w:val="21"/>
        </w:rPr>
        <w:t>轻度帕金森病：是一种中枢神经系统的退行性疾病，临床表现为震颤麻痹、共济失调等。</w:t>
      </w:r>
    </w:p>
    <w:p>
      <w:pPr>
        <w:pStyle w:val="BodyText"/>
        <w:spacing w:before="163"/>
        <w:ind w:left="2144"/>
      </w:pPr>
      <w:r>
        <w:rPr/>
        <w:t>须满足下列全部条件：</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3"/>
          <w:sz w:val="21"/>
        </w:rPr>
        <w:t>药物治疗无法控制病情；</w:t>
      </w:r>
    </w:p>
    <w:p>
      <w:pPr>
        <w:pStyle w:val="BodyText"/>
        <w:spacing w:before="9"/>
        <w:rPr>
          <w:sz w:val="14"/>
        </w:rPr>
      </w:pPr>
    </w:p>
    <w:p>
      <w:pPr>
        <w:pStyle w:val="ListParagraph"/>
        <w:numPr>
          <w:ilvl w:val="2"/>
          <w:numId w:val="1"/>
        </w:numPr>
        <w:tabs>
          <w:tab w:pos="2984" w:val="left" w:leader="none"/>
          <w:tab w:pos="2985" w:val="left" w:leader="none"/>
        </w:tabs>
        <w:spacing w:line="273" w:lineRule="auto" w:before="0" w:after="0"/>
        <w:ind w:left="2984" w:right="283" w:hanging="420"/>
        <w:jc w:val="left"/>
        <w:rPr>
          <w:sz w:val="21"/>
        </w:rPr>
      </w:pPr>
      <w:r>
        <w:rPr>
          <w:spacing w:val="-3"/>
          <w:sz w:val="21"/>
        </w:rPr>
        <w:t>自主生活能力完全丧失，无法独立完成六项基本日常生活活动</w:t>
      </w:r>
      <w:r>
        <w:rPr>
          <w:spacing w:val="-2"/>
          <w:sz w:val="21"/>
        </w:rPr>
        <w:t>中的两项。</w:t>
      </w:r>
    </w:p>
    <w:p>
      <w:pPr>
        <w:pStyle w:val="Heading1"/>
        <w:spacing w:before="163"/>
      </w:pPr>
      <w:r>
        <w:rPr/>
        <w:t>继发性帕金森综合征不在本附加合同保障范围内。</w:t>
      </w:r>
    </w:p>
    <w:p>
      <w:pPr>
        <w:pStyle w:val="BodyText"/>
        <w:spacing w:before="9"/>
        <w:rPr>
          <w:b/>
          <w:sz w:val="14"/>
        </w:rPr>
      </w:pPr>
    </w:p>
    <w:p>
      <w:pPr>
        <w:pStyle w:val="ListParagraph"/>
        <w:numPr>
          <w:ilvl w:val="1"/>
          <w:numId w:val="1"/>
        </w:numPr>
        <w:tabs>
          <w:tab w:pos="2145" w:val="left" w:leader="none"/>
        </w:tabs>
        <w:spacing w:line="273" w:lineRule="auto" w:before="0" w:after="0"/>
        <w:ind w:left="2144" w:right="211" w:hanging="421"/>
        <w:jc w:val="left"/>
        <w:rPr>
          <w:sz w:val="21"/>
        </w:rPr>
      </w:pPr>
      <w:r>
        <w:rPr>
          <w:spacing w:val="-3"/>
          <w:sz w:val="21"/>
        </w:rPr>
        <w:t>脑损伤：指因头部遭受机械性外力，引起脑重要部位损伤，导致神经系</w:t>
      </w:r>
      <w:r>
        <w:rPr>
          <w:spacing w:val="-3"/>
          <w:w w:val="100"/>
          <w:sz w:val="21"/>
        </w:rPr>
        <w:t>统永久性的功能障碍。须由头颅断层扫描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4"/>
          <w:sz w:val="21"/>
        </w:rPr>
        <w:t>或正电子发射断层扫描（PET）</w:t>
      </w:r>
      <w:r>
        <w:rPr>
          <w:spacing w:val="-5"/>
          <w:sz w:val="21"/>
        </w:rPr>
        <w:t>等影像学检查证实。神经系统永久性的功</w:t>
      </w:r>
      <w:r>
        <w:rPr>
          <w:spacing w:val="-10"/>
          <w:sz w:val="21"/>
        </w:rPr>
        <w:t>能障碍，指脑损伤 </w:t>
      </w:r>
      <w:r>
        <w:rPr>
          <w:sz w:val="21"/>
        </w:rPr>
        <w:t>90</w:t>
      </w:r>
      <w:r>
        <w:rPr>
          <w:spacing w:val="-9"/>
          <w:sz w:val="21"/>
        </w:rPr>
        <w:t> 天后，仍完全丧失自主生活能力，无法独立进行六</w:t>
      </w:r>
      <w:r>
        <w:rPr>
          <w:spacing w:val="-5"/>
          <w:sz w:val="21"/>
        </w:rPr>
        <w:t>项基本日常生活活动中的两项。</w:t>
      </w:r>
    </w:p>
    <w:p>
      <w:pPr>
        <w:pStyle w:val="ListParagraph"/>
        <w:numPr>
          <w:ilvl w:val="1"/>
          <w:numId w:val="1"/>
        </w:numPr>
        <w:tabs>
          <w:tab w:pos="2145" w:val="left" w:leader="none"/>
        </w:tabs>
        <w:spacing w:line="273" w:lineRule="auto" w:before="163" w:after="0"/>
        <w:ind w:left="2144" w:right="213" w:hanging="421"/>
        <w:jc w:val="both"/>
        <w:rPr>
          <w:sz w:val="21"/>
        </w:rPr>
      </w:pPr>
      <w:r>
        <w:rPr>
          <w:spacing w:val="-12"/>
          <w:sz w:val="21"/>
        </w:rPr>
        <w:t>三度烧伤：指烧伤程度为Ⅲ度，且Ⅲ度烧伤面积达到全身体表面积的 </w:t>
      </w:r>
      <w:r>
        <w:rPr>
          <w:sz w:val="21"/>
        </w:rPr>
        <w:t>10% </w:t>
      </w:r>
      <w:r>
        <w:rPr>
          <w:spacing w:val="-12"/>
          <w:sz w:val="21"/>
        </w:rPr>
        <w:t>但少于 </w:t>
      </w:r>
      <w:r>
        <w:rPr>
          <w:spacing w:val="-3"/>
          <w:sz w:val="21"/>
        </w:rPr>
        <w:t>20</w:t>
      </w:r>
      <w:r>
        <w:rPr>
          <w:spacing w:val="-9"/>
          <w:sz w:val="21"/>
        </w:rPr>
        <w:t>%，或者超过 </w:t>
      </w:r>
      <w:r>
        <w:rPr>
          <w:sz w:val="21"/>
        </w:rPr>
        <w:t>50</w:t>
      </w:r>
      <w:r>
        <w:rPr>
          <w:spacing w:val="-5"/>
          <w:sz w:val="21"/>
        </w:rPr>
        <w:t>%脸部面积。体表面积根据《中国新九分法》计算。</w:t>
      </w:r>
    </w:p>
    <w:p>
      <w:pPr>
        <w:spacing w:after="0" w:line="273" w:lineRule="auto"/>
        <w:jc w:val="both"/>
        <w:rPr>
          <w:sz w:val="21"/>
        </w:rPr>
        <w:sectPr>
          <w:pgSz w:w="11910" w:h="16840"/>
          <w:pgMar w:header="0" w:footer="924" w:top="1080" w:bottom="1200" w:left="1680" w:right="1280"/>
        </w:sectPr>
      </w:pPr>
    </w:p>
    <w:p>
      <w:pPr>
        <w:pStyle w:val="ListParagraph"/>
        <w:numPr>
          <w:ilvl w:val="1"/>
          <w:numId w:val="1"/>
        </w:numPr>
        <w:tabs>
          <w:tab w:pos="2145" w:val="left" w:leader="none"/>
        </w:tabs>
        <w:spacing w:line="408" w:lineRule="auto" w:before="22" w:after="0"/>
        <w:ind w:left="2144" w:right="684" w:hanging="421"/>
        <w:jc w:val="left"/>
        <w:rPr>
          <w:b/>
          <w:sz w:val="21"/>
        </w:rPr>
      </w:pPr>
      <w:r>
        <w:rPr>
          <w:spacing w:val="-3"/>
          <w:sz w:val="21"/>
        </w:rPr>
        <w:t>单侧肺脏切除：因疾病或意外事故实际实施的一侧肺脏切除术。 </w:t>
      </w:r>
      <w:r>
        <w:rPr>
          <w:b/>
          <w:spacing w:val="-3"/>
          <w:sz w:val="21"/>
        </w:rPr>
        <w:t>部分切除手术和肺脏捐献引起的手术不在本附加合同保障范围内。</w:t>
      </w:r>
    </w:p>
    <w:p>
      <w:pPr>
        <w:pStyle w:val="ListParagraph"/>
        <w:numPr>
          <w:ilvl w:val="1"/>
          <w:numId w:val="1"/>
        </w:numPr>
        <w:tabs>
          <w:tab w:pos="2145" w:val="left" w:leader="none"/>
        </w:tabs>
        <w:spacing w:line="273" w:lineRule="auto" w:before="46" w:after="0"/>
        <w:ind w:left="2144" w:right="210" w:hanging="421"/>
        <w:jc w:val="left"/>
        <w:rPr>
          <w:sz w:val="21"/>
        </w:rPr>
      </w:pPr>
      <w:r>
        <w:rPr>
          <w:spacing w:val="-5"/>
          <w:w w:val="100"/>
          <w:sz w:val="21"/>
        </w:rPr>
        <w:t>微创冠状动脉搭桥手术</w:t>
      </w:r>
      <w:r>
        <w:rPr>
          <w:spacing w:val="-3"/>
          <w:w w:val="100"/>
          <w:sz w:val="21"/>
        </w:rPr>
        <w:t>（或称微创冠状动脉旁路移植术</w:t>
      </w:r>
      <w:r>
        <w:rPr>
          <w:spacing w:val="-108"/>
          <w:w w:val="100"/>
          <w:sz w:val="21"/>
        </w:rPr>
        <w:t>）</w:t>
      </w:r>
      <w:r>
        <w:rPr>
          <w:spacing w:val="-5"/>
          <w:w w:val="100"/>
          <w:sz w:val="21"/>
        </w:rPr>
        <w:t>：为纠正冠状动</w:t>
      </w:r>
      <w:r>
        <w:rPr>
          <w:spacing w:val="-4"/>
          <w:sz w:val="21"/>
        </w:rPr>
        <w:t>脉的狭窄或堵塞，而实际实施的冠状动脉旁路移植手术。手术通过微创开胸术</w:t>
      </w:r>
      <w:r>
        <w:rPr>
          <w:sz w:val="21"/>
        </w:rPr>
        <w:t>（</w:t>
      </w:r>
      <w:r>
        <w:rPr>
          <w:spacing w:val="-3"/>
          <w:sz w:val="21"/>
        </w:rPr>
        <w:t>肋骨间小切口）进行，且诊断须由冠状动脉血管造影检查确诊狭窄或堵塞。微创冠状动脉绕道也包括"锁孔"冠脉搭桥手术。</w:t>
      </w:r>
    </w:p>
    <w:p>
      <w:pPr>
        <w:pStyle w:val="BodyText"/>
        <w:spacing w:before="163"/>
        <w:ind w:left="2144"/>
      </w:pPr>
      <w:r>
        <w:rPr/>
        <w:t>理赔必须满足下列全部条件：</w:t>
      </w:r>
    </w:p>
    <w:p>
      <w:pPr>
        <w:pStyle w:val="BodyText"/>
        <w:spacing w:before="9"/>
        <w:rPr>
          <w:sz w:val="14"/>
        </w:rPr>
      </w:pPr>
    </w:p>
    <w:p>
      <w:pPr>
        <w:pStyle w:val="ListParagraph"/>
        <w:numPr>
          <w:ilvl w:val="2"/>
          <w:numId w:val="1"/>
        </w:numPr>
        <w:tabs>
          <w:tab w:pos="2984" w:val="left" w:leader="none"/>
          <w:tab w:pos="2985" w:val="left" w:leader="none"/>
        </w:tabs>
        <w:spacing w:line="273" w:lineRule="auto" w:before="0" w:after="0"/>
        <w:ind w:left="2984" w:right="336" w:hanging="420"/>
        <w:jc w:val="left"/>
        <w:rPr>
          <w:sz w:val="21"/>
        </w:rPr>
      </w:pPr>
      <w:r>
        <w:rPr>
          <w:spacing w:val="-5"/>
          <w:sz w:val="21"/>
        </w:rPr>
        <w:t>血管造影显示至少两支冠状动脉狭窄超过 </w:t>
      </w:r>
      <w:r>
        <w:rPr>
          <w:sz w:val="21"/>
        </w:rPr>
        <w:t>50</w:t>
      </w:r>
      <w:r>
        <w:rPr>
          <w:spacing w:val="-2"/>
          <w:sz w:val="21"/>
        </w:rPr>
        <w:t>%或一支冠状动脉</w:t>
      </w:r>
      <w:r>
        <w:rPr>
          <w:sz w:val="21"/>
        </w:rPr>
        <w:t>狭窄 70</w:t>
      </w:r>
      <w:r>
        <w:rPr>
          <w:spacing w:val="-3"/>
          <w:sz w:val="21"/>
        </w:rPr>
        <w:t>%或更高；</w:t>
      </w:r>
    </w:p>
    <w:p>
      <w:pPr>
        <w:pStyle w:val="ListParagraph"/>
        <w:numPr>
          <w:ilvl w:val="2"/>
          <w:numId w:val="1"/>
        </w:numPr>
        <w:tabs>
          <w:tab w:pos="2984" w:val="left" w:leader="none"/>
          <w:tab w:pos="2985" w:val="left" w:leader="none"/>
        </w:tabs>
        <w:spacing w:line="240" w:lineRule="auto" w:before="164" w:after="0"/>
        <w:ind w:left="2984" w:right="0" w:hanging="420"/>
        <w:jc w:val="left"/>
        <w:rPr>
          <w:sz w:val="21"/>
        </w:rPr>
      </w:pPr>
      <w:r>
        <w:rPr>
          <w:spacing w:val="-3"/>
          <w:sz w:val="21"/>
        </w:rPr>
        <w:t>手术须由心脏专科医师进行，并确认在医学上手术是必要的。</w:t>
      </w:r>
    </w:p>
    <w:p>
      <w:pPr>
        <w:pStyle w:val="BodyText"/>
        <w:spacing w:before="10"/>
        <w:rPr>
          <w:sz w:val="14"/>
        </w:rPr>
      </w:pPr>
    </w:p>
    <w:p>
      <w:pPr>
        <w:pStyle w:val="ListParagraph"/>
        <w:numPr>
          <w:ilvl w:val="1"/>
          <w:numId w:val="1"/>
        </w:numPr>
        <w:tabs>
          <w:tab w:pos="2145" w:val="left" w:leader="none"/>
        </w:tabs>
        <w:spacing w:line="273" w:lineRule="auto" w:before="0" w:after="0"/>
        <w:ind w:left="2144" w:right="283" w:hanging="421"/>
        <w:jc w:val="left"/>
        <w:rPr>
          <w:sz w:val="21"/>
        </w:rPr>
      </w:pPr>
      <w:r>
        <w:rPr>
          <w:spacing w:val="-3"/>
          <w:sz w:val="21"/>
        </w:rPr>
        <w:t>一肢缺失：指因疾病或者意外伤害导致一个肢体或一个以上肢体自腕关节或踝关节近端</w:t>
      </w:r>
      <w:r>
        <w:rPr>
          <w:sz w:val="21"/>
        </w:rPr>
        <w:t>（</w:t>
      </w:r>
      <w:r>
        <w:rPr>
          <w:spacing w:val="-3"/>
          <w:sz w:val="21"/>
        </w:rPr>
        <w:t>靠近躯干端）以上完全断离。</w:t>
      </w:r>
    </w:p>
    <w:p>
      <w:pPr>
        <w:pStyle w:val="ListParagraph"/>
        <w:numPr>
          <w:ilvl w:val="1"/>
          <w:numId w:val="1"/>
        </w:numPr>
        <w:tabs>
          <w:tab w:pos="2145" w:val="left" w:leader="none"/>
        </w:tabs>
        <w:spacing w:line="273" w:lineRule="auto" w:before="163" w:after="0"/>
        <w:ind w:left="2144" w:right="283" w:hanging="421"/>
        <w:jc w:val="left"/>
        <w:rPr>
          <w:sz w:val="21"/>
        </w:rPr>
      </w:pPr>
      <w:r>
        <w:rPr>
          <w:spacing w:val="-3"/>
          <w:sz w:val="21"/>
        </w:rPr>
        <w:t>肝脏手术：因疾病或意外事故实际实施的肝脏部分切除术，手术须有至少一个完整的肝叶切除。</w:t>
      </w:r>
    </w:p>
    <w:p>
      <w:pPr>
        <w:pStyle w:val="Heading1"/>
        <w:spacing w:line="273" w:lineRule="auto" w:before="163"/>
        <w:ind w:right="261"/>
      </w:pPr>
      <w:r>
        <w:rPr/>
        <w:t>继发于酗酒，药物滥用，肝脏捐献引起的肝脏手术不在本附加合同保障范围内。</w:t>
      </w:r>
    </w:p>
    <w:p>
      <w:pPr>
        <w:pStyle w:val="ListParagraph"/>
        <w:numPr>
          <w:ilvl w:val="1"/>
          <w:numId w:val="1"/>
        </w:numPr>
        <w:tabs>
          <w:tab w:pos="2145" w:val="left" w:leader="none"/>
        </w:tabs>
        <w:spacing w:line="273" w:lineRule="auto" w:before="163" w:after="0"/>
        <w:ind w:left="2144" w:right="105" w:hanging="421"/>
        <w:jc w:val="left"/>
        <w:rPr>
          <w:sz w:val="21"/>
        </w:rPr>
      </w:pPr>
      <w:r>
        <w:rPr>
          <w:spacing w:val="-3"/>
          <w:sz w:val="21"/>
        </w:rPr>
        <w:t>轻度脑炎或脑膜炎后遗症：指因患脑炎或脑膜炎导致的神经系统的永久 </w:t>
      </w:r>
      <w:r>
        <w:rPr>
          <w:spacing w:val="-5"/>
          <w:sz w:val="21"/>
        </w:rPr>
        <w:t>功能障碍。神经系统永久性的功能障碍，指疾病确诊 </w:t>
      </w:r>
      <w:r>
        <w:rPr>
          <w:sz w:val="21"/>
        </w:rPr>
        <w:t>180</w:t>
      </w:r>
      <w:r>
        <w:rPr>
          <w:spacing w:val="-8"/>
          <w:sz w:val="21"/>
        </w:rPr>
        <w:t> 天后，仍存在自</w:t>
      </w:r>
      <w:r>
        <w:rPr>
          <w:spacing w:val="-7"/>
          <w:sz w:val="21"/>
        </w:rPr>
        <w:t>主生活能力完全丧失，无法独立完成六项基本日常生活活动中的两项。</w:t>
      </w:r>
    </w:p>
    <w:p>
      <w:pPr>
        <w:pStyle w:val="Heading1"/>
        <w:spacing w:before="163"/>
      </w:pPr>
      <w:r>
        <w:rPr/>
        <w:t>HIV 感染引起的脑炎不在本附加合同保障范围内。</w:t>
      </w:r>
    </w:p>
    <w:p>
      <w:pPr>
        <w:pStyle w:val="BodyText"/>
        <w:spacing w:before="9"/>
        <w:rPr>
          <w:b/>
          <w:sz w:val="14"/>
        </w:rPr>
      </w:pPr>
    </w:p>
    <w:p>
      <w:pPr>
        <w:pStyle w:val="ListParagraph"/>
        <w:numPr>
          <w:ilvl w:val="1"/>
          <w:numId w:val="1"/>
        </w:numPr>
        <w:tabs>
          <w:tab w:pos="2145" w:val="left" w:leader="none"/>
        </w:tabs>
        <w:spacing w:line="273" w:lineRule="auto" w:before="1" w:after="0"/>
        <w:ind w:left="2144" w:right="105" w:hanging="421"/>
        <w:jc w:val="left"/>
        <w:rPr>
          <w:sz w:val="21"/>
        </w:rPr>
      </w:pPr>
      <w:r>
        <w:rPr>
          <w:spacing w:val="-10"/>
          <w:sz w:val="21"/>
        </w:rPr>
        <w:t>深度昏迷 </w:t>
      </w:r>
      <w:r>
        <w:rPr>
          <w:sz w:val="21"/>
        </w:rPr>
        <w:t>72</w:t>
      </w:r>
      <w:r>
        <w:rPr>
          <w:spacing w:val="-8"/>
          <w:sz w:val="21"/>
        </w:rPr>
        <w:t> 小时：指因疾病或意外伤害导致意识丧失,对外界刺激和体内</w:t>
      </w:r>
      <w:r>
        <w:rPr>
          <w:spacing w:val="-6"/>
          <w:sz w:val="21"/>
        </w:rPr>
        <w:t>需求均无反应,昏迷程度按照格拉斯哥昏迷分级</w:t>
      </w:r>
      <w:r>
        <w:rPr>
          <w:sz w:val="21"/>
        </w:rPr>
        <w:t>（Glasgow</w:t>
      </w:r>
      <w:r>
        <w:rPr>
          <w:spacing w:val="-44"/>
          <w:sz w:val="21"/>
        </w:rPr>
        <w:t> </w:t>
      </w:r>
      <w:r>
        <w:rPr>
          <w:sz w:val="21"/>
        </w:rPr>
        <w:t>coma</w:t>
      </w:r>
      <w:r>
        <w:rPr>
          <w:spacing w:val="-41"/>
          <w:sz w:val="21"/>
        </w:rPr>
        <w:t> </w:t>
      </w:r>
      <w:r>
        <w:rPr>
          <w:sz w:val="21"/>
        </w:rPr>
        <w:t>scale） </w:t>
      </w:r>
      <w:r>
        <w:rPr>
          <w:spacing w:val="-14"/>
          <w:sz w:val="21"/>
        </w:rPr>
        <w:t>结果为 </w:t>
      </w:r>
      <w:r>
        <w:rPr>
          <w:sz w:val="21"/>
        </w:rPr>
        <w:t>5</w:t>
      </w:r>
      <w:r>
        <w:rPr>
          <w:spacing w:val="-26"/>
          <w:sz w:val="21"/>
        </w:rPr>
        <w:t> 分或 </w:t>
      </w:r>
      <w:r>
        <w:rPr>
          <w:sz w:val="21"/>
        </w:rPr>
        <w:t>5</w:t>
      </w:r>
      <w:r>
        <w:rPr>
          <w:spacing w:val="-8"/>
          <w:sz w:val="21"/>
        </w:rPr>
        <w:t> 分以下，且已经持续使用呼吸机及其它生命维持系统达到</w:t>
      </w:r>
      <w:r>
        <w:rPr>
          <w:spacing w:val="-49"/>
          <w:sz w:val="21"/>
        </w:rPr>
        <w:t> </w:t>
      </w:r>
      <w:r>
        <w:rPr>
          <w:sz w:val="21"/>
        </w:rPr>
        <w:t>72</w:t>
      </w:r>
      <w:r>
        <w:rPr>
          <w:spacing w:val="-11"/>
          <w:sz w:val="21"/>
        </w:rPr>
        <w:t> 小时以上。</w:t>
      </w:r>
    </w:p>
    <w:p>
      <w:pPr>
        <w:pStyle w:val="Heading1"/>
        <w:spacing w:before="164"/>
      </w:pPr>
      <w:r>
        <w:rPr/>
        <w:t>因酗酒或药物滥用导致的深度昏迷不在本附加合同保障范围内。</w:t>
      </w:r>
    </w:p>
    <w:p>
      <w:pPr>
        <w:pStyle w:val="BodyText"/>
        <w:spacing w:before="10"/>
        <w:rPr>
          <w:b/>
          <w:sz w:val="14"/>
        </w:rPr>
      </w:pPr>
    </w:p>
    <w:p>
      <w:pPr>
        <w:pStyle w:val="ListParagraph"/>
        <w:numPr>
          <w:ilvl w:val="1"/>
          <w:numId w:val="1"/>
        </w:numPr>
        <w:tabs>
          <w:tab w:pos="2145" w:val="left" w:leader="none"/>
        </w:tabs>
        <w:spacing w:line="273" w:lineRule="auto" w:before="0" w:after="0"/>
        <w:ind w:left="2144" w:right="283" w:hanging="421"/>
        <w:jc w:val="left"/>
        <w:rPr>
          <w:sz w:val="21"/>
        </w:rPr>
      </w:pPr>
      <w:r>
        <w:rPr>
          <w:spacing w:val="-3"/>
          <w:sz w:val="21"/>
        </w:rPr>
        <w:t>中度瘫痪：指因疾病或者意外伤害导致一肢或一肢以上肢体机能永久完</w:t>
      </w:r>
      <w:r>
        <w:rPr>
          <w:spacing w:val="-5"/>
          <w:sz w:val="21"/>
        </w:rPr>
        <w:t>全丧失。肢体机能永久完全丧失，指疾病确诊 </w:t>
      </w:r>
      <w:r>
        <w:rPr>
          <w:sz w:val="21"/>
        </w:rPr>
        <w:t>180</w:t>
      </w:r>
      <w:r>
        <w:rPr>
          <w:spacing w:val="-7"/>
          <w:sz w:val="21"/>
        </w:rPr>
        <w:t> 天后或意外伤害发生</w:t>
      </w:r>
    </w:p>
    <w:p>
      <w:pPr>
        <w:pStyle w:val="BodyText"/>
        <w:spacing w:line="408" w:lineRule="auto" w:before="7"/>
        <w:ind w:left="2144" w:right="105"/>
      </w:pPr>
      <w:r>
        <w:rPr/>
        <w:t>180</w:t>
      </w:r>
      <w:r>
        <w:rPr>
          <w:spacing w:val="-16"/>
        </w:rPr>
        <w:t> 天后，每肢三大关节中的两大关节仍然完全僵硬，或不能随意识活动。</w:t>
      </w:r>
      <w:r>
        <w:rPr>
          <w:spacing w:val="-7"/>
        </w:rPr>
        <w:t>肢体是指包括整个手臂包括肩关节或整个腿包括髋关节。</w:t>
      </w:r>
    </w:p>
    <w:p>
      <w:pPr>
        <w:pStyle w:val="Heading1"/>
        <w:spacing w:line="273" w:lineRule="auto" w:before="45"/>
        <w:ind w:right="262"/>
      </w:pPr>
      <w:r>
        <w:rPr/>
        <w:t>自我伤害，局部瘫痪，病毒感染后的临时瘫痪，或由于心理疾病造成的机能丧失不在本附加合同保障范围内。</w:t>
      </w:r>
    </w:p>
    <w:p>
      <w:pPr>
        <w:pStyle w:val="ListParagraph"/>
        <w:numPr>
          <w:ilvl w:val="1"/>
          <w:numId w:val="1"/>
        </w:numPr>
        <w:tabs>
          <w:tab w:pos="2145" w:val="left" w:leader="none"/>
        </w:tabs>
        <w:spacing w:line="408" w:lineRule="auto" w:before="163" w:after="0"/>
        <w:ind w:left="2144" w:right="703" w:hanging="421"/>
        <w:jc w:val="left"/>
        <w:rPr>
          <w:b/>
          <w:sz w:val="21"/>
        </w:rPr>
      </w:pPr>
      <w:r>
        <w:rPr>
          <w:spacing w:val="-3"/>
          <w:sz w:val="21"/>
        </w:rPr>
        <w:t>双侧睾丸切除：指为治疗疾病实际接受了双侧睾丸完全切除手术。</w:t>
      </w:r>
      <w:r>
        <w:rPr>
          <w:b/>
          <w:spacing w:val="-3"/>
          <w:sz w:val="21"/>
        </w:rPr>
        <w:t>部分睾丸切除不在本附加合同保障范围内。</w:t>
      </w:r>
    </w:p>
    <w:p>
      <w:pPr>
        <w:pStyle w:val="ListParagraph"/>
        <w:numPr>
          <w:ilvl w:val="1"/>
          <w:numId w:val="1"/>
        </w:numPr>
        <w:tabs>
          <w:tab w:pos="2145" w:val="left" w:leader="none"/>
        </w:tabs>
        <w:spacing w:line="273" w:lineRule="auto" w:before="46" w:after="0"/>
        <w:ind w:left="2144" w:right="283" w:hanging="421"/>
        <w:jc w:val="left"/>
        <w:rPr>
          <w:sz w:val="21"/>
        </w:rPr>
      </w:pPr>
      <w:r>
        <w:rPr>
          <w:spacing w:val="-3"/>
          <w:sz w:val="21"/>
        </w:rPr>
        <w:t>双侧卵巢切除术: 指为治疗疾病实际接受了经腹部切开或腹腔镜进行的双侧卵巢完全切除手术。</w:t>
      </w:r>
    </w:p>
    <w:p>
      <w:pPr>
        <w:pStyle w:val="Heading1"/>
        <w:spacing w:before="164"/>
        <w:rPr>
          <w:b w:val="0"/>
        </w:rPr>
      </w:pPr>
      <w:r>
        <w:rPr/>
        <w:t>部分卵巢切除不在本附加合同保障范围内</w:t>
      </w:r>
      <w:r>
        <w:rPr>
          <w:b w:val="0"/>
        </w:rPr>
        <w:t>。</w:t>
      </w:r>
    </w:p>
    <w:p>
      <w:pPr>
        <w:spacing w:after="0"/>
        <w:sectPr>
          <w:pgSz w:w="11910" w:h="16840"/>
          <w:pgMar w:header="0" w:footer="924" w:top="1080" w:bottom="1200" w:left="1680" w:right="1280"/>
        </w:sectPr>
      </w:pPr>
    </w:p>
    <w:p>
      <w:pPr>
        <w:pStyle w:val="ListParagraph"/>
        <w:numPr>
          <w:ilvl w:val="1"/>
          <w:numId w:val="1"/>
        </w:numPr>
        <w:tabs>
          <w:tab w:pos="2145" w:val="left" w:leader="none"/>
        </w:tabs>
        <w:spacing w:line="273" w:lineRule="auto" w:before="22" w:after="0"/>
        <w:ind w:left="2144" w:right="123" w:hanging="421"/>
        <w:jc w:val="both"/>
        <w:rPr>
          <w:sz w:val="21"/>
        </w:rPr>
      </w:pPr>
      <w:r>
        <w:rPr>
          <w:spacing w:val="-3"/>
          <w:sz w:val="21"/>
        </w:rPr>
        <w:t>人工耳蜗植入手术: 指由于耳蜗的永久损害而实际实施了人工耳蜗植入手术。手术需经专科医师确认是在医学上是必要的，且在植入手术之前已经符合以下全部条件：</w:t>
      </w:r>
    </w:p>
    <w:p>
      <w:pPr>
        <w:pStyle w:val="ListParagraph"/>
        <w:numPr>
          <w:ilvl w:val="2"/>
          <w:numId w:val="1"/>
        </w:numPr>
        <w:tabs>
          <w:tab w:pos="2984" w:val="left" w:leader="none"/>
          <w:tab w:pos="2985" w:val="left" w:leader="none"/>
        </w:tabs>
        <w:spacing w:line="240" w:lineRule="auto" w:before="164" w:after="0"/>
        <w:ind w:left="2984" w:right="0" w:hanging="420"/>
        <w:jc w:val="left"/>
        <w:rPr>
          <w:sz w:val="21"/>
        </w:rPr>
      </w:pPr>
      <w:r>
        <w:rPr>
          <w:spacing w:val="-10"/>
          <w:sz w:val="21"/>
        </w:rPr>
        <w:t>双耳持续 </w:t>
      </w:r>
      <w:r>
        <w:rPr>
          <w:sz w:val="21"/>
        </w:rPr>
        <w:t>12</w:t>
      </w:r>
      <w:r>
        <w:rPr>
          <w:spacing w:val="-8"/>
          <w:sz w:val="21"/>
        </w:rPr>
        <w:t> 个月以上重度感音神经性耳聋；</w:t>
      </w:r>
    </w:p>
    <w:p>
      <w:pPr>
        <w:pStyle w:val="BodyText"/>
        <w:spacing w:before="10"/>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3"/>
          <w:sz w:val="21"/>
        </w:rPr>
        <w:t>使用相应的听力辅助设备效果不佳。</w:t>
      </w:r>
    </w:p>
    <w:p>
      <w:pPr>
        <w:pStyle w:val="BodyText"/>
        <w:spacing w:before="9"/>
        <w:rPr>
          <w:sz w:val="14"/>
        </w:rPr>
      </w:pPr>
    </w:p>
    <w:p>
      <w:pPr>
        <w:pStyle w:val="ListParagraph"/>
        <w:numPr>
          <w:ilvl w:val="1"/>
          <w:numId w:val="1"/>
        </w:numPr>
        <w:tabs>
          <w:tab w:pos="2145" w:val="left" w:leader="none"/>
        </w:tabs>
        <w:spacing w:line="273" w:lineRule="auto" w:before="1" w:after="0"/>
        <w:ind w:left="2144" w:right="123" w:hanging="421"/>
        <w:jc w:val="both"/>
        <w:rPr>
          <w:sz w:val="21"/>
        </w:rPr>
      </w:pPr>
      <w:r>
        <w:rPr>
          <w:spacing w:val="-3"/>
          <w:sz w:val="21"/>
        </w:rPr>
        <w:t>可逆性再生障碍性贫血: 指因急性可逆性的骨髓造血功能衰竭而导致贫血、中性粒细胞减少和血小板减少，必须由血液科医生的诊断，且病历资料显示接受了下列任一治疗：</w:t>
      </w:r>
    </w:p>
    <w:p>
      <w:pPr>
        <w:pStyle w:val="ListParagraph"/>
        <w:numPr>
          <w:ilvl w:val="2"/>
          <w:numId w:val="1"/>
        </w:numPr>
        <w:tabs>
          <w:tab w:pos="3089" w:val="left" w:leader="none"/>
          <w:tab w:pos="3090" w:val="left" w:leader="none"/>
        </w:tabs>
        <w:spacing w:line="240" w:lineRule="auto" w:before="164" w:after="0"/>
        <w:ind w:left="3089" w:right="0" w:hanging="525"/>
        <w:jc w:val="left"/>
        <w:rPr>
          <w:sz w:val="21"/>
        </w:rPr>
      </w:pPr>
      <w:r>
        <w:rPr>
          <w:spacing w:val="-9"/>
          <w:sz w:val="21"/>
        </w:rPr>
        <w:t>骨髓刺激疗法至少 </w:t>
      </w:r>
      <w:r>
        <w:rPr>
          <w:sz w:val="21"/>
        </w:rPr>
        <w:t>1</w:t>
      </w:r>
      <w:r>
        <w:rPr>
          <w:spacing w:val="-14"/>
          <w:sz w:val="21"/>
        </w:rPr>
        <w:t> 个月；</w:t>
      </w:r>
    </w:p>
    <w:p>
      <w:pPr>
        <w:pStyle w:val="BodyText"/>
        <w:spacing w:before="10"/>
        <w:rPr>
          <w:sz w:val="14"/>
        </w:rPr>
      </w:pPr>
    </w:p>
    <w:p>
      <w:pPr>
        <w:pStyle w:val="ListParagraph"/>
        <w:numPr>
          <w:ilvl w:val="2"/>
          <w:numId w:val="1"/>
        </w:numPr>
        <w:tabs>
          <w:tab w:pos="3089" w:val="left" w:leader="none"/>
          <w:tab w:pos="3090" w:val="left" w:leader="none"/>
        </w:tabs>
        <w:spacing w:line="240" w:lineRule="auto" w:before="0" w:after="0"/>
        <w:ind w:left="3089" w:right="0" w:hanging="525"/>
        <w:jc w:val="left"/>
        <w:rPr>
          <w:sz w:val="21"/>
        </w:rPr>
      </w:pPr>
      <w:r>
        <w:rPr>
          <w:spacing w:val="-8"/>
          <w:sz w:val="21"/>
        </w:rPr>
        <w:t>免疫抑制剂治疗至少 </w:t>
      </w:r>
      <w:r>
        <w:rPr>
          <w:sz w:val="21"/>
        </w:rPr>
        <w:t>1</w:t>
      </w:r>
      <w:r>
        <w:rPr>
          <w:spacing w:val="-14"/>
          <w:sz w:val="21"/>
        </w:rPr>
        <w:t> 个月；</w:t>
      </w:r>
    </w:p>
    <w:p>
      <w:pPr>
        <w:pStyle w:val="BodyText"/>
        <w:spacing w:before="9"/>
        <w:rPr>
          <w:sz w:val="14"/>
        </w:rPr>
      </w:pPr>
    </w:p>
    <w:p>
      <w:pPr>
        <w:pStyle w:val="ListParagraph"/>
        <w:numPr>
          <w:ilvl w:val="2"/>
          <w:numId w:val="1"/>
        </w:numPr>
        <w:tabs>
          <w:tab w:pos="3089" w:val="left" w:leader="none"/>
          <w:tab w:pos="3090" w:val="left" w:leader="none"/>
        </w:tabs>
        <w:spacing w:line="240" w:lineRule="auto" w:before="0" w:after="0"/>
        <w:ind w:left="3089" w:right="0" w:hanging="525"/>
        <w:jc w:val="left"/>
        <w:rPr>
          <w:sz w:val="21"/>
        </w:rPr>
      </w:pPr>
      <w:r>
        <w:rPr>
          <w:spacing w:val="-3"/>
          <w:sz w:val="21"/>
        </w:rPr>
        <w:t>接受了骨髓移植。</w:t>
      </w:r>
    </w:p>
    <w:p>
      <w:pPr>
        <w:pStyle w:val="BodyText"/>
        <w:spacing w:before="9"/>
        <w:rPr>
          <w:sz w:val="14"/>
        </w:rPr>
      </w:pPr>
    </w:p>
    <w:p>
      <w:pPr>
        <w:pStyle w:val="ListParagraph"/>
        <w:numPr>
          <w:ilvl w:val="1"/>
          <w:numId w:val="1"/>
        </w:numPr>
        <w:tabs>
          <w:tab w:pos="2145" w:val="left" w:leader="none"/>
        </w:tabs>
        <w:spacing w:line="240" w:lineRule="auto" w:before="0" w:after="0"/>
        <w:ind w:left="2144" w:right="0" w:hanging="421"/>
        <w:jc w:val="left"/>
        <w:rPr>
          <w:sz w:val="21"/>
        </w:rPr>
      </w:pPr>
      <w:r>
        <w:rPr>
          <w:spacing w:val="-3"/>
          <w:sz w:val="21"/>
        </w:rPr>
        <w:t>单耳失聪: 指因疾病或者意外伤害导致单耳听力永久不可逆性丧失，在</w:t>
      </w:r>
    </w:p>
    <w:p>
      <w:pPr>
        <w:pStyle w:val="BodyText"/>
        <w:spacing w:line="273" w:lineRule="auto" w:before="36"/>
        <w:ind w:left="2144" w:right="127"/>
        <w:jc w:val="both"/>
      </w:pPr>
      <w:r>
        <w:rPr/>
        <w:t>500</w:t>
      </w:r>
      <w:r>
        <w:rPr>
          <w:spacing w:val="-15"/>
        </w:rPr>
        <w:t> 赫兹、</w:t>
      </w:r>
      <w:r>
        <w:rPr/>
        <w:t>1000</w:t>
      </w:r>
      <w:r>
        <w:rPr>
          <w:spacing w:val="-22"/>
        </w:rPr>
        <w:t> 赫兹和 </w:t>
      </w:r>
      <w:r>
        <w:rPr/>
        <w:t>2000</w:t>
      </w:r>
      <w:r>
        <w:rPr>
          <w:spacing w:val="-12"/>
        </w:rPr>
        <w:t> 赫兹语音频率下，平均听阈大于 </w:t>
      </w:r>
      <w:r>
        <w:rPr/>
        <w:t>90</w:t>
      </w:r>
      <w:r>
        <w:rPr>
          <w:spacing w:val="-14"/>
        </w:rPr>
        <w:t> 分贝， </w:t>
      </w:r>
      <w:r>
        <w:rPr>
          <w:spacing w:val="-7"/>
        </w:rPr>
        <w:t>且经纯音听力测试、声导抗检测或者听觉诱发电位检测等证实。</w:t>
      </w:r>
    </w:p>
    <w:p>
      <w:pPr>
        <w:pStyle w:val="Heading1"/>
        <w:spacing w:line="273" w:lineRule="auto" w:before="163"/>
        <w:ind w:right="99"/>
        <w:jc w:val="both"/>
      </w:pPr>
      <w:r>
        <w:rPr>
          <w:spacing w:val="-9"/>
        </w:rPr>
        <w:t>被保险人在 </w:t>
      </w:r>
      <w:r>
        <w:rPr/>
        <w:t>3</w:t>
      </w:r>
      <w:r>
        <w:rPr>
          <w:spacing w:val="-8"/>
        </w:rPr>
        <w:t> 周岁之前因疾病导致的单耳失聪不在本附加合同保障范围内。</w:t>
      </w:r>
    </w:p>
    <w:p>
      <w:pPr>
        <w:pStyle w:val="ListParagraph"/>
        <w:numPr>
          <w:ilvl w:val="1"/>
          <w:numId w:val="1"/>
        </w:numPr>
        <w:tabs>
          <w:tab w:pos="2145" w:val="left" w:leader="none"/>
        </w:tabs>
        <w:spacing w:line="273" w:lineRule="auto" w:before="163" w:after="0"/>
        <w:ind w:left="2144" w:right="123" w:hanging="421"/>
        <w:jc w:val="left"/>
        <w:rPr>
          <w:sz w:val="21"/>
        </w:rPr>
      </w:pPr>
      <w:r>
        <w:rPr>
          <w:spacing w:val="-3"/>
          <w:sz w:val="21"/>
        </w:rPr>
        <w:t>早期进行性脊髓性肌萎缩: 脊髓前角细胞及脑干运动细胞核的退化病变，以近侧的肌肉无力和萎缩为主要特征，由腿部为最先开始并逐步扩散至远侧的肌肉。</w:t>
      </w:r>
    </w:p>
    <w:p>
      <w:pPr>
        <w:pStyle w:val="BodyText"/>
        <w:spacing w:before="163"/>
        <w:ind w:left="2144"/>
      </w:pPr>
      <w:r>
        <w:rPr/>
        <w:t>此症必须由本公司认可的专科医生确诊，并有肌电图等检查证实。</w:t>
      </w:r>
    </w:p>
    <w:p>
      <w:pPr>
        <w:pStyle w:val="BodyText"/>
        <w:spacing w:before="9"/>
        <w:rPr>
          <w:sz w:val="14"/>
        </w:rPr>
      </w:pPr>
    </w:p>
    <w:p>
      <w:pPr>
        <w:spacing w:line="273" w:lineRule="auto" w:before="0"/>
        <w:ind w:left="2144" w:right="108" w:firstLine="0"/>
        <w:jc w:val="both"/>
        <w:rPr>
          <w:b/>
          <w:sz w:val="21"/>
        </w:rPr>
      </w:pPr>
      <w:r>
        <w:rPr>
          <w:spacing w:val="-3"/>
          <w:sz w:val="21"/>
        </w:rPr>
        <w:t>进行性脊髓性肌萎缩必须造成神经系统永久性功能损害并且已导致被保险人自主生活能力完全丧失，无法独立完成六项基本日常生活活动中的</w:t>
      </w:r>
      <w:r>
        <w:rPr>
          <w:spacing w:val="-11"/>
          <w:sz w:val="21"/>
        </w:rPr>
        <w:t>两项持续达 </w:t>
      </w:r>
      <w:r>
        <w:rPr>
          <w:sz w:val="21"/>
        </w:rPr>
        <w:t>180</w:t>
      </w:r>
      <w:r>
        <w:rPr>
          <w:spacing w:val="-10"/>
          <w:sz w:val="21"/>
        </w:rPr>
        <w:t> 天以上。并且</w:t>
      </w:r>
      <w:r>
        <w:rPr>
          <w:b/>
          <w:spacing w:val="-5"/>
          <w:sz w:val="21"/>
        </w:rPr>
        <w:t>只有在被保险人年龄大于或等于 </w:t>
      </w:r>
      <w:r>
        <w:rPr>
          <w:b/>
          <w:sz w:val="21"/>
        </w:rPr>
        <w:t>5</w:t>
      </w:r>
      <w:r>
        <w:rPr>
          <w:b/>
          <w:spacing w:val="-13"/>
          <w:sz w:val="21"/>
        </w:rPr>
        <w:t> 周岁后</w:t>
      </w:r>
      <w:r>
        <w:rPr>
          <w:b/>
          <w:spacing w:val="-11"/>
          <w:sz w:val="21"/>
        </w:rPr>
        <w:t>首次确诊此症才属于本附加合同保障范围。</w:t>
      </w:r>
    </w:p>
    <w:p>
      <w:pPr>
        <w:pStyle w:val="ListParagraph"/>
        <w:numPr>
          <w:ilvl w:val="1"/>
          <w:numId w:val="1"/>
        </w:numPr>
        <w:tabs>
          <w:tab w:pos="2145" w:val="left" w:leader="none"/>
        </w:tabs>
        <w:spacing w:line="273" w:lineRule="auto" w:before="163" w:after="0"/>
        <w:ind w:left="2144" w:right="123" w:hanging="421"/>
        <w:jc w:val="both"/>
        <w:rPr>
          <w:sz w:val="21"/>
        </w:rPr>
      </w:pPr>
      <w:r>
        <w:rPr>
          <w:spacing w:val="-3"/>
          <w:sz w:val="21"/>
        </w:rPr>
        <w:t>早期进行性延髓麻痹症: 指由颅神经和皮质延髓束所支配的肌肉发生进行性退化，导致咀嚼、吞咽与谈话困难。</w:t>
      </w:r>
    </w:p>
    <w:p>
      <w:pPr>
        <w:pStyle w:val="BodyText"/>
        <w:spacing w:line="273" w:lineRule="auto" w:before="164"/>
        <w:ind w:left="2144" w:right="123"/>
        <w:jc w:val="both"/>
      </w:pPr>
      <w:r>
        <w:rPr/>
        <w:t>此症必须由本公司认可的专科医生明确诊断为进行性病变，并有肌电图等检查证实。</w:t>
      </w:r>
    </w:p>
    <w:p>
      <w:pPr>
        <w:pStyle w:val="BodyText"/>
        <w:spacing w:line="273" w:lineRule="auto" w:before="163"/>
        <w:ind w:left="2144" w:right="123"/>
        <w:jc w:val="both"/>
      </w:pPr>
      <w:r>
        <w:rPr/>
        <w:t>进行性延髓麻痹症必须造成神经系统永久性功能损害并且已导致被保险人自主生活能力完全丧失，无法独立完成六项基本日常生活活动中的两项持续达 180 天以上。</w:t>
      </w:r>
    </w:p>
    <w:p>
      <w:pPr>
        <w:pStyle w:val="ListParagraph"/>
        <w:numPr>
          <w:ilvl w:val="1"/>
          <w:numId w:val="1"/>
        </w:numPr>
        <w:tabs>
          <w:tab w:pos="2145" w:val="left" w:leader="none"/>
        </w:tabs>
        <w:spacing w:line="240" w:lineRule="auto" w:before="163" w:after="0"/>
        <w:ind w:left="2144" w:right="0" w:hanging="421"/>
        <w:jc w:val="left"/>
        <w:rPr>
          <w:sz w:val="21"/>
        </w:rPr>
      </w:pPr>
      <w:r>
        <w:rPr>
          <w:spacing w:val="-3"/>
          <w:sz w:val="21"/>
        </w:rPr>
        <w:t>中度严重溃疡性结肠炎：须满足下列全部条件：</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3"/>
          <w:sz w:val="21"/>
        </w:rPr>
        <w:t>须经由内窥镜检查证实该疾病侵犯全部结肠及直肠；</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3"/>
          <w:sz w:val="21"/>
        </w:rPr>
        <w:t>活检病理学组织切片检查证实为溃疡性结肠炎；</w:t>
      </w:r>
    </w:p>
    <w:p>
      <w:pPr>
        <w:pStyle w:val="BodyText"/>
        <w:spacing w:before="10"/>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5"/>
          <w:sz w:val="21"/>
        </w:rPr>
        <w:t>经专科医生以类固醇或免疫抑制剂连续治疗至少 </w:t>
      </w:r>
      <w:r>
        <w:rPr>
          <w:sz w:val="21"/>
        </w:rPr>
        <w:t>180</w:t>
      </w:r>
      <w:r>
        <w:rPr>
          <w:spacing w:val="-14"/>
          <w:sz w:val="21"/>
        </w:rPr>
        <w:t> 天。</w:t>
      </w:r>
    </w:p>
    <w:p>
      <w:pPr>
        <w:pStyle w:val="BodyText"/>
        <w:spacing w:before="9"/>
        <w:rPr>
          <w:sz w:val="14"/>
        </w:rPr>
      </w:pPr>
    </w:p>
    <w:p>
      <w:pPr>
        <w:pStyle w:val="BodyText"/>
        <w:spacing w:before="1"/>
        <w:ind w:left="2144"/>
        <w:jc w:val="both"/>
      </w:pPr>
      <w:r>
        <w:rPr/>
        <w:t>诊断及治疗均须在本公司认可的医院内由专科医师认为是医疗必须的情</w:t>
      </w:r>
    </w:p>
    <w:p>
      <w:pPr>
        <w:spacing w:after="0"/>
        <w:jc w:val="both"/>
        <w:sectPr>
          <w:pgSz w:w="11910" w:h="16840"/>
          <w:pgMar w:header="0" w:footer="924" w:top="1080" w:bottom="1200" w:left="1680" w:right="1440"/>
        </w:sectPr>
      </w:pPr>
    </w:p>
    <w:p>
      <w:pPr>
        <w:pStyle w:val="BodyText"/>
        <w:spacing w:before="22"/>
        <w:ind w:left="2144"/>
      </w:pPr>
      <w:r>
        <w:rPr/>
        <w:t>况下进行。</w:t>
      </w:r>
    </w:p>
    <w:p>
      <w:pPr>
        <w:pStyle w:val="BodyText"/>
        <w:spacing w:before="10"/>
        <w:rPr>
          <w:sz w:val="14"/>
        </w:rPr>
      </w:pPr>
    </w:p>
    <w:p>
      <w:pPr>
        <w:pStyle w:val="ListParagraph"/>
        <w:numPr>
          <w:ilvl w:val="1"/>
          <w:numId w:val="1"/>
        </w:numPr>
        <w:tabs>
          <w:tab w:pos="2145" w:val="left" w:leader="none"/>
        </w:tabs>
        <w:spacing w:line="273" w:lineRule="auto" w:before="0" w:after="0"/>
        <w:ind w:left="2144" w:right="183" w:hanging="421"/>
        <w:jc w:val="left"/>
        <w:rPr>
          <w:sz w:val="21"/>
        </w:rPr>
      </w:pPr>
      <w:r>
        <w:rPr>
          <w:spacing w:val="-3"/>
          <w:sz w:val="21"/>
        </w:rPr>
        <w:t>病毒性肝炎导致的肝纤维化：因肝炎病毒感染的肝脏慢性炎症并发展为肝纤维化。</w:t>
      </w:r>
    </w:p>
    <w:p>
      <w:pPr>
        <w:pStyle w:val="BodyText"/>
        <w:spacing w:before="163"/>
        <w:ind w:left="2144"/>
      </w:pPr>
      <w:r>
        <w:rPr/>
        <w:t>理赔必须满足下列全部条件：</w:t>
      </w:r>
    </w:p>
    <w:p>
      <w:pPr>
        <w:pStyle w:val="BodyText"/>
        <w:spacing w:before="9"/>
        <w:rPr>
          <w:sz w:val="14"/>
        </w:rPr>
      </w:pPr>
    </w:p>
    <w:p>
      <w:pPr>
        <w:pStyle w:val="ListParagraph"/>
        <w:numPr>
          <w:ilvl w:val="2"/>
          <w:numId w:val="1"/>
        </w:numPr>
        <w:tabs>
          <w:tab w:pos="2984" w:val="left" w:leader="none"/>
          <w:tab w:pos="2985" w:val="left" w:leader="none"/>
        </w:tabs>
        <w:spacing w:line="273" w:lineRule="auto" w:before="0" w:after="0"/>
        <w:ind w:left="2984" w:right="183" w:hanging="420"/>
        <w:jc w:val="left"/>
        <w:rPr>
          <w:sz w:val="21"/>
        </w:rPr>
      </w:pPr>
      <w:r>
        <w:rPr>
          <w:spacing w:val="-3"/>
          <w:sz w:val="21"/>
        </w:rPr>
        <w:t>被保险人有感染慢性肝炎病毒的血清学及实验室检查报告等临床证据；</w:t>
      </w:r>
    </w:p>
    <w:p>
      <w:pPr>
        <w:pStyle w:val="ListParagraph"/>
        <w:numPr>
          <w:ilvl w:val="2"/>
          <w:numId w:val="1"/>
        </w:numPr>
        <w:tabs>
          <w:tab w:pos="2985" w:val="left" w:leader="none"/>
        </w:tabs>
        <w:spacing w:line="273" w:lineRule="auto" w:before="163" w:after="0"/>
        <w:ind w:left="2984" w:right="183" w:hanging="420"/>
        <w:jc w:val="both"/>
        <w:rPr>
          <w:sz w:val="21"/>
        </w:rPr>
      </w:pPr>
      <w:r>
        <w:rPr>
          <w:spacing w:val="-3"/>
          <w:sz w:val="21"/>
        </w:rPr>
        <w:t>必须由本公司认可医院的消化科专科医生基于肝脏组织病理学检查报告、临床表现及病史对肝炎病毒感染导致肝纤维化作出肯定的诊断；</w:t>
      </w:r>
    </w:p>
    <w:p>
      <w:pPr>
        <w:pStyle w:val="ListParagraph"/>
        <w:numPr>
          <w:ilvl w:val="2"/>
          <w:numId w:val="1"/>
        </w:numPr>
        <w:tabs>
          <w:tab w:pos="2984" w:val="left" w:leader="none"/>
          <w:tab w:pos="2985" w:val="left" w:leader="none"/>
        </w:tabs>
        <w:spacing w:line="240" w:lineRule="auto" w:before="164" w:after="0"/>
        <w:ind w:left="2984" w:right="0" w:hanging="420"/>
        <w:jc w:val="left"/>
        <w:rPr>
          <w:sz w:val="21"/>
        </w:rPr>
      </w:pPr>
      <w:r>
        <w:rPr>
          <w:spacing w:val="-7"/>
          <w:sz w:val="21"/>
        </w:rPr>
        <w:t>病理学检查报告证明肝脏病变按 </w:t>
      </w:r>
      <w:r>
        <w:rPr>
          <w:sz w:val="21"/>
        </w:rPr>
        <w:t>Metavir</w:t>
      </w:r>
      <w:r>
        <w:rPr>
          <w:spacing w:val="-18"/>
          <w:sz w:val="21"/>
        </w:rPr>
        <w:t> 分级表中属 </w:t>
      </w:r>
      <w:r>
        <w:rPr>
          <w:sz w:val="21"/>
        </w:rPr>
        <w:t>F4</w:t>
      </w:r>
      <w:r>
        <w:rPr>
          <w:spacing w:val="-15"/>
          <w:sz w:val="21"/>
        </w:rPr>
        <w:t> 阶段或</w:t>
      </w:r>
    </w:p>
    <w:p>
      <w:pPr>
        <w:pStyle w:val="BodyText"/>
        <w:spacing w:before="37"/>
        <w:ind w:left="2984"/>
      </w:pPr>
      <w:r>
        <w:rPr/>
        <w:t>Knodell 肝纤维化标准达到 4 分。</w:t>
      </w:r>
    </w:p>
    <w:p>
      <w:pPr>
        <w:pStyle w:val="BodyText"/>
        <w:spacing w:before="10"/>
        <w:rPr>
          <w:sz w:val="14"/>
        </w:rPr>
      </w:pPr>
    </w:p>
    <w:p>
      <w:pPr>
        <w:pStyle w:val="Heading1"/>
      </w:pPr>
      <w:r>
        <w:rPr/>
        <w:t>由酒精或药物滥用而引起或有关的肝病并不在本附加合同保障范围内。</w:t>
      </w:r>
    </w:p>
    <w:p>
      <w:pPr>
        <w:pStyle w:val="BodyText"/>
        <w:spacing w:before="9"/>
        <w:rPr>
          <w:b/>
          <w:sz w:val="14"/>
        </w:rPr>
      </w:pPr>
    </w:p>
    <w:p>
      <w:pPr>
        <w:pStyle w:val="BodyText"/>
        <w:spacing w:before="1"/>
        <w:ind w:left="2144"/>
      </w:pPr>
      <w:r>
        <w:rPr/>
        <w:t>Metavir 分级表：</w:t>
      </w:r>
    </w:p>
    <w:p>
      <w:pPr>
        <w:pStyle w:val="BodyText"/>
        <w:spacing w:before="10"/>
        <w:rPr>
          <w:sz w:val="14"/>
        </w:rPr>
      </w:pPr>
    </w:p>
    <w:p>
      <w:pPr>
        <w:pStyle w:val="BodyText"/>
        <w:tabs>
          <w:tab w:pos="2566" w:val="left" w:leader="none"/>
        </w:tabs>
        <w:ind w:left="2144"/>
      </w:pPr>
      <w:r>
        <w:rPr/>
        <w:t>F0</w:t>
        <w:tab/>
      </w:r>
      <w:r>
        <w:rPr>
          <w:spacing w:val="-3"/>
        </w:rPr>
        <w:t>无纤维化；</w:t>
      </w:r>
    </w:p>
    <w:p>
      <w:pPr>
        <w:pStyle w:val="BodyText"/>
        <w:spacing w:before="9"/>
        <w:rPr>
          <w:sz w:val="14"/>
        </w:rPr>
      </w:pPr>
    </w:p>
    <w:p>
      <w:pPr>
        <w:pStyle w:val="BodyText"/>
        <w:tabs>
          <w:tab w:pos="2566" w:val="left" w:leader="none"/>
        </w:tabs>
        <w:spacing w:before="1"/>
        <w:ind w:left="2144"/>
      </w:pPr>
      <w:r>
        <w:rPr/>
        <w:t>F1</w:t>
        <w:tab/>
      </w:r>
      <w:r>
        <w:rPr>
          <w:spacing w:val="-3"/>
        </w:rPr>
        <w:t>肝门束扩大，但未形成间隔；</w:t>
      </w:r>
    </w:p>
    <w:p>
      <w:pPr>
        <w:pStyle w:val="BodyText"/>
        <w:spacing w:before="10"/>
        <w:rPr>
          <w:sz w:val="14"/>
        </w:rPr>
      </w:pPr>
    </w:p>
    <w:p>
      <w:pPr>
        <w:pStyle w:val="BodyText"/>
        <w:tabs>
          <w:tab w:pos="2566" w:val="left" w:leader="none"/>
        </w:tabs>
        <w:ind w:left="2144"/>
      </w:pPr>
      <w:r>
        <w:rPr/>
        <w:t>F2</w:t>
        <w:tab/>
      </w:r>
      <w:r>
        <w:rPr>
          <w:spacing w:val="-3"/>
        </w:rPr>
        <w:t>肝门束扩大，有小的间隔形成；</w:t>
      </w:r>
    </w:p>
    <w:p>
      <w:pPr>
        <w:pStyle w:val="BodyText"/>
        <w:spacing w:before="9"/>
        <w:rPr>
          <w:sz w:val="14"/>
        </w:rPr>
      </w:pPr>
    </w:p>
    <w:p>
      <w:pPr>
        <w:pStyle w:val="BodyText"/>
        <w:tabs>
          <w:tab w:pos="2566" w:val="left" w:leader="none"/>
        </w:tabs>
        <w:spacing w:before="1"/>
        <w:ind w:left="2144"/>
      </w:pPr>
      <w:r>
        <w:rPr/>
        <w:t>F3</w:t>
        <w:tab/>
      </w:r>
      <w:r>
        <w:rPr>
          <w:spacing w:val="-3"/>
        </w:rPr>
        <w:t>间隔很多，无肝硬化；</w:t>
      </w:r>
    </w:p>
    <w:p>
      <w:pPr>
        <w:pStyle w:val="BodyText"/>
        <w:spacing w:before="10"/>
        <w:rPr>
          <w:sz w:val="14"/>
        </w:rPr>
      </w:pPr>
    </w:p>
    <w:p>
      <w:pPr>
        <w:pStyle w:val="BodyText"/>
        <w:tabs>
          <w:tab w:pos="2566" w:val="left" w:leader="none"/>
        </w:tabs>
        <w:ind w:left="2144"/>
      </w:pPr>
      <w:r>
        <w:rPr/>
        <w:t>F4</w:t>
        <w:tab/>
      </w:r>
      <w:r>
        <w:rPr>
          <w:spacing w:val="-3"/>
        </w:rPr>
        <w:t>肝硬化。</w:t>
      </w:r>
    </w:p>
    <w:p>
      <w:pPr>
        <w:pStyle w:val="BodyText"/>
        <w:spacing w:before="9"/>
        <w:rPr>
          <w:sz w:val="14"/>
        </w:rPr>
      </w:pPr>
    </w:p>
    <w:p>
      <w:pPr>
        <w:pStyle w:val="BodyText"/>
        <w:ind w:left="2144"/>
      </w:pPr>
      <w:r>
        <w:rPr/>
        <w:t>Knodell 肝纤维化标准：</w:t>
      </w:r>
    </w:p>
    <w:p>
      <w:pPr>
        <w:pStyle w:val="BodyText"/>
        <w:spacing w:before="9"/>
        <w:rPr>
          <w:sz w:val="14"/>
        </w:rPr>
      </w:pPr>
    </w:p>
    <w:p>
      <w:pPr>
        <w:pStyle w:val="BodyText"/>
        <w:spacing w:line="273" w:lineRule="auto"/>
        <w:ind w:left="2144" w:right="111"/>
      </w:pPr>
      <w:r>
        <w:rPr>
          <w:spacing w:val="-8"/>
        </w:rPr>
        <w:t>炎症评分包括 </w:t>
      </w:r>
      <w:r>
        <w:rPr/>
        <w:t>3</w:t>
      </w:r>
      <w:r>
        <w:rPr>
          <w:spacing w:val="-24"/>
        </w:rPr>
        <w:t> 个方面：门周和桥接坏死</w:t>
      </w:r>
      <w:r>
        <w:rPr/>
        <w:t>（0-10</w:t>
      </w:r>
      <w:r>
        <w:rPr>
          <w:spacing w:val="-26"/>
        </w:rPr>
        <w:t> 分)、小叶内退行性变</w:t>
      </w:r>
      <w:r>
        <w:rPr/>
        <w:t>（0-4 分</w:t>
      </w:r>
      <w:r>
        <w:rPr>
          <w:spacing w:val="-106"/>
        </w:rPr>
        <w:t>）</w:t>
      </w:r>
      <w:r>
        <w:rPr>
          <w:spacing w:val="-3"/>
        </w:rPr>
        <w:t>、门脉炎症</w:t>
      </w:r>
      <w:r>
        <w:rPr/>
        <w:t>（0-4</w:t>
      </w:r>
      <w:r>
        <w:rPr>
          <w:spacing w:val="-21"/>
        </w:rPr>
        <w:t> 分</w:t>
      </w:r>
      <w:r>
        <w:rPr>
          <w:spacing w:val="-108"/>
        </w:rPr>
        <w:t>）</w:t>
      </w:r>
      <w:r>
        <w:rPr/>
        <w:t>。</w:t>
      </w:r>
    </w:p>
    <w:p>
      <w:pPr>
        <w:pStyle w:val="BodyText"/>
        <w:spacing w:line="408" w:lineRule="auto" w:before="163"/>
        <w:ind w:left="2144" w:right="5006"/>
      </w:pPr>
      <w:r>
        <w:rPr/>
        <w:t>结果以总分表示： 0 分 无炎症；</w:t>
      </w:r>
    </w:p>
    <w:p>
      <w:pPr>
        <w:pStyle w:val="BodyText"/>
        <w:spacing w:before="46"/>
        <w:ind w:left="2144"/>
      </w:pPr>
      <w:r>
        <w:rPr/>
        <w:t>1-4 分 微小炎症；</w:t>
      </w:r>
    </w:p>
    <w:p>
      <w:pPr>
        <w:pStyle w:val="BodyText"/>
        <w:spacing w:before="10"/>
        <w:rPr>
          <w:sz w:val="14"/>
        </w:rPr>
      </w:pPr>
    </w:p>
    <w:p>
      <w:pPr>
        <w:pStyle w:val="BodyText"/>
        <w:ind w:left="2144"/>
      </w:pPr>
      <w:r>
        <w:rPr/>
        <w:t>5-8 分 轻度炎症；</w:t>
      </w:r>
    </w:p>
    <w:p>
      <w:pPr>
        <w:pStyle w:val="BodyText"/>
        <w:spacing w:before="9"/>
        <w:rPr>
          <w:sz w:val="14"/>
        </w:rPr>
      </w:pPr>
    </w:p>
    <w:p>
      <w:pPr>
        <w:pStyle w:val="BodyText"/>
        <w:ind w:left="2144"/>
      </w:pPr>
      <w:r>
        <w:rPr/>
        <w:t>9-12 分 中度炎症；</w:t>
      </w:r>
    </w:p>
    <w:p>
      <w:pPr>
        <w:pStyle w:val="BodyText"/>
        <w:spacing w:before="9"/>
        <w:rPr>
          <w:sz w:val="14"/>
        </w:rPr>
      </w:pPr>
    </w:p>
    <w:p>
      <w:pPr>
        <w:pStyle w:val="BodyText"/>
        <w:ind w:left="2144"/>
      </w:pPr>
      <w:r>
        <w:rPr/>
        <w:t>13-18 分 显著炎症。</w:t>
      </w:r>
    </w:p>
    <w:p>
      <w:pPr>
        <w:pStyle w:val="BodyText"/>
        <w:spacing w:before="9"/>
        <w:rPr>
          <w:sz w:val="14"/>
        </w:rPr>
      </w:pPr>
    </w:p>
    <w:p>
      <w:pPr>
        <w:pStyle w:val="BodyText"/>
        <w:ind w:left="2144"/>
      </w:pPr>
      <w:r>
        <w:rPr/>
        <w:t>纤维化评分为 0-4 分，4 分为纤维化。</w:t>
      </w:r>
    </w:p>
    <w:p>
      <w:pPr>
        <w:pStyle w:val="BodyText"/>
        <w:spacing w:before="9"/>
        <w:rPr>
          <w:sz w:val="14"/>
        </w:rPr>
      </w:pPr>
    </w:p>
    <w:p>
      <w:pPr>
        <w:pStyle w:val="ListParagraph"/>
        <w:numPr>
          <w:ilvl w:val="1"/>
          <w:numId w:val="1"/>
        </w:numPr>
        <w:tabs>
          <w:tab w:pos="2145" w:val="left" w:leader="none"/>
        </w:tabs>
        <w:spacing w:line="273" w:lineRule="auto" w:before="0" w:after="0"/>
        <w:ind w:left="2144" w:right="183" w:hanging="421"/>
        <w:jc w:val="left"/>
        <w:rPr>
          <w:sz w:val="21"/>
        </w:rPr>
      </w:pPr>
      <w:r>
        <w:rPr>
          <w:spacing w:val="-3"/>
          <w:sz w:val="21"/>
        </w:rPr>
        <w:t>早期系统性硬皮病：指一种以局限性或弥漫性皮肤增厚和皮肤、血管、内脏器官异常纤维化为特征的结缔组织病。</w:t>
      </w:r>
    </w:p>
    <w:p>
      <w:pPr>
        <w:pStyle w:val="BodyText"/>
        <w:spacing w:before="163"/>
        <w:ind w:left="2144"/>
      </w:pPr>
      <w:r>
        <w:rPr/>
        <w:t>本病须经专科医师明确诊断，并须满足下列全部条件：</w:t>
      </w:r>
    </w:p>
    <w:p>
      <w:pPr>
        <w:pStyle w:val="BodyText"/>
        <w:spacing w:before="10"/>
        <w:rPr>
          <w:sz w:val="14"/>
        </w:rPr>
      </w:pPr>
    </w:p>
    <w:p>
      <w:pPr>
        <w:pStyle w:val="ListParagraph"/>
        <w:numPr>
          <w:ilvl w:val="2"/>
          <w:numId w:val="1"/>
        </w:numPr>
        <w:tabs>
          <w:tab w:pos="2984" w:val="left" w:leader="none"/>
          <w:tab w:pos="2985" w:val="left" w:leader="none"/>
        </w:tabs>
        <w:spacing w:line="273" w:lineRule="auto" w:before="0" w:after="0"/>
        <w:ind w:left="2984" w:right="111" w:hanging="420"/>
        <w:jc w:val="left"/>
        <w:rPr>
          <w:sz w:val="21"/>
        </w:rPr>
      </w:pPr>
      <w:r>
        <w:rPr>
          <w:spacing w:val="-3"/>
          <w:sz w:val="21"/>
        </w:rPr>
        <w:t>必须是经由本公司认可医院的风湿学专科注册医生根据美国风</w:t>
      </w:r>
      <w:r>
        <w:rPr>
          <w:spacing w:val="-7"/>
          <w:sz w:val="21"/>
        </w:rPr>
        <w:t>湿病学会</w:t>
      </w:r>
      <w:r>
        <w:rPr>
          <w:spacing w:val="-4"/>
          <w:sz w:val="21"/>
        </w:rPr>
        <w:t>（ACR）</w:t>
      </w:r>
      <w:r>
        <w:rPr>
          <w:spacing w:val="-3"/>
          <w:sz w:val="21"/>
        </w:rPr>
        <w:t>及欧洲抗风湿病联盟</w:t>
      </w:r>
      <w:r>
        <w:rPr>
          <w:sz w:val="21"/>
        </w:rPr>
        <w:t>(EULAR</w:t>
      </w:r>
      <w:r>
        <w:rPr>
          <w:spacing w:val="-15"/>
          <w:sz w:val="21"/>
        </w:rPr>
        <w:t>)在 </w:t>
      </w:r>
      <w:r>
        <w:rPr>
          <w:sz w:val="21"/>
        </w:rPr>
        <w:t>2013</w:t>
      </w:r>
      <w:r>
        <w:rPr>
          <w:spacing w:val="-11"/>
          <w:sz w:val="21"/>
        </w:rPr>
        <w:t> 年发布的</w:t>
      </w:r>
      <w:r>
        <w:rPr>
          <w:spacing w:val="-6"/>
          <w:sz w:val="21"/>
        </w:rPr>
        <w:t>系统性硬皮病诊断标准确认达到确诊标准</w:t>
      </w:r>
      <w:r>
        <w:rPr>
          <w:sz w:val="21"/>
        </w:rPr>
        <w:t>（</w:t>
      </w:r>
      <w:r>
        <w:rPr>
          <w:spacing w:val="-3"/>
          <w:sz w:val="21"/>
        </w:rPr>
        <w:t>总分值由每一个分</w:t>
      </w:r>
    </w:p>
    <w:p>
      <w:pPr>
        <w:spacing w:after="0" w:line="273" w:lineRule="auto"/>
        <w:jc w:val="left"/>
        <w:rPr>
          <w:sz w:val="21"/>
        </w:rPr>
        <w:sectPr>
          <w:pgSz w:w="11910" w:h="16840"/>
          <w:pgMar w:header="0" w:footer="924" w:top="1080" w:bottom="1200" w:left="1680" w:right="1380"/>
        </w:sectPr>
      </w:pPr>
    </w:p>
    <w:p>
      <w:pPr>
        <w:pStyle w:val="BodyText"/>
        <w:spacing w:line="273" w:lineRule="auto" w:before="22"/>
        <w:ind w:left="2984" w:right="283"/>
      </w:pPr>
      <w:r>
        <w:rPr>
          <w:spacing w:val="-3"/>
        </w:rPr>
        <w:t>类中的最高比重</w:t>
      </w:r>
      <w:r>
        <w:rPr/>
        <w:t>（</w:t>
      </w:r>
      <w:r>
        <w:rPr>
          <w:spacing w:val="-2"/>
        </w:rPr>
        <w:t>分值</w:t>
      </w:r>
      <w:r>
        <w:rPr>
          <w:spacing w:val="-3"/>
        </w:rPr>
        <w:t>）</w:t>
      </w:r>
      <w:r>
        <w:rPr>
          <w:spacing w:val="-7"/>
        </w:rPr>
        <w:t>相加而成，总分不低于 </w:t>
      </w:r>
      <w:r>
        <w:rPr/>
        <w:t>9</w:t>
      </w:r>
      <w:r>
        <w:rPr>
          <w:spacing w:val="-9"/>
        </w:rPr>
        <w:t> 分的患者被</w:t>
      </w:r>
      <w:r>
        <w:rPr>
          <w:spacing w:val="-5"/>
          <w:w w:val="100"/>
        </w:rPr>
        <w:t>分类为系统性硬皮病</w:t>
      </w:r>
      <w:r>
        <w:rPr>
          <w:spacing w:val="-106"/>
          <w:w w:val="100"/>
        </w:rPr>
        <w:t>）</w:t>
      </w:r>
      <w:r>
        <w:rPr>
          <w:w w:val="100"/>
        </w:rPr>
        <w:t>；</w:t>
      </w:r>
    </w:p>
    <w:p>
      <w:pPr>
        <w:pStyle w:val="ListParagraph"/>
        <w:numPr>
          <w:ilvl w:val="2"/>
          <w:numId w:val="1"/>
        </w:numPr>
        <w:tabs>
          <w:tab w:pos="2984" w:val="left" w:leader="none"/>
          <w:tab w:pos="2985" w:val="left" w:leader="none"/>
        </w:tabs>
        <w:spacing w:line="408" w:lineRule="auto" w:before="164" w:after="0"/>
        <w:ind w:left="2144" w:right="703" w:firstLine="420"/>
        <w:jc w:val="left"/>
        <w:rPr>
          <w:b/>
          <w:sz w:val="21"/>
        </w:rPr>
      </w:pPr>
      <w:r>
        <w:rPr>
          <w:spacing w:val="-3"/>
          <w:sz w:val="21"/>
        </w:rPr>
        <w:t>须提供明确的病理活检及自身抗体免疫血清学证据支持。</w:t>
      </w:r>
      <w:r>
        <w:rPr>
          <w:b/>
          <w:spacing w:val="-3"/>
          <w:sz w:val="21"/>
        </w:rPr>
        <w:t>下列疾病不在本附加合同保障范围内：</w:t>
      </w:r>
    </w:p>
    <w:p>
      <w:pPr>
        <w:pStyle w:val="Heading1"/>
        <w:numPr>
          <w:ilvl w:val="0"/>
          <w:numId w:val="12"/>
        </w:numPr>
        <w:tabs>
          <w:tab w:pos="2984" w:val="left" w:leader="none"/>
          <w:tab w:pos="2985" w:val="left" w:leader="none"/>
        </w:tabs>
        <w:spacing w:line="240" w:lineRule="auto" w:before="46" w:after="0"/>
        <w:ind w:left="2984" w:right="0" w:hanging="420"/>
        <w:jc w:val="left"/>
      </w:pPr>
      <w:r>
        <w:rPr>
          <w:w w:val="100"/>
        </w:rPr>
        <w:t>局部性硬皮病（</w:t>
      </w:r>
      <w:r>
        <w:rPr>
          <w:spacing w:val="-3"/>
          <w:w w:val="100"/>
        </w:rPr>
        <w:t>如：带状硬皮病、硬斑病</w:t>
      </w:r>
      <w:r>
        <w:rPr>
          <w:spacing w:val="-106"/>
          <w:w w:val="100"/>
        </w:rPr>
        <w:t>）</w:t>
      </w:r>
      <w:r>
        <w:rPr>
          <w:w w:val="100"/>
        </w:rPr>
        <w:t>；</w:t>
      </w:r>
    </w:p>
    <w:p>
      <w:pPr>
        <w:pStyle w:val="BodyText"/>
        <w:spacing w:before="9"/>
        <w:rPr>
          <w:b/>
          <w:sz w:val="14"/>
        </w:rPr>
      </w:pPr>
    </w:p>
    <w:p>
      <w:pPr>
        <w:pStyle w:val="ListParagraph"/>
        <w:numPr>
          <w:ilvl w:val="0"/>
          <w:numId w:val="12"/>
        </w:numPr>
        <w:tabs>
          <w:tab w:pos="2984" w:val="left" w:leader="none"/>
          <w:tab w:pos="2985" w:val="left" w:leader="none"/>
        </w:tabs>
        <w:spacing w:line="240" w:lineRule="auto" w:before="0" w:after="0"/>
        <w:ind w:left="2984" w:right="0" w:hanging="420"/>
        <w:jc w:val="left"/>
        <w:rPr>
          <w:b/>
          <w:sz w:val="21"/>
        </w:rPr>
      </w:pPr>
      <w:r>
        <w:rPr>
          <w:b/>
          <w:spacing w:val="-1"/>
          <w:sz w:val="21"/>
        </w:rPr>
        <w:t>嗜酸性粒细胞性筋膜炎；</w:t>
      </w:r>
    </w:p>
    <w:p>
      <w:pPr>
        <w:pStyle w:val="BodyText"/>
        <w:spacing w:before="9"/>
        <w:rPr>
          <w:b/>
          <w:sz w:val="14"/>
        </w:rPr>
      </w:pPr>
    </w:p>
    <w:p>
      <w:pPr>
        <w:pStyle w:val="ListParagraph"/>
        <w:numPr>
          <w:ilvl w:val="0"/>
          <w:numId w:val="12"/>
        </w:numPr>
        <w:tabs>
          <w:tab w:pos="2984" w:val="left" w:leader="none"/>
          <w:tab w:pos="2985" w:val="left" w:leader="none"/>
        </w:tabs>
        <w:spacing w:line="240" w:lineRule="auto" w:before="0" w:after="0"/>
        <w:ind w:left="2984" w:right="0" w:hanging="420"/>
        <w:jc w:val="left"/>
        <w:rPr>
          <w:b/>
          <w:sz w:val="21"/>
        </w:rPr>
      </w:pPr>
      <w:r>
        <w:rPr>
          <w:b/>
          <w:sz w:val="21"/>
        </w:rPr>
        <w:t>CREST</w:t>
      </w:r>
      <w:r>
        <w:rPr>
          <w:b/>
          <w:spacing w:val="-12"/>
          <w:sz w:val="21"/>
        </w:rPr>
        <w:t> 综合征。</w:t>
      </w:r>
    </w:p>
    <w:p>
      <w:pPr>
        <w:pStyle w:val="BodyText"/>
        <w:spacing w:before="9"/>
        <w:rPr>
          <w:b/>
          <w:sz w:val="14"/>
        </w:rPr>
      </w:pPr>
    </w:p>
    <w:p>
      <w:pPr>
        <w:pStyle w:val="ListParagraph"/>
        <w:numPr>
          <w:ilvl w:val="1"/>
          <w:numId w:val="1"/>
        </w:numPr>
        <w:tabs>
          <w:tab w:pos="2145" w:val="left" w:leader="none"/>
        </w:tabs>
        <w:spacing w:line="273" w:lineRule="auto" w:before="0" w:after="0"/>
        <w:ind w:left="2144" w:right="283" w:hanging="421"/>
        <w:jc w:val="left"/>
        <w:rPr>
          <w:sz w:val="21"/>
        </w:rPr>
      </w:pPr>
      <w:r>
        <w:rPr>
          <w:spacing w:val="-3"/>
          <w:sz w:val="21"/>
        </w:rPr>
        <w:t>肾脏切除：因肾脏疾病或外伤而确实已经接受手术切除左肾或右肾。手术必须被本公司认可医院的专科注册医生视为必要的。</w:t>
      </w:r>
    </w:p>
    <w:p>
      <w:pPr>
        <w:pStyle w:val="Heading1"/>
        <w:spacing w:before="163"/>
      </w:pPr>
      <w:r>
        <w:rPr/>
        <w:t>因捐赠肾脏而所需的手术不在本附加合同保障范围内。</w:t>
      </w:r>
    </w:p>
    <w:p>
      <w:pPr>
        <w:pStyle w:val="BodyText"/>
        <w:spacing w:before="9"/>
        <w:rPr>
          <w:b/>
          <w:sz w:val="14"/>
        </w:rPr>
      </w:pPr>
    </w:p>
    <w:p>
      <w:pPr>
        <w:pStyle w:val="ListParagraph"/>
        <w:numPr>
          <w:ilvl w:val="1"/>
          <w:numId w:val="1"/>
        </w:numPr>
        <w:tabs>
          <w:tab w:pos="2145" w:val="left" w:leader="none"/>
        </w:tabs>
        <w:spacing w:line="273" w:lineRule="auto" w:before="0" w:after="0"/>
        <w:ind w:left="2144" w:right="210" w:hanging="421"/>
        <w:jc w:val="left"/>
        <w:rPr>
          <w:sz w:val="21"/>
        </w:rPr>
      </w:pPr>
      <w:r>
        <w:rPr>
          <w:spacing w:val="-3"/>
          <w:sz w:val="21"/>
        </w:rPr>
        <w:t>颈动脉狭窄介入治疗：颈动脉血管介入治疗术是对一条或以上的颈动脉</w:t>
      </w:r>
      <w:r>
        <w:rPr>
          <w:spacing w:val="-6"/>
          <w:sz w:val="21"/>
        </w:rPr>
        <w:t>经由血管造影术证明有 </w:t>
      </w:r>
      <w:r>
        <w:rPr>
          <w:sz w:val="21"/>
        </w:rPr>
        <w:t>50</w:t>
      </w:r>
      <w:r>
        <w:rPr>
          <w:spacing w:val="-11"/>
          <w:sz w:val="21"/>
        </w:rPr>
        <w:t>%或以上狹窄的治疗。理赔时必须满足下列全部条件：</w:t>
      </w:r>
    </w:p>
    <w:p>
      <w:pPr>
        <w:pStyle w:val="ListParagraph"/>
        <w:numPr>
          <w:ilvl w:val="2"/>
          <w:numId w:val="1"/>
        </w:numPr>
        <w:tabs>
          <w:tab w:pos="2984" w:val="left" w:leader="none"/>
          <w:tab w:pos="2985" w:val="left" w:leader="none"/>
        </w:tabs>
        <w:spacing w:line="273" w:lineRule="auto" w:before="163" w:after="0"/>
        <w:ind w:left="2984" w:right="283" w:hanging="420"/>
        <w:jc w:val="left"/>
        <w:rPr>
          <w:sz w:val="21"/>
        </w:rPr>
      </w:pPr>
      <w:r>
        <w:rPr>
          <w:spacing w:val="-3"/>
          <w:sz w:val="21"/>
        </w:rPr>
        <w:t>确实已行血管介入治疗以减轻症狀，包括血管成形术或进行植入支架或颈动脉粥肿斑块清除手术；</w:t>
      </w:r>
    </w:p>
    <w:p>
      <w:pPr>
        <w:pStyle w:val="ListParagraph"/>
        <w:numPr>
          <w:ilvl w:val="2"/>
          <w:numId w:val="1"/>
        </w:numPr>
        <w:tabs>
          <w:tab w:pos="2984" w:val="left" w:leader="none"/>
          <w:tab w:pos="2985" w:val="left" w:leader="none"/>
        </w:tabs>
        <w:spacing w:line="273" w:lineRule="auto" w:before="163" w:after="0"/>
        <w:ind w:left="2984" w:right="283" w:hanging="420"/>
        <w:jc w:val="left"/>
        <w:rPr>
          <w:sz w:val="21"/>
        </w:rPr>
      </w:pPr>
      <w:r>
        <w:rPr>
          <w:spacing w:val="-3"/>
          <w:sz w:val="21"/>
        </w:rPr>
        <w:t>诊断及治疗均须在本公司认可的医院内由专科医师认为是医疗必须的情况下进行。</w:t>
      </w:r>
    </w:p>
    <w:p>
      <w:pPr>
        <w:pStyle w:val="ListParagraph"/>
        <w:numPr>
          <w:ilvl w:val="1"/>
          <w:numId w:val="1"/>
        </w:numPr>
        <w:tabs>
          <w:tab w:pos="2145" w:val="left" w:leader="none"/>
        </w:tabs>
        <w:spacing w:line="273" w:lineRule="auto" w:before="164" w:after="0"/>
        <w:ind w:left="2144" w:right="209" w:hanging="421"/>
        <w:jc w:val="left"/>
        <w:rPr>
          <w:sz w:val="21"/>
        </w:rPr>
      </w:pPr>
      <w:r>
        <w:rPr>
          <w:spacing w:val="-12"/>
          <w:sz w:val="21"/>
        </w:rPr>
        <w:t>颈动脉内膜切除手术：指颈动脉狭窄超过 </w:t>
      </w:r>
      <w:r>
        <w:rPr>
          <w:sz w:val="21"/>
        </w:rPr>
        <w:t>80</w:t>
      </w:r>
      <w:r>
        <w:rPr>
          <w:spacing w:val="-3"/>
          <w:sz w:val="21"/>
        </w:rPr>
        <w:t>%且实际实施了颈动脉内膜切除手术，颈动脉狭窄程度必须经颈动脉造影证实。</w:t>
      </w:r>
    </w:p>
    <w:p>
      <w:pPr>
        <w:pStyle w:val="Heading1"/>
        <w:spacing w:line="273" w:lineRule="auto" w:before="164"/>
        <w:ind w:right="261"/>
      </w:pPr>
      <w:r>
        <w:rPr/>
        <w:t>针对颈动脉以外的血管施行的动脉内膜切除手术不在本附加合同保障范围内。</w:t>
      </w:r>
    </w:p>
    <w:p>
      <w:pPr>
        <w:pStyle w:val="ListParagraph"/>
        <w:numPr>
          <w:ilvl w:val="1"/>
          <w:numId w:val="1"/>
        </w:numPr>
        <w:tabs>
          <w:tab w:pos="2145" w:val="left" w:leader="none"/>
        </w:tabs>
        <w:spacing w:line="273" w:lineRule="auto" w:before="164" w:after="0"/>
        <w:ind w:left="2144" w:right="108" w:hanging="421"/>
        <w:jc w:val="left"/>
        <w:rPr>
          <w:sz w:val="21"/>
        </w:rPr>
      </w:pPr>
      <w:r>
        <w:rPr>
          <w:spacing w:val="-3"/>
          <w:sz w:val="21"/>
        </w:rPr>
        <w:t>结核性脊髓炎：因结核杆菌引起的脊髓炎，导致永久性神经系统功能中 </w:t>
      </w:r>
      <w:r>
        <w:rPr>
          <w:spacing w:val="-9"/>
          <w:sz w:val="21"/>
        </w:rPr>
        <w:t>度障碍，即：疾病首次确诊 </w:t>
      </w:r>
      <w:r>
        <w:rPr>
          <w:sz w:val="21"/>
        </w:rPr>
        <w:t>180</w:t>
      </w:r>
      <w:r>
        <w:rPr>
          <w:spacing w:val="-9"/>
          <w:sz w:val="21"/>
        </w:rPr>
        <w:t> 天后，仍遗留下列一种或一种以上障碍：</w:t>
      </w:r>
    </w:p>
    <w:p>
      <w:pPr>
        <w:pStyle w:val="ListParagraph"/>
        <w:numPr>
          <w:ilvl w:val="2"/>
          <w:numId w:val="1"/>
        </w:numPr>
        <w:tabs>
          <w:tab w:pos="2984" w:val="left" w:leader="none"/>
          <w:tab w:pos="2985" w:val="left" w:leader="none"/>
        </w:tabs>
        <w:spacing w:line="240" w:lineRule="auto" w:before="164" w:after="0"/>
        <w:ind w:left="2984" w:right="0" w:hanging="420"/>
        <w:jc w:val="left"/>
        <w:rPr>
          <w:sz w:val="21"/>
        </w:rPr>
      </w:pPr>
      <w:r>
        <w:rPr>
          <w:spacing w:val="-8"/>
          <w:sz w:val="21"/>
        </w:rPr>
        <w:t>一肢或一肢以上肢体肌力 </w:t>
      </w:r>
      <w:r>
        <w:rPr>
          <w:sz w:val="21"/>
        </w:rPr>
        <w:t>III</w:t>
      </w:r>
      <w:r>
        <w:rPr>
          <w:spacing w:val="-28"/>
          <w:sz w:val="21"/>
        </w:rPr>
        <w:t> 级或 </w:t>
      </w:r>
      <w:r>
        <w:rPr>
          <w:sz w:val="21"/>
        </w:rPr>
        <w:t>III</w:t>
      </w:r>
      <w:r>
        <w:rPr>
          <w:spacing w:val="-8"/>
          <w:sz w:val="21"/>
        </w:rPr>
        <w:t> 级以下的运动功能障碍；</w:t>
      </w:r>
    </w:p>
    <w:p>
      <w:pPr>
        <w:pStyle w:val="BodyText"/>
        <w:spacing w:before="10"/>
        <w:rPr>
          <w:sz w:val="14"/>
        </w:rPr>
      </w:pPr>
    </w:p>
    <w:p>
      <w:pPr>
        <w:pStyle w:val="ListParagraph"/>
        <w:numPr>
          <w:ilvl w:val="2"/>
          <w:numId w:val="1"/>
        </w:numPr>
        <w:tabs>
          <w:tab w:pos="2984" w:val="left" w:leader="none"/>
          <w:tab w:pos="2985" w:val="left" w:leader="none"/>
        </w:tabs>
        <w:spacing w:line="273" w:lineRule="auto" w:before="0" w:after="0"/>
        <w:ind w:left="2984" w:right="283" w:hanging="420"/>
        <w:jc w:val="left"/>
        <w:rPr>
          <w:sz w:val="21"/>
        </w:rPr>
      </w:pPr>
      <w:r>
        <w:rPr>
          <w:spacing w:val="-3"/>
          <w:sz w:val="21"/>
        </w:rPr>
        <w:t>自主生活能力部分丧失，无法独立完成六项基本日常生活活动中的两项或两项以上。</w:t>
      </w:r>
    </w:p>
    <w:p>
      <w:pPr>
        <w:pStyle w:val="BodyText"/>
        <w:spacing w:line="273" w:lineRule="auto" w:before="163"/>
        <w:ind w:left="2144" w:right="283"/>
      </w:pPr>
      <w:r>
        <w:rPr/>
        <w:t>该诊断必须由本公司认可医院的神经专科注册医生证实，并必须由适当的检查证明为结核性脊髓炎。</w:t>
      </w:r>
    </w:p>
    <w:p>
      <w:pPr>
        <w:pStyle w:val="ListParagraph"/>
        <w:numPr>
          <w:ilvl w:val="1"/>
          <w:numId w:val="1"/>
        </w:numPr>
        <w:tabs>
          <w:tab w:pos="2145" w:val="left" w:leader="none"/>
        </w:tabs>
        <w:spacing w:line="273" w:lineRule="auto" w:before="163" w:after="0"/>
        <w:ind w:left="2144" w:right="283" w:hanging="421"/>
        <w:jc w:val="left"/>
        <w:rPr>
          <w:sz w:val="21"/>
        </w:rPr>
      </w:pPr>
      <w:r>
        <w:rPr>
          <w:spacing w:val="-3"/>
          <w:sz w:val="21"/>
        </w:rPr>
        <w:t>中度细菌性脑膜炎：指细菌感染性脑</w:t>
      </w:r>
      <w:r>
        <w:rPr>
          <w:sz w:val="21"/>
        </w:rPr>
        <w:t>（</w:t>
      </w:r>
      <w:r>
        <w:rPr>
          <w:spacing w:val="-2"/>
          <w:sz w:val="21"/>
        </w:rPr>
        <w:t>脊髓</w:t>
      </w:r>
      <w:r>
        <w:rPr>
          <w:spacing w:val="-3"/>
          <w:sz w:val="21"/>
        </w:rPr>
        <w:t>）膜炎导致神经系统永久性</w:t>
      </w:r>
      <w:r>
        <w:rPr>
          <w:spacing w:val="-5"/>
          <w:sz w:val="21"/>
        </w:rPr>
        <w:t>的中度功能障碍，即：疾病首次确诊 </w:t>
      </w:r>
      <w:r>
        <w:rPr>
          <w:sz w:val="21"/>
        </w:rPr>
        <w:t>180</w:t>
      </w:r>
      <w:r>
        <w:rPr>
          <w:spacing w:val="-8"/>
          <w:sz w:val="21"/>
        </w:rPr>
        <w:t> 天后，仍遗留下列全部障碍：</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spacing w:val="-8"/>
          <w:sz w:val="21"/>
        </w:rPr>
        <w:t>一肢或一肢以上肢体肌力 </w:t>
      </w:r>
      <w:r>
        <w:rPr>
          <w:sz w:val="21"/>
        </w:rPr>
        <w:t>III</w:t>
      </w:r>
      <w:r>
        <w:rPr>
          <w:spacing w:val="-28"/>
          <w:sz w:val="21"/>
        </w:rPr>
        <w:t> 级或 </w:t>
      </w:r>
      <w:r>
        <w:rPr>
          <w:sz w:val="21"/>
        </w:rPr>
        <w:t>III</w:t>
      </w:r>
      <w:r>
        <w:rPr>
          <w:spacing w:val="-8"/>
          <w:sz w:val="21"/>
        </w:rPr>
        <w:t> 级以下的运动功能障碍；</w:t>
      </w:r>
    </w:p>
    <w:p>
      <w:pPr>
        <w:pStyle w:val="BodyText"/>
        <w:spacing w:before="9"/>
        <w:rPr>
          <w:sz w:val="14"/>
        </w:rPr>
      </w:pPr>
    </w:p>
    <w:p>
      <w:pPr>
        <w:pStyle w:val="ListParagraph"/>
        <w:numPr>
          <w:ilvl w:val="2"/>
          <w:numId w:val="1"/>
        </w:numPr>
        <w:tabs>
          <w:tab w:pos="2984" w:val="left" w:leader="none"/>
          <w:tab w:pos="2985" w:val="left" w:leader="none"/>
        </w:tabs>
        <w:spacing w:line="273" w:lineRule="auto" w:before="0" w:after="0"/>
        <w:ind w:left="2984" w:right="283" w:hanging="420"/>
        <w:jc w:val="left"/>
        <w:rPr>
          <w:sz w:val="21"/>
        </w:rPr>
      </w:pPr>
      <w:r>
        <w:rPr>
          <w:spacing w:val="-3"/>
          <w:sz w:val="21"/>
        </w:rPr>
        <w:t>自主生活能力部分丧失，无法独立完成六项基本日常生活活动中的一项或一项以上。</w:t>
      </w:r>
    </w:p>
    <w:p>
      <w:pPr>
        <w:pStyle w:val="BodyText"/>
        <w:spacing w:line="273" w:lineRule="auto" w:before="164"/>
        <w:ind w:left="2144" w:right="283"/>
      </w:pPr>
      <w:r>
        <w:rPr/>
        <w:t>诊断必须由本公司认可医院的神经专科医生确定，并必须由适当的检查证明疾病原因为急性脑（脊髓）膜受细菌感染。</w:t>
      </w:r>
    </w:p>
    <w:p>
      <w:pPr>
        <w:spacing w:after="0" w:line="273" w:lineRule="auto"/>
        <w:sectPr>
          <w:pgSz w:w="11910" w:h="16840"/>
          <w:pgMar w:header="0" w:footer="924" w:top="1080" w:bottom="1200" w:left="1680" w:right="1280"/>
        </w:sectPr>
      </w:pPr>
    </w:p>
    <w:p>
      <w:pPr>
        <w:pStyle w:val="ListParagraph"/>
        <w:numPr>
          <w:ilvl w:val="1"/>
          <w:numId w:val="1"/>
        </w:numPr>
        <w:tabs>
          <w:tab w:pos="2145" w:val="left" w:leader="none"/>
        </w:tabs>
        <w:spacing w:line="240" w:lineRule="auto" w:before="22" w:after="0"/>
        <w:ind w:left="2144" w:right="0" w:hanging="421"/>
        <w:jc w:val="left"/>
        <w:rPr>
          <w:sz w:val="21"/>
        </w:rPr>
      </w:pPr>
      <w:r>
        <w:rPr>
          <w:spacing w:val="-3"/>
          <w:sz w:val="21"/>
        </w:rPr>
        <w:t>早期原发性心肌病：被诊断为原发性心肌病，并须满足下列全部条件：</w:t>
      </w:r>
    </w:p>
    <w:p>
      <w:pPr>
        <w:pStyle w:val="BodyText"/>
        <w:spacing w:before="10"/>
        <w:rPr>
          <w:sz w:val="14"/>
        </w:rPr>
      </w:pPr>
    </w:p>
    <w:p>
      <w:pPr>
        <w:pStyle w:val="ListParagraph"/>
        <w:numPr>
          <w:ilvl w:val="2"/>
          <w:numId w:val="1"/>
        </w:numPr>
        <w:tabs>
          <w:tab w:pos="2984" w:val="left" w:leader="none"/>
          <w:tab w:pos="2985" w:val="left" w:leader="none"/>
        </w:tabs>
        <w:spacing w:line="273" w:lineRule="auto" w:before="0" w:after="0"/>
        <w:ind w:left="2984" w:right="108" w:hanging="420"/>
        <w:jc w:val="left"/>
        <w:rPr>
          <w:sz w:val="21"/>
        </w:rPr>
      </w:pPr>
      <w:r>
        <w:rPr>
          <w:spacing w:val="-3"/>
          <w:sz w:val="21"/>
        </w:rPr>
        <w:t>导致心室功能受损，其受损程度达到美国纽约心脏病学会心脏 </w:t>
      </w:r>
      <w:r>
        <w:rPr>
          <w:spacing w:val="-9"/>
          <w:sz w:val="21"/>
        </w:rPr>
        <w:t>功能分级的第 </w:t>
      </w:r>
      <w:r>
        <w:rPr>
          <w:sz w:val="21"/>
        </w:rPr>
        <w:t>III</w:t>
      </w:r>
      <w:r>
        <w:rPr>
          <w:spacing w:val="-10"/>
          <w:sz w:val="21"/>
        </w:rPr>
        <w:t> 级，或其同等级別，即：体力活动明显受限， </w:t>
      </w:r>
      <w:r>
        <w:rPr>
          <w:spacing w:val="-5"/>
          <w:sz w:val="21"/>
        </w:rPr>
        <w:t>休息时无症状，轻于日常的活动即可引起充血性心力衰竭的症 状；</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spacing w:val="-2"/>
          <w:sz w:val="21"/>
        </w:rPr>
        <w:t>左室射血分数 </w:t>
      </w:r>
      <w:r>
        <w:rPr>
          <w:sz w:val="21"/>
        </w:rPr>
        <w:t>LVEF</w:t>
      </w:r>
      <w:r>
        <w:rPr>
          <w:spacing w:val="0"/>
          <w:sz w:val="21"/>
        </w:rPr>
        <w:t> </w:t>
      </w:r>
      <w:r>
        <w:rPr>
          <w:sz w:val="21"/>
        </w:rPr>
        <w:t>&lt;35%；</w:t>
      </w:r>
    </w:p>
    <w:p>
      <w:pPr>
        <w:pStyle w:val="BodyText"/>
        <w:spacing w:before="9"/>
        <w:rPr>
          <w:sz w:val="14"/>
        </w:rPr>
      </w:pPr>
    </w:p>
    <w:p>
      <w:pPr>
        <w:pStyle w:val="ListParagraph"/>
        <w:numPr>
          <w:ilvl w:val="2"/>
          <w:numId w:val="1"/>
        </w:numPr>
        <w:tabs>
          <w:tab w:pos="2984" w:val="left" w:leader="none"/>
          <w:tab w:pos="2985" w:val="left" w:leader="none"/>
        </w:tabs>
        <w:spacing w:line="273" w:lineRule="auto" w:before="0" w:after="0"/>
        <w:ind w:left="2984" w:right="283" w:hanging="420"/>
        <w:jc w:val="left"/>
        <w:rPr>
          <w:sz w:val="21"/>
        </w:rPr>
      </w:pPr>
      <w:r>
        <w:rPr>
          <w:spacing w:val="-3"/>
          <w:sz w:val="21"/>
        </w:rPr>
        <w:t>原发性心肌病的诊断必须由本公司认可医院的心脏专科注册医师确认，并提供心脏超声检查结果报告。</w:t>
      </w:r>
    </w:p>
    <w:p>
      <w:pPr>
        <w:spacing w:line="273" w:lineRule="auto" w:before="163"/>
        <w:ind w:left="2144" w:right="267" w:firstLine="0"/>
        <w:jc w:val="both"/>
        <w:rPr>
          <w:b/>
          <w:sz w:val="21"/>
        </w:rPr>
      </w:pPr>
      <w:r>
        <w:rPr>
          <w:sz w:val="21"/>
        </w:rPr>
        <w:t>本附加合同保障范围内的心肌病包括扩张型心肌病、肥厚型心肌病及限制型心肌病。</w:t>
      </w:r>
      <w:r>
        <w:rPr>
          <w:b/>
          <w:sz w:val="21"/>
        </w:rPr>
        <w:t>继发于全身性疾病或其它器官系统疾病及酒精滥用造成的心肌病变不在本附加合同保障范围内。</w:t>
      </w:r>
    </w:p>
    <w:p>
      <w:pPr>
        <w:pStyle w:val="ListParagraph"/>
        <w:numPr>
          <w:ilvl w:val="1"/>
          <w:numId w:val="1"/>
        </w:numPr>
        <w:tabs>
          <w:tab w:pos="2145" w:val="left" w:leader="none"/>
        </w:tabs>
        <w:spacing w:line="273" w:lineRule="auto" w:before="163" w:after="0"/>
        <w:ind w:left="2144" w:right="283" w:hanging="421"/>
        <w:jc w:val="left"/>
        <w:rPr>
          <w:sz w:val="21"/>
        </w:rPr>
      </w:pPr>
      <w:r>
        <w:rPr>
          <w:spacing w:val="-3"/>
          <w:sz w:val="21"/>
        </w:rPr>
        <w:t>大脑內分流器植入：为缓解已升高的脑脊液压力而确实已在脑室进行分流器植入手术。</w:t>
      </w:r>
    </w:p>
    <w:p>
      <w:pPr>
        <w:spacing w:line="273" w:lineRule="auto" w:before="163"/>
        <w:ind w:left="2144" w:right="268" w:firstLine="0"/>
        <w:jc w:val="both"/>
        <w:rPr>
          <w:b/>
          <w:sz w:val="21"/>
        </w:rPr>
      </w:pPr>
      <w:r>
        <w:rPr>
          <w:spacing w:val="-3"/>
          <w:sz w:val="21"/>
        </w:rPr>
        <w:t>诊断及治疗均须在本公司认可的医院内由脑神经科专科医师认为是医疗必须的情况下进行，且</w:t>
      </w:r>
      <w:r>
        <w:rPr>
          <w:b/>
          <w:spacing w:val="-5"/>
          <w:sz w:val="21"/>
        </w:rPr>
        <w:t>只有在被保险人年龄大于或等于 </w:t>
      </w:r>
      <w:r>
        <w:rPr>
          <w:b/>
          <w:sz w:val="21"/>
        </w:rPr>
        <w:t>1</w:t>
      </w:r>
      <w:r>
        <w:rPr>
          <w:b/>
          <w:spacing w:val="-8"/>
          <w:sz w:val="21"/>
        </w:rPr>
        <w:t> 周岁后实施此</w:t>
      </w:r>
      <w:r>
        <w:rPr>
          <w:b/>
          <w:spacing w:val="-3"/>
          <w:sz w:val="21"/>
        </w:rPr>
        <w:t>手术才属于本附加合同保障范围。</w:t>
      </w:r>
    </w:p>
    <w:p>
      <w:pPr>
        <w:pStyle w:val="ListParagraph"/>
        <w:numPr>
          <w:ilvl w:val="1"/>
          <w:numId w:val="1"/>
        </w:numPr>
        <w:tabs>
          <w:tab w:pos="2145" w:val="left" w:leader="none"/>
        </w:tabs>
        <w:spacing w:line="273" w:lineRule="auto" w:before="163" w:after="0"/>
        <w:ind w:left="2144" w:right="283" w:hanging="421"/>
        <w:jc w:val="both"/>
        <w:rPr>
          <w:sz w:val="21"/>
        </w:rPr>
      </w:pPr>
      <w:r>
        <w:rPr>
          <w:spacing w:val="-3"/>
          <w:sz w:val="21"/>
        </w:rPr>
        <w:t>中度重症肌无力症：必须由本公司认可的医院的专科医生明确诊断为重</w:t>
      </w:r>
      <w:r>
        <w:rPr>
          <w:spacing w:val="-6"/>
          <w:sz w:val="21"/>
        </w:rPr>
        <w:t>症肌无力，且须满足疾病首次确诊 </w:t>
      </w:r>
      <w:r>
        <w:rPr>
          <w:sz w:val="21"/>
        </w:rPr>
        <w:t>180</w:t>
      </w:r>
      <w:r>
        <w:rPr>
          <w:spacing w:val="-7"/>
          <w:sz w:val="21"/>
        </w:rPr>
        <w:t> 天后被保险人仍符合按美国重症</w:t>
      </w:r>
      <w:r>
        <w:rPr>
          <w:spacing w:val="-8"/>
          <w:sz w:val="21"/>
        </w:rPr>
        <w:t>肌无力基金会的临床分类界定为第 </w:t>
      </w:r>
      <w:r>
        <w:rPr>
          <w:sz w:val="21"/>
        </w:rPr>
        <w:t>III</w:t>
      </w:r>
      <w:r>
        <w:rPr>
          <w:spacing w:val="-10"/>
          <w:sz w:val="21"/>
        </w:rPr>
        <w:t> 级及以上。</w:t>
      </w:r>
    </w:p>
    <w:p>
      <w:pPr>
        <w:pStyle w:val="BodyText"/>
        <w:spacing w:before="163"/>
        <w:ind w:left="2144"/>
      </w:pPr>
      <w:r>
        <w:rPr/>
        <w:t>美国重症肌无力基金会的临床分类：</w:t>
      </w:r>
    </w:p>
    <w:p>
      <w:pPr>
        <w:pStyle w:val="BodyText"/>
        <w:spacing w:before="9"/>
        <w:rPr>
          <w:sz w:val="14"/>
        </w:rPr>
      </w:pPr>
    </w:p>
    <w:p>
      <w:pPr>
        <w:pStyle w:val="BodyText"/>
        <w:spacing w:line="273" w:lineRule="auto"/>
        <w:ind w:left="2144" w:right="232"/>
        <w:jc w:val="both"/>
      </w:pPr>
      <w:r>
        <w:rPr/>
        <w:t>第 I 级 任何眼部肌肉无力，可能性之上睑下垂，及并无其他部位出现肌无力的证据；</w:t>
      </w:r>
    </w:p>
    <w:p>
      <w:pPr>
        <w:pStyle w:val="BodyText"/>
        <w:tabs>
          <w:tab w:pos="2986" w:val="left" w:leader="none"/>
          <w:tab w:pos="3089" w:val="left" w:leader="none"/>
          <w:tab w:pos="3142" w:val="left" w:leader="none"/>
          <w:tab w:pos="3248" w:val="left" w:leader="none"/>
        </w:tabs>
        <w:spacing w:line="408" w:lineRule="auto" w:before="163"/>
        <w:ind w:left="2144" w:right="444"/>
      </w:pPr>
      <w:r>
        <w:rPr/>
        <w:t>第</w:t>
      </w:r>
      <w:r>
        <w:rPr>
          <w:spacing w:val="-53"/>
        </w:rPr>
        <w:t> </w:t>
      </w:r>
      <w:r>
        <w:rPr/>
        <w:t>II</w:t>
      </w:r>
      <w:r>
        <w:rPr>
          <w:spacing w:val="-1"/>
        </w:rPr>
        <w:t> </w:t>
      </w:r>
      <w:r>
        <w:rPr/>
        <w:t>级</w:t>
        <w:tab/>
        <w:tab/>
        <w:tab/>
        <w:t>任</w:t>
      </w:r>
      <w:r>
        <w:rPr>
          <w:spacing w:val="-3"/>
        </w:rPr>
        <w:t>何</w:t>
      </w:r>
      <w:r>
        <w:rPr/>
        <w:t>程</w:t>
      </w:r>
      <w:r>
        <w:rPr>
          <w:spacing w:val="-3"/>
        </w:rPr>
        <w:t>度</w:t>
      </w:r>
      <w:r>
        <w:rPr/>
        <w:t>之</w:t>
      </w:r>
      <w:r>
        <w:rPr>
          <w:spacing w:val="-3"/>
        </w:rPr>
        <w:t>眼</w:t>
      </w:r>
      <w:r>
        <w:rPr/>
        <w:t>部肌</w:t>
      </w:r>
      <w:r>
        <w:rPr>
          <w:spacing w:val="-3"/>
        </w:rPr>
        <w:t>肉</w:t>
      </w:r>
      <w:r>
        <w:rPr/>
        <w:t>无</w:t>
      </w:r>
      <w:r>
        <w:rPr>
          <w:spacing w:val="-3"/>
        </w:rPr>
        <w:t>力</w:t>
      </w:r>
      <w:r>
        <w:rPr/>
        <w:t>，</w:t>
      </w:r>
      <w:r>
        <w:rPr>
          <w:spacing w:val="-3"/>
        </w:rPr>
        <w:t>及</w:t>
      </w:r>
      <w:r>
        <w:rPr/>
        <w:t>其</w:t>
      </w:r>
      <w:r>
        <w:rPr>
          <w:spacing w:val="-3"/>
        </w:rPr>
        <w:t>他</w:t>
      </w:r>
      <w:r>
        <w:rPr/>
        <w:t>部</w:t>
      </w:r>
      <w:r>
        <w:rPr>
          <w:spacing w:val="-3"/>
        </w:rPr>
        <w:t>位</w:t>
      </w:r>
      <w:r>
        <w:rPr/>
        <w:t>之轻</w:t>
      </w:r>
      <w:r>
        <w:rPr>
          <w:spacing w:val="-3"/>
        </w:rPr>
        <w:t>度</w:t>
      </w:r>
      <w:r>
        <w:rPr/>
        <w:t>肌</w:t>
      </w:r>
      <w:r>
        <w:rPr>
          <w:spacing w:val="-3"/>
        </w:rPr>
        <w:t>肉</w:t>
      </w:r>
      <w:r>
        <w:rPr/>
        <w:t>无</w:t>
      </w:r>
      <w:r>
        <w:rPr>
          <w:spacing w:val="-3"/>
        </w:rPr>
        <w:t>力</w:t>
      </w:r>
      <w:r>
        <w:rPr/>
        <w:t>； 第</w:t>
      </w:r>
      <w:r>
        <w:rPr>
          <w:spacing w:val="-52"/>
        </w:rPr>
        <w:t> </w:t>
      </w:r>
      <w:r>
        <w:rPr/>
        <w:t>III 级</w:t>
        <w:tab/>
        <w:tab/>
        <w:tab/>
      </w:r>
      <w:r>
        <w:rPr>
          <w:spacing w:val="-3"/>
        </w:rPr>
        <w:t>任</w:t>
      </w:r>
      <w:r>
        <w:rPr/>
        <w:t>何</w:t>
      </w:r>
      <w:r>
        <w:rPr>
          <w:spacing w:val="-3"/>
        </w:rPr>
        <w:t>程</w:t>
      </w:r>
      <w:r>
        <w:rPr/>
        <w:t>度</w:t>
      </w:r>
      <w:r>
        <w:rPr>
          <w:spacing w:val="-3"/>
        </w:rPr>
        <w:t>之眼</w:t>
      </w:r>
      <w:r>
        <w:rPr/>
        <w:t>部肌</w:t>
      </w:r>
      <w:r>
        <w:rPr>
          <w:spacing w:val="-3"/>
        </w:rPr>
        <w:t>肉</w:t>
      </w:r>
      <w:r>
        <w:rPr/>
        <w:t>无</w:t>
      </w:r>
      <w:r>
        <w:rPr>
          <w:spacing w:val="-3"/>
        </w:rPr>
        <w:t>力</w:t>
      </w:r>
      <w:r>
        <w:rPr/>
        <w:t>，</w:t>
      </w:r>
      <w:r>
        <w:rPr>
          <w:spacing w:val="-3"/>
        </w:rPr>
        <w:t>及</w:t>
      </w:r>
      <w:r>
        <w:rPr/>
        <w:t>其</w:t>
      </w:r>
      <w:r>
        <w:rPr>
          <w:spacing w:val="-3"/>
        </w:rPr>
        <w:t>他</w:t>
      </w:r>
      <w:r>
        <w:rPr/>
        <w:t>部</w:t>
      </w:r>
      <w:r>
        <w:rPr>
          <w:spacing w:val="-3"/>
        </w:rPr>
        <w:t>位</w:t>
      </w:r>
      <w:r>
        <w:rPr/>
        <w:t>之中</w:t>
      </w:r>
      <w:r>
        <w:rPr>
          <w:spacing w:val="-3"/>
        </w:rPr>
        <w:t>度</w:t>
      </w:r>
      <w:r>
        <w:rPr/>
        <w:t>肌</w:t>
      </w:r>
      <w:r>
        <w:rPr>
          <w:spacing w:val="-3"/>
        </w:rPr>
        <w:t>肉</w:t>
      </w:r>
      <w:r>
        <w:rPr/>
        <w:t>无</w:t>
      </w:r>
      <w:r>
        <w:rPr>
          <w:spacing w:val="-3"/>
        </w:rPr>
        <w:t>力</w:t>
      </w:r>
      <w:r>
        <w:rPr/>
        <w:t>； 第</w:t>
      </w:r>
      <w:r>
        <w:rPr>
          <w:spacing w:val="-53"/>
        </w:rPr>
        <w:t> </w:t>
      </w:r>
      <w:r>
        <w:rPr/>
        <w:t>IV</w:t>
      </w:r>
      <w:r>
        <w:rPr>
          <w:spacing w:val="-55"/>
        </w:rPr>
        <w:t> </w:t>
      </w:r>
      <w:r>
        <w:rPr/>
        <w:t>级</w:t>
        <w:tab/>
        <w:tab/>
        <w:t>任</w:t>
      </w:r>
      <w:r>
        <w:rPr>
          <w:spacing w:val="-3"/>
        </w:rPr>
        <w:t>何</w:t>
      </w:r>
      <w:r>
        <w:rPr/>
        <w:t>程</w:t>
      </w:r>
      <w:r>
        <w:rPr>
          <w:spacing w:val="-3"/>
        </w:rPr>
        <w:t>度</w:t>
      </w:r>
      <w:r>
        <w:rPr/>
        <w:t>之</w:t>
      </w:r>
      <w:r>
        <w:rPr>
          <w:spacing w:val="-3"/>
        </w:rPr>
        <w:t>眼部</w:t>
      </w:r>
      <w:r>
        <w:rPr/>
        <w:t>肌肉</w:t>
      </w:r>
      <w:r>
        <w:rPr>
          <w:spacing w:val="-3"/>
        </w:rPr>
        <w:t>无</w:t>
      </w:r>
      <w:r>
        <w:rPr/>
        <w:t>力</w:t>
      </w:r>
      <w:r>
        <w:rPr>
          <w:spacing w:val="-3"/>
        </w:rPr>
        <w:t>，</w:t>
      </w:r>
      <w:r>
        <w:rPr/>
        <w:t>及</w:t>
      </w:r>
      <w:r>
        <w:rPr>
          <w:spacing w:val="-3"/>
        </w:rPr>
        <w:t>其</w:t>
      </w:r>
      <w:r>
        <w:rPr/>
        <w:t>他</w:t>
      </w:r>
      <w:r>
        <w:rPr>
          <w:spacing w:val="-3"/>
        </w:rPr>
        <w:t>部</w:t>
      </w:r>
      <w:r>
        <w:rPr/>
        <w:t>位</w:t>
      </w:r>
      <w:r>
        <w:rPr>
          <w:spacing w:val="-3"/>
        </w:rPr>
        <w:t>之</w:t>
      </w:r>
      <w:r>
        <w:rPr/>
        <w:t>严重</w:t>
      </w:r>
      <w:r>
        <w:rPr>
          <w:spacing w:val="-3"/>
        </w:rPr>
        <w:t>肌</w:t>
      </w:r>
      <w:r>
        <w:rPr/>
        <w:t>肉</w:t>
      </w:r>
      <w:r>
        <w:rPr>
          <w:spacing w:val="-3"/>
        </w:rPr>
        <w:t>无</w:t>
      </w:r>
      <w:r>
        <w:rPr/>
        <w:t>力； 第</w:t>
      </w:r>
      <w:r>
        <w:rPr>
          <w:spacing w:val="-53"/>
        </w:rPr>
        <w:t> </w:t>
      </w:r>
      <w:r>
        <w:rPr/>
        <w:t>V</w:t>
      </w:r>
      <w:r>
        <w:rPr>
          <w:spacing w:val="-53"/>
        </w:rPr>
        <w:t> </w:t>
      </w:r>
      <w:r>
        <w:rPr/>
        <w:t>级</w:t>
        <w:tab/>
      </w:r>
      <w:r>
        <w:rPr>
          <w:spacing w:val="-3"/>
        </w:rPr>
        <w:t>需</w:t>
      </w:r>
      <w:r>
        <w:rPr/>
        <w:t>要</w:t>
      </w:r>
      <w:r>
        <w:rPr>
          <w:spacing w:val="-3"/>
        </w:rPr>
        <w:t>插</w:t>
      </w:r>
      <w:r>
        <w:rPr/>
        <w:t>管</w:t>
      </w:r>
      <w:r>
        <w:rPr>
          <w:spacing w:val="-3"/>
        </w:rPr>
        <w:t>以</w:t>
      </w:r>
      <w:r>
        <w:rPr/>
        <w:t>维</w:t>
      </w:r>
      <w:r>
        <w:rPr>
          <w:spacing w:val="-3"/>
        </w:rPr>
        <w:t>持</w:t>
      </w:r>
      <w:r>
        <w:rPr/>
        <w:t>气管</w:t>
      </w:r>
      <w:r>
        <w:rPr>
          <w:spacing w:val="-3"/>
        </w:rPr>
        <w:t>畅</w:t>
      </w:r>
      <w:r>
        <w:rPr/>
        <w:t>通。</w:t>
      </w:r>
    </w:p>
    <w:p>
      <w:pPr>
        <w:pStyle w:val="ListParagraph"/>
        <w:numPr>
          <w:ilvl w:val="1"/>
          <w:numId w:val="1"/>
        </w:numPr>
        <w:tabs>
          <w:tab w:pos="2145" w:val="left" w:leader="none"/>
        </w:tabs>
        <w:spacing w:line="273" w:lineRule="auto" w:before="46" w:after="0"/>
        <w:ind w:left="2144" w:right="211" w:hanging="421"/>
        <w:jc w:val="left"/>
        <w:rPr>
          <w:sz w:val="21"/>
        </w:rPr>
      </w:pPr>
      <w:r>
        <w:rPr>
          <w:spacing w:val="-3"/>
          <w:sz w:val="21"/>
        </w:rPr>
        <w:t>脑动脉瘤及脑血管瘤：指实际实施的脑动脉瘤及脑血管瘤的切除手术。</w:t>
      </w:r>
      <w:r>
        <w:rPr>
          <w:spacing w:val="-4"/>
          <w:sz w:val="21"/>
        </w:rPr>
        <w:t>诊断需经头颅断层扫描</w:t>
      </w:r>
      <w:r>
        <w:rPr>
          <w:spacing w:val="-3"/>
          <w:sz w:val="21"/>
        </w:rPr>
        <w:t>（CT）</w:t>
      </w:r>
      <w:r>
        <w:rPr>
          <w:spacing w:val="-4"/>
          <w:sz w:val="21"/>
        </w:rPr>
        <w:t>或核磁共振</w:t>
      </w:r>
      <w:r>
        <w:rPr>
          <w:sz w:val="21"/>
        </w:rPr>
        <w:t>（MRI）</w:t>
      </w:r>
      <w:r>
        <w:rPr>
          <w:spacing w:val="-3"/>
          <w:sz w:val="21"/>
        </w:rPr>
        <w:t>确诊，并由专科医师确认是在医学上是必要的。在申请理赔时必须提交由病理科专科医生签署的固定活组织病理学检查报告和由专科医生签署的临床诊断及治疗报  告。</w:t>
      </w:r>
    </w:p>
    <w:p>
      <w:pPr>
        <w:pStyle w:val="ListParagraph"/>
        <w:numPr>
          <w:ilvl w:val="1"/>
          <w:numId w:val="1"/>
        </w:numPr>
        <w:tabs>
          <w:tab w:pos="2145" w:val="left" w:leader="none"/>
        </w:tabs>
        <w:spacing w:line="273" w:lineRule="auto" w:before="163" w:after="0"/>
        <w:ind w:left="2144" w:right="283" w:hanging="421"/>
        <w:jc w:val="left"/>
        <w:rPr>
          <w:sz w:val="21"/>
        </w:rPr>
      </w:pPr>
      <w:r>
        <w:rPr>
          <w:spacing w:val="-3"/>
          <w:sz w:val="21"/>
        </w:rPr>
        <w:t>中度传染性心內膜炎：因感染性微生物导致的心脏内膜炎症，并须满足下列全部条件：</w:t>
      </w:r>
    </w:p>
    <w:p>
      <w:pPr>
        <w:pStyle w:val="ListParagraph"/>
        <w:numPr>
          <w:ilvl w:val="2"/>
          <w:numId w:val="1"/>
        </w:numPr>
        <w:tabs>
          <w:tab w:pos="2984" w:val="left" w:leader="none"/>
          <w:tab w:pos="2985" w:val="left" w:leader="none"/>
        </w:tabs>
        <w:spacing w:line="240" w:lineRule="auto" w:before="163" w:after="0"/>
        <w:ind w:left="2984" w:right="0" w:hanging="420"/>
        <w:jc w:val="left"/>
        <w:rPr>
          <w:sz w:val="21"/>
        </w:rPr>
      </w:pPr>
      <w:r>
        <w:rPr>
          <w:spacing w:val="-3"/>
          <w:sz w:val="21"/>
        </w:rPr>
        <w:t>血液培植结果呈阳性反应，证明感染性微生物的存在；</w:t>
      </w:r>
    </w:p>
    <w:p>
      <w:pPr>
        <w:pStyle w:val="BodyText"/>
        <w:spacing w:before="9"/>
        <w:rPr>
          <w:sz w:val="14"/>
        </w:rPr>
      </w:pPr>
    </w:p>
    <w:p>
      <w:pPr>
        <w:pStyle w:val="ListParagraph"/>
        <w:numPr>
          <w:ilvl w:val="2"/>
          <w:numId w:val="1"/>
        </w:numPr>
        <w:tabs>
          <w:tab w:pos="2984" w:val="left" w:leader="none"/>
          <w:tab w:pos="2985" w:val="left" w:leader="none"/>
        </w:tabs>
        <w:spacing w:line="273" w:lineRule="auto" w:before="0" w:after="0"/>
        <w:ind w:left="2984" w:right="283" w:hanging="420"/>
        <w:jc w:val="left"/>
        <w:rPr>
          <w:sz w:val="21"/>
        </w:rPr>
      </w:pPr>
      <w:r>
        <w:rPr>
          <w:spacing w:val="-3"/>
          <w:sz w:val="21"/>
        </w:rPr>
        <w:t>出现最少中度心脏瓣膜功能不全，或心脏瓣膜狭窄导致的传染性心内膜炎。</w:t>
      </w:r>
    </w:p>
    <w:p>
      <w:pPr>
        <w:pStyle w:val="BodyText"/>
        <w:spacing w:before="163"/>
        <w:ind w:left="2144"/>
        <w:jc w:val="both"/>
      </w:pPr>
      <w:r>
        <w:rPr/>
        <w:t>传染性心内膜炎的诊断及瓣膜受损的严重程度必须由心脏病专科注册医</w:t>
      </w:r>
    </w:p>
    <w:p>
      <w:pPr>
        <w:spacing w:after="0"/>
        <w:jc w:val="both"/>
        <w:sectPr>
          <w:pgSz w:w="11910" w:h="16840"/>
          <w:pgMar w:header="0" w:footer="924" w:top="1080" w:bottom="1200" w:left="1680" w:right="1280"/>
        </w:sectPr>
      </w:pPr>
    </w:p>
    <w:p>
      <w:pPr>
        <w:pStyle w:val="BodyText"/>
        <w:spacing w:before="22"/>
        <w:ind w:left="2144"/>
      </w:pPr>
      <w:r>
        <w:rPr/>
        <w:t>生确定，并提供超声心动图或放射影像学检查结果报告以支持诊断。</w:t>
      </w:r>
    </w:p>
    <w:p>
      <w:pPr>
        <w:pStyle w:val="BodyText"/>
        <w:spacing w:before="10"/>
        <w:rPr>
          <w:sz w:val="14"/>
        </w:rPr>
      </w:pPr>
    </w:p>
    <w:p>
      <w:pPr>
        <w:pStyle w:val="ListParagraph"/>
        <w:numPr>
          <w:ilvl w:val="1"/>
          <w:numId w:val="1"/>
        </w:numPr>
        <w:tabs>
          <w:tab w:pos="2145" w:val="left" w:leader="none"/>
        </w:tabs>
        <w:spacing w:line="273" w:lineRule="auto" w:before="0" w:after="0"/>
        <w:ind w:left="2144" w:right="109" w:hanging="421"/>
        <w:jc w:val="both"/>
        <w:rPr>
          <w:sz w:val="21"/>
        </w:rPr>
      </w:pPr>
      <w:r>
        <w:rPr>
          <w:spacing w:val="-12"/>
          <w:sz w:val="21"/>
        </w:rPr>
        <w:t>中度面部烧伤：意外导致的颜面部烧伤是指最少有 </w:t>
      </w:r>
      <w:r>
        <w:rPr>
          <w:sz w:val="21"/>
        </w:rPr>
        <w:t>30</w:t>
      </w:r>
      <w:r>
        <w:rPr>
          <w:spacing w:val="-3"/>
          <w:sz w:val="21"/>
        </w:rPr>
        <w:t>%的颜面部表面直接</w:t>
      </w:r>
      <w:r>
        <w:rPr>
          <w:spacing w:val="-4"/>
          <w:sz w:val="21"/>
        </w:rPr>
        <w:t>由意外导致而受到三级烧伤</w:t>
      </w:r>
      <w:r>
        <w:rPr>
          <w:spacing w:val="-3"/>
          <w:sz w:val="21"/>
        </w:rPr>
        <w:t>（皮肤全层烧伤</w:t>
      </w:r>
      <w:r>
        <w:rPr>
          <w:spacing w:val="-108"/>
          <w:sz w:val="21"/>
        </w:rPr>
        <w:t>）</w:t>
      </w:r>
      <w:r>
        <w:rPr>
          <w:spacing w:val="-5"/>
          <w:sz w:val="21"/>
        </w:rPr>
        <w:t>。烧伤面积须由本公司认可</w:t>
      </w:r>
      <w:r>
        <w:rPr>
          <w:spacing w:val="-4"/>
          <w:sz w:val="21"/>
        </w:rPr>
        <w:t>医院的专科医生计算。</w:t>
      </w:r>
    </w:p>
    <w:p>
      <w:pPr>
        <w:pStyle w:val="BodyText"/>
        <w:spacing w:line="273" w:lineRule="auto" w:before="163"/>
        <w:ind w:left="2144" w:right="183"/>
        <w:jc w:val="both"/>
      </w:pPr>
      <w:r>
        <w:rPr/>
        <w:t>对于较小面积Ⅲ度烧伤、轻度面部烧伤、面部重建手术，若因同一原因导致上述两项或者两项以上情况同时满足，有关的烧伤或者手术在本附加合同保障范围内</w:t>
      </w:r>
      <w:r>
        <w:rPr>
          <w:b/>
        </w:rPr>
        <w:t>只能获赔偿一次</w:t>
      </w:r>
      <w:r>
        <w:rPr/>
        <w:t>。</w:t>
      </w:r>
    </w:p>
    <w:p>
      <w:pPr>
        <w:pStyle w:val="ListParagraph"/>
        <w:numPr>
          <w:ilvl w:val="1"/>
          <w:numId w:val="1"/>
        </w:numPr>
        <w:tabs>
          <w:tab w:pos="2145" w:val="left" w:leader="none"/>
        </w:tabs>
        <w:spacing w:line="240" w:lineRule="auto" w:before="163" w:after="0"/>
        <w:ind w:left="2144" w:right="0" w:hanging="421"/>
        <w:jc w:val="left"/>
        <w:rPr>
          <w:sz w:val="21"/>
        </w:rPr>
      </w:pPr>
      <w:r>
        <w:rPr>
          <w:spacing w:val="-3"/>
          <w:sz w:val="21"/>
        </w:rPr>
        <w:t>中度系统性红斑狼疮：在下列五项情况中出现两项或两项以上：</w:t>
      </w:r>
    </w:p>
    <w:p>
      <w:pPr>
        <w:pStyle w:val="BodyText"/>
        <w:spacing w:before="9"/>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3"/>
          <w:sz w:val="21"/>
        </w:rPr>
        <w:t>关节炎：非磨损性关节炎，需涉及两个或以上关节；</w:t>
      </w:r>
    </w:p>
    <w:p>
      <w:pPr>
        <w:pStyle w:val="BodyText"/>
        <w:spacing w:before="10"/>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3"/>
          <w:sz w:val="21"/>
        </w:rPr>
        <w:t>浆膜炎：胸膜炎或心包炎；</w:t>
      </w:r>
    </w:p>
    <w:p>
      <w:pPr>
        <w:pStyle w:val="BodyText"/>
        <w:spacing w:before="9"/>
        <w:rPr>
          <w:sz w:val="14"/>
        </w:rPr>
      </w:pPr>
    </w:p>
    <w:p>
      <w:pPr>
        <w:pStyle w:val="ListParagraph"/>
        <w:numPr>
          <w:ilvl w:val="2"/>
          <w:numId w:val="1"/>
        </w:numPr>
        <w:tabs>
          <w:tab w:pos="2984" w:val="left" w:leader="none"/>
          <w:tab w:pos="2985" w:val="left" w:leader="none"/>
        </w:tabs>
        <w:spacing w:line="273" w:lineRule="auto" w:before="1" w:after="0"/>
        <w:ind w:left="2984" w:right="133" w:hanging="420"/>
        <w:jc w:val="left"/>
        <w:rPr>
          <w:sz w:val="21"/>
        </w:rPr>
      </w:pPr>
      <w:r>
        <w:rPr>
          <w:sz w:val="21"/>
        </w:rPr>
        <w:t>肾病：24</w:t>
      </w:r>
      <w:r>
        <w:rPr>
          <w:spacing w:val="-12"/>
          <w:sz w:val="21"/>
        </w:rPr>
        <w:t> 小时尿蛋白定量达到 </w:t>
      </w:r>
      <w:r>
        <w:rPr>
          <w:sz w:val="21"/>
        </w:rPr>
        <w:t>0.5</w:t>
      </w:r>
      <w:r>
        <w:rPr>
          <w:spacing w:val="-9"/>
          <w:sz w:val="21"/>
        </w:rPr>
        <w:t> 克，或尿液检查出现细胞管型；</w:t>
      </w:r>
    </w:p>
    <w:p>
      <w:pPr>
        <w:pStyle w:val="ListParagraph"/>
        <w:numPr>
          <w:ilvl w:val="2"/>
          <w:numId w:val="1"/>
        </w:numPr>
        <w:tabs>
          <w:tab w:pos="2984" w:val="left" w:leader="none"/>
          <w:tab w:pos="2985" w:val="left" w:leader="none"/>
        </w:tabs>
        <w:spacing w:line="240" w:lineRule="auto" w:before="164" w:after="0"/>
        <w:ind w:left="2984" w:right="0" w:hanging="420"/>
        <w:jc w:val="left"/>
        <w:rPr>
          <w:sz w:val="21"/>
        </w:rPr>
      </w:pPr>
      <w:r>
        <w:rPr>
          <w:spacing w:val="-3"/>
          <w:sz w:val="21"/>
        </w:rPr>
        <w:t>血液学异常：溶血性贫血、白细胞减少、或血小板减少；</w:t>
      </w:r>
    </w:p>
    <w:p>
      <w:pPr>
        <w:pStyle w:val="BodyText"/>
        <w:spacing w:before="10"/>
        <w:rPr>
          <w:sz w:val="14"/>
        </w:rPr>
      </w:pPr>
    </w:p>
    <w:p>
      <w:pPr>
        <w:pStyle w:val="ListParagraph"/>
        <w:numPr>
          <w:ilvl w:val="2"/>
          <w:numId w:val="1"/>
        </w:numPr>
        <w:tabs>
          <w:tab w:pos="2984" w:val="left" w:leader="none"/>
          <w:tab w:pos="2985" w:val="left" w:leader="none"/>
        </w:tabs>
        <w:spacing w:line="240" w:lineRule="auto" w:before="0" w:after="0"/>
        <w:ind w:left="2984" w:right="0" w:hanging="420"/>
        <w:jc w:val="left"/>
        <w:rPr>
          <w:sz w:val="21"/>
        </w:rPr>
      </w:pPr>
      <w:r>
        <w:rPr>
          <w:spacing w:val="-8"/>
          <w:sz w:val="21"/>
        </w:rPr>
        <w:t>抗核抗体阳性、抗 </w:t>
      </w:r>
      <w:r>
        <w:rPr>
          <w:sz w:val="21"/>
        </w:rPr>
        <w:t>dsDNA</w:t>
      </w:r>
      <w:r>
        <w:rPr>
          <w:spacing w:val="-18"/>
          <w:sz w:val="21"/>
        </w:rPr>
        <w:t> 阳性或抗 </w:t>
      </w:r>
      <w:r>
        <w:rPr>
          <w:sz w:val="21"/>
        </w:rPr>
        <w:t>Smith</w:t>
      </w:r>
      <w:r>
        <w:rPr>
          <w:spacing w:val="-11"/>
          <w:sz w:val="21"/>
        </w:rPr>
        <w:t> 抗体阳性。</w:t>
      </w:r>
    </w:p>
    <w:p>
      <w:pPr>
        <w:pStyle w:val="BodyText"/>
        <w:spacing w:before="9"/>
        <w:rPr>
          <w:sz w:val="14"/>
        </w:rPr>
      </w:pPr>
    </w:p>
    <w:p>
      <w:pPr>
        <w:pStyle w:val="BodyText"/>
        <w:spacing w:line="273" w:lineRule="auto" w:before="1"/>
        <w:ind w:left="2144" w:right="183"/>
      </w:pPr>
      <w:r>
        <w:rPr/>
        <w:t>系统性红斑狼疮的诊断必须由本公司认可医院的风湿科或免疫系统专科医生确定。</w:t>
      </w:r>
    </w:p>
    <w:p>
      <w:pPr>
        <w:pStyle w:val="ListParagraph"/>
        <w:numPr>
          <w:ilvl w:val="1"/>
          <w:numId w:val="1"/>
        </w:numPr>
        <w:tabs>
          <w:tab w:pos="2145" w:val="left" w:leader="none"/>
        </w:tabs>
        <w:spacing w:line="273" w:lineRule="auto" w:before="164" w:after="0"/>
        <w:ind w:left="2144" w:right="183" w:hanging="421"/>
        <w:jc w:val="both"/>
        <w:rPr>
          <w:sz w:val="21"/>
        </w:rPr>
      </w:pPr>
      <w:r>
        <w:rPr>
          <w:spacing w:val="-3"/>
          <w:sz w:val="21"/>
        </w:rPr>
        <w:t>早期象皮病：指因丝虫感染导致淋巴管阻塞而造成身体组织出现严重淋巴水肿。此病症须经本公司认可医院的专科医生根据临床表现和微丝蚴的化验结果确诊。</w:t>
      </w:r>
    </w:p>
    <w:p>
      <w:pPr>
        <w:pStyle w:val="Heading1"/>
        <w:spacing w:line="273" w:lineRule="auto" w:before="164"/>
        <w:ind w:right="372"/>
      </w:pPr>
      <w:r>
        <w:rPr/>
        <w:t>急性淋巴管炎或其它原因引起的淋巴水肿并不在本附加合同保障范围內。</w:t>
      </w:r>
    </w:p>
    <w:p>
      <w:pPr>
        <w:pStyle w:val="ListParagraph"/>
        <w:numPr>
          <w:ilvl w:val="1"/>
          <w:numId w:val="1"/>
        </w:numPr>
        <w:tabs>
          <w:tab w:pos="2145" w:val="left" w:leader="none"/>
        </w:tabs>
        <w:spacing w:line="273" w:lineRule="auto" w:before="164" w:after="0"/>
        <w:ind w:left="2144" w:right="183" w:hanging="421"/>
        <w:jc w:val="both"/>
        <w:rPr>
          <w:sz w:val="21"/>
        </w:rPr>
      </w:pPr>
      <w:r>
        <w:rPr>
          <w:spacing w:val="-3"/>
          <w:sz w:val="21"/>
        </w:rPr>
        <w:t>激光心肌血运重建术：指被保险人患有顽固性心绞痛，经持续最佳药物治疗后无改善，冠状动脉搭桥手术及经皮血管成形手术已失败或者被认为不适合。在本公司认可的医院内实际进行了开胸手术下或者胸腔镜下的激光心肌血运重建术。</w:t>
      </w:r>
    </w:p>
    <w:p>
      <w:pPr>
        <w:pStyle w:val="BodyText"/>
        <w:spacing w:line="273" w:lineRule="auto" w:before="164"/>
        <w:ind w:left="2144" w:right="111"/>
      </w:pPr>
      <w:r>
        <w:rPr>
          <w:spacing w:val="-3"/>
        </w:rPr>
        <w:t>不典型的急性心肌梗塞、由心肌梗塞导致的冠状动脉介入手术</w:t>
      </w:r>
      <w:r>
        <w:rPr/>
        <w:t>（</w:t>
      </w:r>
      <w:r>
        <w:rPr>
          <w:spacing w:val="-2"/>
        </w:rPr>
        <w:t>非开胸手术</w:t>
      </w:r>
      <w:r>
        <w:rPr>
          <w:spacing w:val="-108"/>
        </w:rPr>
        <w:t>）</w:t>
      </w:r>
      <w:r>
        <w:rPr>
          <w:spacing w:val="-7"/>
        </w:rPr>
        <w:t>、激光心肌血运重建术、与微创冠状动脉搭桥术在本附加合同保障</w:t>
      </w:r>
      <w:r>
        <w:rPr>
          <w:spacing w:val="-2"/>
        </w:rPr>
        <w:t>范围内</w:t>
      </w:r>
      <w:r>
        <w:rPr>
          <w:b/>
          <w:spacing w:val="-1"/>
        </w:rPr>
        <w:t>只能获赔偿一次</w:t>
      </w:r>
      <w:r>
        <w:rPr/>
        <w:t>。</w:t>
      </w:r>
    </w:p>
    <w:p>
      <w:pPr>
        <w:pStyle w:val="ListParagraph"/>
        <w:numPr>
          <w:ilvl w:val="1"/>
          <w:numId w:val="1"/>
        </w:numPr>
        <w:tabs>
          <w:tab w:pos="2145" w:val="left" w:leader="none"/>
        </w:tabs>
        <w:spacing w:line="273" w:lineRule="auto" w:before="164" w:after="0"/>
        <w:ind w:left="2144" w:right="183" w:hanging="421"/>
        <w:jc w:val="both"/>
        <w:rPr>
          <w:sz w:val="21"/>
        </w:rPr>
      </w:pPr>
      <w:r>
        <w:rPr>
          <w:spacing w:val="-3"/>
          <w:sz w:val="21"/>
        </w:rPr>
        <w:t>因肾上腺皮质腺瘤切除肾上腺：因肾上腺皮质腺瘤所导致的醛固酮分泌过多而产生的继发性恶性高血压而实际接受了肾上腺切除术治疗。</w:t>
      </w:r>
    </w:p>
    <w:p>
      <w:pPr>
        <w:pStyle w:val="BodyText"/>
        <w:spacing w:line="273" w:lineRule="auto" w:before="164"/>
        <w:ind w:left="2144" w:right="183"/>
      </w:pPr>
      <w:r>
        <w:rPr/>
        <w:t>诊断及治疗均须在本公司认可的医院内由专科医师认为是医疗必须的情况下进行。</w:t>
      </w:r>
    </w:p>
    <w:p>
      <w:pPr>
        <w:pStyle w:val="ListParagraph"/>
        <w:numPr>
          <w:ilvl w:val="1"/>
          <w:numId w:val="1"/>
        </w:numPr>
        <w:tabs>
          <w:tab w:pos="2145" w:val="left" w:leader="none"/>
        </w:tabs>
        <w:spacing w:line="273" w:lineRule="auto" w:before="164" w:after="0"/>
        <w:ind w:left="2144" w:right="183" w:hanging="421"/>
        <w:jc w:val="both"/>
        <w:rPr>
          <w:sz w:val="21"/>
        </w:rPr>
      </w:pPr>
      <w:r>
        <w:rPr>
          <w:spacing w:val="-3"/>
          <w:sz w:val="21"/>
        </w:rPr>
        <w:t>腔静脉过滤器植入：经本公司认可医院的专科医生证明被保人有反复肺栓塞发作及抗凝治疗无效而必须接受手术植入腔静脉过滤器。</w:t>
      </w:r>
    </w:p>
    <w:p>
      <w:pPr>
        <w:pStyle w:val="BodyText"/>
        <w:spacing w:line="273" w:lineRule="auto" w:before="164"/>
        <w:ind w:left="2144" w:right="183"/>
      </w:pPr>
      <w:r>
        <w:rPr/>
        <w:t>理赔时需提供完整病历及手术记录以证明植入静脉过滤器有绝对必要性及已确实施行了手术。</w:t>
      </w:r>
    </w:p>
    <w:p>
      <w:pPr>
        <w:pStyle w:val="ListParagraph"/>
        <w:numPr>
          <w:ilvl w:val="1"/>
          <w:numId w:val="1"/>
        </w:numPr>
        <w:tabs>
          <w:tab w:pos="2145" w:val="left" w:leader="none"/>
        </w:tabs>
        <w:spacing w:line="240" w:lineRule="auto" w:before="164" w:after="0"/>
        <w:ind w:left="2144" w:right="0" w:hanging="421"/>
        <w:jc w:val="left"/>
        <w:rPr>
          <w:sz w:val="21"/>
        </w:rPr>
      </w:pPr>
      <w:r>
        <w:rPr>
          <w:spacing w:val="-3"/>
          <w:sz w:val="21"/>
        </w:rPr>
        <w:t>中度克隆病：克隆病是一种慢性肉芽肿性肠炎，具有特征性的克隆病病</w:t>
      </w:r>
    </w:p>
    <w:p>
      <w:pPr>
        <w:spacing w:after="0" w:line="240" w:lineRule="auto"/>
        <w:jc w:val="left"/>
        <w:rPr>
          <w:sz w:val="21"/>
        </w:rPr>
        <w:sectPr>
          <w:pgSz w:w="11910" w:h="16840"/>
          <w:pgMar w:header="0" w:footer="924" w:top="1080" w:bottom="1200" w:left="1680" w:right="1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1593"/>
        <w:gridCol w:w="7484"/>
      </w:tblGrid>
      <w:tr>
        <w:trPr>
          <w:trHeight w:val="960" w:hRule="atLeast"/>
        </w:trPr>
        <w:tc>
          <w:tcPr>
            <w:tcW w:w="801" w:type="dxa"/>
          </w:tcPr>
          <w:p>
            <w:pPr>
              <w:pStyle w:val="TableParagraph"/>
              <w:rPr>
                <w:rFonts w:ascii="Times New Roman"/>
                <w:sz w:val="20"/>
              </w:rPr>
            </w:pPr>
          </w:p>
        </w:tc>
        <w:tc>
          <w:tcPr>
            <w:tcW w:w="1593" w:type="dxa"/>
          </w:tcPr>
          <w:p>
            <w:pPr>
              <w:pStyle w:val="TableParagraph"/>
              <w:rPr>
                <w:rFonts w:ascii="Times New Roman"/>
                <w:sz w:val="20"/>
              </w:rPr>
            </w:pPr>
          </w:p>
        </w:tc>
        <w:tc>
          <w:tcPr>
            <w:tcW w:w="7484" w:type="dxa"/>
          </w:tcPr>
          <w:p>
            <w:pPr>
              <w:pStyle w:val="TableParagraph"/>
              <w:spacing w:line="211" w:lineRule="exact"/>
              <w:ind w:left="497"/>
              <w:rPr>
                <w:sz w:val="21"/>
              </w:rPr>
            </w:pPr>
            <w:r>
              <w:rPr>
                <w:sz w:val="21"/>
              </w:rPr>
              <w:t>理组织学变化。诊断必须由本公司认可医院的专科注册医生经内窥镜及</w:t>
            </w:r>
          </w:p>
          <w:p>
            <w:pPr>
              <w:pStyle w:val="TableParagraph"/>
              <w:spacing w:line="273" w:lineRule="auto" w:before="37"/>
              <w:ind w:left="497" w:right="467"/>
              <w:rPr>
                <w:sz w:val="21"/>
              </w:rPr>
            </w:pPr>
            <w:r>
              <w:rPr>
                <w:sz w:val="21"/>
              </w:rPr>
              <w:t>肠病理活检结果证实，同时经专科医生以类固醇或免疫抑制剂连续治疗至少 180 天，方符合理赔条件。</w:t>
            </w:r>
          </w:p>
        </w:tc>
      </w:tr>
      <w:tr>
        <w:trPr>
          <w:trHeight w:val="1107" w:hRule="atLeast"/>
        </w:trPr>
        <w:tc>
          <w:tcPr>
            <w:tcW w:w="801" w:type="dxa"/>
          </w:tcPr>
          <w:p>
            <w:pPr>
              <w:pStyle w:val="TableParagraph"/>
              <w:spacing w:before="68"/>
              <w:ind w:left="200"/>
              <w:rPr>
                <w:b/>
                <w:sz w:val="21"/>
              </w:rPr>
            </w:pPr>
            <w:r>
              <w:rPr>
                <w:b/>
                <w:sz w:val="21"/>
              </w:rPr>
              <w:t>9.9</w:t>
            </w:r>
          </w:p>
        </w:tc>
        <w:tc>
          <w:tcPr>
            <w:tcW w:w="1593" w:type="dxa"/>
          </w:tcPr>
          <w:p>
            <w:pPr>
              <w:pStyle w:val="TableParagraph"/>
              <w:spacing w:line="273" w:lineRule="auto" w:before="68"/>
              <w:ind w:left="251" w:right="72"/>
              <w:jc w:val="both"/>
              <w:rPr>
                <w:b/>
                <w:sz w:val="21"/>
              </w:rPr>
            </w:pPr>
            <w:r>
              <w:rPr>
                <w:b/>
                <w:sz w:val="21"/>
              </w:rPr>
              <w:t>具有均衡保险费的长期附加合同</w:t>
            </w:r>
          </w:p>
        </w:tc>
        <w:tc>
          <w:tcPr>
            <w:tcW w:w="7484" w:type="dxa"/>
          </w:tcPr>
          <w:p>
            <w:pPr>
              <w:pStyle w:val="TableParagraph"/>
              <w:spacing w:line="256" w:lineRule="auto" w:before="68"/>
              <w:ind w:left="158" w:right="124"/>
              <w:rPr>
                <w:sz w:val="21"/>
              </w:rPr>
            </w:pPr>
            <w:r>
              <w:rPr>
                <w:sz w:val="21"/>
              </w:rPr>
              <w:t>指保险期间和交费期间均超过 </w:t>
            </w:r>
            <w:r>
              <w:rPr>
                <w:rFonts w:ascii="Times New Roman" w:eastAsia="Times New Roman"/>
                <w:sz w:val="21"/>
              </w:rPr>
              <w:t>1 </w:t>
            </w:r>
            <w:r>
              <w:rPr>
                <w:sz w:val="21"/>
              </w:rPr>
              <w:t>年，并且各保险单年度应交保险费额度相同的附加合同。</w:t>
            </w:r>
          </w:p>
        </w:tc>
      </w:tr>
      <w:tr>
        <w:trPr>
          <w:trHeight w:val="11703" w:hRule="atLeast"/>
        </w:trPr>
        <w:tc>
          <w:tcPr>
            <w:tcW w:w="801" w:type="dxa"/>
          </w:tcPr>
          <w:p>
            <w:pPr>
              <w:pStyle w:val="TableParagraph"/>
              <w:spacing w:before="76"/>
              <w:ind w:left="200"/>
              <w:rPr>
                <w:b/>
                <w:sz w:val="21"/>
              </w:rPr>
            </w:pPr>
            <w:r>
              <w:rPr>
                <w:b/>
                <w:sz w:val="21"/>
              </w:rPr>
              <w:t>9.10</w:t>
            </w:r>
          </w:p>
        </w:tc>
        <w:tc>
          <w:tcPr>
            <w:tcW w:w="1593" w:type="dxa"/>
          </w:tcPr>
          <w:p>
            <w:pPr>
              <w:pStyle w:val="TableParagraph"/>
              <w:spacing w:before="76"/>
              <w:ind w:left="179"/>
              <w:rPr>
                <w:b/>
                <w:sz w:val="21"/>
              </w:rPr>
            </w:pPr>
            <w:r>
              <w:rPr>
                <w:b/>
                <w:sz w:val="21"/>
              </w:rPr>
              <w:t>重大疾病</w:t>
            </w:r>
          </w:p>
        </w:tc>
        <w:tc>
          <w:tcPr>
            <w:tcW w:w="7484" w:type="dxa"/>
          </w:tcPr>
          <w:p>
            <w:pPr>
              <w:pStyle w:val="TableParagraph"/>
              <w:spacing w:line="273" w:lineRule="auto" w:before="76"/>
              <w:ind w:left="76" w:right="393"/>
              <w:jc w:val="both"/>
              <w:rPr>
                <w:b/>
                <w:sz w:val="21"/>
              </w:rPr>
            </w:pPr>
            <w:r>
              <w:rPr>
                <w:spacing w:val="-8"/>
                <w:sz w:val="21"/>
              </w:rPr>
              <w:t>本附加合同所列的 </w:t>
            </w:r>
            <w:r>
              <w:rPr>
                <w:sz w:val="21"/>
              </w:rPr>
              <w:t>100</w:t>
            </w:r>
            <w:r>
              <w:rPr>
                <w:spacing w:val="-15"/>
                <w:sz w:val="21"/>
              </w:rPr>
              <w:t> 种重大疾病，其中本款 </w:t>
            </w:r>
            <w:r>
              <w:rPr>
                <w:sz w:val="21"/>
              </w:rPr>
              <w:t>1</w:t>
            </w:r>
            <w:r>
              <w:rPr>
                <w:spacing w:val="-34"/>
                <w:sz w:val="21"/>
              </w:rPr>
              <w:t> 至 </w:t>
            </w:r>
            <w:r>
              <w:rPr>
                <w:sz w:val="21"/>
              </w:rPr>
              <w:t>25</w:t>
            </w:r>
            <w:r>
              <w:rPr>
                <w:spacing w:val="-8"/>
                <w:sz w:val="21"/>
              </w:rPr>
              <w:t> 项的重大疾病定义采用</w:t>
            </w:r>
            <w:r>
              <w:rPr>
                <w:spacing w:val="-5"/>
                <w:sz w:val="21"/>
              </w:rPr>
              <w:t>中国保险行业协会颁布的 《重大疾病保险的疾病定义使用规范》中的疾病定</w:t>
            </w:r>
            <w:r>
              <w:rPr>
                <w:spacing w:val="-1"/>
                <w:sz w:val="21"/>
              </w:rPr>
              <w:t>义。</w:t>
            </w:r>
            <w:r>
              <w:rPr>
                <w:b/>
                <w:spacing w:val="-2"/>
                <w:sz w:val="21"/>
              </w:rPr>
              <w:t>“疾病”指约定的疾病、疾病状态或手术。</w:t>
            </w:r>
          </w:p>
          <w:p>
            <w:pPr>
              <w:pStyle w:val="TableParagraph"/>
              <w:spacing w:before="5"/>
              <w:rPr>
                <w:sz w:val="15"/>
              </w:rPr>
            </w:pPr>
          </w:p>
          <w:p>
            <w:pPr>
              <w:pStyle w:val="TableParagraph"/>
              <w:numPr>
                <w:ilvl w:val="0"/>
                <w:numId w:val="13"/>
              </w:numPr>
              <w:tabs>
                <w:tab w:pos="498" w:val="left" w:leader="none"/>
              </w:tabs>
              <w:spacing w:line="340" w:lineRule="auto" w:before="0" w:after="0"/>
              <w:ind w:left="288" w:right="467" w:hanging="212"/>
              <w:jc w:val="both"/>
              <w:rPr>
                <w:sz w:val="21"/>
              </w:rPr>
            </w:pPr>
            <w:r>
              <w:rPr>
                <w:spacing w:val="-3"/>
                <w:sz w:val="21"/>
              </w:rPr>
              <w:t>恶性肿瘤：指恶性细胞不受控制的进行性增长和扩散，浸润和破坏周围正常组织，可以经血管、淋巴管和体腔扩散转移到身体其它部位的疾病。经病理学检查结果明确诊断，临床诊断属于世界卫生组织《疾病和有关健</w:t>
            </w:r>
            <w:r>
              <w:rPr>
                <w:spacing w:val="-13"/>
                <w:sz w:val="21"/>
              </w:rPr>
              <w:t>康问题的国际统计分类》</w:t>
            </w:r>
            <w:r>
              <w:rPr>
                <w:sz w:val="21"/>
              </w:rPr>
              <w:t>（ICD-10）</w:t>
            </w:r>
            <w:r>
              <w:rPr>
                <w:spacing w:val="-3"/>
                <w:sz w:val="21"/>
              </w:rPr>
              <w:t>的恶性肿瘤范畴。</w:t>
            </w:r>
          </w:p>
          <w:p>
            <w:pPr>
              <w:pStyle w:val="TableParagraph"/>
              <w:spacing w:before="11"/>
              <w:rPr>
                <w:sz w:val="13"/>
              </w:rPr>
            </w:pPr>
          </w:p>
          <w:p>
            <w:pPr>
              <w:pStyle w:val="TableParagraph"/>
              <w:ind w:left="288"/>
              <w:rPr>
                <w:b/>
                <w:sz w:val="21"/>
              </w:rPr>
            </w:pPr>
            <w:r>
              <w:rPr>
                <w:b/>
                <w:sz w:val="21"/>
              </w:rPr>
              <w:t>下列疾病不在本附加合同保障范围内：</w:t>
            </w:r>
          </w:p>
          <w:p>
            <w:pPr>
              <w:pStyle w:val="TableParagraph"/>
              <w:spacing w:before="10"/>
              <w:rPr>
                <w:sz w:val="20"/>
              </w:rPr>
            </w:pPr>
          </w:p>
          <w:p>
            <w:pPr>
              <w:pStyle w:val="TableParagraph"/>
              <w:numPr>
                <w:ilvl w:val="1"/>
                <w:numId w:val="13"/>
              </w:numPr>
              <w:tabs>
                <w:tab w:pos="1371" w:val="left" w:leader="none"/>
              </w:tabs>
              <w:spacing w:line="240" w:lineRule="auto" w:before="0" w:after="0"/>
              <w:ind w:left="1371" w:right="0" w:hanging="394"/>
              <w:jc w:val="left"/>
              <w:rPr>
                <w:b/>
                <w:sz w:val="21"/>
              </w:rPr>
            </w:pPr>
            <w:r>
              <w:rPr>
                <w:b/>
                <w:sz w:val="21"/>
              </w:rPr>
              <w:t>原位癌；</w:t>
            </w:r>
          </w:p>
          <w:p>
            <w:pPr>
              <w:pStyle w:val="TableParagraph"/>
              <w:spacing w:before="8"/>
              <w:rPr>
                <w:sz w:val="20"/>
              </w:rPr>
            </w:pPr>
          </w:p>
          <w:p>
            <w:pPr>
              <w:pStyle w:val="TableParagraph"/>
              <w:numPr>
                <w:ilvl w:val="1"/>
                <w:numId w:val="13"/>
              </w:numPr>
              <w:tabs>
                <w:tab w:pos="1371" w:val="left" w:leader="none"/>
              </w:tabs>
              <w:spacing w:line="240" w:lineRule="auto" w:before="0" w:after="0"/>
              <w:ind w:left="1371" w:right="0" w:hanging="394"/>
              <w:jc w:val="left"/>
              <w:rPr>
                <w:b/>
                <w:sz w:val="21"/>
              </w:rPr>
            </w:pPr>
            <w:r>
              <w:rPr>
                <w:b/>
                <w:sz w:val="21"/>
              </w:rPr>
              <w:t>相当于Binet分期方案A</w:t>
            </w:r>
            <w:r>
              <w:rPr>
                <w:b/>
                <w:spacing w:val="-3"/>
                <w:sz w:val="21"/>
              </w:rPr>
              <w:t>期程度的慢性淋巴细胞白血病；</w:t>
            </w:r>
          </w:p>
          <w:p>
            <w:pPr>
              <w:pStyle w:val="TableParagraph"/>
              <w:spacing w:before="10"/>
              <w:rPr>
                <w:sz w:val="20"/>
              </w:rPr>
            </w:pPr>
          </w:p>
          <w:p>
            <w:pPr>
              <w:pStyle w:val="TableParagraph"/>
              <w:numPr>
                <w:ilvl w:val="1"/>
                <w:numId w:val="13"/>
              </w:numPr>
              <w:tabs>
                <w:tab w:pos="1371" w:val="left" w:leader="none"/>
              </w:tabs>
              <w:spacing w:line="240" w:lineRule="auto" w:before="0" w:after="0"/>
              <w:ind w:left="1371" w:right="0" w:hanging="394"/>
              <w:jc w:val="left"/>
              <w:rPr>
                <w:b/>
                <w:sz w:val="21"/>
              </w:rPr>
            </w:pPr>
            <w:r>
              <w:rPr>
                <w:b/>
                <w:sz w:val="21"/>
              </w:rPr>
              <w:t>相当于Ann</w:t>
            </w:r>
            <w:r>
              <w:rPr>
                <w:b/>
                <w:spacing w:val="2"/>
                <w:sz w:val="21"/>
              </w:rPr>
              <w:t> </w:t>
            </w:r>
            <w:r>
              <w:rPr>
                <w:b/>
                <w:sz w:val="21"/>
              </w:rPr>
              <w:t>Arbor分期方案I期程度的何杰金氏病；</w:t>
            </w:r>
          </w:p>
          <w:p>
            <w:pPr>
              <w:pStyle w:val="TableParagraph"/>
              <w:spacing w:before="8"/>
              <w:rPr>
                <w:sz w:val="20"/>
              </w:rPr>
            </w:pPr>
          </w:p>
          <w:p>
            <w:pPr>
              <w:pStyle w:val="TableParagraph"/>
              <w:numPr>
                <w:ilvl w:val="1"/>
                <w:numId w:val="13"/>
              </w:numPr>
              <w:tabs>
                <w:tab w:pos="1371" w:val="left" w:leader="none"/>
              </w:tabs>
              <w:spacing w:line="240" w:lineRule="auto" w:before="0" w:after="0"/>
              <w:ind w:left="1371" w:right="0" w:hanging="394"/>
              <w:jc w:val="left"/>
              <w:rPr>
                <w:b/>
                <w:sz w:val="21"/>
              </w:rPr>
            </w:pP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10"/>
              <w:rPr>
                <w:sz w:val="20"/>
              </w:rPr>
            </w:pPr>
          </w:p>
          <w:p>
            <w:pPr>
              <w:pStyle w:val="TableParagraph"/>
              <w:numPr>
                <w:ilvl w:val="1"/>
                <w:numId w:val="13"/>
              </w:numPr>
              <w:tabs>
                <w:tab w:pos="1371" w:val="left" w:leader="none"/>
              </w:tabs>
              <w:spacing w:line="240" w:lineRule="auto" w:before="0" w:after="0"/>
              <w:ind w:left="1371" w:right="0" w:hanging="394"/>
              <w:jc w:val="left"/>
              <w:rPr>
                <w:b/>
                <w:sz w:val="21"/>
              </w:rPr>
            </w:pPr>
            <w:r>
              <w:rPr>
                <w:b/>
                <w:position w:val="1"/>
                <w:sz w:val="21"/>
              </w:rPr>
              <w:t>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before="8"/>
              <w:rPr>
                <w:sz w:val="20"/>
              </w:rPr>
            </w:pPr>
          </w:p>
          <w:p>
            <w:pPr>
              <w:pStyle w:val="TableParagraph"/>
              <w:numPr>
                <w:ilvl w:val="1"/>
                <w:numId w:val="13"/>
              </w:numPr>
              <w:tabs>
                <w:tab w:pos="1371" w:val="left" w:leader="none"/>
              </w:tabs>
              <w:spacing w:line="240" w:lineRule="auto" w:before="0" w:after="0"/>
              <w:ind w:left="1371" w:right="0" w:hanging="394"/>
              <w:jc w:val="left"/>
              <w:rPr>
                <w:b/>
                <w:sz w:val="21"/>
              </w:rPr>
            </w:pPr>
            <w:r>
              <w:rPr>
                <w:b/>
                <w:spacing w:val="-3"/>
                <w:sz w:val="21"/>
              </w:rPr>
              <w:t>感染艾滋病病毒或患艾滋病期间所患恶性肿瘤。</w:t>
            </w:r>
          </w:p>
          <w:p>
            <w:pPr>
              <w:pStyle w:val="TableParagraph"/>
              <w:spacing w:before="10"/>
              <w:rPr>
                <w:sz w:val="20"/>
              </w:rPr>
            </w:pPr>
          </w:p>
          <w:p>
            <w:pPr>
              <w:pStyle w:val="TableParagraph"/>
              <w:numPr>
                <w:ilvl w:val="0"/>
                <w:numId w:val="13"/>
              </w:numPr>
              <w:tabs>
                <w:tab w:pos="498" w:val="left" w:leader="none"/>
              </w:tabs>
              <w:spacing w:line="338" w:lineRule="auto" w:before="0" w:after="0"/>
              <w:ind w:left="273" w:right="467" w:hanging="197"/>
              <w:jc w:val="both"/>
              <w:rPr>
                <w:sz w:val="21"/>
              </w:rPr>
            </w:pPr>
            <w:r>
              <w:rPr>
                <w:spacing w:val="-3"/>
                <w:sz w:val="21"/>
              </w:rPr>
              <w:t>急性心肌梗塞：指因冠状动脉阻塞导致的相应区域供血不足造成部分心肌坏死。须满足下列至少三项条件：</w:t>
            </w:r>
          </w:p>
          <w:p>
            <w:pPr>
              <w:pStyle w:val="TableParagraph"/>
              <w:spacing w:before="2"/>
              <w:rPr>
                <w:sz w:val="14"/>
              </w:rPr>
            </w:pPr>
          </w:p>
          <w:p>
            <w:pPr>
              <w:pStyle w:val="TableParagraph"/>
              <w:numPr>
                <w:ilvl w:val="1"/>
                <w:numId w:val="13"/>
              </w:numPr>
              <w:tabs>
                <w:tab w:pos="1371" w:val="left" w:leader="none"/>
              </w:tabs>
              <w:spacing w:line="240" w:lineRule="auto" w:before="1" w:after="0"/>
              <w:ind w:left="1371" w:right="0" w:hanging="394"/>
              <w:jc w:val="left"/>
              <w:rPr>
                <w:sz w:val="21"/>
              </w:rPr>
            </w:pPr>
            <w:r>
              <w:rPr>
                <w:spacing w:val="-3"/>
                <w:sz w:val="21"/>
              </w:rPr>
              <w:t>典型临床表现，例如急性胸痛等；</w:t>
            </w:r>
          </w:p>
          <w:p>
            <w:pPr>
              <w:pStyle w:val="TableParagraph"/>
              <w:spacing w:before="9"/>
              <w:rPr>
                <w:sz w:val="20"/>
              </w:rPr>
            </w:pPr>
          </w:p>
          <w:p>
            <w:pPr>
              <w:pStyle w:val="TableParagraph"/>
              <w:numPr>
                <w:ilvl w:val="1"/>
                <w:numId w:val="13"/>
              </w:numPr>
              <w:tabs>
                <w:tab w:pos="1371" w:val="left" w:leader="none"/>
              </w:tabs>
              <w:spacing w:line="240" w:lineRule="auto" w:before="0" w:after="0"/>
              <w:ind w:left="1371" w:right="0" w:hanging="394"/>
              <w:jc w:val="left"/>
              <w:rPr>
                <w:sz w:val="21"/>
              </w:rPr>
            </w:pPr>
            <w:r>
              <w:rPr>
                <w:spacing w:val="-3"/>
                <w:sz w:val="21"/>
              </w:rPr>
              <w:t>新近的心电图改变提示急性心肌梗塞；</w:t>
            </w:r>
          </w:p>
          <w:p>
            <w:pPr>
              <w:pStyle w:val="TableParagraph"/>
              <w:spacing w:before="10"/>
              <w:rPr>
                <w:sz w:val="20"/>
              </w:rPr>
            </w:pPr>
          </w:p>
          <w:p>
            <w:pPr>
              <w:pStyle w:val="TableParagraph"/>
              <w:numPr>
                <w:ilvl w:val="1"/>
                <w:numId w:val="13"/>
              </w:numPr>
              <w:tabs>
                <w:tab w:pos="1371" w:val="left" w:leader="none"/>
              </w:tabs>
              <w:spacing w:line="338" w:lineRule="auto" w:before="0" w:after="0"/>
              <w:ind w:left="1371" w:right="434" w:hanging="394"/>
              <w:jc w:val="left"/>
              <w:rPr>
                <w:sz w:val="21"/>
              </w:rPr>
            </w:pPr>
            <w:r>
              <w:rPr>
                <w:spacing w:val="-3"/>
                <w:sz w:val="21"/>
              </w:rPr>
              <w:t>心肌酶或肌钙蛋白有诊断意义的升高，或呈符合急性心肌梗塞的动态性变化；</w:t>
            </w:r>
          </w:p>
          <w:p>
            <w:pPr>
              <w:pStyle w:val="TableParagraph"/>
              <w:spacing w:before="2"/>
              <w:rPr>
                <w:sz w:val="14"/>
              </w:rPr>
            </w:pPr>
          </w:p>
          <w:p>
            <w:pPr>
              <w:pStyle w:val="TableParagraph"/>
              <w:numPr>
                <w:ilvl w:val="1"/>
                <w:numId w:val="13"/>
              </w:numPr>
              <w:tabs>
                <w:tab w:pos="1371" w:val="left" w:leader="none"/>
              </w:tabs>
              <w:spacing w:line="338" w:lineRule="auto" w:before="0" w:after="0"/>
              <w:ind w:left="1371" w:right="434" w:hanging="394"/>
              <w:jc w:val="left"/>
              <w:rPr>
                <w:sz w:val="21"/>
              </w:rPr>
            </w:pPr>
            <w:r>
              <w:rPr>
                <w:sz w:val="21"/>
              </w:rPr>
              <w:t>发病90</w:t>
            </w:r>
            <w:r>
              <w:rPr>
                <w:spacing w:val="-3"/>
                <w:sz w:val="21"/>
              </w:rPr>
              <w:t>天后，经检查证实左心室功能降低，如左心室射血分数</w:t>
            </w:r>
            <w:r>
              <w:rPr>
                <w:spacing w:val="-1"/>
                <w:sz w:val="21"/>
              </w:rPr>
              <w:t>低于50%。</w:t>
            </w:r>
          </w:p>
          <w:p>
            <w:pPr>
              <w:pStyle w:val="TableParagraph"/>
              <w:spacing w:before="2"/>
              <w:rPr>
                <w:sz w:val="14"/>
              </w:rPr>
            </w:pPr>
          </w:p>
          <w:p>
            <w:pPr>
              <w:pStyle w:val="TableParagraph"/>
              <w:numPr>
                <w:ilvl w:val="0"/>
                <w:numId w:val="13"/>
              </w:numPr>
              <w:tabs>
                <w:tab w:pos="498" w:val="left" w:leader="none"/>
              </w:tabs>
              <w:spacing w:line="338" w:lineRule="auto" w:before="0" w:after="0"/>
              <w:ind w:left="273" w:right="401" w:hanging="197"/>
              <w:jc w:val="both"/>
              <w:rPr>
                <w:sz w:val="21"/>
              </w:rPr>
            </w:pPr>
            <w:r>
              <w:rPr>
                <w:sz w:val="21"/>
              </w:rPr>
              <w:t>脑中风后遗症：指因脑血管的突发病变引起脑血管出血、栓塞或梗塞， 并导致神经系统永久性的功能障碍。神经系统永久性的功能障碍，指疾病</w:t>
            </w:r>
          </w:p>
          <w:p>
            <w:pPr>
              <w:pStyle w:val="TableParagraph"/>
              <w:spacing w:line="255" w:lineRule="exact" w:before="30"/>
              <w:ind w:left="273"/>
              <w:rPr>
                <w:sz w:val="21"/>
              </w:rPr>
            </w:pPr>
            <w:r>
              <w:rPr>
                <w:sz w:val="21"/>
              </w:rPr>
              <w:t>确诊180天后，仍遗留下列一种或一种以上障碍：</w:t>
            </w:r>
          </w:p>
        </w:tc>
      </w:tr>
    </w:tbl>
    <w:p>
      <w:pPr>
        <w:spacing w:after="0" w:line="255" w:lineRule="exact"/>
        <w:rPr>
          <w:sz w:val="21"/>
        </w:rPr>
        <w:sectPr>
          <w:pgSz w:w="11910" w:h="16840"/>
          <w:pgMar w:header="0" w:footer="924" w:top="1160" w:bottom="1120" w:left="820" w:right="980"/>
        </w:sectPr>
      </w:pPr>
    </w:p>
    <w:p>
      <w:pPr>
        <w:pStyle w:val="ListParagraph"/>
        <w:numPr>
          <w:ilvl w:val="2"/>
          <w:numId w:val="1"/>
        </w:numPr>
        <w:tabs>
          <w:tab w:pos="3018" w:val="left" w:leader="none"/>
        </w:tabs>
        <w:spacing w:line="240" w:lineRule="auto" w:before="20" w:after="0"/>
        <w:ind w:left="3017" w:right="0" w:hanging="393"/>
        <w:jc w:val="left"/>
        <w:rPr>
          <w:sz w:val="21"/>
        </w:rPr>
      </w:pPr>
      <w:r>
        <w:rPr>
          <w:spacing w:val="-3"/>
          <w:w w:val="100"/>
          <w:sz w:val="21"/>
        </w:rPr>
        <w:t>一肢或一肢以上</w:t>
      </w:r>
      <w:r>
        <w:rPr>
          <w:b/>
          <w:spacing w:val="-1"/>
          <w:w w:val="100"/>
          <w:sz w:val="21"/>
        </w:rPr>
        <w:t>肢体机能完全丧失</w:t>
      </w:r>
      <w:r>
        <w:rPr>
          <w:spacing w:val="-3"/>
          <w:w w:val="100"/>
          <w:sz w:val="21"/>
        </w:rPr>
        <w:t>（</w:t>
      </w:r>
      <w:r>
        <w:rPr>
          <w:w w:val="100"/>
          <w:sz w:val="21"/>
        </w:rPr>
        <w:t>见9.</w:t>
      </w:r>
      <w:r>
        <w:rPr>
          <w:spacing w:val="-3"/>
          <w:w w:val="100"/>
          <w:sz w:val="21"/>
        </w:rPr>
        <w:t>2</w:t>
      </w:r>
      <w:r>
        <w:rPr>
          <w:w w:val="100"/>
          <w:sz w:val="21"/>
        </w:rPr>
        <w:t>3</w:t>
      </w:r>
      <w:r>
        <w:rPr>
          <w:spacing w:val="-106"/>
          <w:w w:val="100"/>
          <w:sz w:val="21"/>
        </w:rPr>
        <w:t>）；</w:t>
      </w:r>
    </w:p>
    <w:p>
      <w:pPr>
        <w:pStyle w:val="BodyText"/>
        <w:spacing w:before="10"/>
        <w:rPr>
          <w:sz w:val="20"/>
        </w:rPr>
      </w:pPr>
    </w:p>
    <w:p>
      <w:pPr>
        <w:pStyle w:val="ListParagraph"/>
        <w:numPr>
          <w:ilvl w:val="2"/>
          <w:numId w:val="1"/>
        </w:numPr>
        <w:tabs>
          <w:tab w:pos="3018" w:val="left" w:leader="none"/>
        </w:tabs>
        <w:spacing w:line="240" w:lineRule="auto" w:before="0" w:after="0"/>
        <w:ind w:left="3017" w:right="0" w:hanging="393"/>
        <w:jc w:val="left"/>
        <w:rPr>
          <w:sz w:val="21"/>
        </w:rPr>
      </w:pPr>
      <w:r>
        <w:rPr>
          <w:b/>
          <w:spacing w:val="-2"/>
          <w:w w:val="100"/>
          <w:sz w:val="21"/>
        </w:rPr>
        <w:t>语言能力或咀嚼吞咽能力完全丧失</w:t>
      </w:r>
      <w:r>
        <w:rPr>
          <w:spacing w:val="-3"/>
          <w:w w:val="100"/>
          <w:sz w:val="21"/>
        </w:rPr>
        <w:t>（</w:t>
      </w:r>
      <w:r>
        <w:rPr>
          <w:w w:val="100"/>
          <w:sz w:val="21"/>
        </w:rPr>
        <w:t>见9.</w:t>
      </w:r>
      <w:r>
        <w:rPr>
          <w:spacing w:val="-3"/>
          <w:w w:val="100"/>
          <w:sz w:val="21"/>
        </w:rPr>
        <w:t>2</w:t>
      </w:r>
      <w:r>
        <w:rPr>
          <w:w w:val="100"/>
          <w:sz w:val="21"/>
        </w:rPr>
        <w:t>4</w:t>
      </w:r>
      <w:r>
        <w:rPr>
          <w:spacing w:val="-106"/>
          <w:w w:val="100"/>
          <w:sz w:val="21"/>
        </w:rPr>
        <w:t>）；</w:t>
      </w:r>
    </w:p>
    <w:p>
      <w:pPr>
        <w:pStyle w:val="BodyText"/>
        <w:spacing w:before="7"/>
        <w:rPr>
          <w:sz w:val="20"/>
        </w:rPr>
      </w:pPr>
    </w:p>
    <w:p>
      <w:pPr>
        <w:pStyle w:val="ListParagraph"/>
        <w:numPr>
          <w:ilvl w:val="2"/>
          <w:numId w:val="1"/>
        </w:numPr>
        <w:tabs>
          <w:tab w:pos="3018" w:val="left" w:leader="none"/>
        </w:tabs>
        <w:spacing w:line="340" w:lineRule="auto" w:before="0" w:after="0"/>
        <w:ind w:left="3017" w:right="169" w:hanging="393"/>
        <w:jc w:val="left"/>
        <w:rPr>
          <w:sz w:val="21"/>
        </w:rPr>
      </w:pPr>
      <w:r>
        <w:rPr>
          <w:spacing w:val="-3"/>
          <w:sz w:val="21"/>
        </w:rPr>
        <w:t>自主生活能力完全丧失，无法独立完成六项基本日常生活活动中的三项或三项以上。</w:t>
      </w:r>
    </w:p>
    <w:p>
      <w:pPr>
        <w:pStyle w:val="BodyText"/>
        <w:spacing w:before="11"/>
        <w:rPr>
          <w:sz w:val="13"/>
        </w:rPr>
      </w:pPr>
    </w:p>
    <w:p>
      <w:pPr>
        <w:pStyle w:val="ListParagraph"/>
        <w:numPr>
          <w:ilvl w:val="0"/>
          <w:numId w:val="14"/>
        </w:numPr>
        <w:tabs>
          <w:tab w:pos="2145" w:val="left" w:leader="none"/>
        </w:tabs>
        <w:spacing w:line="340" w:lineRule="auto" w:before="0" w:after="0"/>
        <w:ind w:left="1920" w:right="203" w:hanging="197"/>
        <w:jc w:val="both"/>
        <w:rPr>
          <w:sz w:val="21"/>
        </w:rPr>
      </w:pPr>
      <w:r>
        <w:rPr>
          <w:spacing w:val="-3"/>
          <w:sz w:val="21"/>
        </w:rPr>
        <w:t>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w:t>
      </w:r>
      <w:r>
        <w:rPr>
          <w:sz w:val="21"/>
        </w:rPr>
        <w:t>）</w:t>
      </w:r>
      <w:r>
        <w:rPr>
          <w:spacing w:val="-2"/>
          <w:sz w:val="21"/>
        </w:rPr>
        <w:t>的异</w:t>
      </w:r>
      <w:r>
        <w:rPr>
          <w:spacing w:val="-3"/>
          <w:sz w:val="21"/>
        </w:rPr>
        <w:t>体移植手术。</w:t>
      </w:r>
    </w:p>
    <w:p>
      <w:pPr>
        <w:pStyle w:val="BodyText"/>
        <w:rPr>
          <w:sz w:val="14"/>
        </w:rPr>
      </w:pPr>
    </w:p>
    <w:p>
      <w:pPr>
        <w:pStyle w:val="ListParagraph"/>
        <w:numPr>
          <w:ilvl w:val="0"/>
          <w:numId w:val="14"/>
        </w:numPr>
        <w:tabs>
          <w:tab w:pos="2145" w:val="left" w:leader="none"/>
        </w:tabs>
        <w:spacing w:line="338" w:lineRule="auto" w:before="1" w:after="0"/>
        <w:ind w:left="1920" w:right="99" w:hanging="197"/>
        <w:jc w:val="both"/>
        <w:rPr>
          <w:sz w:val="21"/>
        </w:rPr>
      </w:pPr>
      <w:r>
        <w:rPr>
          <w:spacing w:val="-3"/>
          <w:w w:val="100"/>
          <w:sz w:val="21"/>
        </w:rPr>
        <w:t>冠状动脉搭桥术</w:t>
      </w:r>
      <w:r>
        <w:rPr>
          <w:w w:val="100"/>
          <w:sz w:val="21"/>
        </w:rPr>
        <w:t>（</w:t>
      </w:r>
      <w:r>
        <w:rPr>
          <w:spacing w:val="-3"/>
          <w:w w:val="100"/>
          <w:sz w:val="21"/>
        </w:rPr>
        <w:t>或称冠状动脉旁路移植术</w:t>
      </w:r>
      <w:r>
        <w:rPr>
          <w:spacing w:val="-108"/>
          <w:w w:val="100"/>
          <w:sz w:val="21"/>
        </w:rPr>
        <w:t>）</w:t>
      </w:r>
      <w:r>
        <w:rPr>
          <w:spacing w:val="-3"/>
          <w:w w:val="100"/>
          <w:sz w:val="21"/>
        </w:rPr>
        <w:t>：指为治疗严重的冠心病，</w:t>
      </w:r>
      <w:r>
        <w:rPr>
          <w:spacing w:val="-3"/>
          <w:sz w:val="21"/>
        </w:rPr>
        <w:t>实际实施了开胸进行的冠状动脉血管旁路移植的手术。</w:t>
      </w:r>
    </w:p>
    <w:p>
      <w:pPr>
        <w:pStyle w:val="BodyText"/>
        <w:spacing w:before="3"/>
        <w:rPr>
          <w:sz w:val="14"/>
        </w:rPr>
      </w:pPr>
    </w:p>
    <w:p>
      <w:pPr>
        <w:pStyle w:val="Heading1"/>
        <w:spacing w:line="338" w:lineRule="auto"/>
        <w:ind w:left="1920" w:right="197"/>
      </w:pPr>
      <w:r>
        <w:rPr/>
        <w:t>冠状动脉支架植入术、心导管球囊扩张术、激光射频技术及其它非开胸的介入手术、腔镜手术不在本附加合同保障范围内。</w:t>
      </w:r>
    </w:p>
    <w:p>
      <w:pPr>
        <w:pStyle w:val="BodyText"/>
        <w:spacing w:before="2"/>
        <w:rPr>
          <w:b/>
          <w:sz w:val="14"/>
        </w:rPr>
      </w:pPr>
    </w:p>
    <w:p>
      <w:pPr>
        <w:pStyle w:val="ListParagraph"/>
        <w:numPr>
          <w:ilvl w:val="0"/>
          <w:numId w:val="14"/>
        </w:numPr>
        <w:tabs>
          <w:tab w:pos="2144" w:val="left" w:leader="none"/>
          <w:tab w:pos="2145" w:val="left" w:leader="none"/>
        </w:tabs>
        <w:spacing w:line="340" w:lineRule="auto" w:before="1" w:after="0"/>
        <w:ind w:left="1920" w:right="131" w:hanging="197"/>
        <w:jc w:val="left"/>
        <w:rPr>
          <w:sz w:val="21"/>
        </w:rPr>
      </w:pPr>
      <w:r>
        <w:rPr>
          <w:spacing w:val="-5"/>
          <w:w w:val="100"/>
          <w:sz w:val="21"/>
        </w:rPr>
        <w:t>终末期肾病</w:t>
      </w:r>
      <w:r>
        <w:rPr>
          <w:spacing w:val="-3"/>
          <w:w w:val="100"/>
          <w:sz w:val="21"/>
        </w:rPr>
        <w:t>（或称慢性肾功能衰竭尿毒症期</w:t>
      </w:r>
      <w:r>
        <w:rPr>
          <w:spacing w:val="-108"/>
          <w:w w:val="100"/>
          <w:sz w:val="21"/>
        </w:rPr>
        <w:t>）</w:t>
      </w:r>
      <w:r>
        <w:rPr>
          <w:spacing w:val="-5"/>
          <w:w w:val="100"/>
          <w:sz w:val="21"/>
        </w:rPr>
        <w:t>：指双肾功能慢性不可逆性</w:t>
      </w:r>
      <w:r>
        <w:rPr>
          <w:spacing w:val="-4"/>
          <w:sz w:val="21"/>
        </w:rPr>
        <w:t>衰竭，达到尿毒症期，经诊断后已经进行了至少</w:t>
      </w:r>
      <w:r>
        <w:rPr>
          <w:sz w:val="21"/>
        </w:rPr>
        <w:t>90</w:t>
      </w:r>
      <w:r>
        <w:rPr>
          <w:spacing w:val="-3"/>
          <w:sz w:val="21"/>
        </w:rPr>
        <w:t>天的规律性透析治疗或实施了肾脏移植手术。</w:t>
      </w:r>
    </w:p>
    <w:p>
      <w:pPr>
        <w:pStyle w:val="BodyText"/>
        <w:spacing w:before="11"/>
        <w:rPr>
          <w:sz w:val="13"/>
        </w:rPr>
      </w:pPr>
    </w:p>
    <w:p>
      <w:pPr>
        <w:pStyle w:val="ListParagraph"/>
        <w:numPr>
          <w:ilvl w:val="0"/>
          <w:numId w:val="14"/>
        </w:numPr>
        <w:tabs>
          <w:tab w:pos="2145" w:val="left" w:leader="none"/>
        </w:tabs>
        <w:spacing w:line="340" w:lineRule="auto" w:before="1" w:after="0"/>
        <w:ind w:left="1920" w:right="127" w:hanging="197"/>
        <w:jc w:val="both"/>
        <w:rPr>
          <w:sz w:val="21"/>
        </w:rPr>
      </w:pPr>
      <w:r>
        <w:rPr>
          <w:spacing w:val="2"/>
          <w:sz w:val="21"/>
        </w:rPr>
        <w:t>多个肢体缺失:指因疾病或意外伤害导致两个或两个以上肢体自腕关节</w:t>
      </w:r>
      <w:r>
        <w:rPr>
          <w:spacing w:val="-2"/>
          <w:sz w:val="21"/>
        </w:rPr>
        <w:t>或踝关节近端</w:t>
      </w:r>
      <w:r>
        <w:rPr>
          <w:spacing w:val="-3"/>
          <w:sz w:val="21"/>
        </w:rPr>
        <w:t>（靠近躯干端</w:t>
      </w:r>
      <w:r>
        <w:rPr>
          <w:sz w:val="21"/>
        </w:rPr>
        <w:t>）</w:t>
      </w:r>
      <w:r>
        <w:rPr>
          <w:spacing w:val="-3"/>
          <w:sz w:val="21"/>
        </w:rPr>
        <w:t>以上完全性断离。</w:t>
      </w:r>
    </w:p>
    <w:p>
      <w:pPr>
        <w:pStyle w:val="BodyText"/>
        <w:spacing w:before="11"/>
        <w:rPr>
          <w:sz w:val="13"/>
        </w:rPr>
      </w:pPr>
    </w:p>
    <w:p>
      <w:pPr>
        <w:pStyle w:val="ListParagraph"/>
        <w:numPr>
          <w:ilvl w:val="0"/>
          <w:numId w:val="14"/>
        </w:numPr>
        <w:tabs>
          <w:tab w:pos="2145" w:val="left" w:leader="none"/>
        </w:tabs>
        <w:spacing w:line="340" w:lineRule="auto" w:before="1" w:after="0"/>
        <w:ind w:left="1920" w:right="135" w:hanging="197"/>
        <w:jc w:val="both"/>
        <w:rPr>
          <w:sz w:val="21"/>
        </w:rPr>
      </w:pPr>
      <w:r>
        <w:rPr>
          <w:sz w:val="21"/>
        </w:rPr>
        <w:t>急性或亚急性重症肝炎：指因肝炎病毒感染引起肝脏组织弥漫性坏死， 导致急性肝功能衰竭，且经血清学或病毒学检查证实，并须满足下列全部条件：</w:t>
      </w:r>
    </w:p>
    <w:p>
      <w:pPr>
        <w:pStyle w:val="BodyText"/>
        <w:spacing w:before="1"/>
        <w:rPr>
          <w:sz w:val="14"/>
        </w:rPr>
      </w:pPr>
    </w:p>
    <w:p>
      <w:pPr>
        <w:pStyle w:val="ListParagraph"/>
        <w:numPr>
          <w:ilvl w:val="1"/>
          <w:numId w:val="14"/>
        </w:numPr>
        <w:tabs>
          <w:tab w:pos="3018" w:val="left" w:leader="none"/>
        </w:tabs>
        <w:spacing w:line="240" w:lineRule="auto" w:before="0" w:after="0"/>
        <w:ind w:left="3017" w:right="0" w:hanging="393"/>
        <w:jc w:val="left"/>
        <w:rPr>
          <w:sz w:val="21"/>
        </w:rPr>
      </w:pPr>
      <w:r>
        <w:rPr>
          <w:spacing w:val="-3"/>
          <w:sz w:val="21"/>
        </w:rPr>
        <w:t>重度黄疸或黄疸迅速加重；</w:t>
      </w:r>
    </w:p>
    <w:p>
      <w:pPr>
        <w:pStyle w:val="BodyText"/>
        <w:spacing w:before="8"/>
        <w:rPr>
          <w:sz w:val="20"/>
        </w:rPr>
      </w:pPr>
    </w:p>
    <w:p>
      <w:pPr>
        <w:pStyle w:val="ListParagraph"/>
        <w:numPr>
          <w:ilvl w:val="1"/>
          <w:numId w:val="14"/>
        </w:numPr>
        <w:tabs>
          <w:tab w:pos="3018" w:val="left" w:leader="none"/>
        </w:tabs>
        <w:spacing w:line="240" w:lineRule="auto" w:before="0" w:after="0"/>
        <w:ind w:left="3017" w:right="0" w:hanging="393"/>
        <w:jc w:val="left"/>
        <w:rPr>
          <w:sz w:val="21"/>
        </w:rPr>
      </w:pPr>
      <w:r>
        <w:rPr>
          <w:spacing w:val="-1"/>
          <w:sz w:val="21"/>
        </w:rPr>
        <w:t>肝性脑病；</w:t>
      </w:r>
    </w:p>
    <w:p>
      <w:pPr>
        <w:pStyle w:val="BodyText"/>
        <w:spacing w:before="9"/>
        <w:rPr>
          <w:sz w:val="20"/>
        </w:rPr>
      </w:pPr>
    </w:p>
    <w:p>
      <w:pPr>
        <w:pStyle w:val="ListParagraph"/>
        <w:numPr>
          <w:ilvl w:val="1"/>
          <w:numId w:val="14"/>
        </w:numPr>
        <w:tabs>
          <w:tab w:pos="3018" w:val="left" w:leader="none"/>
        </w:tabs>
        <w:spacing w:line="240" w:lineRule="auto" w:before="1" w:after="0"/>
        <w:ind w:left="3017" w:right="0" w:hanging="393"/>
        <w:jc w:val="left"/>
        <w:rPr>
          <w:sz w:val="21"/>
        </w:rPr>
      </w:pPr>
      <w:r>
        <w:rPr>
          <w:sz w:val="21"/>
        </w:rPr>
        <w:t>B</w:t>
      </w:r>
      <w:r>
        <w:rPr>
          <w:spacing w:val="-3"/>
          <w:sz w:val="21"/>
        </w:rPr>
        <w:t>超或其它影像学检查显示肝脏体积急速萎缩；</w:t>
      </w:r>
    </w:p>
    <w:p>
      <w:pPr>
        <w:pStyle w:val="BodyText"/>
        <w:spacing w:before="8"/>
        <w:rPr>
          <w:sz w:val="20"/>
        </w:rPr>
      </w:pPr>
    </w:p>
    <w:p>
      <w:pPr>
        <w:pStyle w:val="ListParagraph"/>
        <w:numPr>
          <w:ilvl w:val="1"/>
          <w:numId w:val="14"/>
        </w:numPr>
        <w:tabs>
          <w:tab w:pos="3018" w:val="left" w:leader="none"/>
        </w:tabs>
        <w:spacing w:line="240" w:lineRule="auto" w:before="0" w:after="0"/>
        <w:ind w:left="3017" w:right="0" w:hanging="393"/>
        <w:jc w:val="left"/>
        <w:rPr>
          <w:sz w:val="21"/>
        </w:rPr>
      </w:pPr>
      <w:r>
        <w:rPr>
          <w:spacing w:val="-3"/>
          <w:sz w:val="21"/>
        </w:rPr>
        <w:t>肝功能指标进行性恶化。</w:t>
      </w:r>
    </w:p>
    <w:p>
      <w:pPr>
        <w:pStyle w:val="BodyText"/>
        <w:spacing w:before="10"/>
        <w:rPr>
          <w:sz w:val="20"/>
        </w:rPr>
      </w:pPr>
    </w:p>
    <w:p>
      <w:pPr>
        <w:pStyle w:val="ListParagraph"/>
        <w:numPr>
          <w:ilvl w:val="0"/>
          <w:numId w:val="14"/>
        </w:numPr>
        <w:tabs>
          <w:tab w:pos="2145" w:val="left" w:leader="none"/>
        </w:tabs>
        <w:spacing w:line="340" w:lineRule="auto" w:before="0" w:after="0"/>
        <w:ind w:left="1920" w:right="131" w:hanging="197"/>
        <w:jc w:val="both"/>
        <w:rPr>
          <w:sz w:val="21"/>
        </w:rPr>
      </w:pPr>
      <w:r>
        <w:rPr>
          <w:sz w:val="21"/>
        </w:rPr>
        <w:t>良性脑肿瘤：指脑的良性肿瘤，已经引起颅内压增高，临床表现为视神经乳头水肿、精神症状、癫痫及运动感觉障碍等，并危及生命。须由头颅</w:t>
      </w:r>
      <w:r>
        <w:rPr>
          <w:spacing w:val="-2"/>
          <w:w w:val="100"/>
          <w:sz w:val="21"/>
        </w:rPr>
        <w:t>断层扫描</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spacing w:val="-5"/>
          <w:w w:val="100"/>
          <w:sz w:val="21"/>
        </w:rPr>
        <w:t>）</w:t>
      </w:r>
      <w:r>
        <w:rPr>
          <w:spacing w:val="-4"/>
          <w:w w:val="100"/>
          <w:sz w:val="21"/>
        </w:rPr>
        <w:t>或正电子发射断层扫描</w:t>
      </w:r>
      <w:r>
        <w:rPr>
          <w:w w:val="100"/>
          <w:sz w:val="21"/>
        </w:rPr>
        <w:t>（PE</w:t>
      </w:r>
      <w:r>
        <w:rPr>
          <w:spacing w:val="-3"/>
          <w:w w:val="100"/>
          <w:sz w:val="21"/>
        </w:rPr>
        <w:t>T</w:t>
      </w:r>
      <w:r>
        <w:rPr>
          <w:spacing w:val="-5"/>
          <w:w w:val="100"/>
          <w:sz w:val="21"/>
        </w:rPr>
        <w:t>）</w:t>
      </w:r>
      <w:r>
        <w:rPr>
          <w:w w:val="100"/>
          <w:sz w:val="21"/>
        </w:rPr>
        <w:t>等影</w:t>
      </w:r>
      <w:r>
        <w:rPr>
          <w:spacing w:val="-3"/>
          <w:sz w:val="21"/>
        </w:rPr>
        <w:t>像学检查证实，并须满足下列至少一项条件：</w:t>
      </w:r>
    </w:p>
    <w:p>
      <w:pPr>
        <w:pStyle w:val="BodyText"/>
        <w:spacing w:before="1"/>
        <w:rPr>
          <w:sz w:val="14"/>
        </w:rPr>
      </w:pPr>
    </w:p>
    <w:p>
      <w:pPr>
        <w:pStyle w:val="ListParagraph"/>
        <w:numPr>
          <w:ilvl w:val="1"/>
          <w:numId w:val="14"/>
        </w:numPr>
        <w:tabs>
          <w:tab w:pos="2985" w:val="left" w:leader="none"/>
        </w:tabs>
        <w:spacing w:line="240" w:lineRule="auto" w:before="0" w:after="0"/>
        <w:ind w:left="2984" w:right="0" w:hanging="360"/>
        <w:jc w:val="left"/>
        <w:rPr>
          <w:sz w:val="21"/>
        </w:rPr>
      </w:pPr>
      <w:r>
        <w:rPr>
          <w:spacing w:val="-3"/>
          <w:sz w:val="21"/>
        </w:rPr>
        <w:t>实际实施了开颅进行的脑肿瘤完全切除或部分切除的手术；</w:t>
      </w:r>
    </w:p>
    <w:p>
      <w:pPr>
        <w:spacing w:after="0" w:line="240" w:lineRule="auto"/>
        <w:jc w:val="left"/>
        <w:rPr>
          <w:sz w:val="21"/>
        </w:rPr>
        <w:sectPr>
          <w:pgSz w:w="11910" w:h="16840"/>
          <w:pgMar w:header="0" w:footer="924" w:top="1120" w:bottom="1120" w:left="1680" w:right="1360"/>
        </w:sectPr>
      </w:pPr>
    </w:p>
    <w:p>
      <w:pPr>
        <w:pStyle w:val="ListParagraph"/>
        <w:numPr>
          <w:ilvl w:val="1"/>
          <w:numId w:val="14"/>
        </w:numPr>
        <w:tabs>
          <w:tab w:pos="2985" w:val="left" w:leader="none"/>
        </w:tabs>
        <w:spacing w:line="240" w:lineRule="auto" w:before="20" w:after="0"/>
        <w:ind w:left="2984" w:right="0" w:hanging="360"/>
        <w:jc w:val="left"/>
        <w:rPr>
          <w:sz w:val="21"/>
        </w:rPr>
      </w:pPr>
      <w:r>
        <w:rPr>
          <w:spacing w:val="-3"/>
          <w:sz w:val="21"/>
        </w:rPr>
        <w:t>实际实施了对脑肿瘤进行的放射治疗。</w:t>
      </w:r>
    </w:p>
    <w:p>
      <w:pPr>
        <w:pStyle w:val="BodyText"/>
        <w:spacing w:before="10"/>
        <w:rPr>
          <w:sz w:val="20"/>
        </w:rPr>
      </w:pPr>
    </w:p>
    <w:p>
      <w:pPr>
        <w:pStyle w:val="Heading1"/>
        <w:ind w:left="2197"/>
      </w:pPr>
      <w:r>
        <w:rPr/>
        <w:t>脑垂体瘤、脑囊肿、脑血管性疾病不在本附加合同保障范围内。</w:t>
      </w:r>
    </w:p>
    <w:p>
      <w:pPr>
        <w:pStyle w:val="BodyText"/>
        <w:spacing w:before="7"/>
        <w:rPr>
          <w:b/>
          <w:sz w:val="20"/>
        </w:rPr>
      </w:pPr>
    </w:p>
    <w:p>
      <w:pPr>
        <w:pStyle w:val="ListParagraph"/>
        <w:numPr>
          <w:ilvl w:val="0"/>
          <w:numId w:val="14"/>
        </w:numPr>
        <w:tabs>
          <w:tab w:pos="2145" w:val="left" w:leader="none"/>
        </w:tabs>
        <w:spacing w:line="340" w:lineRule="auto" w:before="0" w:after="0"/>
        <w:ind w:left="2144" w:right="217" w:hanging="421"/>
        <w:jc w:val="both"/>
        <w:rPr>
          <w:sz w:val="21"/>
        </w:rPr>
      </w:pPr>
      <w:r>
        <w:rPr>
          <w:sz w:val="21"/>
        </w:rPr>
        <w:t>慢性肝功能衰竭失代偿期：指因慢性肝脏疾病导致肝功能衰竭。须满足</w:t>
      </w:r>
      <w:r>
        <w:rPr>
          <w:spacing w:val="-2"/>
          <w:sz w:val="21"/>
        </w:rPr>
        <w:t>下列全部条件：</w:t>
      </w:r>
    </w:p>
    <w:p>
      <w:pPr>
        <w:pStyle w:val="BodyText"/>
        <w:spacing w:before="11"/>
        <w:rPr>
          <w:sz w:val="13"/>
        </w:rPr>
      </w:pPr>
    </w:p>
    <w:p>
      <w:pPr>
        <w:pStyle w:val="ListParagraph"/>
        <w:numPr>
          <w:ilvl w:val="1"/>
          <w:numId w:val="14"/>
        </w:numPr>
        <w:tabs>
          <w:tab w:pos="3018" w:val="left" w:leader="none"/>
        </w:tabs>
        <w:spacing w:line="240" w:lineRule="auto" w:before="0" w:after="0"/>
        <w:ind w:left="3017" w:right="0" w:hanging="393"/>
        <w:jc w:val="left"/>
        <w:rPr>
          <w:sz w:val="21"/>
        </w:rPr>
      </w:pPr>
      <w:r>
        <w:rPr>
          <w:spacing w:val="-2"/>
          <w:sz w:val="21"/>
        </w:rPr>
        <w:t>持续性黄疸；</w:t>
      </w:r>
    </w:p>
    <w:p>
      <w:pPr>
        <w:pStyle w:val="BodyText"/>
        <w:spacing w:before="10"/>
        <w:rPr>
          <w:sz w:val="20"/>
        </w:rPr>
      </w:pPr>
    </w:p>
    <w:p>
      <w:pPr>
        <w:pStyle w:val="ListParagraph"/>
        <w:numPr>
          <w:ilvl w:val="1"/>
          <w:numId w:val="14"/>
        </w:numPr>
        <w:tabs>
          <w:tab w:pos="3018" w:val="left" w:leader="none"/>
        </w:tabs>
        <w:spacing w:line="240" w:lineRule="auto" w:before="0" w:after="0"/>
        <w:ind w:left="3017" w:right="0" w:hanging="393"/>
        <w:jc w:val="left"/>
        <w:rPr>
          <w:sz w:val="21"/>
        </w:rPr>
      </w:pPr>
      <w:r>
        <w:rPr>
          <w:sz w:val="21"/>
        </w:rPr>
        <w:t>腹水；</w:t>
      </w:r>
    </w:p>
    <w:p>
      <w:pPr>
        <w:pStyle w:val="BodyText"/>
        <w:spacing w:before="7"/>
        <w:rPr>
          <w:sz w:val="20"/>
        </w:rPr>
      </w:pPr>
    </w:p>
    <w:p>
      <w:pPr>
        <w:pStyle w:val="ListParagraph"/>
        <w:numPr>
          <w:ilvl w:val="1"/>
          <w:numId w:val="14"/>
        </w:numPr>
        <w:tabs>
          <w:tab w:pos="3018" w:val="left" w:leader="none"/>
        </w:tabs>
        <w:spacing w:line="240" w:lineRule="auto" w:before="0" w:after="0"/>
        <w:ind w:left="3017" w:right="0" w:hanging="393"/>
        <w:jc w:val="left"/>
        <w:rPr>
          <w:sz w:val="21"/>
        </w:rPr>
      </w:pPr>
      <w:r>
        <w:rPr>
          <w:spacing w:val="-1"/>
          <w:sz w:val="21"/>
        </w:rPr>
        <w:t>肝性脑病；</w:t>
      </w:r>
    </w:p>
    <w:p>
      <w:pPr>
        <w:pStyle w:val="BodyText"/>
        <w:spacing w:before="10"/>
        <w:rPr>
          <w:sz w:val="20"/>
        </w:rPr>
      </w:pPr>
    </w:p>
    <w:p>
      <w:pPr>
        <w:pStyle w:val="ListParagraph"/>
        <w:numPr>
          <w:ilvl w:val="1"/>
          <w:numId w:val="14"/>
        </w:numPr>
        <w:tabs>
          <w:tab w:pos="3018" w:val="left" w:leader="none"/>
        </w:tabs>
        <w:spacing w:line="240" w:lineRule="auto" w:before="0" w:after="0"/>
        <w:ind w:left="3017" w:right="0" w:hanging="393"/>
        <w:jc w:val="left"/>
        <w:rPr>
          <w:sz w:val="21"/>
        </w:rPr>
      </w:pPr>
      <w:r>
        <w:rPr>
          <w:spacing w:val="-3"/>
          <w:sz w:val="21"/>
        </w:rPr>
        <w:t>充血性脾肿大伴脾功能亢进或食管胃底静脉曲张。</w:t>
      </w:r>
    </w:p>
    <w:p>
      <w:pPr>
        <w:pStyle w:val="BodyText"/>
        <w:spacing w:before="7"/>
        <w:rPr>
          <w:sz w:val="20"/>
        </w:rPr>
      </w:pPr>
    </w:p>
    <w:p>
      <w:pPr>
        <w:pStyle w:val="Heading1"/>
        <w:ind w:left="2146"/>
      </w:pPr>
      <w:r>
        <w:rPr/>
        <w:t>因酗酒或药物滥用导致的肝功能衰竭不在本附加合同保障范围内。</w:t>
      </w:r>
    </w:p>
    <w:p>
      <w:pPr>
        <w:pStyle w:val="BodyText"/>
        <w:spacing w:before="9"/>
        <w:rPr>
          <w:b/>
          <w:sz w:val="20"/>
        </w:rPr>
      </w:pPr>
    </w:p>
    <w:p>
      <w:pPr>
        <w:pStyle w:val="ListParagraph"/>
        <w:numPr>
          <w:ilvl w:val="0"/>
          <w:numId w:val="14"/>
        </w:numPr>
        <w:tabs>
          <w:tab w:pos="2145" w:val="left" w:leader="none"/>
        </w:tabs>
        <w:spacing w:line="340" w:lineRule="auto" w:before="1" w:after="0"/>
        <w:ind w:left="2144" w:right="213" w:hanging="421"/>
        <w:jc w:val="both"/>
        <w:rPr>
          <w:sz w:val="21"/>
        </w:rPr>
      </w:pPr>
      <w:r>
        <w:rPr>
          <w:sz w:val="21"/>
        </w:rPr>
        <w:t>脑炎后遗症或脑膜炎后遗症：指因患脑炎或脑膜炎导致的神经系统永久</w:t>
      </w:r>
      <w:r>
        <w:rPr>
          <w:spacing w:val="-5"/>
          <w:sz w:val="21"/>
        </w:rPr>
        <w:t>性的功能障碍。神经系统永久性的功能障碍，指疾病确诊</w:t>
      </w:r>
      <w:r>
        <w:rPr>
          <w:sz w:val="21"/>
        </w:rPr>
        <w:t>180</w:t>
      </w:r>
      <w:r>
        <w:rPr>
          <w:spacing w:val="-4"/>
          <w:sz w:val="21"/>
        </w:rPr>
        <w:t>天后，仍遗</w:t>
      </w:r>
      <w:r>
        <w:rPr>
          <w:spacing w:val="-3"/>
          <w:sz w:val="21"/>
        </w:rPr>
        <w:t>留下列一种或一种以上障碍：</w:t>
      </w:r>
    </w:p>
    <w:p>
      <w:pPr>
        <w:pStyle w:val="BodyText"/>
        <w:spacing w:before="11"/>
        <w:rPr>
          <w:sz w:val="13"/>
        </w:rPr>
      </w:pPr>
    </w:p>
    <w:p>
      <w:pPr>
        <w:pStyle w:val="ListParagraph"/>
        <w:numPr>
          <w:ilvl w:val="1"/>
          <w:numId w:val="14"/>
        </w:numPr>
        <w:tabs>
          <w:tab w:pos="2985" w:val="left" w:leader="none"/>
        </w:tabs>
        <w:spacing w:line="240" w:lineRule="auto" w:before="0" w:after="0"/>
        <w:ind w:left="2984" w:right="0" w:hanging="360"/>
        <w:jc w:val="left"/>
        <w:rPr>
          <w:sz w:val="21"/>
        </w:rPr>
      </w:pPr>
      <w:r>
        <w:rPr>
          <w:spacing w:val="-3"/>
          <w:sz w:val="21"/>
        </w:rPr>
        <w:t>一肢或一肢以上肢体机能完全丧失；</w:t>
      </w:r>
    </w:p>
    <w:p>
      <w:pPr>
        <w:pStyle w:val="BodyText"/>
        <w:spacing w:before="9"/>
        <w:rPr>
          <w:sz w:val="20"/>
        </w:rPr>
      </w:pPr>
    </w:p>
    <w:p>
      <w:pPr>
        <w:pStyle w:val="ListParagraph"/>
        <w:numPr>
          <w:ilvl w:val="1"/>
          <w:numId w:val="14"/>
        </w:numPr>
        <w:tabs>
          <w:tab w:pos="2985" w:val="left" w:leader="none"/>
        </w:tabs>
        <w:spacing w:line="240" w:lineRule="auto" w:before="1" w:after="0"/>
        <w:ind w:left="2984" w:right="0" w:hanging="360"/>
        <w:jc w:val="left"/>
        <w:rPr>
          <w:sz w:val="21"/>
        </w:rPr>
      </w:pPr>
      <w:r>
        <w:rPr>
          <w:spacing w:val="-3"/>
          <w:sz w:val="21"/>
        </w:rPr>
        <w:t>语言能力或咀嚼吞咽能力完全丧失；</w:t>
      </w:r>
    </w:p>
    <w:p>
      <w:pPr>
        <w:pStyle w:val="BodyText"/>
        <w:spacing w:before="8"/>
        <w:rPr>
          <w:sz w:val="20"/>
        </w:rPr>
      </w:pPr>
    </w:p>
    <w:p>
      <w:pPr>
        <w:pStyle w:val="ListParagraph"/>
        <w:numPr>
          <w:ilvl w:val="1"/>
          <w:numId w:val="14"/>
        </w:numPr>
        <w:tabs>
          <w:tab w:pos="2985" w:val="left" w:leader="none"/>
        </w:tabs>
        <w:spacing w:line="340" w:lineRule="auto" w:before="0" w:after="0"/>
        <w:ind w:left="2984" w:right="283" w:hanging="360"/>
        <w:jc w:val="left"/>
        <w:rPr>
          <w:sz w:val="21"/>
        </w:rPr>
      </w:pPr>
      <w:r>
        <w:rPr>
          <w:spacing w:val="-3"/>
          <w:sz w:val="21"/>
        </w:rPr>
        <w:t>自主生活能力完全丧失，无法独立完成六项基本日常生活活动中的三项或三项以上。</w:t>
      </w:r>
    </w:p>
    <w:p>
      <w:pPr>
        <w:pStyle w:val="BodyText"/>
        <w:spacing w:before="10"/>
        <w:rPr>
          <w:sz w:val="13"/>
        </w:rPr>
      </w:pPr>
    </w:p>
    <w:p>
      <w:pPr>
        <w:pStyle w:val="ListParagraph"/>
        <w:numPr>
          <w:ilvl w:val="0"/>
          <w:numId w:val="14"/>
        </w:numPr>
        <w:tabs>
          <w:tab w:pos="2145" w:val="left" w:leader="none"/>
        </w:tabs>
        <w:spacing w:line="340" w:lineRule="auto" w:before="1" w:after="0"/>
        <w:ind w:left="2144" w:right="211" w:hanging="421"/>
        <w:jc w:val="both"/>
        <w:rPr>
          <w:sz w:val="21"/>
        </w:rPr>
      </w:pPr>
      <w:r>
        <w:rPr>
          <w:spacing w:val="-7"/>
          <w:sz w:val="21"/>
        </w:rPr>
        <w:t>深度昏迷：指因疾病或意外伤害导致意识丧失,对外界刺激和体内需求均</w:t>
      </w:r>
      <w:r>
        <w:rPr>
          <w:spacing w:val="-5"/>
          <w:sz w:val="21"/>
        </w:rPr>
        <w:t>无反应,昏迷程度按照格拉斯哥昏迷分级</w:t>
      </w:r>
      <w:r>
        <w:rPr>
          <w:sz w:val="21"/>
        </w:rPr>
        <w:t>（Glasgow</w:t>
      </w:r>
      <w:r>
        <w:rPr>
          <w:spacing w:val="-7"/>
          <w:sz w:val="21"/>
        </w:rPr>
        <w:t> </w:t>
      </w:r>
      <w:r>
        <w:rPr>
          <w:sz w:val="21"/>
        </w:rPr>
        <w:t>coma</w:t>
      </w:r>
      <w:r>
        <w:rPr>
          <w:spacing w:val="-3"/>
          <w:sz w:val="21"/>
        </w:rPr>
        <w:t> </w:t>
      </w:r>
      <w:r>
        <w:rPr>
          <w:sz w:val="21"/>
        </w:rPr>
        <w:t>scale）</w:t>
      </w:r>
      <w:r>
        <w:rPr>
          <w:spacing w:val="-2"/>
          <w:sz w:val="21"/>
        </w:rPr>
        <w:t>结果为</w:t>
      </w:r>
    </w:p>
    <w:p>
      <w:pPr>
        <w:spacing w:line="477" w:lineRule="auto" w:before="26"/>
        <w:ind w:left="2146" w:right="83" w:hanging="3"/>
        <w:jc w:val="left"/>
        <w:rPr>
          <w:b/>
          <w:sz w:val="21"/>
        </w:rPr>
      </w:pPr>
      <w:r>
        <w:rPr>
          <w:sz w:val="21"/>
        </w:rPr>
        <w:t>5分或5分以下，且已经持续使用呼吸机及其它生命维持系统96小时以上。</w:t>
      </w:r>
      <w:r>
        <w:rPr>
          <w:b/>
          <w:sz w:val="21"/>
        </w:rPr>
        <w:t>因酗酒或药物滥用导致的深度昏迷不在本附加合同保障范围内。</w:t>
      </w:r>
    </w:p>
    <w:p>
      <w:pPr>
        <w:pStyle w:val="ListParagraph"/>
        <w:numPr>
          <w:ilvl w:val="0"/>
          <w:numId w:val="14"/>
        </w:numPr>
        <w:tabs>
          <w:tab w:pos="2145" w:val="left" w:leader="none"/>
        </w:tabs>
        <w:spacing w:line="340" w:lineRule="auto" w:before="62" w:after="0"/>
        <w:ind w:left="2144" w:right="211" w:hanging="421"/>
        <w:jc w:val="both"/>
        <w:rPr>
          <w:sz w:val="21"/>
        </w:rPr>
      </w:pPr>
      <w:r>
        <w:rPr>
          <w:spacing w:val="-6"/>
          <w:sz w:val="21"/>
        </w:rPr>
        <w:t>双耳失聪：指因疾病或意外伤害导致双耳听力永久不可逆性丧失，在</w:t>
      </w:r>
      <w:r>
        <w:rPr>
          <w:sz w:val="21"/>
        </w:rPr>
        <w:t>500 赫兹、1000赫兹和2000赫兹语音频率下，平均听阈大于90分贝，且经纯</w:t>
      </w:r>
      <w:r>
        <w:rPr>
          <w:spacing w:val="-3"/>
          <w:sz w:val="21"/>
        </w:rPr>
        <w:t>音听力测试、声导抗检测或听觉诱发电位检测等证实。</w:t>
      </w:r>
    </w:p>
    <w:p>
      <w:pPr>
        <w:pStyle w:val="BodyText"/>
        <w:rPr>
          <w:sz w:val="14"/>
        </w:rPr>
      </w:pPr>
    </w:p>
    <w:p>
      <w:pPr>
        <w:pStyle w:val="Heading1"/>
        <w:ind w:left="2177"/>
      </w:pPr>
      <w:r>
        <w:rPr/>
        <w:t>申请理赔时被保险人年龄必须在3周岁以上。</w:t>
      </w:r>
    </w:p>
    <w:p>
      <w:pPr>
        <w:pStyle w:val="BodyText"/>
        <w:spacing w:before="7"/>
        <w:rPr>
          <w:b/>
          <w:sz w:val="20"/>
        </w:rPr>
      </w:pPr>
    </w:p>
    <w:p>
      <w:pPr>
        <w:pStyle w:val="ListParagraph"/>
        <w:numPr>
          <w:ilvl w:val="0"/>
          <w:numId w:val="14"/>
        </w:numPr>
        <w:tabs>
          <w:tab w:pos="2145" w:val="left" w:leader="none"/>
        </w:tabs>
        <w:spacing w:line="340" w:lineRule="auto" w:before="0" w:after="0"/>
        <w:ind w:left="2144" w:right="217" w:hanging="421"/>
        <w:jc w:val="both"/>
        <w:rPr>
          <w:sz w:val="21"/>
        </w:rPr>
      </w:pPr>
      <w:r>
        <w:rPr>
          <w:sz w:val="21"/>
        </w:rPr>
        <w:t>双目失明：指因疾病或意外伤害导致双眼视力永久不可逆性丧失，双眼</w:t>
      </w:r>
      <w:r>
        <w:rPr>
          <w:spacing w:val="-3"/>
          <w:sz w:val="21"/>
        </w:rPr>
        <w:t>中较好眼须满足下列至少一项条件：</w:t>
      </w:r>
    </w:p>
    <w:p>
      <w:pPr>
        <w:pStyle w:val="BodyText"/>
        <w:spacing w:before="11"/>
        <w:rPr>
          <w:sz w:val="13"/>
        </w:rPr>
      </w:pPr>
    </w:p>
    <w:p>
      <w:pPr>
        <w:pStyle w:val="ListParagraph"/>
        <w:numPr>
          <w:ilvl w:val="1"/>
          <w:numId w:val="14"/>
        </w:numPr>
        <w:tabs>
          <w:tab w:pos="2985" w:val="left" w:leader="none"/>
        </w:tabs>
        <w:spacing w:line="240" w:lineRule="auto" w:before="0" w:after="0"/>
        <w:ind w:left="2984" w:right="0" w:hanging="360"/>
        <w:jc w:val="left"/>
        <w:rPr>
          <w:sz w:val="21"/>
        </w:rPr>
      </w:pPr>
      <w:r>
        <w:rPr>
          <w:spacing w:val="-3"/>
          <w:sz w:val="21"/>
        </w:rPr>
        <w:t>眼球缺失或摘除；</w:t>
      </w:r>
    </w:p>
    <w:p>
      <w:pPr>
        <w:pStyle w:val="BodyText"/>
        <w:spacing w:before="10"/>
        <w:rPr>
          <w:sz w:val="20"/>
        </w:rPr>
      </w:pPr>
    </w:p>
    <w:p>
      <w:pPr>
        <w:pStyle w:val="ListParagraph"/>
        <w:numPr>
          <w:ilvl w:val="1"/>
          <w:numId w:val="14"/>
        </w:numPr>
        <w:tabs>
          <w:tab w:pos="2985" w:val="left" w:leader="none"/>
        </w:tabs>
        <w:spacing w:line="338" w:lineRule="auto" w:before="1" w:after="0"/>
        <w:ind w:left="2984" w:right="215" w:hanging="360"/>
        <w:jc w:val="left"/>
        <w:rPr>
          <w:sz w:val="21"/>
        </w:rPr>
      </w:pPr>
      <w:r>
        <w:rPr>
          <w:sz w:val="21"/>
        </w:rPr>
        <w:t>矫正视力低于0.02（采用国际标准视力表，如果使用其它视力</w:t>
      </w:r>
      <w:r>
        <w:rPr>
          <w:spacing w:val="-1"/>
          <w:w w:val="100"/>
          <w:sz w:val="21"/>
        </w:rPr>
        <w:t>表应进行</w:t>
      </w:r>
      <w:r>
        <w:rPr>
          <w:spacing w:val="-2"/>
          <w:sz w:val="21"/>
        </w:rPr>
        <w:t> </w:t>
      </w:r>
      <w:r>
        <w:rPr>
          <w:w w:val="100"/>
          <w:sz w:val="21"/>
        </w:rPr>
        <w:t>换算</w:t>
      </w:r>
      <w:r>
        <w:rPr>
          <w:spacing w:val="-108"/>
          <w:w w:val="100"/>
          <w:sz w:val="21"/>
        </w:rPr>
        <w:t>）</w:t>
      </w:r>
      <w:r>
        <w:rPr>
          <w:w w:val="100"/>
          <w:sz w:val="21"/>
        </w:rPr>
        <w:t>；</w:t>
      </w:r>
    </w:p>
    <w:p>
      <w:pPr>
        <w:spacing w:after="0" w:line="338" w:lineRule="auto"/>
        <w:jc w:val="left"/>
        <w:rPr>
          <w:sz w:val="21"/>
        </w:rPr>
        <w:sectPr>
          <w:pgSz w:w="11910" w:h="16840"/>
          <w:pgMar w:header="0" w:footer="924" w:top="1120" w:bottom="1200" w:left="1680" w:right="1280"/>
        </w:sectPr>
      </w:pPr>
    </w:p>
    <w:p>
      <w:pPr>
        <w:pStyle w:val="ListParagraph"/>
        <w:numPr>
          <w:ilvl w:val="1"/>
          <w:numId w:val="14"/>
        </w:numPr>
        <w:tabs>
          <w:tab w:pos="2985" w:val="left" w:leader="none"/>
        </w:tabs>
        <w:spacing w:line="240" w:lineRule="auto" w:before="20" w:after="0"/>
        <w:ind w:left="2984" w:right="0" w:hanging="360"/>
        <w:jc w:val="left"/>
        <w:rPr>
          <w:sz w:val="21"/>
        </w:rPr>
      </w:pPr>
      <w:r>
        <w:rPr>
          <w:spacing w:val="-3"/>
          <w:sz w:val="21"/>
        </w:rPr>
        <w:t>视野半径小于5</w:t>
      </w:r>
      <w:r>
        <w:rPr>
          <w:sz w:val="21"/>
        </w:rPr>
        <w:t>度。</w:t>
      </w:r>
    </w:p>
    <w:p>
      <w:pPr>
        <w:pStyle w:val="BodyText"/>
        <w:spacing w:before="10"/>
        <w:rPr>
          <w:sz w:val="20"/>
        </w:rPr>
      </w:pPr>
    </w:p>
    <w:p>
      <w:pPr>
        <w:pStyle w:val="Heading1"/>
        <w:ind w:left="2177"/>
      </w:pPr>
      <w:r>
        <w:rPr/>
        <w:t>申请理赔时被保险人年龄必须在3周岁以上。</w:t>
      </w:r>
    </w:p>
    <w:p>
      <w:pPr>
        <w:pStyle w:val="BodyText"/>
        <w:spacing w:before="7"/>
        <w:rPr>
          <w:b/>
          <w:sz w:val="20"/>
        </w:rPr>
      </w:pPr>
    </w:p>
    <w:p>
      <w:pPr>
        <w:pStyle w:val="ListParagraph"/>
        <w:numPr>
          <w:ilvl w:val="0"/>
          <w:numId w:val="14"/>
        </w:numPr>
        <w:tabs>
          <w:tab w:pos="2145" w:val="left" w:leader="none"/>
        </w:tabs>
        <w:spacing w:line="340" w:lineRule="auto" w:before="0" w:after="0"/>
        <w:ind w:left="2144" w:right="105" w:hanging="421"/>
        <w:jc w:val="left"/>
        <w:rPr>
          <w:sz w:val="21"/>
        </w:rPr>
      </w:pPr>
      <w:r>
        <w:rPr>
          <w:spacing w:val="-7"/>
          <w:sz w:val="21"/>
        </w:rPr>
        <w:t>瘫痪：指因疾病或意外伤害导致两肢或两肢以上肢体机能永久完全丧失。肢体机能永久完全丧失，指疾病确诊</w:t>
      </w:r>
      <w:r>
        <w:rPr>
          <w:sz w:val="21"/>
        </w:rPr>
        <w:t>180天后或意外伤害发生180天后， </w:t>
      </w:r>
      <w:r>
        <w:rPr>
          <w:spacing w:val="-3"/>
          <w:sz w:val="21"/>
        </w:rPr>
        <w:t>每肢三大关节中的两大关节仍然完全僵硬，或不能随意识活动。</w:t>
      </w:r>
    </w:p>
    <w:p>
      <w:pPr>
        <w:pStyle w:val="BodyText"/>
        <w:rPr>
          <w:sz w:val="14"/>
        </w:rPr>
      </w:pPr>
    </w:p>
    <w:p>
      <w:pPr>
        <w:pStyle w:val="ListParagraph"/>
        <w:numPr>
          <w:ilvl w:val="0"/>
          <w:numId w:val="14"/>
        </w:numPr>
        <w:tabs>
          <w:tab w:pos="2145" w:val="left" w:leader="none"/>
        </w:tabs>
        <w:spacing w:line="338" w:lineRule="auto" w:before="0" w:after="0"/>
        <w:ind w:left="2144" w:right="217" w:hanging="421"/>
        <w:jc w:val="left"/>
        <w:rPr>
          <w:sz w:val="21"/>
        </w:rPr>
      </w:pPr>
      <w:r>
        <w:rPr>
          <w:sz w:val="21"/>
        </w:rPr>
        <w:t>心脏瓣膜手术：指为治疗心脏瓣膜疾病，实际实施了开胸进行的心脏瓣</w:t>
      </w:r>
      <w:r>
        <w:rPr>
          <w:spacing w:val="-3"/>
          <w:sz w:val="21"/>
        </w:rPr>
        <w:t>膜置换或修复的手术。</w:t>
      </w:r>
    </w:p>
    <w:p>
      <w:pPr>
        <w:pStyle w:val="BodyText"/>
        <w:spacing w:before="2"/>
        <w:rPr>
          <w:sz w:val="14"/>
        </w:rPr>
      </w:pPr>
    </w:p>
    <w:p>
      <w:pPr>
        <w:pStyle w:val="ListParagraph"/>
        <w:numPr>
          <w:ilvl w:val="0"/>
          <w:numId w:val="14"/>
        </w:numPr>
        <w:tabs>
          <w:tab w:pos="2145" w:val="left" w:leader="none"/>
        </w:tabs>
        <w:spacing w:line="340" w:lineRule="auto" w:before="0" w:after="0"/>
        <w:ind w:left="2144" w:right="211" w:hanging="421"/>
        <w:jc w:val="both"/>
        <w:rPr>
          <w:sz w:val="21"/>
        </w:rPr>
      </w:pPr>
      <w:r>
        <w:rPr>
          <w:sz w:val="21"/>
        </w:rPr>
        <w:t>严重阿尔茨海默病：指因大脑进行性、不可逆性改变导致智能严重衰退或丧失，临床表现为明显的认知能力障碍、行为异常和社交能力减退， </w:t>
      </w:r>
      <w:r>
        <w:rPr>
          <w:spacing w:val="-5"/>
          <w:w w:val="100"/>
          <w:sz w:val="21"/>
        </w:rPr>
        <w:t>其日常生活必须持续受到他人监护。须由头颅断层扫描</w:t>
      </w:r>
      <w:r>
        <w:rPr>
          <w:w w:val="100"/>
          <w:sz w:val="21"/>
        </w:rPr>
        <w:t>（CT</w:t>
      </w:r>
      <w:r>
        <w:rPr>
          <w:spacing w:val="-108"/>
          <w:w w:val="100"/>
          <w:sz w:val="21"/>
        </w:rPr>
        <w:t>）</w:t>
      </w:r>
      <w:r>
        <w:rPr>
          <w:spacing w:val="-4"/>
          <w:w w:val="100"/>
          <w:sz w:val="21"/>
        </w:rPr>
        <w:t>、核磁共振</w:t>
      </w:r>
      <w:r>
        <w:rPr>
          <w:sz w:val="21"/>
        </w:rPr>
        <w:t>检查（MRI）或正电子发射断层扫描（PET）等影像学检查证实，且自主生活能力完全丧失，无法独立完成六项基本日常生活活动中的三项或三</w:t>
      </w:r>
      <w:r>
        <w:rPr>
          <w:spacing w:val="-1"/>
          <w:sz w:val="21"/>
        </w:rPr>
        <w:t>项以上。</w:t>
      </w:r>
    </w:p>
    <w:p>
      <w:pPr>
        <w:pStyle w:val="BodyText"/>
        <w:rPr>
          <w:sz w:val="14"/>
        </w:rPr>
      </w:pPr>
    </w:p>
    <w:p>
      <w:pPr>
        <w:pStyle w:val="Heading1"/>
        <w:ind w:left="2146"/>
      </w:pPr>
      <w:r>
        <w:rPr/>
        <w:t>神经官能症和精神疾病不在本附加合同保障范围内。</w:t>
      </w:r>
    </w:p>
    <w:p>
      <w:pPr>
        <w:pStyle w:val="BodyText"/>
        <w:spacing w:before="7"/>
        <w:rPr>
          <w:b/>
          <w:sz w:val="20"/>
        </w:rPr>
      </w:pPr>
    </w:p>
    <w:p>
      <w:pPr>
        <w:pStyle w:val="ListParagraph"/>
        <w:numPr>
          <w:ilvl w:val="0"/>
          <w:numId w:val="14"/>
        </w:numPr>
        <w:tabs>
          <w:tab w:pos="2145" w:val="left" w:leader="none"/>
        </w:tabs>
        <w:spacing w:line="340" w:lineRule="auto" w:before="1" w:after="0"/>
        <w:ind w:left="2144" w:right="103" w:hanging="421"/>
        <w:jc w:val="left"/>
        <w:rPr>
          <w:sz w:val="21"/>
        </w:rPr>
      </w:pPr>
      <w:r>
        <w:rPr>
          <w:sz w:val="21"/>
        </w:rPr>
        <w:t>严重脑损伤：指因头部遭受机械性外力，引起脑重要部位损伤，导致神</w:t>
      </w:r>
      <w:r>
        <w:rPr>
          <w:spacing w:val="-11"/>
          <w:w w:val="100"/>
          <w:sz w:val="21"/>
        </w:rPr>
        <w:t>经系统永久性的功能障碍。须由头颅断层扫描</w:t>
      </w:r>
      <w:r>
        <w:rPr>
          <w:spacing w:val="-1"/>
          <w:w w:val="100"/>
          <w:sz w:val="21"/>
        </w:rPr>
        <w:t>（</w:t>
      </w:r>
      <w:r>
        <w:rPr>
          <w:w w:val="100"/>
          <w:sz w:val="21"/>
        </w:rPr>
        <w:t>C</w:t>
      </w:r>
      <w:r>
        <w:rPr>
          <w:spacing w:val="-3"/>
          <w:w w:val="100"/>
          <w:sz w:val="21"/>
        </w:rPr>
        <w:t>T</w:t>
      </w:r>
      <w:r>
        <w:rPr>
          <w:spacing w:val="-106"/>
          <w:w w:val="100"/>
          <w:sz w:val="21"/>
        </w:rPr>
        <w:t>）</w:t>
      </w:r>
      <w:r>
        <w:rPr>
          <w:spacing w:val="-20"/>
          <w:w w:val="100"/>
          <w:sz w:val="21"/>
        </w:rPr>
        <w:t>、核磁共振检查</w:t>
      </w:r>
      <w:r>
        <w:rPr>
          <w:spacing w:val="-3"/>
          <w:w w:val="100"/>
          <w:sz w:val="21"/>
        </w:rPr>
        <w:t>（</w:t>
      </w:r>
      <w:r>
        <w:rPr>
          <w:w w:val="100"/>
          <w:sz w:val="21"/>
        </w:rPr>
        <w:t>MRI）</w:t>
      </w:r>
      <w:r>
        <w:rPr>
          <w:spacing w:val="-4"/>
          <w:sz w:val="21"/>
        </w:rPr>
        <w:t>或正电子发射断层扫描（PET）</w:t>
      </w:r>
      <w:r>
        <w:rPr>
          <w:spacing w:val="-5"/>
          <w:sz w:val="21"/>
        </w:rPr>
        <w:t>等影像学检查证实。神经系统永久性的功</w:t>
      </w:r>
      <w:r>
        <w:rPr>
          <w:spacing w:val="-3"/>
          <w:sz w:val="21"/>
        </w:rPr>
        <w:t>能障碍，指脑损伤</w:t>
      </w:r>
      <w:r>
        <w:rPr>
          <w:sz w:val="21"/>
        </w:rPr>
        <w:t>180</w:t>
      </w:r>
      <w:r>
        <w:rPr>
          <w:spacing w:val="-3"/>
          <w:sz w:val="21"/>
        </w:rPr>
        <w:t>天后，仍遗留下列一种或一种以上障碍：</w:t>
      </w:r>
    </w:p>
    <w:p>
      <w:pPr>
        <w:pStyle w:val="BodyText"/>
        <w:spacing w:before="11"/>
        <w:rPr>
          <w:sz w:val="13"/>
        </w:rPr>
      </w:pPr>
    </w:p>
    <w:p>
      <w:pPr>
        <w:pStyle w:val="ListParagraph"/>
        <w:numPr>
          <w:ilvl w:val="1"/>
          <w:numId w:val="14"/>
        </w:numPr>
        <w:tabs>
          <w:tab w:pos="3018" w:val="left" w:leader="none"/>
        </w:tabs>
        <w:spacing w:line="240" w:lineRule="auto" w:before="0" w:after="0"/>
        <w:ind w:left="3017" w:right="0" w:hanging="393"/>
        <w:jc w:val="left"/>
        <w:rPr>
          <w:sz w:val="21"/>
        </w:rPr>
      </w:pPr>
      <w:r>
        <w:rPr>
          <w:spacing w:val="-3"/>
          <w:sz w:val="21"/>
        </w:rPr>
        <w:t>一肢或一肢以上肢体机能完全丧失；</w:t>
      </w:r>
    </w:p>
    <w:p>
      <w:pPr>
        <w:pStyle w:val="BodyText"/>
        <w:spacing w:before="9"/>
        <w:rPr>
          <w:sz w:val="20"/>
        </w:rPr>
      </w:pPr>
    </w:p>
    <w:p>
      <w:pPr>
        <w:pStyle w:val="ListParagraph"/>
        <w:numPr>
          <w:ilvl w:val="1"/>
          <w:numId w:val="14"/>
        </w:numPr>
        <w:tabs>
          <w:tab w:pos="3018" w:val="left" w:leader="none"/>
        </w:tabs>
        <w:spacing w:line="240" w:lineRule="auto" w:before="1" w:after="0"/>
        <w:ind w:left="3017" w:right="0" w:hanging="393"/>
        <w:jc w:val="left"/>
        <w:rPr>
          <w:sz w:val="21"/>
        </w:rPr>
      </w:pPr>
      <w:r>
        <w:rPr>
          <w:spacing w:val="-3"/>
          <w:sz w:val="21"/>
        </w:rPr>
        <w:t>语言能力或咀嚼吞咽能力完全丧失；</w:t>
      </w:r>
    </w:p>
    <w:p>
      <w:pPr>
        <w:pStyle w:val="BodyText"/>
        <w:spacing w:before="8"/>
        <w:rPr>
          <w:sz w:val="20"/>
        </w:rPr>
      </w:pPr>
    </w:p>
    <w:p>
      <w:pPr>
        <w:pStyle w:val="ListParagraph"/>
        <w:numPr>
          <w:ilvl w:val="1"/>
          <w:numId w:val="14"/>
        </w:numPr>
        <w:tabs>
          <w:tab w:pos="3018" w:val="left" w:leader="none"/>
        </w:tabs>
        <w:spacing w:line="340" w:lineRule="auto" w:before="0" w:after="0"/>
        <w:ind w:left="3017" w:right="249" w:hanging="393"/>
        <w:jc w:val="left"/>
        <w:rPr>
          <w:sz w:val="21"/>
        </w:rPr>
      </w:pPr>
      <w:r>
        <w:rPr>
          <w:spacing w:val="-3"/>
          <w:sz w:val="21"/>
        </w:rPr>
        <w:t>自主生活能力完全丧失，无法独立完成六项基本日常生活活动中的三项或三项以上。</w:t>
      </w:r>
    </w:p>
    <w:p>
      <w:pPr>
        <w:pStyle w:val="BodyText"/>
        <w:spacing w:before="11"/>
        <w:rPr>
          <w:sz w:val="13"/>
        </w:rPr>
      </w:pPr>
    </w:p>
    <w:p>
      <w:pPr>
        <w:pStyle w:val="ListParagraph"/>
        <w:numPr>
          <w:ilvl w:val="0"/>
          <w:numId w:val="14"/>
        </w:numPr>
        <w:tabs>
          <w:tab w:pos="2145" w:val="left" w:leader="none"/>
        </w:tabs>
        <w:spacing w:line="340" w:lineRule="auto" w:before="1" w:after="0"/>
        <w:ind w:left="2144" w:right="217" w:hanging="421"/>
        <w:jc w:val="left"/>
        <w:rPr>
          <w:sz w:val="21"/>
        </w:rPr>
      </w:pPr>
      <w:r>
        <w:rPr>
          <w:sz w:val="21"/>
        </w:rPr>
        <w:t>严重帕金森病：是一种中枢神经系统的退行性疾病，临床表现为震颤麻</w:t>
      </w:r>
      <w:r>
        <w:rPr>
          <w:spacing w:val="-3"/>
          <w:sz w:val="21"/>
        </w:rPr>
        <w:t>痹、共济失调等。须满足下列全部条件：</w:t>
      </w:r>
    </w:p>
    <w:p>
      <w:pPr>
        <w:pStyle w:val="BodyText"/>
        <w:spacing w:before="11"/>
        <w:rPr>
          <w:sz w:val="13"/>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药物治疗无法控制病情；</w:t>
      </w:r>
    </w:p>
    <w:p>
      <w:pPr>
        <w:pStyle w:val="BodyText"/>
        <w:spacing w:before="9"/>
        <w:rPr>
          <w:sz w:val="20"/>
        </w:rPr>
      </w:pPr>
    </w:p>
    <w:p>
      <w:pPr>
        <w:pStyle w:val="ListParagraph"/>
        <w:numPr>
          <w:ilvl w:val="1"/>
          <w:numId w:val="14"/>
        </w:numPr>
        <w:tabs>
          <w:tab w:pos="3017" w:val="left" w:leader="none"/>
          <w:tab w:pos="3018" w:val="left" w:leader="none"/>
        </w:tabs>
        <w:spacing w:line="338" w:lineRule="auto" w:before="1" w:after="0"/>
        <w:ind w:left="3017" w:right="249" w:hanging="453"/>
        <w:jc w:val="left"/>
        <w:rPr>
          <w:sz w:val="21"/>
        </w:rPr>
      </w:pPr>
      <w:r>
        <w:rPr>
          <w:spacing w:val="-3"/>
          <w:sz w:val="21"/>
        </w:rPr>
        <w:t>自主生活能力完全丧失，无法独立完成六项基本日常生活活动中的三项或三项以上；</w:t>
      </w:r>
    </w:p>
    <w:p>
      <w:pPr>
        <w:pStyle w:val="BodyText"/>
        <w:spacing w:before="3"/>
        <w:rPr>
          <w:sz w:val="14"/>
        </w:rPr>
      </w:pPr>
    </w:p>
    <w:p>
      <w:pPr>
        <w:pStyle w:val="Heading1"/>
        <w:ind w:left="2146"/>
      </w:pPr>
      <w:r>
        <w:rPr/>
        <w:t>继发性帕金森综合征不在本附加合同保障范围内。</w:t>
      </w:r>
    </w:p>
    <w:p>
      <w:pPr>
        <w:pStyle w:val="BodyText"/>
        <w:spacing w:before="8"/>
        <w:rPr>
          <w:b/>
          <w:sz w:val="20"/>
        </w:rPr>
      </w:pPr>
    </w:p>
    <w:p>
      <w:pPr>
        <w:pStyle w:val="ListParagraph"/>
        <w:numPr>
          <w:ilvl w:val="0"/>
          <w:numId w:val="14"/>
        </w:numPr>
        <w:tabs>
          <w:tab w:pos="2145" w:val="left" w:leader="none"/>
        </w:tabs>
        <w:spacing w:line="343" w:lineRule="auto" w:before="0" w:after="0"/>
        <w:ind w:left="2144" w:right="217" w:hanging="421"/>
        <w:jc w:val="left"/>
        <w:rPr>
          <w:sz w:val="21"/>
        </w:rPr>
      </w:pPr>
      <w:r>
        <w:rPr>
          <w:sz w:val="21"/>
        </w:rPr>
        <w:t>严重Ⅲ度烧伤：指烧伤程度为Ⅲ度，且Ⅲ度烧伤的面积达到全身体表面</w:t>
      </w:r>
      <w:r>
        <w:rPr>
          <w:spacing w:val="-1"/>
          <w:sz w:val="21"/>
        </w:rPr>
        <w:t>积的20</w:t>
      </w:r>
      <w:r>
        <w:rPr>
          <w:spacing w:val="-2"/>
          <w:sz w:val="21"/>
        </w:rPr>
        <w:t>％或</w:t>
      </w:r>
      <w:r>
        <w:rPr>
          <w:spacing w:val="-1"/>
          <w:sz w:val="21"/>
        </w:rPr>
        <w:t>20</w:t>
      </w:r>
      <w:r>
        <w:rPr>
          <w:spacing w:val="-3"/>
          <w:sz w:val="21"/>
        </w:rPr>
        <w:t>％以上。体表面积根据《中国新九分法》计算。</w:t>
      </w:r>
    </w:p>
    <w:p>
      <w:pPr>
        <w:pStyle w:val="ListParagraph"/>
        <w:numPr>
          <w:ilvl w:val="0"/>
          <w:numId w:val="14"/>
        </w:numPr>
        <w:tabs>
          <w:tab w:pos="2145" w:val="left" w:leader="none"/>
        </w:tabs>
        <w:spacing w:line="240" w:lineRule="auto" w:before="179" w:after="0"/>
        <w:ind w:left="1920" w:right="0" w:hanging="197"/>
        <w:jc w:val="left"/>
        <w:rPr>
          <w:sz w:val="21"/>
        </w:rPr>
      </w:pPr>
      <w:r>
        <w:rPr>
          <w:sz w:val="21"/>
        </w:rPr>
        <w:t>严重原发性肺动脉高压：指不明原因的肺动脉压力持续性增高，进行性</w:t>
      </w:r>
    </w:p>
    <w:p>
      <w:pPr>
        <w:spacing w:after="0" w:line="240" w:lineRule="auto"/>
        <w:jc w:val="left"/>
        <w:rPr>
          <w:sz w:val="21"/>
        </w:rPr>
        <w:sectPr>
          <w:pgSz w:w="11910" w:h="16840"/>
          <w:pgMar w:header="0" w:footer="924" w:top="1120" w:bottom="1200" w:left="1680" w:right="1280"/>
        </w:sectPr>
      </w:pPr>
    </w:p>
    <w:p>
      <w:pPr>
        <w:pStyle w:val="BodyText"/>
        <w:spacing w:line="340" w:lineRule="auto" w:before="20"/>
        <w:ind w:left="2144" w:right="213"/>
        <w:jc w:val="both"/>
      </w:pPr>
      <w:r>
        <w:rPr/>
        <w:t>发展而导致的慢性疾病，已经造成永久不可逆性的体力活动能力受限， 达到美国纽约心脏病学会心功能状态分级IV级，且静息状态下肺动脉平均压超过30mmHg。</w:t>
      </w:r>
    </w:p>
    <w:p>
      <w:pPr>
        <w:pStyle w:val="BodyText"/>
        <w:rPr>
          <w:sz w:val="14"/>
        </w:rPr>
      </w:pPr>
    </w:p>
    <w:p>
      <w:pPr>
        <w:pStyle w:val="ListParagraph"/>
        <w:numPr>
          <w:ilvl w:val="0"/>
          <w:numId w:val="14"/>
        </w:numPr>
        <w:tabs>
          <w:tab w:pos="2145" w:val="left" w:leader="none"/>
        </w:tabs>
        <w:spacing w:line="340" w:lineRule="auto" w:before="0" w:after="0"/>
        <w:ind w:left="2144" w:right="105" w:hanging="421"/>
        <w:jc w:val="left"/>
        <w:rPr>
          <w:sz w:val="21"/>
        </w:rPr>
      </w:pPr>
      <w:r>
        <w:rPr>
          <w:spacing w:val="-7"/>
          <w:sz w:val="21"/>
        </w:rPr>
        <w:t>严重运动神经元病：是一组中枢神经系统运动神经元的进行性变性疾病， 包括进行性脊肌萎缩症、进行性延髓麻痹症、原发性侧索硬化症、肌萎缩性侧索硬化症。须满足自主生活能力完全丧失，无法独立完成六项基</w:t>
      </w:r>
      <w:r>
        <w:rPr>
          <w:spacing w:val="-5"/>
          <w:sz w:val="21"/>
        </w:rPr>
        <w:t>本日常生活活动中的三项或三项以上的条件。</w:t>
      </w:r>
    </w:p>
    <w:p>
      <w:pPr>
        <w:pStyle w:val="BodyText"/>
        <w:rPr>
          <w:sz w:val="14"/>
        </w:rPr>
      </w:pPr>
    </w:p>
    <w:p>
      <w:pPr>
        <w:pStyle w:val="ListParagraph"/>
        <w:numPr>
          <w:ilvl w:val="0"/>
          <w:numId w:val="14"/>
        </w:numPr>
        <w:tabs>
          <w:tab w:pos="2145" w:val="left" w:leader="none"/>
        </w:tabs>
        <w:spacing w:line="340" w:lineRule="auto" w:before="0" w:after="0"/>
        <w:ind w:left="2144" w:right="211" w:hanging="421"/>
        <w:jc w:val="both"/>
        <w:rPr>
          <w:sz w:val="21"/>
        </w:rPr>
      </w:pPr>
      <w:r>
        <w:rPr>
          <w:sz w:val="21"/>
        </w:rPr>
        <w:t>语言能力丧失：指因疾病或意外伤害导致完全丧失语言能力，经过积极</w:t>
      </w:r>
      <w:r>
        <w:rPr>
          <w:spacing w:val="-1"/>
          <w:w w:val="100"/>
          <w:sz w:val="21"/>
        </w:rPr>
        <w:t>治疗至少</w:t>
      </w:r>
      <w:r>
        <w:rPr>
          <w:w w:val="100"/>
          <w:sz w:val="21"/>
        </w:rPr>
        <w:t>1</w:t>
      </w:r>
      <w:r>
        <w:rPr>
          <w:spacing w:val="-3"/>
          <w:w w:val="100"/>
          <w:sz w:val="21"/>
        </w:rPr>
        <w:t>2</w:t>
      </w:r>
      <w:r>
        <w:rPr>
          <w:spacing w:val="-9"/>
          <w:w w:val="100"/>
          <w:sz w:val="21"/>
        </w:rPr>
        <w:t>个月</w:t>
      </w:r>
      <w:r>
        <w:rPr>
          <w:spacing w:val="-3"/>
          <w:w w:val="100"/>
          <w:sz w:val="21"/>
        </w:rPr>
        <w:t>（声带完全切除不受此时间限制</w:t>
      </w:r>
      <w:r>
        <w:rPr>
          <w:spacing w:val="-108"/>
          <w:w w:val="100"/>
          <w:sz w:val="21"/>
        </w:rPr>
        <w:t>）</w:t>
      </w:r>
      <w:r>
        <w:rPr>
          <w:spacing w:val="-5"/>
          <w:w w:val="100"/>
          <w:sz w:val="21"/>
        </w:rPr>
        <w:t>，仍无法通过现有医疗</w:t>
      </w:r>
      <w:r>
        <w:rPr>
          <w:spacing w:val="-4"/>
          <w:sz w:val="21"/>
        </w:rPr>
        <w:t>手段恢复。</w:t>
      </w:r>
    </w:p>
    <w:p>
      <w:pPr>
        <w:pStyle w:val="BodyText"/>
        <w:spacing w:before="11"/>
        <w:rPr>
          <w:sz w:val="13"/>
        </w:rPr>
      </w:pPr>
    </w:p>
    <w:p>
      <w:pPr>
        <w:pStyle w:val="Heading1"/>
        <w:spacing w:line="477" w:lineRule="auto"/>
        <w:ind w:left="2146" w:right="892"/>
      </w:pPr>
      <w:r>
        <w:rPr/>
        <w:t>精神心理因素所致的语言能力丧失不在本附加合同保障范围内。申请理赔时被保险人年龄必须在3周岁以上。</w:t>
      </w:r>
    </w:p>
    <w:p>
      <w:pPr>
        <w:pStyle w:val="ListParagraph"/>
        <w:numPr>
          <w:ilvl w:val="0"/>
          <w:numId w:val="14"/>
        </w:numPr>
        <w:tabs>
          <w:tab w:pos="2145" w:val="left" w:leader="none"/>
        </w:tabs>
        <w:spacing w:line="340" w:lineRule="auto" w:before="61" w:after="0"/>
        <w:ind w:left="2144" w:right="214" w:hanging="421"/>
        <w:jc w:val="left"/>
        <w:rPr>
          <w:sz w:val="21"/>
        </w:rPr>
      </w:pPr>
      <w:r>
        <w:rPr>
          <w:sz w:val="21"/>
        </w:rPr>
        <w:t>重型再生障碍性贫血：指因骨髓造血功能慢性持续性衰竭导致的贫血、</w:t>
      </w:r>
      <w:r>
        <w:rPr>
          <w:spacing w:val="-3"/>
          <w:sz w:val="21"/>
        </w:rPr>
        <w:t>中性粒细胞减少及血小板减少。须满足下列全部条件：</w:t>
      </w:r>
    </w:p>
    <w:p>
      <w:pPr>
        <w:pStyle w:val="BodyText"/>
        <w:spacing w:before="10"/>
        <w:rPr>
          <w:sz w:val="13"/>
        </w:rPr>
      </w:pPr>
    </w:p>
    <w:p>
      <w:pPr>
        <w:pStyle w:val="ListParagraph"/>
        <w:numPr>
          <w:ilvl w:val="1"/>
          <w:numId w:val="14"/>
        </w:numPr>
        <w:tabs>
          <w:tab w:pos="3017" w:val="left" w:leader="none"/>
          <w:tab w:pos="3018" w:val="left" w:leader="none"/>
        </w:tabs>
        <w:spacing w:line="240" w:lineRule="auto" w:before="1" w:after="0"/>
        <w:ind w:left="3017" w:right="0" w:hanging="453"/>
        <w:jc w:val="left"/>
        <w:rPr>
          <w:sz w:val="21"/>
        </w:rPr>
      </w:pPr>
      <w:r>
        <w:rPr>
          <w:spacing w:val="-3"/>
          <w:sz w:val="21"/>
        </w:rPr>
        <w:t>骨髓穿刺检查或骨髓活检结果支持诊断；</w:t>
      </w:r>
    </w:p>
    <w:p>
      <w:pPr>
        <w:pStyle w:val="BodyText"/>
        <w:spacing w:before="11"/>
        <w:rPr>
          <w:sz w:val="20"/>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外周血象须具备以下三项条件：</w:t>
      </w:r>
    </w:p>
    <w:p>
      <w:pPr>
        <w:pStyle w:val="BodyText"/>
        <w:spacing w:before="8"/>
        <w:rPr>
          <w:sz w:val="20"/>
        </w:rPr>
      </w:pPr>
    </w:p>
    <w:p>
      <w:pPr>
        <w:pStyle w:val="BodyText"/>
        <w:ind w:left="2945"/>
      </w:pPr>
      <w:r>
        <w:rPr/>
        <w:t>① 中性粒细胞绝对值≤0.5×10</w:t>
      </w:r>
      <w:r>
        <w:rPr>
          <w:position w:val="11"/>
          <w:sz w:val="11"/>
        </w:rPr>
        <w:t>9</w:t>
      </w:r>
      <w:r>
        <w:rPr/>
        <w:t>/L ；</w:t>
      </w:r>
    </w:p>
    <w:p>
      <w:pPr>
        <w:pStyle w:val="BodyText"/>
        <w:spacing w:before="10"/>
        <w:rPr>
          <w:sz w:val="20"/>
        </w:rPr>
      </w:pPr>
    </w:p>
    <w:p>
      <w:pPr>
        <w:pStyle w:val="BodyText"/>
        <w:ind w:left="2945"/>
      </w:pPr>
      <w:r>
        <w:rPr/>
        <w:t>② 网织红细胞＜1%；</w:t>
      </w:r>
    </w:p>
    <w:p>
      <w:pPr>
        <w:pStyle w:val="BodyText"/>
        <w:spacing w:before="7"/>
        <w:rPr>
          <w:sz w:val="20"/>
        </w:rPr>
      </w:pPr>
    </w:p>
    <w:p>
      <w:pPr>
        <w:pStyle w:val="BodyText"/>
        <w:ind w:left="2931"/>
      </w:pPr>
      <w:r>
        <w:rPr/>
        <w:t>③ 血小板绝对值≤20×10</w:t>
      </w:r>
      <w:r>
        <w:rPr>
          <w:position w:val="11"/>
          <w:sz w:val="11"/>
        </w:rPr>
        <w:t>9</w:t>
      </w:r>
      <w:r>
        <w:rPr/>
        <w:t>/L。</w:t>
      </w:r>
    </w:p>
    <w:p>
      <w:pPr>
        <w:pStyle w:val="BodyText"/>
        <w:spacing w:before="9"/>
        <w:rPr>
          <w:sz w:val="20"/>
        </w:rPr>
      </w:pPr>
    </w:p>
    <w:p>
      <w:pPr>
        <w:pStyle w:val="ListParagraph"/>
        <w:numPr>
          <w:ilvl w:val="0"/>
          <w:numId w:val="14"/>
        </w:numPr>
        <w:tabs>
          <w:tab w:pos="2145" w:val="left" w:leader="none"/>
        </w:tabs>
        <w:spacing w:line="340" w:lineRule="auto" w:before="1" w:after="0"/>
        <w:ind w:left="2144" w:right="107" w:hanging="421"/>
        <w:jc w:val="left"/>
        <w:rPr>
          <w:sz w:val="21"/>
        </w:rPr>
      </w:pPr>
      <w:r>
        <w:rPr>
          <w:spacing w:val="-6"/>
          <w:sz w:val="21"/>
        </w:rPr>
        <w:t>主动脉手术：指为治疗主动脉疾病，实际实施了开胸或开腹进行的切除、置换、修补病损主动脉血管的手术。主动脉指胸主动脉和腹主动脉，不</w:t>
      </w:r>
      <w:r>
        <w:rPr>
          <w:spacing w:val="-4"/>
          <w:sz w:val="21"/>
        </w:rPr>
        <w:t>包括胸主动脉和腹主动脉的分支血管。</w:t>
      </w:r>
    </w:p>
    <w:p>
      <w:pPr>
        <w:pStyle w:val="BodyText"/>
        <w:spacing w:before="12"/>
        <w:rPr>
          <w:sz w:val="13"/>
        </w:rPr>
      </w:pPr>
    </w:p>
    <w:p>
      <w:pPr>
        <w:pStyle w:val="Heading1"/>
        <w:ind w:left="2146"/>
      </w:pPr>
      <w:r>
        <w:rPr/>
        <w:t>动脉内血管成形术不在本附加合同保障范围内。</w:t>
      </w:r>
    </w:p>
    <w:p>
      <w:pPr>
        <w:pStyle w:val="BodyText"/>
        <w:spacing w:before="10"/>
        <w:rPr>
          <w:b/>
          <w:sz w:val="20"/>
        </w:rPr>
      </w:pPr>
    </w:p>
    <w:p>
      <w:pPr>
        <w:pStyle w:val="ListParagraph"/>
        <w:numPr>
          <w:ilvl w:val="0"/>
          <w:numId w:val="14"/>
        </w:numPr>
        <w:tabs>
          <w:tab w:pos="2145" w:val="left" w:leader="none"/>
        </w:tabs>
        <w:spacing w:line="340" w:lineRule="auto" w:before="0" w:after="0"/>
        <w:ind w:left="2144" w:right="105" w:hanging="421"/>
        <w:jc w:val="both"/>
        <w:rPr>
          <w:sz w:val="21"/>
        </w:rPr>
      </w:pPr>
      <w:r>
        <w:rPr>
          <w:sz w:val="21"/>
        </w:rPr>
        <w:t>严重的原发性心肌病：指被保险人经本公司认可的医院的心脏专科医师确诊被保险人因原发性心肌病而出现的心室功能障碍而使其出现明显的心功能衰竭(纽约心脏病协会分类标准心功能至少达四级)。本附加合同</w:t>
      </w:r>
      <w:r>
        <w:rPr>
          <w:spacing w:val="-5"/>
          <w:sz w:val="21"/>
        </w:rPr>
        <w:t>保障范围内的心肌病包括扩张型心肌病、肥厚型心肌病及限制型心肌病。</w:t>
      </w:r>
    </w:p>
    <w:p>
      <w:pPr>
        <w:pStyle w:val="BodyText"/>
        <w:rPr>
          <w:sz w:val="14"/>
        </w:rPr>
      </w:pPr>
    </w:p>
    <w:p>
      <w:pPr>
        <w:pStyle w:val="Heading1"/>
        <w:ind w:left="2148"/>
      </w:pPr>
      <w:r>
        <w:rPr/>
        <w:t>继发于酒精滥用性的心肌病不在本附加合同保障范围之内。</w:t>
      </w:r>
    </w:p>
    <w:p>
      <w:pPr>
        <w:pStyle w:val="BodyText"/>
        <w:spacing w:before="7"/>
        <w:rPr>
          <w:b/>
          <w:sz w:val="20"/>
        </w:rPr>
      </w:pPr>
    </w:p>
    <w:p>
      <w:pPr>
        <w:pStyle w:val="BodyText"/>
        <w:spacing w:line="343" w:lineRule="auto"/>
        <w:ind w:left="2144" w:right="217"/>
      </w:pPr>
      <w:r>
        <w:rPr/>
        <w:t>纽约心脏病协会分类标准心功能四级是指不能从事任何体力活动。休息时亦有症状,体力活动后加重。</w:t>
      </w:r>
    </w:p>
    <w:p>
      <w:pPr>
        <w:spacing w:after="0" w:line="343" w:lineRule="auto"/>
        <w:sectPr>
          <w:pgSz w:w="11910" w:h="16840"/>
          <w:pgMar w:header="0" w:footer="924" w:top="1120" w:bottom="1200" w:left="1680" w:right="1280"/>
        </w:sectPr>
      </w:pPr>
    </w:p>
    <w:p>
      <w:pPr>
        <w:pStyle w:val="ListParagraph"/>
        <w:numPr>
          <w:ilvl w:val="0"/>
          <w:numId w:val="14"/>
        </w:numPr>
        <w:tabs>
          <w:tab w:pos="2145" w:val="left" w:leader="none"/>
        </w:tabs>
        <w:spacing w:line="343" w:lineRule="auto" w:before="20" w:after="0"/>
        <w:ind w:left="2144" w:right="105" w:hanging="421"/>
        <w:jc w:val="left"/>
        <w:rPr>
          <w:sz w:val="21"/>
        </w:rPr>
      </w:pPr>
      <w:r>
        <w:rPr>
          <w:sz w:val="21"/>
        </w:rPr>
        <w:t>终末期肺病：指被保险人必须经本公司认可的医院的呼吸科专科医师确</w:t>
      </w:r>
      <w:r>
        <w:rPr>
          <w:spacing w:val="-5"/>
          <w:sz w:val="21"/>
        </w:rPr>
        <w:t>诊患有终末期肺病而出现慢性呼吸功能衰竭，其诊断标准包括以下各项：</w:t>
      </w:r>
    </w:p>
    <w:p>
      <w:pPr>
        <w:pStyle w:val="ListParagraph"/>
        <w:numPr>
          <w:ilvl w:val="1"/>
          <w:numId w:val="14"/>
        </w:numPr>
        <w:tabs>
          <w:tab w:pos="3017" w:val="left" w:leader="none"/>
          <w:tab w:pos="3018" w:val="left" w:leader="none"/>
        </w:tabs>
        <w:spacing w:line="240" w:lineRule="auto" w:before="179" w:after="0"/>
        <w:ind w:left="3017" w:right="0" w:hanging="453"/>
        <w:jc w:val="left"/>
        <w:rPr>
          <w:sz w:val="21"/>
        </w:rPr>
      </w:pPr>
      <w:r>
        <w:rPr>
          <w:spacing w:val="-3"/>
          <w:sz w:val="21"/>
        </w:rPr>
        <w:t>肺功能测试其</w:t>
      </w:r>
      <w:r>
        <w:rPr>
          <w:spacing w:val="-1"/>
          <w:sz w:val="21"/>
        </w:rPr>
        <w:t>FEV1</w:t>
      </w:r>
      <w:r>
        <w:rPr>
          <w:spacing w:val="-3"/>
          <w:sz w:val="21"/>
        </w:rPr>
        <w:t>持续低于</w:t>
      </w:r>
      <w:r>
        <w:rPr>
          <w:sz w:val="21"/>
        </w:rPr>
        <w:t>1</w:t>
      </w:r>
      <w:r>
        <w:rPr>
          <w:spacing w:val="-2"/>
          <w:sz w:val="21"/>
        </w:rPr>
        <w:t>升；</w:t>
      </w:r>
    </w:p>
    <w:p>
      <w:pPr>
        <w:pStyle w:val="BodyText"/>
        <w:spacing w:before="10"/>
        <w:rPr>
          <w:sz w:val="20"/>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病人血氧不足必须持续地进行输氧治疗；</w:t>
      </w:r>
    </w:p>
    <w:p>
      <w:pPr>
        <w:pStyle w:val="BodyText"/>
        <w:spacing w:before="7"/>
        <w:rPr>
          <w:sz w:val="20"/>
        </w:rPr>
      </w:pPr>
    </w:p>
    <w:p>
      <w:pPr>
        <w:pStyle w:val="ListParagraph"/>
        <w:numPr>
          <w:ilvl w:val="1"/>
          <w:numId w:val="14"/>
        </w:numPr>
        <w:tabs>
          <w:tab w:pos="3017" w:val="left" w:leader="none"/>
          <w:tab w:pos="3018" w:val="left" w:leader="none"/>
        </w:tabs>
        <w:spacing w:line="240" w:lineRule="auto" w:before="1" w:after="0"/>
        <w:ind w:left="3017" w:right="0" w:hanging="453"/>
        <w:jc w:val="left"/>
        <w:rPr>
          <w:sz w:val="21"/>
        </w:rPr>
      </w:pPr>
      <w:r>
        <w:rPr>
          <w:spacing w:val="-3"/>
          <w:sz w:val="21"/>
        </w:rPr>
        <w:t>动脉血气分析氧分压等于或低于</w:t>
      </w:r>
      <w:r>
        <w:rPr>
          <w:sz w:val="21"/>
        </w:rPr>
        <w:t>55mmHg；</w:t>
      </w:r>
    </w:p>
    <w:p>
      <w:pPr>
        <w:pStyle w:val="BodyText"/>
        <w:spacing w:before="10"/>
        <w:rPr>
          <w:sz w:val="20"/>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休息时出现呼吸困难。</w:t>
      </w:r>
    </w:p>
    <w:p>
      <w:pPr>
        <w:pStyle w:val="BodyText"/>
        <w:spacing w:before="7"/>
        <w:rPr>
          <w:sz w:val="20"/>
        </w:rPr>
      </w:pPr>
    </w:p>
    <w:p>
      <w:pPr>
        <w:pStyle w:val="ListParagraph"/>
        <w:numPr>
          <w:ilvl w:val="0"/>
          <w:numId w:val="14"/>
        </w:numPr>
        <w:tabs>
          <w:tab w:pos="2145" w:val="left" w:leader="none"/>
        </w:tabs>
        <w:spacing w:line="340" w:lineRule="auto" w:before="0" w:after="0"/>
        <w:ind w:left="2144" w:right="215" w:hanging="421"/>
        <w:jc w:val="both"/>
        <w:rPr>
          <w:sz w:val="21"/>
        </w:rPr>
      </w:pPr>
      <w:r>
        <w:rPr>
          <w:sz w:val="21"/>
        </w:rPr>
        <w:t>多发性硬化症：多发性硬化症为中枢神经系统白质多灶性脱髓鞘病变， 病变有时累及灰质。多发性硬化症必须由我们认可的医院的神经专科医生确诊。必须伴有典型的脱髓鞘症状和运动及感觉功能障碍的证据并有</w:t>
      </w:r>
    </w:p>
    <w:p>
      <w:pPr>
        <w:pStyle w:val="BodyText"/>
        <w:spacing w:line="340" w:lineRule="auto" w:before="27"/>
        <w:ind w:left="2144" w:right="214"/>
        <w:jc w:val="both"/>
      </w:pPr>
      <w:r>
        <w:rPr/>
        <w:t>MRI和脑脊液检查的典型改变。 多发性硬化症必须造成神经系统永久性功能损害并且已导致被保险人自主生活能力完全丧失，无法独立完成六项基本日常生活活动中的三项或三项以上持续达180天以上。</w:t>
      </w:r>
    </w:p>
    <w:p>
      <w:pPr>
        <w:pStyle w:val="BodyText"/>
        <w:spacing w:before="11"/>
        <w:rPr>
          <w:sz w:val="13"/>
        </w:rPr>
      </w:pPr>
    </w:p>
    <w:p>
      <w:pPr>
        <w:pStyle w:val="ListParagraph"/>
        <w:numPr>
          <w:ilvl w:val="0"/>
          <w:numId w:val="14"/>
        </w:numPr>
        <w:tabs>
          <w:tab w:pos="2145" w:val="left" w:leader="none"/>
        </w:tabs>
        <w:spacing w:line="340" w:lineRule="auto" w:before="0" w:after="0"/>
        <w:ind w:left="2144" w:right="211" w:hanging="421"/>
        <w:jc w:val="both"/>
        <w:rPr>
          <w:sz w:val="21"/>
        </w:rPr>
      </w:pPr>
      <w:r>
        <w:rPr>
          <w:sz w:val="21"/>
        </w:rPr>
        <w:t>严重脊髓灰质炎：脊髓灰质炎是由于脊髓灰质炎病毒感染所致的瘫痪性疾病，临床表现为运动功能损害或呼吸无力。脊髓灰质炎必须经本公司认可的专科医生明确诊断。</w:t>
      </w:r>
      <w:r>
        <w:rPr>
          <w:b/>
          <w:sz w:val="21"/>
        </w:rPr>
        <w:t>本附加合同仅对脊髓灰质炎造成的神经系统功能损害导致被保险人一肢或一肢以上肢体机能永久完全丧失的情况予</w:t>
      </w:r>
      <w:r>
        <w:rPr>
          <w:b/>
          <w:spacing w:val="-3"/>
          <w:sz w:val="21"/>
        </w:rPr>
        <w:t>以理赔。</w:t>
      </w:r>
      <w:r>
        <w:rPr>
          <w:spacing w:val="-4"/>
          <w:sz w:val="21"/>
        </w:rPr>
        <w:t>肢体机能永久完全丧失，指疾病确诊</w:t>
      </w:r>
      <w:r>
        <w:rPr>
          <w:sz w:val="21"/>
        </w:rPr>
        <w:t>180</w:t>
      </w:r>
      <w:r>
        <w:rPr>
          <w:spacing w:val="-5"/>
          <w:sz w:val="21"/>
        </w:rPr>
        <w:t>天后，每肢三大关节中</w:t>
      </w:r>
      <w:r>
        <w:rPr>
          <w:spacing w:val="-4"/>
          <w:sz w:val="21"/>
        </w:rPr>
        <w:t>的两大关节仍然完全僵硬，或不能随意识活动。</w:t>
      </w:r>
    </w:p>
    <w:p>
      <w:pPr>
        <w:pStyle w:val="BodyText"/>
        <w:spacing w:before="11"/>
        <w:rPr>
          <w:sz w:val="13"/>
        </w:rPr>
      </w:pPr>
    </w:p>
    <w:p>
      <w:pPr>
        <w:pStyle w:val="ListParagraph"/>
        <w:numPr>
          <w:ilvl w:val="0"/>
          <w:numId w:val="14"/>
        </w:numPr>
        <w:tabs>
          <w:tab w:pos="2145" w:val="left" w:leader="none"/>
        </w:tabs>
        <w:spacing w:line="340" w:lineRule="auto" w:before="0" w:after="0"/>
        <w:ind w:left="2144" w:right="211" w:hanging="421"/>
        <w:jc w:val="both"/>
        <w:rPr>
          <w:sz w:val="21"/>
        </w:rPr>
      </w:pPr>
      <w:r>
        <w:rPr>
          <w:sz w:val="21"/>
        </w:rPr>
        <w:t>严重类风湿性关节炎：指广泛的关节损坏，临床上存在三个或三个以上</w:t>
      </w:r>
      <w:r>
        <w:rPr>
          <w:spacing w:val="-6"/>
          <w:sz w:val="21"/>
        </w:rPr>
        <w:t>下列关节的畸形：手、腕、肘、颈椎、膝、踝、蹠-趾关节。并且由本公司认可医院的专科医师确认被保险人在无他人协助下无法独立完成六项基本日常生活活动中的至少三项。上述畸形及功能异常须持续至少达</w:t>
      </w:r>
      <w:r>
        <w:rPr>
          <w:sz w:val="21"/>
        </w:rPr>
        <w:t>180 天。</w:t>
      </w:r>
    </w:p>
    <w:p>
      <w:pPr>
        <w:pStyle w:val="BodyText"/>
        <w:rPr>
          <w:sz w:val="14"/>
        </w:rPr>
      </w:pPr>
    </w:p>
    <w:p>
      <w:pPr>
        <w:pStyle w:val="ListParagraph"/>
        <w:numPr>
          <w:ilvl w:val="0"/>
          <w:numId w:val="14"/>
        </w:numPr>
        <w:tabs>
          <w:tab w:pos="2145" w:val="left" w:leader="none"/>
        </w:tabs>
        <w:spacing w:line="340" w:lineRule="auto" w:before="1" w:after="0"/>
        <w:ind w:left="2144" w:right="211" w:hanging="421"/>
        <w:jc w:val="both"/>
        <w:rPr>
          <w:sz w:val="21"/>
        </w:rPr>
      </w:pPr>
      <w:r>
        <w:rPr>
          <w:spacing w:val="-6"/>
          <w:sz w:val="21"/>
        </w:rPr>
        <w:t>重症肌无力：指一种神经与肌肉接头部位传递障碍的自身免疫性疾病,临</w:t>
      </w:r>
      <w:r>
        <w:rPr>
          <w:spacing w:val="1"/>
          <w:sz w:val="21"/>
        </w:rPr>
        <w:t>床特征是局部或全身横纹肌于活动时易于疲劳无力,颅神经眼外肌最易累及,也可涉及呼吸肌、下肢近端肌群乃至全身肌肉,须经本公司认可的</w:t>
      </w:r>
      <w:r>
        <w:rPr>
          <w:spacing w:val="-3"/>
          <w:sz w:val="21"/>
        </w:rPr>
        <w:t>神经科医师确诊。理赔时必须满足下列全部条件:</w:t>
      </w:r>
    </w:p>
    <w:p>
      <w:pPr>
        <w:pStyle w:val="BodyText"/>
        <w:spacing w:before="1"/>
        <w:rPr>
          <w:sz w:val="14"/>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症状缓解、复发及恶化交替出现；</w:t>
      </w:r>
    </w:p>
    <w:p>
      <w:pPr>
        <w:pStyle w:val="BodyText"/>
        <w:spacing w:before="8"/>
        <w:rPr>
          <w:sz w:val="20"/>
        </w:rPr>
      </w:pPr>
    </w:p>
    <w:p>
      <w:pPr>
        <w:pStyle w:val="ListParagraph"/>
        <w:numPr>
          <w:ilvl w:val="1"/>
          <w:numId w:val="14"/>
        </w:numPr>
        <w:tabs>
          <w:tab w:pos="3017" w:val="left" w:leader="none"/>
          <w:tab w:pos="3018" w:val="left" w:leader="none"/>
        </w:tabs>
        <w:spacing w:line="340" w:lineRule="auto" w:before="0" w:after="0"/>
        <w:ind w:left="3017" w:right="213" w:hanging="453"/>
        <w:jc w:val="left"/>
        <w:rPr>
          <w:sz w:val="21"/>
        </w:rPr>
      </w:pPr>
      <w:r>
        <w:rPr>
          <w:spacing w:val="-10"/>
          <w:sz w:val="21"/>
        </w:rPr>
        <w:t>经药物、胸腺手术治疗一年以上无法控制病情,丧失正常工作能力；</w:t>
      </w:r>
    </w:p>
    <w:p>
      <w:pPr>
        <w:pStyle w:val="BodyText"/>
        <w:spacing w:before="11"/>
        <w:rPr>
          <w:sz w:val="13"/>
        </w:rPr>
      </w:pPr>
    </w:p>
    <w:p>
      <w:pPr>
        <w:pStyle w:val="ListParagraph"/>
        <w:numPr>
          <w:ilvl w:val="1"/>
          <w:numId w:val="14"/>
        </w:numPr>
        <w:tabs>
          <w:tab w:pos="3017" w:val="left" w:leader="none"/>
          <w:tab w:pos="3018" w:val="left" w:leader="none"/>
        </w:tabs>
        <w:spacing w:line="340" w:lineRule="auto" w:before="1" w:after="0"/>
        <w:ind w:left="3017" w:right="213" w:hanging="453"/>
        <w:jc w:val="left"/>
        <w:rPr>
          <w:sz w:val="21"/>
        </w:rPr>
      </w:pPr>
      <w:r>
        <w:rPr>
          <w:sz w:val="21"/>
        </w:rPr>
        <w:t>有过由于肌无力累及延髓肌、呼吸肌而致机体呼吸功能异常的</w:t>
      </w:r>
      <w:r>
        <w:rPr>
          <w:spacing w:val="-3"/>
          <w:sz w:val="21"/>
        </w:rPr>
        <w:t>危急状态即肌无力危象病史。</w:t>
      </w:r>
    </w:p>
    <w:p>
      <w:pPr>
        <w:spacing w:after="0" w:line="340" w:lineRule="auto"/>
        <w:jc w:val="left"/>
        <w:rPr>
          <w:sz w:val="21"/>
        </w:rPr>
        <w:sectPr>
          <w:pgSz w:w="11910" w:h="16840"/>
          <w:pgMar w:header="0" w:footer="924" w:top="1120" w:bottom="1200" w:left="1680" w:right="1280"/>
        </w:sectPr>
      </w:pPr>
    </w:p>
    <w:p>
      <w:pPr>
        <w:pStyle w:val="ListParagraph"/>
        <w:numPr>
          <w:ilvl w:val="0"/>
          <w:numId w:val="14"/>
        </w:numPr>
        <w:tabs>
          <w:tab w:pos="2145" w:val="left" w:leader="none"/>
        </w:tabs>
        <w:spacing w:line="340" w:lineRule="auto" w:before="20" w:after="0"/>
        <w:ind w:left="2144" w:right="114" w:hanging="421"/>
        <w:jc w:val="both"/>
        <w:rPr>
          <w:sz w:val="21"/>
        </w:rPr>
      </w:pPr>
      <w:r>
        <w:rPr>
          <w:sz w:val="21"/>
        </w:rPr>
        <w:t>慢性肾上腺皮质功能减退：指自身免疫性肾上腺炎（既往称：特发性肾上腺皮质萎缩）导致肾上腺萎缩和慢性肾上腺皮质功能减退。必须由本</w:t>
      </w:r>
      <w:r>
        <w:rPr>
          <w:spacing w:val="-3"/>
          <w:sz w:val="21"/>
        </w:rPr>
        <w:t>公司认可的内分泌专科医生确诊，并且必须满足下列全部条件：</w:t>
      </w:r>
    </w:p>
    <w:p>
      <w:pPr>
        <w:pStyle w:val="BodyText"/>
        <w:rPr>
          <w:sz w:val="14"/>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血浆促肾上腺皮质激素</w:t>
      </w:r>
      <w:r>
        <w:rPr>
          <w:spacing w:val="-1"/>
          <w:sz w:val="21"/>
        </w:rPr>
        <w:t>（ACTH）</w:t>
      </w:r>
      <w:r>
        <w:rPr>
          <w:spacing w:val="-3"/>
          <w:sz w:val="21"/>
        </w:rPr>
        <w:t>水平测定大于</w:t>
      </w:r>
      <w:r>
        <w:rPr>
          <w:spacing w:val="-1"/>
          <w:sz w:val="21"/>
        </w:rPr>
        <w:t>100pg/ml；</w:t>
      </w:r>
    </w:p>
    <w:p>
      <w:pPr>
        <w:pStyle w:val="BodyText"/>
        <w:spacing w:before="7"/>
        <w:rPr>
          <w:sz w:val="20"/>
        </w:rPr>
      </w:pPr>
    </w:p>
    <w:p>
      <w:pPr>
        <w:pStyle w:val="ListParagraph"/>
        <w:numPr>
          <w:ilvl w:val="1"/>
          <w:numId w:val="14"/>
        </w:numPr>
        <w:tabs>
          <w:tab w:pos="3018" w:val="left" w:leader="none"/>
        </w:tabs>
        <w:spacing w:line="340" w:lineRule="auto" w:before="0" w:after="0"/>
        <w:ind w:left="3017" w:right="111" w:hanging="453"/>
        <w:jc w:val="both"/>
        <w:rPr>
          <w:sz w:val="21"/>
        </w:rPr>
      </w:pPr>
      <w:r>
        <w:rPr>
          <w:sz w:val="21"/>
        </w:rPr>
        <w:t>血浆和尿游离皮质醇及尿17羟皮质类固醇、17酮皮质类固醇测定、血浆肾素活性、血管紧张素Ⅱ和醛固酮测定，显示为原发</w:t>
      </w:r>
      <w:r>
        <w:rPr>
          <w:spacing w:val="-3"/>
          <w:sz w:val="21"/>
        </w:rPr>
        <w:t>性肾上腺皮质功能减退症；</w:t>
      </w:r>
    </w:p>
    <w:p>
      <w:pPr>
        <w:pStyle w:val="BodyText"/>
        <w:rPr>
          <w:sz w:val="14"/>
        </w:rPr>
      </w:pPr>
    </w:p>
    <w:p>
      <w:pPr>
        <w:pStyle w:val="ListParagraph"/>
        <w:numPr>
          <w:ilvl w:val="1"/>
          <w:numId w:val="14"/>
        </w:numPr>
        <w:tabs>
          <w:tab w:pos="3017" w:val="left" w:leader="none"/>
          <w:tab w:pos="3018" w:val="left" w:leader="none"/>
        </w:tabs>
        <w:spacing w:line="340" w:lineRule="auto" w:before="0" w:after="0"/>
        <w:ind w:left="3017" w:right="115" w:hanging="453"/>
        <w:jc w:val="left"/>
        <w:rPr>
          <w:sz w:val="21"/>
        </w:rPr>
      </w:pPr>
      <w:r>
        <w:rPr>
          <w:sz w:val="21"/>
        </w:rPr>
        <w:t>促肾上腺皮质激素（ACTH）刺激试验显示为原发性肾上腺皮质</w:t>
      </w:r>
      <w:r>
        <w:rPr>
          <w:spacing w:val="-2"/>
          <w:sz w:val="21"/>
        </w:rPr>
        <w:t>功能减退症；</w:t>
      </w:r>
    </w:p>
    <w:p>
      <w:pPr>
        <w:pStyle w:val="BodyText"/>
        <w:rPr>
          <w:sz w:val="14"/>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已经采用皮质类固醇替代治疗</w:t>
      </w:r>
      <w:r>
        <w:rPr>
          <w:sz w:val="21"/>
        </w:rPr>
        <w:t>180</w:t>
      </w:r>
      <w:r>
        <w:rPr>
          <w:spacing w:val="-3"/>
          <w:sz w:val="21"/>
        </w:rPr>
        <w:t>天以上。</w:t>
      </w:r>
    </w:p>
    <w:p>
      <w:pPr>
        <w:pStyle w:val="BodyText"/>
        <w:spacing w:before="7"/>
        <w:rPr>
          <w:sz w:val="20"/>
        </w:rPr>
      </w:pPr>
    </w:p>
    <w:p>
      <w:pPr>
        <w:spacing w:line="340" w:lineRule="auto" w:before="0"/>
        <w:ind w:left="2144" w:right="114" w:firstLine="0"/>
        <w:jc w:val="left"/>
        <w:rPr>
          <w:b/>
          <w:sz w:val="21"/>
        </w:rPr>
      </w:pPr>
      <w:r>
        <w:rPr>
          <w:sz w:val="21"/>
        </w:rPr>
        <w:t>诊断必须由本公司认可医院的专科医生确定。</w:t>
      </w:r>
      <w:r>
        <w:rPr>
          <w:b/>
          <w:sz w:val="21"/>
        </w:rPr>
        <w:t>其他任何原因导致的继发性肾上腺皮质功能减退不在本附加合同保障范围内。</w:t>
      </w:r>
    </w:p>
    <w:p>
      <w:pPr>
        <w:pStyle w:val="BodyText"/>
        <w:spacing w:before="11"/>
        <w:rPr>
          <w:b/>
          <w:sz w:val="13"/>
        </w:rPr>
      </w:pPr>
    </w:p>
    <w:p>
      <w:pPr>
        <w:pStyle w:val="ListParagraph"/>
        <w:numPr>
          <w:ilvl w:val="0"/>
          <w:numId w:val="14"/>
        </w:numPr>
        <w:tabs>
          <w:tab w:pos="2145" w:val="left" w:leader="none"/>
        </w:tabs>
        <w:spacing w:line="340" w:lineRule="auto" w:before="0" w:after="0"/>
        <w:ind w:left="2144" w:right="115" w:hanging="421"/>
        <w:jc w:val="both"/>
        <w:rPr>
          <w:sz w:val="21"/>
        </w:rPr>
      </w:pPr>
      <w:r>
        <w:rPr>
          <w:sz w:val="21"/>
        </w:rPr>
        <w:t>致坏死性筋膜炎：是一种由细菌侵入皮下组织和筋膜引起的急性坏死性软组织感染，可伴有毒血症、败血症、中毒性休克、弥漫性血管内凝血</w:t>
      </w:r>
      <w:r>
        <w:rPr>
          <w:spacing w:val="-3"/>
          <w:sz w:val="21"/>
        </w:rPr>
        <w:t>及多器官衰竭。必须满足下列全部条件：</w:t>
      </w:r>
    </w:p>
    <w:p>
      <w:pPr>
        <w:pStyle w:val="BodyText"/>
        <w:spacing w:before="1"/>
        <w:rPr>
          <w:sz w:val="14"/>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细菌培养和临床表现符合坏死性筋膜炎诊断标准；</w:t>
      </w:r>
    </w:p>
    <w:p>
      <w:pPr>
        <w:pStyle w:val="BodyText"/>
        <w:spacing w:before="7"/>
        <w:rPr>
          <w:sz w:val="20"/>
        </w:rPr>
      </w:pPr>
    </w:p>
    <w:p>
      <w:pPr>
        <w:pStyle w:val="ListParagraph"/>
        <w:numPr>
          <w:ilvl w:val="1"/>
          <w:numId w:val="14"/>
        </w:numPr>
        <w:tabs>
          <w:tab w:pos="3017" w:val="left" w:leader="none"/>
          <w:tab w:pos="3018" w:val="left" w:leader="none"/>
        </w:tabs>
        <w:spacing w:line="240" w:lineRule="auto" w:before="1" w:after="0"/>
        <w:ind w:left="3017" w:right="0" w:hanging="453"/>
        <w:jc w:val="left"/>
        <w:rPr>
          <w:sz w:val="21"/>
        </w:rPr>
      </w:pPr>
      <w:r>
        <w:rPr>
          <w:spacing w:val="-3"/>
          <w:sz w:val="21"/>
        </w:rPr>
        <w:t>病情迅速恶化，有脓毒血症表现；</w:t>
      </w:r>
    </w:p>
    <w:p>
      <w:pPr>
        <w:pStyle w:val="BodyText"/>
        <w:spacing w:before="10"/>
        <w:rPr>
          <w:sz w:val="20"/>
        </w:rPr>
      </w:pPr>
    </w:p>
    <w:p>
      <w:pPr>
        <w:pStyle w:val="ListParagraph"/>
        <w:numPr>
          <w:ilvl w:val="1"/>
          <w:numId w:val="14"/>
        </w:numPr>
        <w:tabs>
          <w:tab w:pos="3017" w:val="left" w:leader="none"/>
          <w:tab w:pos="3018" w:val="left" w:leader="none"/>
        </w:tabs>
        <w:spacing w:line="240" w:lineRule="auto" w:before="0" w:after="0"/>
        <w:ind w:left="3017" w:right="0" w:hanging="453"/>
        <w:jc w:val="left"/>
        <w:rPr>
          <w:sz w:val="21"/>
        </w:rPr>
      </w:pPr>
      <w:r>
        <w:rPr>
          <w:spacing w:val="-3"/>
          <w:sz w:val="21"/>
        </w:rPr>
        <w:t>受感染肢体被截肢（自腕关节或踝关节近端</w:t>
      </w:r>
      <w:r>
        <w:rPr>
          <w:spacing w:val="-109"/>
          <w:sz w:val="21"/>
        </w:rPr>
        <w:t>）</w:t>
      </w:r>
      <w:r>
        <w:rPr>
          <w:sz w:val="21"/>
        </w:rPr>
        <w:t>。</w:t>
      </w:r>
    </w:p>
    <w:p>
      <w:pPr>
        <w:pStyle w:val="BodyText"/>
        <w:spacing w:before="8"/>
        <w:rPr>
          <w:sz w:val="17"/>
        </w:rPr>
      </w:pPr>
    </w:p>
    <w:p>
      <w:pPr>
        <w:pStyle w:val="ListParagraph"/>
        <w:numPr>
          <w:ilvl w:val="0"/>
          <w:numId w:val="14"/>
        </w:numPr>
        <w:tabs>
          <w:tab w:pos="2145" w:val="left" w:leader="none"/>
        </w:tabs>
        <w:spacing w:line="273" w:lineRule="auto" w:before="0" w:after="0"/>
        <w:ind w:left="2144" w:right="183" w:hanging="421"/>
        <w:jc w:val="both"/>
        <w:rPr>
          <w:sz w:val="21"/>
        </w:rPr>
      </w:pPr>
      <w:r>
        <w:rPr>
          <w:spacing w:val="-3"/>
          <w:sz w:val="21"/>
        </w:rPr>
        <w:t>严重克隆病：克隆病是一种慢性肉芽肿性肠炎，具有特征性的克隆病病理组织学变化。疾病诊断必须由病理检查结果证实，并且必须经本公司认可的专科医师确认被保险人所患的克隆病已经造成瘘管形成并伴有肠梗阻或肠穿孔。</w:t>
      </w:r>
    </w:p>
    <w:p>
      <w:pPr>
        <w:pStyle w:val="ListParagraph"/>
        <w:numPr>
          <w:ilvl w:val="0"/>
          <w:numId w:val="14"/>
        </w:numPr>
        <w:tabs>
          <w:tab w:pos="2145" w:val="left" w:leader="none"/>
        </w:tabs>
        <w:spacing w:line="273" w:lineRule="auto" w:before="163" w:after="0"/>
        <w:ind w:left="2144" w:right="113" w:hanging="421"/>
        <w:jc w:val="both"/>
        <w:rPr>
          <w:sz w:val="21"/>
        </w:rPr>
      </w:pPr>
      <w:r>
        <w:rPr>
          <w:spacing w:val="-3"/>
          <w:sz w:val="21"/>
        </w:rPr>
        <w:t>系统性红斑狼疮伴肾损害：指以产生多种自身抗体，并由免疫反应介导的炎症为特征的自体免疫性疾病。系统性红斑狼疮的诊断必须由本公司认可医院合格的免疫学专科医师依据作出。</w:t>
      </w:r>
      <w:r>
        <w:rPr>
          <w:b/>
          <w:sz w:val="21"/>
        </w:rPr>
        <w:t>本附加合同所保障的系统性</w:t>
      </w:r>
      <w:r>
        <w:rPr>
          <w:b/>
          <w:spacing w:val="-2"/>
          <w:sz w:val="21"/>
        </w:rPr>
        <w:t>红斑狼疮仅限于累及肾脏的状况，</w:t>
      </w:r>
      <w:r>
        <w:rPr>
          <w:spacing w:val="-3"/>
          <w:sz w:val="21"/>
        </w:rPr>
        <w:t>且经肾脏活检确认，符合世界卫生组</w:t>
      </w:r>
      <w:r>
        <w:rPr>
          <w:spacing w:val="-8"/>
          <w:sz w:val="21"/>
        </w:rPr>
        <w:t>织关于狼疮性肾炎 </w:t>
      </w:r>
      <w:r>
        <w:rPr>
          <w:sz w:val="21"/>
        </w:rPr>
        <w:t>III</w:t>
      </w:r>
      <w:r>
        <w:rPr>
          <w:spacing w:val="-11"/>
          <w:sz w:val="21"/>
        </w:rPr>
        <w:t> 型至 </w:t>
      </w:r>
      <w:r>
        <w:rPr>
          <w:sz w:val="21"/>
        </w:rPr>
        <w:t>V</w:t>
      </w:r>
      <w:r>
        <w:rPr>
          <w:spacing w:val="-5"/>
          <w:sz w:val="21"/>
        </w:rPr>
        <w:t> 型的诊断标准，并伴有持续性蛋白尿</w:t>
      </w:r>
      <w:r>
        <w:rPr>
          <w:spacing w:val="-3"/>
          <w:sz w:val="21"/>
        </w:rPr>
        <w:t>（</w:t>
      </w:r>
      <w:r>
        <w:rPr>
          <w:sz w:val="21"/>
        </w:rPr>
        <w:t>尿</w:t>
      </w:r>
      <w:r>
        <w:rPr>
          <w:spacing w:val="-1"/>
          <w:sz w:val="21"/>
        </w:rPr>
        <w:t>蛋白 ++ 以上</w:t>
      </w:r>
      <w:r>
        <w:rPr>
          <w:spacing w:val="-108"/>
          <w:sz w:val="21"/>
        </w:rPr>
        <w:t>）</w:t>
      </w:r>
      <w:r>
        <w:rPr>
          <w:sz w:val="21"/>
        </w:rPr>
        <w:t>。</w:t>
      </w:r>
    </w:p>
    <w:p>
      <w:pPr>
        <w:pStyle w:val="BodyText"/>
        <w:spacing w:line="273" w:lineRule="auto" w:before="163"/>
        <w:ind w:left="2177" w:right="149"/>
      </w:pPr>
      <w:r>
        <w:rPr/>
        <w:t>系统性红斑狼疮的诊断依据国际普遍认可的美国风湿病学会所修订的最新诊断标准。</w:t>
      </w:r>
    </w:p>
    <w:p>
      <w:pPr>
        <w:pStyle w:val="BodyText"/>
        <w:spacing w:before="5"/>
        <w:rPr>
          <w:sz w:val="15"/>
        </w:rPr>
      </w:pPr>
    </w:p>
    <w:p>
      <w:pPr>
        <w:pStyle w:val="BodyText"/>
        <w:spacing w:line="477" w:lineRule="auto"/>
        <w:ind w:left="2144" w:right="2705"/>
      </w:pPr>
      <w:r>
        <w:rPr/>
        <w:t>世界卫生组织关于狼疮性肾炎的分型标准： 第一型 微小病变型狼疮性肾炎</w:t>
      </w:r>
    </w:p>
    <w:p>
      <w:pPr>
        <w:pStyle w:val="BodyText"/>
        <w:spacing w:before="61"/>
        <w:ind w:left="2144"/>
      </w:pPr>
      <w:r>
        <w:rPr/>
        <w:t>第二型 系膜增生型狼疮性肾炎</w:t>
      </w:r>
    </w:p>
    <w:p>
      <w:pPr>
        <w:spacing w:after="0"/>
        <w:sectPr>
          <w:pgSz w:w="11910" w:h="16840"/>
          <w:pgMar w:header="0" w:footer="924" w:top="1120" w:bottom="1200" w:left="1680" w:right="1380"/>
        </w:sectPr>
      </w:pPr>
    </w:p>
    <w:p>
      <w:pPr>
        <w:pStyle w:val="BodyText"/>
        <w:spacing w:line="477" w:lineRule="auto" w:before="20"/>
        <w:ind w:left="2144" w:right="3542"/>
      </w:pPr>
      <w:r>
        <w:rPr/>
        <w:t>第三型 局灶节段增生型狼疮性肾炎第四型 弥漫增生型狼疮性肾炎</w:t>
      </w:r>
    </w:p>
    <w:p>
      <w:pPr>
        <w:pStyle w:val="BodyText"/>
        <w:spacing w:before="23"/>
        <w:ind w:left="2144"/>
      </w:pPr>
      <w:r>
        <w:rPr/>
        <w:t>第五型 膜型狼疮性肾炎</w:t>
      </w:r>
    </w:p>
    <w:p>
      <w:pPr>
        <w:pStyle w:val="BodyText"/>
        <w:spacing w:before="9"/>
        <w:rPr>
          <w:sz w:val="14"/>
        </w:rPr>
      </w:pPr>
    </w:p>
    <w:p>
      <w:pPr>
        <w:pStyle w:val="ListParagraph"/>
        <w:numPr>
          <w:ilvl w:val="0"/>
          <w:numId w:val="14"/>
        </w:numPr>
        <w:tabs>
          <w:tab w:pos="2145" w:val="left" w:leader="none"/>
        </w:tabs>
        <w:spacing w:line="273" w:lineRule="auto" w:before="0" w:after="0"/>
        <w:ind w:left="2144" w:right="283" w:hanging="421"/>
        <w:jc w:val="both"/>
        <w:rPr>
          <w:sz w:val="21"/>
        </w:rPr>
      </w:pPr>
      <w:r>
        <w:rPr>
          <w:spacing w:val="-3"/>
          <w:sz w:val="21"/>
        </w:rPr>
        <w:t>小肠移植：指因肠道疾病或外伤，已经实施了在全身麻醉下进行的小肠的异体器官移植手术。此手术必须由专科医生认为是医学上必需的情况下进行。</w:t>
      </w:r>
    </w:p>
    <w:p>
      <w:pPr>
        <w:pStyle w:val="ListParagraph"/>
        <w:numPr>
          <w:ilvl w:val="0"/>
          <w:numId w:val="14"/>
        </w:numPr>
        <w:tabs>
          <w:tab w:pos="2145" w:val="left" w:leader="none"/>
        </w:tabs>
        <w:spacing w:line="273" w:lineRule="auto" w:before="163" w:after="0"/>
        <w:ind w:left="2144" w:right="211" w:hanging="421"/>
        <w:jc w:val="left"/>
        <w:rPr>
          <w:sz w:val="21"/>
        </w:rPr>
      </w:pPr>
      <w:r>
        <w:rPr>
          <w:spacing w:val="-3"/>
          <w:sz w:val="21"/>
        </w:rPr>
        <w:t>出血性登革热：指因出血性登革热出现全部四种症状，包括高烧、出血</w:t>
      </w:r>
      <w:r>
        <w:rPr>
          <w:spacing w:val="-19"/>
          <w:sz w:val="21"/>
        </w:rPr>
        <w:t>现象、肝肿大和循环衰竭</w:t>
      </w:r>
      <w:r>
        <w:rPr>
          <w:spacing w:val="-3"/>
          <w:sz w:val="21"/>
        </w:rPr>
        <w:t>（</w:t>
      </w:r>
      <w:r>
        <w:rPr>
          <w:spacing w:val="-11"/>
          <w:sz w:val="21"/>
        </w:rPr>
        <w:t>登革热休克综合征，即符合世界卫生组织(</w:t>
      </w:r>
      <w:r>
        <w:rPr>
          <w:sz w:val="21"/>
        </w:rPr>
        <w:t>WHO) 登革热第 III 级及 第 IV 级</w:t>
      </w:r>
      <w:r>
        <w:rPr>
          <w:spacing w:val="-106"/>
          <w:sz w:val="21"/>
        </w:rPr>
        <w:t>）</w:t>
      </w:r>
      <w:r>
        <w:rPr>
          <w:spacing w:val="-3"/>
          <w:sz w:val="21"/>
        </w:rPr>
        <w:t>。 出血性登革热的诊断必须由本公司认可医院的专科医生确诊。</w:t>
      </w:r>
    </w:p>
    <w:p>
      <w:pPr>
        <w:pStyle w:val="Heading1"/>
        <w:spacing w:before="163"/>
      </w:pPr>
      <w:r>
        <w:rPr/>
        <w:t>非出血性登革热不在本附加合同保障范围内。</w:t>
      </w:r>
    </w:p>
    <w:p>
      <w:pPr>
        <w:pStyle w:val="BodyText"/>
        <w:spacing w:before="9"/>
        <w:rPr>
          <w:b/>
          <w:sz w:val="14"/>
        </w:rPr>
      </w:pPr>
    </w:p>
    <w:p>
      <w:pPr>
        <w:pStyle w:val="ListParagraph"/>
        <w:numPr>
          <w:ilvl w:val="0"/>
          <w:numId w:val="14"/>
        </w:numPr>
        <w:tabs>
          <w:tab w:pos="2145" w:val="left" w:leader="none"/>
        </w:tabs>
        <w:spacing w:line="273" w:lineRule="auto" w:before="0" w:after="0"/>
        <w:ind w:left="2144" w:right="283" w:hanging="421"/>
        <w:jc w:val="both"/>
        <w:rPr>
          <w:sz w:val="21"/>
        </w:rPr>
      </w:pPr>
      <w:r>
        <w:rPr>
          <w:spacing w:val="-3"/>
          <w:sz w:val="21"/>
        </w:rPr>
        <w:t>进行性脊髓性肌萎缩：脊髓前角细胞及脑干运动细胞核的退化病变，以近侧的肌肉无力和萎缩为主要特征，由腿部为最先开始并逐步扩散至远侧的肌肉。此症必须由本公司认可的专科医生确诊，并有肌电图等检查证实。</w:t>
      </w:r>
    </w:p>
    <w:p>
      <w:pPr>
        <w:pStyle w:val="BodyText"/>
        <w:spacing w:line="273" w:lineRule="auto" w:before="163"/>
        <w:ind w:left="2144" w:right="276"/>
        <w:jc w:val="both"/>
        <w:rPr>
          <w:b/>
        </w:rPr>
      </w:pPr>
      <w:r>
        <w:rPr>
          <w:spacing w:val="-3"/>
        </w:rPr>
        <w:t>进行性脊髓性肌萎缩必须造成神经系统永久性功能损害并且已导致被保险人自主生活能力完全丧失，无法独立完成六项基本日常生活活动中的</w:t>
      </w:r>
      <w:r>
        <w:rPr>
          <w:spacing w:val="-7"/>
        </w:rPr>
        <w:t>三项或三项以上持续达 </w:t>
      </w:r>
      <w:r>
        <w:rPr/>
        <w:t>180</w:t>
      </w:r>
      <w:r>
        <w:rPr>
          <w:spacing w:val="-9"/>
        </w:rPr>
        <w:t> 天以上，并且</w:t>
      </w:r>
      <w:r>
        <w:rPr>
          <w:b/>
          <w:spacing w:val="-1"/>
        </w:rPr>
        <w:t>只有在被保险人年龄大于或等</w:t>
      </w:r>
    </w:p>
    <w:p>
      <w:pPr>
        <w:pStyle w:val="Heading1"/>
        <w:spacing w:before="7"/>
        <w:rPr>
          <w:b w:val="0"/>
        </w:rPr>
      </w:pPr>
      <w:r>
        <w:rPr/>
        <w:t>于 5 周岁后首次确诊此症才属于本附加合同保障范围</w:t>
      </w:r>
      <w:r>
        <w:rPr>
          <w:b w:val="0"/>
        </w:rPr>
        <w:t>。</w:t>
      </w:r>
    </w:p>
    <w:p>
      <w:pPr>
        <w:pStyle w:val="BodyText"/>
        <w:spacing w:before="9"/>
        <w:rPr>
          <w:sz w:val="14"/>
        </w:rPr>
      </w:pPr>
    </w:p>
    <w:p>
      <w:pPr>
        <w:pStyle w:val="ListParagraph"/>
        <w:numPr>
          <w:ilvl w:val="0"/>
          <w:numId w:val="14"/>
        </w:numPr>
        <w:tabs>
          <w:tab w:pos="2145" w:val="left" w:leader="none"/>
        </w:tabs>
        <w:spacing w:line="273" w:lineRule="auto" w:before="0" w:after="0"/>
        <w:ind w:left="2144" w:right="105" w:hanging="421"/>
        <w:jc w:val="left"/>
        <w:rPr>
          <w:sz w:val="21"/>
        </w:rPr>
      </w:pPr>
      <w:r>
        <w:rPr>
          <w:spacing w:val="-3"/>
          <w:sz w:val="21"/>
        </w:rPr>
        <w:t>进行性核上性麻痹：指一种隐袭起病、逐渐加重的神经系统变性疾病， </w:t>
      </w:r>
      <w:r>
        <w:rPr>
          <w:spacing w:val="-5"/>
          <w:sz w:val="21"/>
        </w:rPr>
        <w:t>必须由本公司认可的神经内科专科医生确诊，且满足下列全部临床特征：</w:t>
      </w:r>
    </w:p>
    <w:p>
      <w:pPr>
        <w:pStyle w:val="ListParagraph"/>
        <w:numPr>
          <w:ilvl w:val="1"/>
          <w:numId w:val="14"/>
        </w:numPr>
        <w:tabs>
          <w:tab w:pos="2985" w:val="left" w:leader="none"/>
        </w:tabs>
        <w:spacing w:line="240" w:lineRule="auto" w:before="163" w:after="0"/>
        <w:ind w:left="2984" w:right="0" w:hanging="387"/>
        <w:jc w:val="left"/>
        <w:rPr>
          <w:sz w:val="21"/>
        </w:rPr>
      </w:pPr>
      <w:r>
        <w:rPr>
          <w:spacing w:val="-2"/>
          <w:sz w:val="21"/>
        </w:rPr>
        <w:t>步态共济失调；</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对称性眼球垂直运动障碍；</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2"/>
          <w:sz w:val="21"/>
        </w:rPr>
        <w:t>假性球麻痹</w:t>
      </w:r>
      <w:r>
        <w:rPr>
          <w:sz w:val="21"/>
        </w:rPr>
        <w:t>（</w:t>
      </w:r>
      <w:r>
        <w:rPr>
          <w:spacing w:val="-3"/>
          <w:sz w:val="21"/>
        </w:rPr>
        <w:t>构音障碍和吞咽困难</w:t>
      </w:r>
      <w:r>
        <w:rPr>
          <w:spacing w:val="-108"/>
          <w:sz w:val="21"/>
        </w:rPr>
        <w:t>）</w:t>
      </w:r>
      <w:r>
        <w:rPr>
          <w:sz w:val="21"/>
        </w:rPr>
        <w:t>。</w:t>
      </w:r>
    </w:p>
    <w:p>
      <w:pPr>
        <w:pStyle w:val="BodyText"/>
        <w:spacing w:before="9"/>
        <w:rPr>
          <w:sz w:val="14"/>
        </w:rPr>
      </w:pPr>
    </w:p>
    <w:p>
      <w:pPr>
        <w:pStyle w:val="ListParagraph"/>
        <w:numPr>
          <w:ilvl w:val="0"/>
          <w:numId w:val="14"/>
        </w:numPr>
        <w:tabs>
          <w:tab w:pos="2145" w:val="left" w:leader="none"/>
        </w:tabs>
        <w:spacing w:line="273" w:lineRule="auto" w:before="0" w:after="0"/>
        <w:ind w:left="2144" w:right="283" w:hanging="421"/>
        <w:jc w:val="both"/>
        <w:rPr>
          <w:sz w:val="21"/>
        </w:rPr>
      </w:pPr>
      <w:r>
        <w:rPr>
          <w:spacing w:val="-3"/>
          <w:sz w:val="21"/>
        </w:rPr>
        <w:t>严重肌营养不良症：指一组遗传性肌肉变性病变，临床特征为与神经系统无关的骨骼肌肉对称地进行性无力和萎缩。此症必须由本公司认可的神经内科专科医生明确诊断，并且须满足下列全部条件：</w:t>
      </w:r>
    </w:p>
    <w:p>
      <w:pPr>
        <w:pStyle w:val="ListParagraph"/>
        <w:numPr>
          <w:ilvl w:val="1"/>
          <w:numId w:val="14"/>
        </w:numPr>
        <w:tabs>
          <w:tab w:pos="2985" w:val="left" w:leader="none"/>
        </w:tabs>
        <w:spacing w:line="240" w:lineRule="auto" w:before="163" w:after="0"/>
        <w:ind w:left="3017" w:right="0" w:hanging="420"/>
        <w:jc w:val="left"/>
        <w:rPr>
          <w:sz w:val="21"/>
        </w:rPr>
      </w:pPr>
      <w:r>
        <w:rPr>
          <w:spacing w:val="-3"/>
          <w:sz w:val="21"/>
        </w:rPr>
        <w:t>肌电图显示典型肌营养不良症的阳性改变；</w:t>
      </w:r>
    </w:p>
    <w:p>
      <w:pPr>
        <w:pStyle w:val="BodyText"/>
        <w:spacing w:before="9"/>
        <w:rPr>
          <w:sz w:val="14"/>
        </w:rPr>
      </w:pPr>
    </w:p>
    <w:p>
      <w:pPr>
        <w:pStyle w:val="ListParagraph"/>
        <w:numPr>
          <w:ilvl w:val="1"/>
          <w:numId w:val="14"/>
        </w:numPr>
        <w:tabs>
          <w:tab w:pos="2985" w:val="left" w:leader="none"/>
        </w:tabs>
        <w:spacing w:line="273" w:lineRule="auto" w:before="0" w:after="0"/>
        <w:ind w:left="3017" w:right="283" w:hanging="420"/>
        <w:jc w:val="left"/>
        <w:rPr>
          <w:sz w:val="21"/>
        </w:rPr>
      </w:pPr>
      <w:r>
        <w:rPr>
          <w:spacing w:val="-3"/>
          <w:sz w:val="21"/>
        </w:rPr>
        <w:t>肌肉活检的病理学诊断符合肌营养不良症的肌肉细胞变性、坏死等阳性改变；</w:t>
      </w:r>
    </w:p>
    <w:p>
      <w:pPr>
        <w:pStyle w:val="ListParagraph"/>
        <w:numPr>
          <w:ilvl w:val="1"/>
          <w:numId w:val="14"/>
        </w:numPr>
        <w:tabs>
          <w:tab w:pos="2985" w:val="left" w:leader="none"/>
        </w:tabs>
        <w:spacing w:line="273" w:lineRule="auto" w:before="163" w:after="0"/>
        <w:ind w:left="3017" w:right="283" w:hanging="420"/>
        <w:jc w:val="left"/>
        <w:rPr>
          <w:sz w:val="21"/>
        </w:rPr>
      </w:pPr>
      <w:r>
        <w:rPr>
          <w:spacing w:val="-3"/>
          <w:sz w:val="21"/>
        </w:rPr>
        <w:t>已导致被保险人持续超过三个月无法独立完成六项基本日常生活活动中的三项或三项以上。</w:t>
      </w:r>
    </w:p>
    <w:p>
      <w:pPr>
        <w:pStyle w:val="BodyText"/>
        <w:spacing w:line="273" w:lineRule="auto" w:before="163"/>
        <w:ind w:left="2144" w:right="283"/>
      </w:pPr>
      <w:r>
        <w:rPr/>
        <w:t>我们承担本项疾病责任不受本附加合同中“遗传性疾病，先天性畸形、变形或染色体异常”的限制。</w:t>
      </w:r>
    </w:p>
    <w:p>
      <w:pPr>
        <w:pStyle w:val="ListParagraph"/>
        <w:numPr>
          <w:ilvl w:val="0"/>
          <w:numId w:val="14"/>
        </w:numPr>
        <w:tabs>
          <w:tab w:pos="2145" w:val="left" w:leader="none"/>
        </w:tabs>
        <w:spacing w:line="273" w:lineRule="auto" w:before="163" w:after="0"/>
        <w:ind w:left="2144" w:right="211" w:hanging="421"/>
        <w:jc w:val="both"/>
        <w:rPr>
          <w:sz w:val="21"/>
        </w:rPr>
      </w:pPr>
      <w:r>
        <w:rPr>
          <w:spacing w:val="-3"/>
          <w:sz w:val="21"/>
        </w:rPr>
        <w:t>植物人状态：指脑皮质广泛性坏死而导致对自身及周边的认知能力完全丧失,但脑干功能依然存在。必须由神经专科医生明确诊断,并有头颅断</w:t>
      </w:r>
      <w:r>
        <w:rPr>
          <w:spacing w:val="-5"/>
          <w:w w:val="100"/>
          <w:sz w:val="21"/>
        </w:rPr>
        <w:t>层扫描</w:t>
      </w:r>
      <w:r>
        <w:rPr>
          <w:spacing w:val="-1"/>
          <w:w w:val="100"/>
          <w:sz w:val="21"/>
        </w:rPr>
        <w:t>（</w:t>
      </w:r>
      <w:r>
        <w:rPr>
          <w:spacing w:val="-3"/>
          <w:w w:val="100"/>
          <w:sz w:val="21"/>
        </w:rPr>
        <w:t>C</w:t>
      </w:r>
      <w:r>
        <w:rPr>
          <w:w w:val="100"/>
          <w:sz w:val="21"/>
        </w:rPr>
        <w:t>T</w:t>
      </w:r>
      <w:r>
        <w:rPr>
          <w:spacing w:val="-106"/>
          <w:w w:val="100"/>
          <w:sz w:val="21"/>
        </w:rPr>
        <w:t>）</w:t>
      </w:r>
      <w:r>
        <w:rPr>
          <w:spacing w:val="-4"/>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8"/>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8"/>
          <w:w w:val="100"/>
          <w:sz w:val="21"/>
        </w:rPr>
        <w:t>）</w:t>
      </w:r>
      <w:r>
        <w:rPr>
          <w:w w:val="100"/>
          <w:sz w:val="21"/>
        </w:rPr>
        <w:t>等影</w:t>
      </w:r>
    </w:p>
    <w:p>
      <w:pPr>
        <w:spacing w:after="0" w:line="273" w:lineRule="auto"/>
        <w:jc w:val="both"/>
        <w:rPr>
          <w:sz w:val="21"/>
        </w:rPr>
        <w:sectPr>
          <w:pgSz w:w="11910" w:h="16840"/>
          <w:pgMar w:header="0" w:footer="924" w:top="1120" w:bottom="1200" w:left="1680" w:right="1280"/>
        </w:sectPr>
      </w:pPr>
    </w:p>
    <w:p>
      <w:pPr>
        <w:spacing w:line="408" w:lineRule="auto" w:before="22"/>
        <w:ind w:left="2177" w:right="379" w:hanging="34"/>
        <w:jc w:val="left"/>
        <w:rPr>
          <w:b/>
          <w:sz w:val="21"/>
        </w:rPr>
      </w:pPr>
      <w:r>
        <w:rPr>
          <w:sz w:val="21"/>
        </w:rPr>
        <w:t>像学检查证实。上述情况必须有至少一个月的病历记录加以证实。 </w:t>
      </w:r>
      <w:r>
        <w:rPr>
          <w:b/>
          <w:sz w:val="21"/>
        </w:rPr>
        <w:t>由于酗酒或滥用药物所致的植物人状态不在本附加合同保障范围内。</w:t>
      </w:r>
    </w:p>
    <w:p>
      <w:pPr>
        <w:pStyle w:val="ListParagraph"/>
        <w:numPr>
          <w:ilvl w:val="0"/>
          <w:numId w:val="14"/>
        </w:numPr>
        <w:tabs>
          <w:tab w:pos="2145" w:val="left" w:leader="none"/>
        </w:tabs>
        <w:spacing w:line="273" w:lineRule="auto" w:before="46" w:after="0"/>
        <w:ind w:left="2144" w:right="283" w:hanging="421"/>
        <w:jc w:val="both"/>
        <w:rPr>
          <w:sz w:val="21"/>
        </w:rPr>
      </w:pPr>
      <w:r>
        <w:rPr>
          <w:spacing w:val="-3"/>
          <w:sz w:val="21"/>
        </w:rPr>
        <w:t>溶血性链球菌引起的坏疽：指包围肢体或者躯干的浅筋膜或者深筋膜受到溶血性链球菌的感染，病情在短时间内急剧恶化，且已经立刻进行了手术及清创术。最后的诊断必须由微生物或者病理学专家进行相关检查后证实。</w:t>
      </w:r>
    </w:p>
    <w:p>
      <w:pPr>
        <w:pStyle w:val="ListParagraph"/>
        <w:numPr>
          <w:ilvl w:val="0"/>
          <w:numId w:val="14"/>
        </w:numPr>
        <w:tabs>
          <w:tab w:pos="2145" w:val="left" w:leader="none"/>
        </w:tabs>
        <w:spacing w:line="273" w:lineRule="auto" w:before="163" w:after="0"/>
        <w:ind w:left="2144" w:right="211" w:hanging="421"/>
        <w:jc w:val="left"/>
        <w:rPr>
          <w:sz w:val="21"/>
        </w:rPr>
      </w:pPr>
      <w:r>
        <w:rPr>
          <w:spacing w:val="-3"/>
          <w:sz w:val="21"/>
        </w:rPr>
        <w:t>丝虫病所致象皮肿：指因丝虫感染导致淋巴阻塞性出现严重淋巴水肿， 达到国际淋巴学会淋巴水肿分期第Ⅲ期，临床表现为肢体象皮肿，患肢</w:t>
      </w:r>
      <w:r>
        <w:rPr>
          <w:spacing w:val="-7"/>
          <w:sz w:val="21"/>
        </w:rPr>
        <w:t>较健肢增粗 </w:t>
      </w:r>
      <w:r>
        <w:rPr>
          <w:sz w:val="21"/>
        </w:rPr>
        <w:t>30</w:t>
      </w:r>
      <w:r>
        <w:rPr>
          <w:spacing w:val="-10"/>
          <w:sz w:val="21"/>
        </w:rPr>
        <w:t>%以上，日常生活不能自理。此症必须由本公司认可的专科</w:t>
      </w:r>
      <w:r>
        <w:rPr>
          <w:spacing w:val="-5"/>
          <w:sz w:val="21"/>
        </w:rPr>
        <w:t>医生确诊，并且以微丝蚴化验结果阳性确认。</w:t>
      </w:r>
    </w:p>
    <w:p>
      <w:pPr>
        <w:pStyle w:val="ListParagraph"/>
        <w:numPr>
          <w:ilvl w:val="0"/>
          <w:numId w:val="14"/>
        </w:numPr>
        <w:tabs>
          <w:tab w:pos="2145" w:val="left" w:leader="none"/>
        </w:tabs>
        <w:spacing w:line="273" w:lineRule="auto" w:before="164" w:after="0"/>
        <w:ind w:left="2144" w:right="105" w:hanging="421"/>
        <w:jc w:val="left"/>
        <w:rPr>
          <w:sz w:val="21"/>
        </w:rPr>
      </w:pPr>
      <w:r>
        <w:rPr>
          <w:spacing w:val="-3"/>
          <w:sz w:val="21"/>
        </w:rPr>
        <w:t>埃博拉病毒感染：受埃博拉病毒感染导致出血性发热。埃博拉病必须经 </w:t>
      </w:r>
      <w:r>
        <w:rPr>
          <w:spacing w:val="-7"/>
          <w:sz w:val="21"/>
        </w:rPr>
        <w:t>传染病专科医生确诊，并且埃博拉病毒的存在必须经过实验室检查证实。</w:t>
      </w:r>
      <w:r>
        <w:rPr>
          <w:spacing w:val="-5"/>
          <w:sz w:val="21"/>
        </w:rPr>
        <w:t>该病必须从症状开始后三十天后持续出现并发症。</w:t>
      </w:r>
    </w:p>
    <w:p>
      <w:pPr>
        <w:pStyle w:val="ListParagraph"/>
        <w:numPr>
          <w:ilvl w:val="0"/>
          <w:numId w:val="14"/>
        </w:numPr>
        <w:tabs>
          <w:tab w:pos="2145" w:val="left" w:leader="none"/>
        </w:tabs>
        <w:spacing w:line="273" w:lineRule="auto" w:before="164" w:after="0"/>
        <w:ind w:left="2144" w:right="209" w:hanging="421"/>
        <w:jc w:val="left"/>
        <w:rPr>
          <w:sz w:val="21"/>
        </w:rPr>
      </w:pPr>
      <w:r>
        <w:rPr>
          <w:spacing w:val="-4"/>
          <w:sz w:val="21"/>
        </w:rPr>
        <w:t>经输血导致的人类免疫缺陷病毒（HIV）</w:t>
      </w:r>
      <w:r>
        <w:rPr>
          <w:spacing w:val="-5"/>
          <w:sz w:val="21"/>
        </w:rPr>
        <w:t>感染：被保险人感染上人类免疫</w:t>
      </w:r>
      <w:r>
        <w:rPr>
          <w:spacing w:val="-2"/>
          <w:sz w:val="21"/>
        </w:rPr>
        <w:t>缺陷病毒</w:t>
      </w:r>
      <w:r>
        <w:rPr>
          <w:spacing w:val="-1"/>
          <w:sz w:val="21"/>
        </w:rPr>
        <w:t>（HIV）</w:t>
      </w:r>
      <w:r>
        <w:rPr>
          <w:spacing w:val="-3"/>
          <w:sz w:val="21"/>
        </w:rPr>
        <w:t>并且须满足下列全部条件：</w:t>
      </w:r>
    </w:p>
    <w:p>
      <w:pPr>
        <w:pStyle w:val="ListParagraph"/>
        <w:numPr>
          <w:ilvl w:val="1"/>
          <w:numId w:val="14"/>
        </w:numPr>
        <w:tabs>
          <w:tab w:pos="2985" w:val="left" w:leader="none"/>
        </w:tabs>
        <w:spacing w:line="240" w:lineRule="auto" w:before="164" w:after="0"/>
        <w:ind w:left="3017" w:right="0" w:hanging="420"/>
        <w:jc w:val="left"/>
        <w:rPr>
          <w:sz w:val="21"/>
        </w:rPr>
      </w:pPr>
      <w:r>
        <w:rPr>
          <w:spacing w:val="-5"/>
          <w:w w:val="100"/>
          <w:sz w:val="21"/>
        </w:rPr>
        <w:t>被保险人因疾病接受输血治疗而感染人类免疫缺陷病毒</w:t>
      </w:r>
      <w:r>
        <w:rPr>
          <w:w w:val="100"/>
          <w:sz w:val="21"/>
        </w:rPr>
        <w:t>（H</w:t>
      </w:r>
      <w:r>
        <w:rPr>
          <w:spacing w:val="-3"/>
          <w:w w:val="100"/>
          <w:sz w:val="21"/>
        </w:rPr>
        <w:t>I</w:t>
      </w:r>
      <w:r>
        <w:rPr>
          <w:spacing w:val="-1"/>
          <w:w w:val="100"/>
          <w:sz w:val="21"/>
        </w:rPr>
        <w:t>V</w:t>
      </w:r>
      <w:r>
        <w:rPr>
          <w:spacing w:val="-108"/>
          <w:w w:val="100"/>
          <w:sz w:val="21"/>
        </w:rPr>
        <w:t>）；</w:t>
      </w:r>
    </w:p>
    <w:p>
      <w:pPr>
        <w:pStyle w:val="BodyText"/>
        <w:spacing w:before="10"/>
        <w:rPr>
          <w:sz w:val="14"/>
        </w:rPr>
      </w:pPr>
    </w:p>
    <w:p>
      <w:pPr>
        <w:pStyle w:val="ListParagraph"/>
        <w:numPr>
          <w:ilvl w:val="1"/>
          <w:numId w:val="14"/>
        </w:numPr>
        <w:tabs>
          <w:tab w:pos="2985" w:val="left" w:leader="none"/>
        </w:tabs>
        <w:spacing w:line="273" w:lineRule="auto" w:before="0" w:after="0"/>
        <w:ind w:left="3017" w:right="283" w:hanging="420"/>
        <w:jc w:val="left"/>
        <w:rPr>
          <w:sz w:val="21"/>
        </w:rPr>
      </w:pPr>
      <w:r>
        <w:rPr>
          <w:spacing w:val="-3"/>
          <w:sz w:val="21"/>
        </w:rPr>
        <w:t>提供输血治疗的输血中心或医院出具该项输血感染属医疗责任事故的报告，或经法院终审判决为医疗责任；</w:t>
      </w:r>
    </w:p>
    <w:p>
      <w:pPr>
        <w:pStyle w:val="ListParagraph"/>
        <w:numPr>
          <w:ilvl w:val="1"/>
          <w:numId w:val="14"/>
        </w:numPr>
        <w:tabs>
          <w:tab w:pos="2985" w:val="left" w:leader="none"/>
        </w:tabs>
        <w:spacing w:line="240" w:lineRule="auto" w:before="164" w:after="0"/>
        <w:ind w:left="3017" w:right="0" w:hanging="420"/>
        <w:jc w:val="left"/>
        <w:rPr>
          <w:sz w:val="21"/>
        </w:rPr>
      </w:pPr>
      <w:r>
        <w:rPr>
          <w:spacing w:val="-3"/>
          <w:sz w:val="21"/>
        </w:rPr>
        <w:t>提供输血治疗的输血中心或医院必须拥有合法经营执照；</w:t>
      </w:r>
    </w:p>
    <w:p>
      <w:pPr>
        <w:pStyle w:val="BodyText"/>
        <w:spacing w:before="9"/>
        <w:rPr>
          <w:sz w:val="14"/>
        </w:rPr>
      </w:pPr>
    </w:p>
    <w:p>
      <w:pPr>
        <w:pStyle w:val="ListParagraph"/>
        <w:numPr>
          <w:ilvl w:val="1"/>
          <w:numId w:val="14"/>
        </w:numPr>
        <w:tabs>
          <w:tab w:pos="2985" w:val="left" w:leader="none"/>
        </w:tabs>
        <w:spacing w:line="240" w:lineRule="auto" w:before="1" w:after="0"/>
        <w:ind w:left="3017" w:right="0" w:hanging="420"/>
        <w:jc w:val="left"/>
        <w:rPr>
          <w:sz w:val="21"/>
        </w:rPr>
      </w:pPr>
      <w:r>
        <w:rPr>
          <w:spacing w:val="-3"/>
          <w:sz w:val="21"/>
        </w:rPr>
        <w:t>受感染的被保险人不是血友病患者。</w:t>
      </w:r>
    </w:p>
    <w:p>
      <w:pPr>
        <w:pStyle w:val="BodyText"/>
        <w:spacing w:before="10"/>
        <w:rPr>
          <w:sz w:val="14"/>
        </w:rPr>
      </w:pPr>
    </w:p>
    <w:p>
      <w:pPr>
        <w:pStyle w:val="Heading1"/>
        <w:spacing w:line="273" w:lineRule="auto"/>
        <w:ind w:left="2177" w:right="228"/>
      </w:pPr>
      <w:r>
        <w:rPr/>
        <w:t>任何因其它传播方式（包括：性传播或静脉注射毒品）导致的人类免疫缺陷病毒（HIV）感染不在本附加合同保障范围内。</w:t>
      </w:r>
    </w:p>
    <w:p>
      <w:pPr>
        <w:pStyle w:val="BodyText"/>
        <w:spacing w:line="273" w:lineRule="auto" w:before="163"/>
        <w:ind w:left="2177" w:right="249"/>
      </w:pPr>
      <w:r>
        <w:rPr/>
        <w:t>我们必须拥有获得使用被保险人的所有血液样本的权利和能够对这些样本进行独立检验的权利。</w:t>
      </w:r>
    </w:p>
    <w:p>
      <w:pPr>
        <w:pStyle w:val="BodyText"/>
        <w:spacing w:line="273" w:lineRule="auto" w:before="163"/>
        <w:ind w:left="2177" w:right="249"/>
      </w:pPr>
      <w:r>
        <w:rPr/>
        <w:t>我们承担本项疾病责任不受本附加合同“被保险人感染艾滋病病毒或患艾滋病”的限制。</w:t>
      </w:r>
    </w:p>
    <w:p>
      <w:pPr>
        <w:pStyle w:val="ListParagraph"/>
        <w:numPr>
          <w:ilvl w:val="0"/>
          <w:numId w:val="14"/>
        </w:numPr>
        <w:tabs>
          <w:tab w:pos="2145" w:val="left" w:leader="none"/>
        </w:tabs>
        <w:spacing w:line="273" w:lineRule="auto" w:before="164" w:after="0"/>
        <w:ind w:left="2144" w:right="209" w:hanging="421"/>
        <w:jc w:val="left"/>
        <w:rPr>
          <w:sz w:val="21"/>
        </w:rPr>
      </w:pPr>
      <w:r>
        <w:rPr>
          <w:spacing w:val="-4"/>
          <w:sz w:val="21"/>
        </w:rPr>
        <w:t>因职业关系导致的人类免疫缺陷病毒（HIV）感染：被保险人在其常规职</w:t>
      </w:r>
      <w:r>
        <w:rPr>
          <w:spacing w:val="-3"/>
          <w:sz w:val="21"/>
        </w:rPr>
        <w:t>业工作过程中遭遇外伤，或职业需要处理血液或其它体液时感染上人类</w:t>
      </w:r>
      <w:r>
        <w:rPr>
          <w:spacing w:val="-3"/>
          <w:w w:val="100"/>
          <w:sz w:val="21"/>
        </w:rPr>
        <w:t>免疫缺陷病毒（</w:t>
      </w:r>
      <w:r>
        <w:rPr>
          <w:w w:val="100"/>
          <w:sz w:val="21"/>
        </w:rPr>
        <w:t>HIV</w:t>
      </w:r>
      <w:r>
        <w:rPr>
          <w:spacing w:val="-108"/>
          <w:w w:val="100"/>
          <w:sz w:val="21"/>
        </w:rPr>
        <w:t>）</w:t>
      </w:r>
      <w:r>
        <w:rPr>
          <w:spacing w:val="-3"/>
          <w:w w:val="100"/>
          <w:sz w:val="21"/>
        </w:rPr>
        <w:t>。必须满足下列全部条件：</w:t>
      </w:r>
    </w:p>
    <w:p>
      <w:pPr>
        <w:pStyle w:val="ListParagraph"/>
        <w:numPr>
          <w:ilvl w:val="1"/>
          <w:numId w:val="14"/>
        </w:numPr>
        <w:tabs>
          <w:tab w:pos="2985" w:val="left" w:leader="none"/>
        </w:tabs>
        <w:spacing w:line="273" w:lineRule="auto" w:before="163" w:after="0"/>
        <w:ind w:left="3017" w:right="283" w:hanging="420"/>
        <w:jc w:val="left"/>
        <w:rPr>
          <w:sz w:val="21"/>
        </w:rPr>
      </w:pPr>
      <w:r>
        <w:rPr>
          <w:spacing w:val="-3"/>
          <w:sz w:val="21"/>
        </w:rPr>
        <w:t>感染必须是在被保险人正在从事其职业工作中发生，该职业必须属于下列限定职业范围内的职业；</w:t>
      </w:r>
    </w:p>
    <w:p>
      <w:pPr>
        <w:pStyle w:val="ListParagraph"/>
        <w:numPr>
          <w:ilvl w:val="1"/>
          <w:numId w:val="14"/>
        </w:numPr>
        <w:tabs>
          <w:tab w:pos="2985" w:val="left" w:leader="none"/>
        </w:tabs>
        <w:spacing w:line="240" w:lineRule="auto" w:before="163" w:after="0"/>
        <w:ind w:left="3017" w:right="0" w:hanging="420"/>
        <w:jc w:val="left"/>
        <w:rPr>
          <w:sz w:val="21"/>
        </w:rPr>
      </w:pPr>
      <w:r>
        <w:rPr>
          <w:spacing w:val="-6"/>
          <w:sz w:val="21"/>
        </w:rPr>
        <w:t>血清转化必须出现在事故发生后的 </w:t>
      </w:r>
      <w:r>
        <w:rPr>
          <w:sz w:val="21"/>
        </w:rPr>
        <w:t>6</w:t>
      </w:r>
      <w:r>
        <w:rPr>
          <w:spacing w:val="-10"/>
          <w:sz w:val="21"/>
        </w:rPr>
        <w:t> 个月以内；</w:t>
      </w:r>
    </w:p>
    <w:p>
      <w:pPr>
        <w:pStyle w:val="BodyText"/>
        <w:spacing w:before="9"/>
        <w:rPr>
          <w:sz w:val="14"/>
        </w:rPr>
      </w:pPr>
    </w:p>
    <w:p>
      <w:pPr>
        <w:pStyle w:val="ListParagraph"/>
        <w:numPr>
          <w:ilvl w:val="1"/>
          <w:numId w:val="14"/>
        </w:numPr>
        <w:tabs>
          <w:tab w:pos="2985" w:val="left" w:leader="none"/>
        </w:tabs>
        <w:spacing w:line="273" w:lineRule="auto" w:before="0" w:after="0"/>
        <w:ind w:left="3017" w:right="230" w:hanging="420"/>
        <w:jc w:val="both"/>
        <w:rPr>
          <w:sz w:val="21"/>
        </w:rPr>
      </w:pPr>
      <w:r>
        <w:rPr>
          <w:spacing w:val="-6"/>
          <w:sz w:val="21"/>
        </w:rPr>
        <w:t>必须提供被保险人在所报事故发生后的 </w:t>
      </w:r>
      <w:r>
        <w:rPr>
          <w:sz w:val="21"/>
        </w:rPr>
        <w:t>5</w:t>
      </w:r>
      <w:r>
        <w:rPr>
          <w:spacing w:val="-8"/>
          <w:sz w:val="21"/>
        </w:rPr>
        <w:t> 天以内进行的检查报告，该报告必须显示被保险人血液人类免疫缺陷病毒</w:t>
      </w:r>
      <w:r>
        <w:rPr>
          <w:spacing w:val="-6"/>
          <w:sz w:val="21"/>
        </w:rPr>
        <w:t>（HIV）</w:t>
      </w:r>
      <w:r>
        <w:rPr>
          <w:spacing w:val="-22"/>
          <w:sz w:val="21"/>
        </w:rPr>
        <w:t>阴</w:t>
      </w:r>
      <w:r>
        <w:rPr>
          <w:spacing w:val="-1"/>
          <w:sz w:val="21"/>
        </w:rPr>
        <w:t>性和</w:t>
      </w:r>
      <w:r>
        <w:rPr>
          <w:spacing w:val="-3"/>
          <w:sz w:val="21"/>
        </w:rPr>
        <w:t>/或人类免疫缺陷病毒</w:t>
      </w:r>
      <w:r>
        <w:rPr>
          <w:sz w:val="21"/>
        </w:rPr>
        <w:t>（HIV）</w:t>
      </w:r>
      <w:r>
        <w:rPr>
          <w:spacing w:val="-3"/>
          <w:sz w:val="21"/>
        </w:rPr>
        <w:t>抗体阴性；</w:t>
      </w:r>
    </w:p>
    <w:p>
      <w:pPr>
        <w:pStyle w:val="ListParagraph"/>
        <w:numPr>
          <w:ilvl w:val="1"/>
          <w:numId w:val="14"/>
        </w:numPr>
        <w:tabs>
          <w:tab w:pos="2985" w:val="left" w:leader="none"/>
        </w:tabs>
        <w:spacing w:line="273" w:lineRule="auto" w:before="163" w:after="0"/>
        <w:ind w:left="3017" w:right="208" w:hanging="420"/>
        <w:jc w:val="left"/>
        <w:rPr>
          <w:sz w:val="21"/>
        </w:rPr>
      </w:pPr>
      <w:r>
        <w:rPr>
          <w:spacing w:val="-9"/>
          <w:sz w:val="21"/>
        </w:rPr>
        <w:t>必须在事故发生后的 </w:t>
      </w:r>
      <w:r>
        <w:rPr>
          <w:sz w:val="21"/>
        </w:rPr>
        <w:t>12</w:t>
      </w:r>
      <w:r>
        <w:rPr>
          <w:spacing w:val="-9"/>
          <w:sz w:val="21"/>
        </w:rPr>
        <w:t> 个月内证实被保险人体内存在人类免疫</w:t>
      </w:r>
      <w:r>
        <w:rPr>
          <w:spacing w:val="-2"/>
          <w:sz w:val="21"/>
        </w:rPr>
        <w:t>缺陷病毒</w:t>
      </w:r>
      <w:r>
        <w:rPr>
          <w:spacing w:val="-1"/>
          <w:sz w:val="21"/>
        </w:rPr>
        <w:t>（HIV）</w:t>
      </w:r>
      <w:r>
        <w:rPr>
          <w:spacing w:val="-3"/>
          <w:sz w:val="21"/>
        </w:rPr>
        <w:t>或人类免疫缺陷病毒</w:t>
      </w:r>
      <w:r>
        <w:rPr>
          <w:spacing w:val="-1"/>
          <w:sz w:val="21"/>
        </w:rPr>
        <w:t>（HIV）</w:t>
      </w:r>
      <w:r>
        <w:rPr>
          <w:spacing w:val="-2"/>
          <w:sz w:val="21"/>
        </w:rPr>
        <w:t>抗体。</w:t>
      </w:r>
    </w:p>
    <w:p>
      <w:pPr>
        <w:spacing w:after="0" w:line="273" w:lineRule="auto"/>
        <w:jc w:val="left"/>
        <w:rPr>
          <w:sz w:val="21"/>
        </w:rPr>
        <w:sectPr>
          <w:pgSz w:w="11910" w:h="16840"/>
          <w:pgMar w:header="0" w:footer="924" w:top="1080" w:bottom="1200" w:left="1680" w:right="1280"/>
        </w:sectPr>
      </w:pPr>
    </w:p>
    <w:p>
      <w:pPr>
        <w:pStyle w:val="BodyText"/>
        <w:spacing w:before="22"/>
        <w:ind w:left="2177"/>
      </w:pPr>
      <w:r>
        <w:rPr/>
        <w:t>限定职业：</w:t>
      </w:r>
    </w:p>
    <w:p>
      <w:pPr>
        <w:pStyle w:val="BodyText"/>
        <w:spacing w:before="10"/>
        <w:rPr>
          <w:sz w:val="14"/>
        </w:rPr>
      </w:pPr>
    </w:p>
    <w:p>
      <w:pPr>
        <w:pStyle w:val="BodyText"/>
        <w:spacing w:line="273" w:lineRule="auto"/>
        <w:ind w:left="2177" w:right="249"/>
      </w:pPr>
      <w:r>
        <w:rPr/>
        <w:t>医生和牙科医生、护士、实验室工作人员、医院护工、医生助理和牙医助理、救护车工作人员、助产士、消防队员、警察、狱警。</w:t>
      </w:r>
    </w:p>
    <w:p>
      <w:pPr>
        <w:pStyle w:val="Heading1"/>
        <w:spacing w:line="273" w:lineRule="auto" w:before="163"/>
        <w:ind w:left="2177" w:right="228"/>
      </w:pPr>
      <w:r>
        <w:rPr/>
        <w:t>任何因其它传播方式（包括：性传播或静脉注射毒品）导致的人类免疫缺陷病毒（HIV）感染不在本附加合同保障范围内。</w:t>
      </w:r>
    </w:p>
    <w:p>
      <w:pPr>
        <w:pStyle w:val="BodyText"/>
        <w:spacing w:line="273" w:lineRule="auto" w:before="163"/>
        <w:ind w:left="2177" w:right="249"/>
      </w:pPr>
      <w:r>
        <w:rPr/>
        <w:t>我们必须拥有获得使用被保险人的所有血液样本的权利和能够对这些样本进行独立检验的权利。</w:t>
      </w:r>
    </w:p>
    <w:p>
      <w:pPr>
        <w:pStyle w:val="BodyText"/>
        <w:spacing w:line="273" w:lineRule="auto" w:before="163"/>
        <w:ind w:left="2177" w:right="249"/>
      </w:pPr>
      <w:r>
        <w:rPr/>
        <w:t>我们承担本项疾病责任不受本附加合同“被保险人感染艾滋病病毒或患艾滋病”的限制。</w:t>
      </w:r>
    </w:p>
    <w:p>
      <w:pPr>
        <w:pStyle w:val="ListParagraph"/>
        <w:numPr>
          <w:ilvl w:val="0"/>
          <w:numId w:val="14"/>
        </w:numPr>
        <w:tabs>
          <w:tab w:pos="2145" w:val="left" w:leader="none"/>
        </w:tabs>
        <w:spacing w:line="273" w:lineRule="auto" w:before="164" w:after="0"/>
        <w:ind w:left="2144" w:right="209" w:hanging="421"/>
        <w:jc w:val="both"/>
        <w:rPr>
          <w:sz w:val="21"/>
        </w:rPr>
      </w:pPr>
      <w:r>
        <w:rPr>
          <w:spacing w:val="-4"/>
          <w:sz w:val="21"/>
        </w:rPr>
        <w:t>器官移植导致的人类免疫缺陷病毒（HIV）感染：指因进行器官移植而感</w:t>
      </w:r>
      <w:r>
        <w:rPr>
          <w:spacing w:val="-3"/>
          <w:w w:val="100"/>
          <w:sz w:val="21"/>
        </w:rPr>
        <w:t>染上人类免疫缺陷病毒（H</w:t>
      </w:r>
      <w:r>
        <w:rPr>
          <w:w w:val="100"/>
          <w:sz w:val="21"/>
        </w:rPr>
        <w:t>IV</w:t>
      </w:r>
      <w:r>
        <w:rPr>
          <w:spacing w:val="-106"/>
          <w:w w:val="100"/>
          <w:sz w:val="21"/>
        </w:rPr>
        <w:t>）</w:t>
      </w:r>
      <w:r>
        <w:rPr>
          <w:spacing w:val="-3"/>
          <w:w w:val="100"/>
          <w:sz w:val="21"/>
        </w:rPr>
        <w:t>，且须满足下列全部条件：</w:t>
      </w:r>
    </w:p>
    <w:p>
      <w:pPr>
        <w:pStyle w:val="ListParagraph"/>
        <w:numPr>
          <w:ilvl w:val="1"/>
          <w:numId w:val="14"/>
        </w:numPr>
        <w:tabs>
          <w:tab w:pos="2985" w:val="left" w:leader="none"/>
        </w:tabs>
        <w:spacing w:line="273" w:lineRule="auto" w:before="163" w:after="0"/>
        <w:ind w:left="3017" w:right="283" w:hanging="420"/>
        <w:jc w:val="left"/>
        <w:rPr>
          <w:sz w:val="21"/>
        </w:rPr>
      </w:pPr>
      <w:r>
        <w:rPr>
          <w:spacing w:val="-3"/>
          <w:sz w:val="21"/>
        </w:rPr>
        <w:t>被保险人因治疗必需而实施器官移植，并且因器官移植而感染</w:t>
      </w:r>
      <w:r>
        <w:rPr>
          <w:spacing w:val="-3"/>
          <w:w w:val="100"/>
          <w:sz w:val="21"/>
        </w:rPr>
        <w:t>人类免疫缺陷病毒（</w:t>
      </w:r>
      <w:r>
        <w:rPr>
          <w:w w:val="100"/>
          <w:sz w:val="21"/>
        </w:rPr>
        <w:t>HIV</w:t>
      </w:r>
      <w:r>
        <w:rPr>
          <w:spacing w:val="-108"/>
          <w:w w:val="100"/>
          <w:sz w:val="21"/>
        </w:rPr>
        <w:t>）</w:t>
      </w:r>
      <w:r>
        <w:rPr>
          <w:w w:val="100"/>
          <w:sz w:val="21"/>
        </w:rPr>
        <w:t>；</w:t>
      </w:r>
    </w:p>
    <w:p>
      <w:pPr>
        <w:pStyle w:val="ListParagraph"/>
        <w:numPr>
          <w:ilvl w:val="1"/>
          <w:numId w:val="14"/>
        </w:numPr>
        <w:tabs>
          <w:tab w:pos="2985" w:val="left" w:leader="none"/>
        </w:tabs>
        <w:spacing w:line="273" w:lineRule="auto" w:before="163" w:after="0"/>
        <w:ind w:left="3017" w:right="249" w:hanging="420"/>
        <w:jc w:val="both"/>
        <w:rPr>
          <w:sz w:val="21"/>
        </w:rPr>
      </w:pPr>
      <w:r>
        <w:rPr>
          <w:spacing w:val="-3"/>
          <w:sz w:val="21"/>
        </w:rPr>
        <w:t>提供器官移植治疗的器官移植中心或医院出具该项器官移植感染，属于医疗责任事故的报告，或者法院终审裁定为医疗责任并且不准上诉；</w:t>
      </w:r>
    </w:p>
    <w:p>
      <w:pPr>
        <w:pStyle w:val="ListParagraph"/>
        <w:numPr>
          <w:ilvl w:val="1"/>
          <w:numId w:val="14"/>
        </w:numPr>
        <w:tabs>
          <w:tab w:pos="2985" w:val="left" w:leader="none"/>
        </w:tabs>
        <w:spacing w:line="273" w:lineRule="auto" w:before="163" w:after="0"/>
        <w:ind w:left="3017" w:right="283" w:hanging="420"/>
        <w:jc w:val="left"/>
        <w:rPr>
          <w:sz w:val="21"/>
        </w:rPr>
      </w:pPr>
      <w:r>
        <w:rPr>
          <w:spacing w:val="-3"/>
          <w:sz w:val="21"/>
        </w:rPr>
        <w:t>提供器官移植治疗的器官移植中心或医院必须拥有合法经营执照。</w:t>
      </w:r>
    </w:p>
    <w:p>
      <w:pPr>
        <w:pStyle w:val="BodyText"/>
        <w:spacing w:line="273" w:lineRule="auto" w:before="163"/>
        <w:ind w:left="2144" w:right="185"/>
      </w:pPr>
      <w:r>
        <w:rPr/>
        <w:t>在任何治愈艾滋病或阻止人类免疫缺陷病毒（HIV）病毒作用的疗法被发现以后，或能防止艾滋病发生的医疗方法被研究出来以后，本保障将不再予以赔付。</w:t>
      </w:r>
    </w:p>
    <w:p>
      <w:pPr>
        <w:pStyle w:val="BodyText"/>
        <w:spacing w:line="273" w:lineRule="auto" w:before="163"/>
        <w:ind w:left="2144" w:right="283"/>
      </w:pPr>
      <w:r>
        <w:rPr/>
        <w:t>我们承担本项疾病责任不受本附加合同“被保险人感染艾滋病病毒或患艾滋病”的限制。</w:t>
      </w:r>
    </w:p>
    <w:p>
      <w:pPr>
        <w:pStyle w:val="ListParagraph"/>
        <w:numPr>
          <w:ilvl w:val="0"/>
          <w:numId w:val="14"/>
        </w:numPr>
        <w:tabs>
          <w:tab w:pos="2145" w:val="left" w:leader="none"/>
        </w:tabs>
        <w:spacing w:line="273" w:lineRule="auto" w:before="163" w:after="0"/>
        <w:ind w:left="2144" w:right="283" w:hanging="421"/>
        <w:jc w:val="both"/>
        <w:rPr>
          <w:sz w:val="21"/>
        </w:rPr>
      </w:pPr>
      <w:r>
        <w:rPr>
          <w:spacing w:val="-3"/>
          <w:sz w:val="21"/>
        </w:rPr>
        <w:t>严重原发性骨髓纤维化：原发性骨髓纤维化为原因不明的骨髓中成纤维细胞增殖，伴有髓外造血，表现为进行性贫血、脾肿大等症状。本病必须根据骨髓的活组织检查和周围血象检查由本公司认可的血液科专科医</w:t>
      </w:r>
      <w:r>
        <w:rPr>
          <w:spacing w:val="-5"/>
          <w:sz w:val="21"/>
        </w:rPr>
        <w:t>生明确诊断，至少符合下列条件中的三项，且符合条件的状态持续 </w:t>
      </w:r>
      <w:r>
        <w:rPr>
          <w:sz w:val="21"/>
        </w:rPr>
        <w:t>180 </w:t>
      </w:r>
      <w:r>
        <w:rPr>
          <w:spacing w:val="-3"/>
          <w:sz w:val="21"/>
        </w:rPr>
        <w:t>天及以上，并已经实际接受了针对此症的治疗：</w:t>
      </w:r>
    </w:p>
    <w:p>
      <w:pPr>
        <w:pStyle w:val="ListParagraph"/>
        <w:numPr>
          <w:ilvl w:val="1"/>
          <w:numId w:val="14"/>
        </w:numPr>
        <w:tabs>
          <w:tab w:pos="2985" w:val="left" w:leader="none"/>
        </w:tabs>
        <w:spacing w:line="240" w:lineRule="auto" w:before="163" w:after="0"/>
        <w:ind w:left="2984" w:right="0" w:hanging="387"/>
        <w:jc w:val="left"/>
        <w:rPr>
          <w:sz w:val="21"/>
        </w:rPr>
      </w:pPr>
      <w:r>
        <w:rPr>
          <w:spacing w:val="-2"/>
          <w:sz w:val="21"/>
        </w:rPr>
        <w:t>血红蛋白&lt;</w:t>
      </w:r>
      <w:r>
        <w:rPr>
          <w:spacing w:val="-1"/>
          <w:sz w:val="21"/>
        </w:rPr>
        <w:t>100g/L；</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2"/>
          <w:sz w:val="21"/>
        </w:rPr>
        <w:t>白细胞计数</w:t>
      </w:r>
      <w:r>
        <w:rPr>
          <w:sz w:val="21"/>
        </w:rPr>
        <w:t>&gt;25</w:t>
      </w:r>
      <w:r>
        <w:rPr>
          <w:spacing w:val="0"/>
          <w:sz w:val="21"/>
        </w:rPr>
        <w:t> </w:t>
      </w:r>
      <w:r>
        <w:rPr>
          <w:sz w:val="21"/>
        </w:rPr>
        <w:t>x</w:t>
      </w:r>
      <w:r>
        <w:rPr>
          <w:spacing w:val="3"/>
          <w:sz w:val="21"/>
        </w:rPr>
        <w:t> </w:t>
      </w:r>
      <w:r>
        <w:rPr>
          <w:sz w:val="21"/>
        </w:rPr>
        <w:t>10</w:t>
      </w:r>
      <w:r>
        <w:rPr>
          <w:position w:val="11"/>
          <w:sz w:val="11"/>
        </w:rPr>
        <w:t>9</w:t>
      </w:r>
      <w:r>
        <w:rPr>
          <w:sz w:val="21"/>
        </w:rPr>
        <w:t>/L；</w:t>
      </w:r>
    </w:p>
    <w:p>
      <w:pPr>
        <w:pStyle w:val="ListParagraph"/>
        <w:numPr>
          <w:ilvl w:val="1"/>
          <w:numId w:val="14"/>
        </w:numPr>
        <w:tabs>
          <w:tab w:pos="2985" w:val="left" w:leader="none"/>
        </w:tabs>
        <w:spacing w:line="240" w:lineRule="auto" w:before="192" w:after="0"/>
        <w:ind w:left="2984" w:right="0" w:hanging="387"/>
        <w:jc w:val="left"/>
        <w:rPr>
          <w:sz w:val="21"/>
        </w:rPr>
      </w:pPr>
      <w:r>
        <w:rPr>
          <w:spacing w:val="-2"/>
          <w:sz w:val="21"/>
        </w:rPr>
        <w:t>外周血原始细胞 ≥ </w:t>
      </w:r>
      <w:r>
        <w:rPr>
          <w:sz w:val="21"/>
        </w:rPr>
        <w:t>1%；</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2"/>
          <w:sz w:val="21"/>
        </w:rPr>
        <w:t>血小板计数</w:t>
      </w:r>
      <w:r>
        <w:rPr>
          <w:sz w:val="21"/>
        </w:rPr>
        <w:t>&lt;100</w:t>
      </w:r>
      <w:r>
        <w:rPr>
          <w:spacing w:val="0"/>
          <w:sz w:val="21"/>
        </w:rPr>
        <w:t> </w:t>
      </w:r>
      <w:r>
        <w:rPr>
          <w:sz w:val="21"/>
        </w:rPr>
        <w:t>x</w:t>
      </w:r>
      <w:r>
        <w:rPr>
          <w:spacing w:val="2"/>
          <w:sz w:val="21"/>
        </w:rPr>
        <w:t> </w:t>
      </w:r>
      <w:r>
        <w:rPr>
          <w:sz w:val="21"/>
        </w:rPr>
        <w:t>10</w:t>
      </w:r>
      <w:r>
        <w:rPr>
          <w:position w:val="11"/>
          <w:sz w:val="11"/>
        </w:rPr>
        <w:t>9</w:t>
      </w:r>
      <w:r>
        <w:rPr>
          <w:sz w:val="21"/>
        </w:rPr>
        <w:t>/L。</w:t>
      </w:r>
    </w:p>
    <w:p>
      <w:pPr>
        <w:pStyle w:val="Heading1"/>
        <w:spacing w:before="192"/>
        <w:ind w:left="2177"/>
      </w:pPr>
      <w:r>
        <w:rPr/>
        <w:t>任何其它病因导致的继发性骨髓纤维化不在本附加合同保障范围内。</w:t>
      </w:r>
    </w:p>
    <w:p>
      <w:pPr>
        <w:pStyle w:val="BodyText"/>
        <w:spacing w:before="9"/>
        <w:rPr>
          <w:b/>
          <w:sz w:val="14"/>
        </w:rPr>
      </w:pPr>
    </w:p>
    <w:p>
      <w:pPr>
        <w:pStyle w:val="ListParagraph"/>
        <w:numPr>
          <w:ilvl w:val="0"/>
          <w:numId w:val="14"/>
        </w:numPr>
        <w:tabs>
          <w:tab w:pos="2145" w:val="left" w:leader="none"/>
        </w:tabs>
        <w:spacing w:line="273" w:lineRule="auto" w:before="0" w:after="0"/>
        <w:ind w:left="2144" w:right="283" w:hanging="421"/>
        <w:jc w:val="both"/>
        <w:rPr>
          <w:sz w:val="21"/>
        </w:rPr>
      </w:pPr>
      <w:r>
        <w:rPr>
          <w:spacing w:val="-3"/>
          <w:sz w:val="21"/>
        </w:rPr>
        <w:t>胰腺移植：指因胰腺功能衰竭，已经实施了在全身麻醉下进行的胰腺的异体器官移植手术（供体必须是人体器官</w:t>
      </w:r>
      <w:r>
        <w:rPr>
          <w:spacing w:val="-106"/>
          <w:sz w:val="21"/>
        </w:rPr>
        <w:t>）</w:t>
      </w:r>
      <w:r>
        <w:rPr>
          <w:sz w:val="21"/>
        </w:rPr>
        <w:t>。</w:t>
      </w:r>
    </w:p>
    <w:p>
      <w:pPr>
        <w:pStyle w:val="Heading1"/>
        <w:spacing w:before="164"/>
        <w:ind w:left="2177"/>
      </w:pPr>
      <w:r>
        <w:rPr/>
        <w:t>单纯胰岛移植、部分胰腺组织或细胞的移植不在本附加合同保障范围内。</w:t>
      </w:r>
    </w:p>
    <w:p>
      <w:pPr>
        <w:spacing w:after="0"/>
        <w:sectPr>
          <w:pgSz w:w="11910" w:h="16840"/>
          <w:pgMar w:header="0" w:footer="924" w:top="1080" w:bottom="1200" w:left="1680" w:right="1280"/>
        </w:sectPr>
      </w:pPr>
    </w:p>
    <w:p>
      <w:pPr>
        <w:pStyle w:val="ListParagraph"/>
        <w:numPr>
          <w:ilvl w:val="0"/>
          <w:numId w:val="14"/>
        </w:numPr>
        <w:tabs>
          <w:tab w:pos="2145" w:val="left" w:leader="none"/>
        </w:tabs>
        <w:spacing w:line="273" w:lineRule="auto" w:before="22" w:after="0"/>
        <w:ind w:left="2144" w:right="283" w:hanging="421"/>
        <w:jc w:val="both"/>
        <w:rPr>
          <w:sz w:val="21"/>
        </w:rPr>
      </w:pPr>
      <w:r>
        <w:rPr>
          <w:spacing w:val="-3"/>
          <w:sz w:val="21"/>
        </w:rPr>
        <w:t>嗜铬细胞瘤：指肾上腺或者肾上腺外嗜铬外组织出现神经内分泌肿瘤， 并分泌过多的儿茶酚胺类，需要确实进行手术以切除肿瘤。</w:t>
      </w:r>
    </w:p>
    <w:p>
      <w:pPr>
        <w:pStyle w:val="ListParagraph"/>
        <w:numPr>
          <w:ilvl w:val="0"/>
          <w:numId w:val="14"/>
        </w:numPr>
        <w:tabs>
          <w:tab w:pos="2145" w:val="left" w:leader="none"/>
        </w:tabs>
        <w:spacing w:line="273" w:lineRule="auto" w:before="164" w:after="0"/>
        <w:ind w:left="2144" w:right="283" w:hanging="421"/>
        <w:jc w:val="both"/>
        <w:rPr>
          <w:sz w:val="21"/>
        </w:rPr>
      </w:pPr>
      <w:r>
        <w:rPr>
          <w:spacing w:val="-3"/>
          <w:sz w:val="21"/>
        </w:rPr>
        <w:t>重症骨髓增生异常综合征：骨髓增生异常综合征是起源于造血干细胞的一组骨髓克隆增生异常的疾病，表现为无效造血、难治性血细胞减少， 有转化为急性髓系白血病的风险。被保险人根据外周血和骨髓活检被本公司认可的血液科专科医生明确诊断为骨髓增生异常综合征，并且须满足下列全部条件：</w:t>
      </w:r>
    </w:p>
    <w:p>
      <w:pPr>
        <w:pStyle w:val="ListParagraph"/>
        <w:numPr>
          <w:ilvl w:val="1"/>
          <w:numId w:val="14"/>
        </w:numPr>
        <w:tabs>
          <w:tab w:pos="2985" w:val="left" w:leader="none"/>
        </w:tabs>
        <w:spacing w:line="240" w:lineRule="auto" w:before="164" w:after="0"/>
        <w:ind w:left="3017" w:right="0" w:hanging="420"/>
        <w:jc w:val="left"/>
        <w:rPr>
          <w:sz w:val="21"/>
        </w:rPr>
      </w:pPr>
      <w:r>
        <w:rPr>
          <w:w w:val="100"/>
          <w:sz w:val="21"/>
        </w:rPr>
        <w:t>FAB</w:t>
      </w:r>
      <w:r>
        <w:rPr>
          <w:spacing w:val="-53"/>
          <w:sz w:val="21"/>
        </w:rPr>
        <w:t> </w:t>
      </w:r>
      <w:r>
        <w:rPr>
          <w:spacing w:val="-3"/>
          <w:w w:val="100"/>
          <w:sz w:val="21"/>
        </w:rPr>
        <w:t>分类为难治性贫血伴原始细胞增多（</w:t>
      </w:r>
      <w:r>
        <w:rPr>
          <w:w w:val="100"/>
          <w:sz w:val="21"/>
        </w:rPr>
        <w:t>RAE</w:t>
      </w:r>
      <w:r>
        <w:rPr>
          <w:spacing w:val="-3"/>
          <w:w w:val="100"/>
          <w:sz w:val="21"/>
        </w:rPr>
        <w:t>B</w:t>
      </w:r>
      <w:r>
        <w:rPr>
          <w:spacing w:val="-105"/>
          <w:w w:val="100"/>
          <w:sz w:val="21"/>
        </w:rPr>
        <w:t>）</w:t>
      </w:r>
      <w:r>
        <w:rPr>
          <w:w w:val="100"/>
          <w:sz w:val="21"/>
        </w:rPr>
        <w:t>；</w:t>
      </w:r>
    </w:p>
    <w:p>
      <w:pPr>
        <w:pStyle w:val="BodyText"/>
        <w:spacing w:before="10"/>
        <w:rPr>
          <w:sz w:val="14"/>
        </w:rPr>
      </w:pPr>
    </w:p>
    <w:p>
      <w:pPr>
        <w:pStyle w:val="ListParagraph"/>
        <w:numPr>
          <w:ilvl w:val="1"/>
          <w:numId w:val="14"/>
        </w:numPr>
        <w:tabs>
          <w:tab w:pos="2985" w:val="left" w:leader="none"/>
        </w:tabs>
        <w:spacing w:line="273" w:lineRule="auto" w:before="0" w:after="0"/>
        <w:ind w:left="3017" w:right="283" w:hanging="420"/>
        <w:jc w:val="left"/>
        <w:rPr>
          <w:sz w:val="21"/>
        </w:rPr>
      </w:pPr>
      <w:r>
        <w:rPr>
          <w:spacing w:val="-3"/>
          <w:w w:val="100"/>
          <w:sz w:val="21"/>
        </w:rPr>
        <w:t>根据“骨髓增生异常综合征修订国际预后积分系统</w:t>
      </w:r>
      <w:r>
        <w:rPr>
          <w:w w:val="100"/>
          <w:sz w:val="21"/>
        </w:rPr>
        <w:t>（IPS</w:t>
      </w:r>
      <w:r>
        <w:rPr>
          <w:spacing w:val="-3"/>
          <w:w w:val="100"/>
          <w:sz w:val="21"/>
        </w:rPr>
        <w:t>S</w:t>
      </w:r>
      <w:r>
        <w:rPr>
          <w:w w:val="100"/>
          <w:sz w:val="21"/>
        </w:rPr>
        <w:t>-R</w:t>
      </w:r>
      <w:r>
        <w:rPr>
          <w:spacing w:val="-106"/>
          <w:w w:val="100"/>
          <w:sz w:val="21"/>
        </w:rPr>
        <w:t>）”</w:t>
      </w:r>
      <w:r>
        <w:rPr>
          <w:spacing w:val="-1"/>
          <w:sz w:val="21"/>
        </w:rPr>
        <w:t>积分≥3</w:t>
      </w:r>
      <w:r>
        <w:rPr>
          <w:spacing w:val="-3"/>
          <w:sz w:val="21"/>
        </w:rPr>
        <w:t>，属于中危及以上组。</w:t>
      </w:r>
    </w:p>
    <w:p>
      <w:pPr>
        <w:pStyle w:val="ListParagraph"/>
        <w:numPr>
          <w:ilvl w:val="0"/>
          <w:numId w:val="14"/>
        </w:numPr>
        <w:tabs>
          <w:tab w:pos="2145" w:val="left" w:leader="none"/>
        </w:tabs>
        <w:spacing w:line="273" w:lineRule="auto" w:before="164" w:after="0"/>
        <w:ind w:left="2144" w:right="105" w:hanging="421"/>
        <w:jc w:val="left"/>
        <w:rPr>
          <w:sz w:val="21"/>
        </w:rPr>
      </w:pPr>
      <w:r>
        <w:rPr>
          <w:spacing w:val="-3"/>
          <w:sz w:val="21"/>
        </w:rPr>
        <w:t>自体造血干细胞移植：指由于患者自身骨髓造血功能异常或为了达到治 </w:t>
      </w:r>
      <w:r>
        <w:rPr>
          <w:spacing w:val="-6"/>
          <w:sz w:val="21"/>
        </w:rPr>
        <w:t>疗肿瘤的目的，采集患者自己的一部分造血干细胞，分离并深低温保存， </w:t>
      </w:r>
      <w:r>
        <w:rPr>
          <w:spacing w:val="-4"/>
          <w:sz w:val="21"/>
        </w:rPr>
        <w:t>再回输给患者使患者的造血功能和免疫功能重新恢复的一种治疗方法。 </w:t>
      </w:r>
      <w:r>
        <w:rPr>
          <w:spacing w:val="-3"/>
          <w:sz w:val="21"/>
        </w:rPr>
        <w:t>该治疗须由本公司认可的血液科专科医生认为在临床上是必需的，并且 已经实际实施了此项治疗。</w:t>
      </w:r>
    </w:p>
    <w:p>
      <w:pPr>
        <w:pStyle w:val="ListParagraph"/>
        <w:numPr>
          <w:ilvl w:val="0"/>
          <w:numId w:val="14"/>
        </w:numPr>
        <w:tabs>
          <w:tab w:pos="2145" w:val="left" w:leader="none"/>
        </w:tabs>
        <w:spacing w:line="273" w:lineRule="auto" w:before="163" w:after="0"/>
        <w:ind w:left="2144" w:right="283" w:hanging="421"/>
        <w:jc w:val="both"/>
        <w:rPr>
          <w:sz w:val="21"/>
        </w:rPr>
      </w:pPr>
      <w:r>
        <w:rPr>
          <w:spacing w:val="-3"/>
          <w:sz w:val="21"/>
        </w:rPr>
        <w:t>肾髓质囊性病：肾髓质囊性病的诊断必须由本公司认可的医院的专科医生确诊，并且必须满足下列全部条件：</w:t>
      </w:r>
    </w:p>
    <w:p>
      <w:pPr>
        <w:pStyle w:val="ListParagraph"/>
        <w:numPr>
          <w:ilvl w:val="1"/>
          <w:numId w:val="14"/>
        </w:numPr>
        <w:tabs>
          <w:tab w:pos="2985" w:val="left" w:leader="none"/>
        </w:tabs>
        <w:spacing w:line="240" w:lineRule="auto" w:before="163" w:after="0"/>
        <w:ind w:left="2984" w:right="0" w:hanging="387"/>
        <w:jc w:val="left"/>
        <w:rPr>
          <w:sz w:val="21"/>
        </w:rPr>
      </w:pPr>
      <w:r>
        <w:rPr>
          <w:spacing w:val="-3"/>
          <w:sz w:val="21"/>
        </w:rPr>
        <w:t>肾髓质有囊肿、肾小管萎缩及间质纤维化等病理改变；</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2"/>
          <w:sz w:val="21"/>
        </w:rPr>
        <w:t>肾功能衰竭；</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诊断须由肾组织活检确定。</w:t>
      </w:r>
    </w:p>
    <w:p>
      <w:pPr>
        <w:pStyle w:val="BodyText"/>
        <w:spacing w:before="9"/>
        <w:rPr>
          <w:sz w:val="14"/>
        </w:rPr>
      </w:pPr>
    </w:p>
    <w:p>
      <w:pPr>
        <w:pStyle w:val="Heading1"/>
        <w:ind w:left="2177"/>
      </w:pPr>
      <w:r>
        <w:rPr/>
        <w:t>其他的肾脏囊性病变不在本附加合同保障范围内。</w:t>
      </w:r>
    </w:p>
    <w:p>
      <w:pPr>
        <w:pStyle w:val="BodyText"/>
        <w:spacing w:before="9"/>
        <w:rPr>
          <w:b/>
          <w:sz w:val="14"/>
        </w:rPr>
      </w:pPr>
    </w:p>
    <w:p>
      <w:pPr>
        <w:pStyle w:val="ListParagraph"/>
        <w:numPr>
          <w:ilvl w:val="0"/>
          <w:numId w:val="14"/>
        </w:numPr>
        <w:tabs>
          <w:tab w:pos="2145" w:val="left" w:leader="none"/>
        </w:tabs>
        <w:spacing w:line="273" w:lineRule="auto" w:before="0" w:after="0"/>
        <w:ind w:left="2144" w:right="283" w:hanging="421"/>
        <w:jc w:val="both"/>
        <w:rPr>
          <w:sz w:val="21"/>
        </w:rPr>
      </w:pPr>
      <w:r>
        <w:rPr>
          <w:spacing w:val="-3"/>
          <w:sz w:val="21"/>
        </w:rPr>
        <w:t>系统性硬皮病：指一种以局限性或弥漫性皮肤增厚和皮肤、血管、内脏器官异常纤维化为特征的结缔组织病。本病须经专科医师明确诊断，并须满足下列至少一项条件：</w:t>
      </w:r>
    </w:p>
    <w:p>
      <w:pPr>
        <w:pStyle w:val="ListParagraph"/>
        <w:numPr>
          <w:ilvl w:val="1"/>
          <w:numId w:val="14"/>
        </w:numPr>
        <w:tabs>
          <w:tab w:pos="2985" w:val="left" w:leader="none"/>
        </w:tabs>
        <w:spacing w:line="240" w:lineRule="auto" w:before="163" w:after="0"/>
        <w:ind w:left="3017" w:right="0" w:hanging="420"/>
        <w:jc w:val="left"/>
        <w:rPr>
          <w:sz w:val="21"/>
        </w:rPr>
      </w:pPr>
      <w:r>
        <w:rPr>
          <w:spacing w:val="-3"/>
          <w:sz w:val="21"/>
        </w:rPr>
        <w:t>肺脏：肺部病变进而发展为肺间质纤维化和肺动脉高压；</w:t>
      </w:r>
    </w:p>
    <w:p>
      <w:pPr>
        <w:pStyle w:val="BodyText"/>
        <w:spacing w:before="9"/>
        <w:rPr>
          <w:sz w:val="14"/>
        </w:rPr>
      </w:pPr>
    </w:p>
    <w:p>
      <w:pPr>
        <w:pStyle w:val="ListParagraph"/>
        <w:numPr>
          <w:ilvl w:val="1"/>
          <w:numId w:val="14"/>
        </w:numPr>
        <w:tabs>
          <w:tab w:pos="2985" w:val="left" w:leader="none"/>
        </w:tabs>
        <w:spacing w:line="273" w:lineRule="auto" w:before="1" w:after="0"/>
        <w:ind w:left="3017" w:right="235" w:hanging="420"/>
        <w:jc w:val="left"/>
        <w:rPr>
          <w:sz w:val="21"/>
        </w:rPr>
      </w:pPr>
      <w:r>
        <w:rPr>
          <w:spacing w:val="-4"/>
          <w:sz w:val="21"/>
        </w:rPr>
        <w:t>心脏：心功能受损达到美国纽约心脏病学会心功能状态分级 </w:t>
      </w:r>
      <w:r>
        <w:rPr>
          <w:spacing w:val="-3"/>
          <w:sz w:val="21"/>
        </w:rPr>
        <w:t>IV </w:t>
      </w:r>
      <w:r>
        <w:rPr>
          <w:sz w:val="21"/>
        </w:rPr>
        <w:t>级；</w:t>
      </w:r>
    </w:p>
    <w:p>
      <w:pPr>
        <w:pStyle w:val="ListParagraph"/>
        <w:numPr>
          <w:ilvl w:val="1"/>
          <w:numId w:val="14"/>
        </w:numPr>
        <w:tabs>
          <w:tab w:pos="2985" w:val="left" w:leader="none"/>
        </w:tabs>
        <w:spacing w:line="408" w:lineRule="auto" w:before="164" w:after="0"/>
        <w:ind w:left="2177" w:right="108" w:firstLine="420"/>
        <w:jc w:val="left"/>
        <w:rPr>
          <w:b/>
          <w:sz w:val="21"/>
        </w:rPr>
      </w:pPr>
      <w:r>
        <w:rPr>
          <w:spacing w:val="-6"/>
          <w:sz w:val="21"/>
        </w:rPr>
        <w:t>肾脏：肾脏受损导致双肾功能慢性不可逆衰竭，达到尿毒症期。</w:t>
      </w:r>
      <w:r>
        <w:rPr>
          <w:b/>
          <w:spacing w:val="-6"/>
          <w:sz w:val="21"/>
        </w:rPr>
        <w:t>下列疾病不在本附加合同保障范围内：</w:t>
      </w:r>
    </w:p>
    <w:p>
      <w:pPr>
        <w:pStyle w:val="Heading1"/>
        <w:numPr>
          <w:ilvl w:val="0"/>
          <w:numId w:val="15"/>
        </w:numPr>
        <w:tabs>
          <w:tab w:pos="2985" w:val="left" w:leader="none"/>
        </w:tabs>
        <w:spacing w:line="240" w:lineRule="auto" w:before="45" w:after="0"/>
        <w:ind w:left="2984" w:right="0" w:hanging="387"/>
        <w:jc w:val="left"/>
      </w:pPr>
      <w:r>
        <w:rPr>
          <w:w w:val="100"/>
        </w:rPr>
        <w:t>局限性硬皮病（</w:t>
      </w:r>
      <w:r>
        <w:rPr>
          <w:spacing w:val="-3"/>
          <w:w w:val="100"/>
        </w:rPr>
        <w:t>包括带状硬皮病、硬斑病</w:t>
      </w:r>
      <w:r>
        <w:rPr>
          <w:spacing w:val="-106"/>
          <w:w w:val="100"/>
        </w:rPr>
        <w:t>）</w:t>
      </w:r>
      <w:r>
        <w:rPr>
          <w:w w:val="100"/>
        </w:rPr>
        <w:t>；</w:t>
      </w:r>
    </w:p>
    <w:p>
      <w:pPr>
        <w:pStyle w:val="BodyText"/>
        <w:spacing w:before="9"/>
        <w:rPr>
          <w:b/>
          <w:sz w:val="14"/>
        </w:rPr>
      </w:pPr>
    </w:p>
    <w:p>
      <w:pPr>
        <w:pStyle w:val="ListParagraph"/>
        <w:numPr>
          <w:ilvl w:val="0"/>
          <w:numId w:val="15"/>
        </w:numPr>
        <w:tabs>
          <w:tab w:pos="2985" w:val="left" w:leader="none"/>
        </w:tabs>
        <w:spacing w:line="240" w:lineRule="auto" w:before="0" w:after="0"/>
        <w:ind w:left="2984" w:right="0" w:hanging="387"/>
        <w:jc w:val="left"/>
        <w:rPr>
          <w:b/>
          <w:sz w:val="21"/>
        </w:rPr>
      </w:pPr>
      <w:r>
        <w:rPr>
          <w:b/>
          <w:sz w:val="21"/>
        </w:rPr>
        <w:t>嗜酸细胞性筋膜炎；</w:t>
      </w:r>
    </w:p>
    <w:p>
      <w:pPr>
        <w:pStyle w:val="BodyText"/>
        <w:spacing w:before="9"/>
        <w:rPr>
          <w:b/>
          <w:sz w:val="14"/>
        </w:rPr>
      </w:pPr>
    </w:p>
    <w:p>
      <w:pPr>
        <w:pStyle w:val="ListParagraph"/>
        <w:numPr>
          <w:ilvl w:val="0"/>
          <w:numId w:val="15"/>
        </w:numPr>
        <w:tabs>
          <w:tab w:pos="2985" w:val="left" w:leader="none"/>
        </w:tabs>
        <w:spacing w:line="240" w:lineRule="auto" w:before="0" w:after="0"/>
        <w:ind w:left="2984" w:right="0" w:hanging="387"/>
        <w:jc w:val="left"/>
        <w:rPr>
          <w:b/>
          <w:sz w:val="21"/>
        </w:rPr>
      </w:pPr>
      <w:r>
        <w:rPr>
          <w:b/>
          <w:sz w:val="21"/>
        </w:rPr>
        <w:t>CREST</w:t>
      </w:r>
      <w:r>
        <w:rPr>
          <w:b/>
          <w:spacing w:val="-12"/>
          <w:sz w:val="21"/>
        </w:rPr>
        <w:t> 综合征。</w:t>
      </w:r>
    </w:p>
    <w:p>
      <w:pPr>
        <w:pStyle w:val="BodyText"/>
        <w:spacing w:before="9"/>
        <w:rPr>
          <w:b/>
          <w:sz w:val="14"/>
        </w:rPr>
      </w:pPr>
    </w:p>
    <w:p>
      <w:pPr>
        <w:pStyle w:val="ListParagraph"/>
        <w:numPr>
          <w:ilvl w:val="0"/>
          <w:numId w:val="14"/>
        </w:numPr>
        <w:tabs>
          <w:tab w:pos="2145" w:val="left" w:leader="none"/>
        </w:tabs>
        <w:spacing w:line="273" w:lineRule="auto" w:before="0" w:after="0"/>
        <w:ind w:left="2144" w:right="283" w:hanging="421"/>
        <w:jc w:val="both"/>
        <w:rPr>
          <w:sz w:val="21"/>
        </w:rPr>
      </w:pPr>
      <w:r>
        <w:rPr>
          <w:spacing w:val="-3"/>
          <w:sz w:val="21"/>
        </w:rPr>
        <w:t>严重慢性缩窄型心包炎：由于慢性心包炎症导致心包脏层和壁层广泛瘢痕粘连、增厚和钙化，心包腔闭塞，形成一个纤维瘢痕外壳，使心脏和大血管根部受压，阻碍心脏的舒张。</w:t>
      </w:r>
    </w:p>
    <w:p>
      <w:pPr>
        <w:pStyle w:val="BodyText"/>
        <w:spacing w:before="163"/>
        <w:ind w:left="2177"/>
      </w:pPr>
      <w:r>
        <w:rPr/>
        <w:t>被保险人被本公司认可的医院的专科医生明确诊断为慢性缩窄性心包炎</w:t>
      </w:r>
    </w:p>
    <w:p>
      <w:pPr>
        <w:spacing w:after="0"/>
        <w:sectPr>
          <w:pgSz w:w="11910" w:h="16840"/>
          <w:pgMar w:header="0" w:footer="924" w:top="1080" w:bottom="1200" w:left="1680" w:right="1280"/>
        </w:sectPr>
      </w:pPr>
    </w:p>
    <w:p>
      <w:pPr>
        <w:pStyle w:val="BodyText"/>
        <w:spacing w:before="22"/>
        <w:ind w:left="2177"/>
      </w:pPr>
      <w:r>
        <w:rPr/>
        <w:t>且必须满足下列全部条件：</w:t>
      </w:r>
    </w:p>
    <w:p>
      <w:pPr>
        <w:pStyle w:val="BodyText"/>
        <w:spacing w:before="10"/>
        <w:rPr>
          <w:sz w:val="14"/>
        </w:rPr>
      </w:pPr>
    </w:p>
    <w:p>
      <w:pPr>
        <w:pStyle w:val="ListParagraph"/>
        <w:numPr>
          <w:ilvl w:val="1"/>
          <w:numId w:val="14"/>
        </w:numPr>
        <w:tabs>
          <w:tab w:pos="2985" w:val="left" w:leader="none"/>
        </w:tabs>
        <w:spacing w:line="273" w:lineRule="auto" w:before="0" w:after="0"/>
        <w:ind w:left="3017" w:right="208" w:hanging="420"/>
        <w:jc w:val="left"/>
        <w:rPr>
          <w:sz w:val="21"/>
        </w:rPr>
      </w:pPr>
      <w:r>
        <w:rPr>
          <w:spacing w:val="-5"/>
          <w:sz w:val="21"/>
        </w:rPr>
        <w:t>心功能衰竭达到美国纽约心脏病学会心功能状态分级 </w:t>
      </w:r>
      <w:r>
        <w:rPr>
          <w:sz w:val="21"/>
        </w:rPr>
        <w:t>IV</w:t>
      </w:r>
      <w:r>
        <w:rPr>
          <w:spacing w:val="-19"/>
          <w:sz w:val="21"/>
        </w:rPr>
        <w:t> 级，并</w:t>
      </w:r>
      <w:r>
        <w:rPr>
          <w:spacing w:val="-30"/>
          <w:sz w:val="21"/>
        </w:rPr>
        <w:t>持续 </w:t>
      </w:r>
      <w:r>
        <w:rPr>
          <w:sz w:val="21"/>
        </w:rPr>
        <w:t>180</w:t>
      </w:r>
      <w:r>
        <w:rPr>
          <w:spacing w:val="-12"/>
          <w:sz w:val="21"/>
        </w:rPr>
        <w:t> 天以上；</w:t>
      </w:r>
    </w:p>
    <w:p>
      <w:pPr>
        <w:pStyle w:val="ListParagraph"/>
        <w:numPr>
          <w:ilvl w:val="1"/>
          <w:numId w:val="14"/>
        </w:numPr>
        <w:tabs>
          <w:tab w:pos="2985" w:val="left" w:leader="none"/>
        </w:tabs>
        <w:spacing w:line="273" w:lineRule="auto" w:before="163" w:after="0"/>
        <w:ind w:left="3017" w:right="494" w:hanging="420"/>
        <w:jc w:val="left"/>
        <w:rPr>
          <w:sz w:val="21"/>
        </w:rPr>
      </w:pPr>
      <w:r>
        <w:rPr>
          <w:spacing w:val="-3"/>
          <w:sz w:val="21"/>
        </w:rPr>
        <w:t>实际接受了以下任何一种手术路径的心包剥脱或心包切除手术；胸骨正中切口；双侧前胸切口；左前胸肋间切口。</w:t>
      </w:r>
    </w:p>
    <w:p>
      <w:pPr>
        <w:pStyle w:val="Heading1"/>
        <w:spacing w:line="273" w:lineRule="auto" w:before="163"/>
        <w:ind w:left="2177" w:right="228"/>
      </w:pPr>
      <w:r>
        <w:rPr/>
        <w:t>经胸腔镜、胸壁打孔进行的手术、心包粘连松解手术不在本附加合同保障范围内。</w:t>
      </w:r>
    </w:p>
    <w:p>
      <w:pPr>
        <w:pStyle w:val="ListParagraph"/>
        <w:numPr>
          <w:ilvl w:val="0"/>
          <w:numId w:val="14"/>
        </w:numPr>
        <w:tabs>
          <w:tab w:pos="2145" w:val="left" w:leader="none"/>
        </w:tabs>
        <w:spacing w:line="273" w:lineRule="auto" w:before="163" w:after="0"/>
        <w:ind w:left="2144" w:right="283" w:hanging="421"/>
        <w:jc w:val="left"/>
        <w:rPr>
          <w:sz w:val="21"/>
        </w:rPr>
      </w:pPr>
      <w:r>
        <w:rPr>
          <w:spacing w:val="-3"/>
          <w:sz w:val="21"/>
        </w:rPr>
        <w:t>严重传染性心内膜炎：指因感染性微生物造成心脏内膜发炎，经由专科医生确诊，并须满足下列全部条件:</w:t>
      </w:r>
    </w:p>
    <w:p>
      <w:pPr>
        <w:pStyle w:val="ListParagraph"/>
        <w:numPr>
          <w:ilvl w:val="1"/>
          <w:numId w:val="14"/>
        </w:numPr>
        <w:tabs>
          <w:tab w:pos="2985" w:val="left" w:leader="none"/>
        </w:tabs>
        <w:spacing w:line="273" w:lineRule="auto" w:before="164" w:after="0"/>
        <w:ind w:left="3017" w:right="283" w:hanging="420"/>
        <w:jc w:val="left"/>
        <w:rPr>
          <w:sz w:val="21"/>
        </w:rPr>
      </w:pPr>
      <w:r>
        <w:rPr>
          <w:spacing w:val="-3"/>
          <w:sz w:val="21"/>
        </w:rPr>
        <w:t>以下方法之一血液培养测试结果为阳性，证实存在感染性微生物：</w:t>
      </w:r>
    </w:p>
    <w:p>
      <w:pPr>
        <w:pStyle w:val="BodyText"/>
        <w:tabs>
          <w:tab w:pos="3399" w:val="left" w:leader="none"/>
        </w:tabs>
        <w:spacing w:line="273" w:lineRule="auto" w:before="163"/>
        <w:ind w:left="3399" w:right="288" w:hanging="483"/>
      </w:pPr>
      <w:r>
        <w:rPr/>
        <w:t>①</w:t>
        <w:tab/>
      </w:r>
      <w:r>
        <w:rPr>
          <w:spacing w:val="-3"/>
        </w:rPr>
        <w:t>微生物：在赘生物或心脏内脓疡经培养或组织检查证实有 微生物；</w:t>
      </w:r>
    </w:p>
    <w:p>
      <w:pPr>
        <w:pStyle w:val="BodyText"/>
        <w:tabs>
          <w:tab w:pos="3399" w:val="left" w:leader="none"/>
        </w:tabs>
        <w:spacing w:line="249" w:lineRule="auto" w:before="93"/>
        <w:ind w:left="3399" w:right="288" w:hanging="483"/>
      </w:pPr>
      <w:r>
        <w:rPr/>
        <w:t>②</w:t>
        <w:tab/>
        <w:t>病</w:t>
      </w:r>
      <w:r>
        <w:rPr>
          <w:rFonts w:ascii="Malgun Gothic" w:hAnsi="Malgun Gothic" w:eastAsia="Malgun Gothic" w:hint="eastAsia"/>
        </w:rPr>
        <w:t>理</w:t>
      </w:r>
      <w:r>
        <w:rPr>
          <w:spacing w:val="-3"/>
        </w:rPr>
        <w:t>性病灶：组织检查证实赘生物或心脏内脓疡有活动性 心内膜炎；</w:t>
      </w:r>
    </w:p>
    <w:p>
      <w:pPr>
        <w:pStyle w:val="BodyText"/>
        <w:spacing w:before="1"/>
        <w:rPr>
          <w:sz w:val="14"/>
        </w:rPr>
      </w:pPr>
    </w:p>
    <w:p>
      <w:pPr>
        <w:pStyle w:val="BodyText"/>
        <w:tabs>
          <w:tab w:pos="3399" w:val="left" w:leader="none"/>
        </w:tabs>
        <w:ind w:left="2917"/>
      </w:pPr>
      <w:r>
        <w:rPr/>
        <w:t>③</w:t>
        <w:tab/>
      </w:r>
      <w:r>
        <w:rPr>
          <w:spacing w:val="-3"/>
        </w:rPr>
        <w:t>分别两次血液培养证实有微生物，且与心内膜炎符合；</w:t>
      </w:r>
    </w:p>
    <w:p>
      <w:pPr>
        <w:pStyle w:val="BodyText"/>
        <w:spacing w:before="9"/>
        <w:rPr>
          <w:sz w:val="14"/>
        </w:rPr>
      </w:pPr>
    </w:p>
    <w:p>
      <w:pPr>
        <w:pStyle w:val="ListParagraph"/>
        <w:numPr>
          <w:ilvl w:val="1"/>
          <w:numId w:val="14"/>
        </w:numPr>
        <w:tabs>
          <w:tab w:pos="2985" w:val="left" w:leader="none"/>
        </w:tabs>
        <w:spacing w:line="273" w:lineRule="auto" w:before="1" w:after="0"/>
        <w:ind w:left="3017" w:right="283" w:hanging="420"/>
        <w:jc w:val="left"/>
        <w:rPr>
          <w:sz w:val="21"/>
        </w:rPr>
      </w:pPr>
      <w:r>
        <w:rPr>
          <w:spacing w:val="-3"/>
          <w:sz w:val="21"/>
        </w:rPr>
        <w:t>出现明显的心功能衰竭（指按照美国纽约心脏病学会提出的心功能状态分级的标准判定，心功能状态已达Ⅳ级</w:t>
      </w:r>
      <w:r>
        <w:rPr>
          <w:spacing w:val="-108"/>
          <w:sz w:val="21"/>
        </w:rPr>
        <w:t>）</w:t>
      </w:r>
      <w:r>
        <w:rPr>
          <w:sz w:val="21"/>
        </w:rPr>
        <w:t>。</w:t>
      </w:r>
    </w:p>
    <w:p>
      <w:pPr>
        <w:pStyle w:val="ListParagraph"/>
        <w:numPr>
          <w:ilvl w:val="0"/>
          <w:numId w:val="14"/>
        </w:numPr>
        <w:tabs>
          <w:tab w:pos="2145" w:val="left" w:leader="none"/>
        </w:tabs>
        <w:spacing w:line="273" w:lineRule="auto" w:before="164" w:after="0"/>
        <w:ind w:left="2144" w:right="107" w:hanging="421"/>
        <w:jc w:val="left"/>
        <w:rPr>
          <w:sz w:val="21"/>
        </w:rPr>
      </w:pPr>
      <w:r>
        <w:rPr>
          <w:spacing w:val="-3"/>
          <w:sz w:val="21"/>
        </w:rPr>
        <w:t>严重瑞氏综合征：瑞氏综合征是线粒体功能障碍性疾病。其导致脂肪代 谢障碍，引起短链脂肪酸、血氨升高，造成脑水肿。主要临床表现为急 </w:t>
      </w:r>
      <w:r>
        <w:rPr>
          <w:spacing w:val="-7"/>
          <w:sz w:val="21"/>
        </w:rPr>
        <w:t>性发热、反复呕吐、惊厥及意识障碍等等。肝脏活检是确诊的重要手段。</w:t>
      </w:r>
      <w:r>
        <w:rPr>
          <w:spacing w:val="-5"/>
          <w:sz w:val="21"/>
        </w:rPr>
        <w:t>此症必须由本公司认可医院的儿科专科医生确诊，并须满足下列全部条 件：</w:t>
      </w:r>
    </w:p>
    <w:p>
      <w:pPr>
        <w:pStyle w:val="ListParagraph"/>
        <w:numPr>
          <w:ilvl w:val="1"/>
          <w:numId w:val="14"/>
        </w:numPr>
        <w:tabs>
          <w:tab w:pos="2985" w:val="left" w:leader="none"/>
        </w:tabs>
        <w:spacing w:line="240" w:lineRule="auto" w:before="163" w:after="0"/>
        <w:ind w:left="2984" w:right="0" w:hanging="387"/>
        <w:jc w:val="left"/>
        <w:rPr>
          <w:sz w:val="21"/>
        </w:rPr>
      </w:pPr>
      <w:r>
        <w:rPr>
          <w:spacing w:val="-3"/>
          <w:sz w:val="21"/>
        </w:rPr>
        <w:t>有脑水肿和颅内压升高的脑脊液检查和影像学检查证据；</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8"/>
          <w:sz w:val="21"/>
        </w:rPr>
        <w:t>血氨超过正常值的 </w:t>
      </w:r>
      <w:r>
        <w:rPr>
          <w:sz w:val="21"/>
        </w:rPr>
        <w:t>3</w:t>
      </w:r>
      <w:r>
        <w:rPr>
          <w:spacing w:val="-17"/>
          <w:sz w:val="21"/>
        </w:rPr>
        <w:t> 倍；</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6"/>
          <w:sz w:val="21"/>
        </w:rPr>
        <w:t>临床出现昏迷，病程至少达到疾病分期第 </w:t>
      </w:r>
      <w:r>
        <w:rPr>
          <w:sz w:val="21"/>
        </w:rPr>
        <w:t>3</w:t>
      </w:r>
      <w:r>
        <w:rPr>
          <w:spacing w:val="-17"/>
          <w:sz w:val="21"/>
        </w:rPr>
        <w:t> 期。</w:t>
      </w:r>
    </w:p>
    <w:p>
      <w:pPr>
        <w:pStyle w:val="BodyText"/>
        <w:spacing w:before="10"/>
        <w:rPr>
          <w:sz w:val="14"/>
        </w:rPr>
      </w:pPr>
    </w:p>
    <w:p>
      <w:pPr>
        <w:pStyle w:val="ListParagraph"/>
        <w:numPr>
          <w:ilvl w:val="0"/>
          <w:numId w:val="14"/>
        </w:numPr>
        <w:tabs>
          <w:tab w:pos="2145" w:val="left" w:leader="none"/>
        </w:tabs>
        <w:spacing w:line="273" w:lineRule="auto" w:before="0" w:after="0"/>
        <w:ind w:left="2144" w:right="105" w:hanging="421"/>
        <w:jc w:val="both"/>
        <w:rPr>
          <w:sz w:val="21"/>
        </w:rPr>
      </w:pPr>
      <w:r>
        <w:rPr>
          <w:spacing w:val="-3"/>
          <w:sz w:val="21"/>
        </w:rPr>
        <w:t>慢性复发性胰腺炎：有腹痛等典型症状的胰腺炎反复发作，导致胰腺进 行性破坏，并导致胰腺功能紊乱而导致严重糖尿病以及营养不良、恶液 质。CT</w:t>
      </w:r>
      <w:r>
        <w:rPr>
          <w:spacing w:val="-9"/>
          <w:sz w:val="21"/>
        </w:rPr>
        <w:t> 检查证实胰腺存在广泛钙化，且必须接受酶替代以及胰岛素替代</w:t>
      </w:r>
      <w:r>
        <w:rPr>
          <w:spacing w:val="-18"/>
          <w:sz w:val="21"/>
        </w:rPr>
        <w:t>治疗 </w:t>
      </w:r>
      <w:r>
        <w:rPr>
          <w:sz w:val="21"/>
        </w:rPr>
        <w:t>6</w:t>
      </w:r>
      <w:r>
        <w:rPr>
          <w:spacing w:val="-10"/>
          <w:sz w:val="21"/>
        </w:rPr>
        <w:t> 个月以上。诊断必须由本公司认可的医院的消化科专科医生确诊。</w:t>
      </w:r>
    </w:p>
    <w:p>
      <w:pPr>
        <w:pStyle w:val="Heading1"/>
        <w:spacing w:before="163"/>
        <w:ind w:left="2177"/>
      </w:pPr>
      <w:r>
        <w:rPr/>
        <w:t>酒精导致的慢性复发性胰腺炎不在本附加合同保障范围内。</w:t>
      </w:r>
    </w:p>
    <w:p>
      <w:pPr>
        <w:pStyle w:val="BodyText"/>
        <w:spacing w:before="9"/>
        <w:rPr>
          <w:b/>
          <w:sz w:val="14"/>
        </w:rPr>
      </w:pPr>
    </w:p>
    <w:p>
      <w:pPr>
        <w:pStyle w:val="ListParagraph"/>
        <w:numPr>
          <w:ilvl w:val="0"/>
          <w:numId w:val="14"/>
        </w:numPr>
        <w:tabs>
          <w:tab w:pos="2145" w:val="left" w:leader="none"/>
        </w:tabs>
        <w:spacing w:line="273" w:lineRule="auto" w:before="0" w:after="0"/>
        <w:ind w:left="2144" w:right="105" w:hanging="421"/>
        <w:jc w:val="left"/>
        <w:rPr>
          <w:sz w:val="21"/>
        </w:rPr>
      </w:pPr>
      <w:r>
        <w:rPr>
          <w:spacing w:val="-3"/>
          <w:sz w:val="21"/>
        </w:rPr>
        <w:t>原发性硬化性胆管炎：指一种胆汁淤积综合征，其特征是肝内、肝外胆 道因纤维化性炎症逐渐狭窄，并最终导致完全阻塞而发展为肝硬化。本 </w:t>
      </w:r>
      <w:r>
        <w:rPr>
          <w:spacing w:val="-5"/>
          <w:sz w:val="21"/>
        </w:rPr>
        <w:t>病须经内镜逆行胰胆管造影等影像学检查证实，并须满足下列全部条件：</w:t>
      </w:r>
    </w:p>
    <w:p>
      <w:pPr>
        <w:pStyle w:val="ListParagraph"/>
        <w:numPr>
          <w:ilvl w:val="1"/>
          <w:numId w:val="14"/>
        </w:numPr>
        <w:tabs>
          <w:tab w:pos="2985" w:val="left" w:leader="none"/>
        </w:tabs>
        <w:spacing w:line="240" w:lineRule="auto" w:before="163" w:after="0"/>
        <w:ind w:left="2984" w:right="0" w:hanging="387"/>
        <w:jc w:val="left"/>
        <w:rPr>
          <w:sz w:val="21"/>
        </w:rPr>
      </w:pPr>
      <w:r>
        <w:rPr>
          <w:spacing w:val="-5"/>
          <w:sz w:val="21"/>
        </w:rPr>
        <w:t>总胆红素和直接胆红素同时升高，血清 </w:t>
      </w:r>
      <w:r>
        <w:rPr>
          <w:sz w:val="21"/>
        </w:rPr>
        <w:t>ALP&gt;200U/L；</w:t>
      </w:r>
    </w:p>
    <w:p>
      <w:pPr>
        <w:pStyle w:val="BodyText"/>
        <w:spacing w:before="9"/>
        <w:rPr>
          <w:sz w:val="14"/>
        </w:rPr>
      </w:pPr>
    </w:p>
    <w:p>
      <w:pPr>
        <w:pStyle w:val="ListParagraph"/>
        <w:numPr>
          <w:ilvl w:val="1"/>
          <w:numId w:val="14"/>
        </w:numPr>
        <w:tabs>
          <w:tab w:pos="2985" w:val="left" w:leader="none"/>
        </w:tabs>
        <w:spacing w:line="240" w:lineRule="auto" w:before="1" w:after="0"/>
        <w:ind w:left="2984" w:right="0" w:hanging="387"/>
        <w:jc w:val="left"/>
        <w:rPr>
          <w:sz w:val="21"/>
        </w:rPr>
      </w:pPr>
      <w:r>
        <w:rPr>
          <w:spacing w:val="-3"/>
          <w:sz w:val="21"/>
        </w:rPr>
        <w:t>持续性黄疸病史；</w:t>
      </w:r>
    </w:p>
    <w:p>
      <w:pPr>
        <w:spacing w:after="0" w:line="240" w:lineRule="auto"/>
        <w:jc w:val="left"/>
        <w:rPr>
          <w:sz w:val="21"/>
        </w:rPr>
        <w:sectPr>
          <w:pgSz w:w="11910" w:h="16840"/>
          <w:pgMar w:header="0" w:footer="924" w:top="1080" w:bottom="1200" w:left="1680" w:right="1280"/>
        </w:sectPr>
      </w:pPr>
    </w:p>
    <w:p>
      <w:pPr>
        <w:pStyle w:val="ListParagraph"/>
        <w:numPr>
          <w:ilvl w:val="1"/>
          <w:numId w:val="14"/>
        </w:numPr>
        <w:tabs>
          <w:tab w:pos="2985" w:val="left" w:leader="none"/>
        </w:tabs>
        <w:spacing w:line="240" w:lineRule="auto" w:before="22" w:after="0"/>
        <w:ind w:left="2984" w:right="0" w:hanging="387"/>
        <w:jc w:val="left"/>
        <w:rPr>
          <w:sz w:val="21"/>
        </w:rPr>
      </w:pPr>
      <w:r>
        <w:rPr>
          <w:spacing w:val="-3"/>
          <w:sz w:val="21"/>
        </w:rPr>
        <w:t>出现胆汁性肝硬化或门脉高压。</w:t>
      </w:r>
    </w:p>
    <w:p>
      <w:pPr>
        <w:pStyle w:val="BodyText"/>
        <w:spacing w:before="10"/>
        <w:rPr>
          <w:sz w:val="14"/>
        </w:rPr>
      </w:pPr>
    </w:p>
    <w:p>
      <w:pPr>
        <w:pStyle w:val="Heading1"/>
        <w:spacing w:line="273" w:lineRule="auto"/>
        <w:ind w:left="2177" w:right="439"/>
      </w:pPr>
      <w:r>
        <w:rPr/>
        <w:t>因肿瘤或胆管损伤等继发性的硬化性胆管炎不在本附加合同保障范围内。</w:t>
      </w:r>
    </w:p>
    <w:p>
      <w:pPr>
        <w:pStyle w:val="ListParagraph"/>
        <w:numPr>
          <w:ilvl w:val="0"/>
          <w:numId w:val="14"/>
        </w:numPr>
        <w:tabs>
          <w:tab w:pos="2145" w:val="left" w:leader="none"/>
        </w:tabs>
        <w:spacing w:line="273" w:lineRule="auto" w:before="163" w:after="0"/>
        <w:ind w:left="2144" w:right="283" w:hanging="421"/>
        <w:jc w:val="both"/>
        <w:rPr>
          <w:sz w:val="21"/>
        </w:rPr>
      </w:pPr>
      <w:r>
        <w:rPr>
          <w:spacing w:val="-3"/>
          <w:sz w:val="21"/>
        </w:rPr>
        <w:t>严重溃疡性结肠炎：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ListParagraph"/>
        <w:numPr>
          <w:ilvl w:val="0"/>
          <w:numId w:val="14"/>
        </w:numPr>
        <w:tabs>
          <w:tab w:pos="2145" w:val="left" w:leader="none"/>
        </w:tabs>
        <w:spacing w:line="273" w:lineRule="auto" w:before="163" w:after="0"/>
        <w:ind w:left="2144" w:right="283" w:hanging="421"/>
        <w:jc w:val="both"/>
        <w:rPr>
          <w:sz w:val="21"/>
        </w:rPr>
      </w:pPr>
      <w:r>
        <w:rPr>
          <w:spacing w:val="-3"/>
          <w:sz w:val="21"/>
        </w:rPr>
        <w:t>严重面部烧伤：指面部烧伤程度为Ⅲ度，且Ⅲ度烧伤的面积达到面部表</w:t>
      </w:r>
      <w:r>
        <w:rPr>
          <w:spacing w:val="-14"/>
          <w:sz w:val="21"/>
        </w:rPr>
        <w:t>面积的 </w:t>
      </w:r>
      <w:r>
        <w:rPr>
          <w:sz w:val="21"/>
        </w:rPr>
        <w:t>80</w:t>
      </w:r>
      <w:r>
        <w:rPr>
          <w:spacing w:val="-14"/>
          <w:sz w:val="21"/>
        </w:rPr>
        <w:t>％或者 </w:t>
      </w:r>
      <w:r>
        <w:rPr>
          <w:sz w:val="21"/>
        </w:rPr>
        <w:t>80</w:t>
      </w:r>
      <w:r>
        <w:rPr>
          <w:spacing w:val="-3"/>
          <w:sz w:val="21"/>
        </w:rPr>
        <w:t>％以上。</w:t>
      </w:r>
    </w:p>
    <w:p>
      <w:pPr>
        <w:pStyle w:val="ListParagraph"/>
        <w:numPr>
          <w:ilvl w:val="0"/>
          <w:numId w:val="14"/>
        </w:numPr>
        <w:tabs>
          <w:tab w:pos="2145" w:val="left" w:leader="none"/>
        </w:tabs>
        <w:spacing w:line="273" w:lineRule="auto" w:before="164" w:after="0"/>
        <w:ind w:left="2144" w:right="283" w:hanging="421"/>
        <w:jc w:val="both"/>
        <w:rPr>
          <w:sz w:val="21"/>
        </w:rPr>
      </w:pPr>
      <w:r>
        <w:rPr>
          <w:spacing w:val="-3"/>
          <w:sz w:val="21"/>
        </w:rPr>
        <w:t>严重肠道疾病并发症：因严重肠道疾病或外伤导致小肠损害，并且必须满足下列全部条件：</w:t>
      </w:r>
    </w:p>
    <w:p>
      <w:pPr>
        <w:pStyle w:val="ListParagraph"/>
        <w:numPr>
          <w:ilvl w:val="1"/>
          <w:numId w:val="14"/>
        </w:numPr>
        <w:tabs>
          <w:tab w:pos="2985" w:val="left" w:leader="none"/>
        </w:tabs>
        <w:spacing w:line="240" w:lineRule="auto" w:before="164" w:after="0"/>
        <w:ind w:left="2984" w:right="0" w:hanging="387"/>
        <w:jc w:val="left"/>
        <w:rPr>
          <w:sz w:val="21"/>
        </w:rPr>
      </w:pPr>
      <w:r>
        <w:rPr>
          <w:spacing w:val="-3"/>
          <w:sz w:val="21"/>
        </w:rPr>
        <w:t>至少切除了三分之二长度的小肠；</w:t>
      </w:r>
    </w:p>
    <w:p>
      <w:pPr>
        <w:pStyle w:val="BodyText"/>
        <w:spacing w:before="10"/>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6"/>
          <w:sz w:val="21"/>
        </w:rPr>
        <w:t>施行完全场外营养支持的治疗超过 </w:t>
      </w:r>
      <w:r>
        <w:rPr>
          <w:sz w:val="21"/>
        </w:rPr>
        <w:t>90</w:t>
      </w:r>
      <w:r>
        <w:rPr>
          <w:spacing w:val="-17"/>
          <w:sz w:val="21"/>
        </w:rPr>
        <w:t> 天。</w:t>
      </w:r>
    </w:p>
    <w:p>
      <w:pPr>
        <w:pStyle w:val="BodyText"/>
        <w:spacing w:before="9"/>
        <w:rPr>
          <w:sz w:val="14"/>
        </w:rPr>
      </w:pPr>
    </w:p>
    <w:p>
      <w:pPr>
        <w:pStyle w:val="ListParagraph"/>
        <w:numPr>
          <w:ilvl w:val="0"/>
          <w:numId w:val="14"/>
        </w:numPr>
        <w:tabs>
          <w:tab w:pos="2145" w:val="left" w:leader="none"/>
        </w:tabs>
        <w:spacing w:line="273" w:lineRule="auto" w:before="1" w:after="0"/>
        <w:ind w:left="2144" w:right="283" w:hanging="421"/>
        <w:jc w:val="both"/>
        <w:rPr>
          <w:sz w:val="21"/>
        </w:rPr>
      </w:pPr>
      <w:r>
        <w:rPr>
          <w:spacing w:val="-3"/>
          <w:sz w:val="21"/>
        </w:rPr>
        <w:t>疾病或外伤所致智力障碍：因严重头部创伤或疾病造成被保险人智力低下或智力残疾。根据智商</w:t>
      </w:r>
      <w:r>
        <w:rPr>
          <w:spacing w:val="-1"/>
          <w:sz w:val="21"/>
        </w:rPr>
        <w:t>（IQ）</w:t>
      </w:r>
      <w:r>
        <w:rPr>
          <w:spacing w:val="-3"/>
          <w:sz w:val="21"/>
        </w:rPr>
        <w:t>智力低下分为轻度</w:t>
      </w:r>
      <w:r>
        <w:rPr>
          <w:sz w:val="21"/>
        </w:rPr>
        <w:t>（IQ50-69</w:t>
      </w:r>
      <w:r>
        <w:rPr>
          <w:spacing w:val="-1"/>
          <w:sz w:val="21"/>
        </w:rPr>
        <w:t>)；中度</w:t>
      </w:r>
    </w:p>
    <w:p>
      <w:pPr>
        <w:pStyle w:val="BodyText"/>
        <w:spacing w:line="273" w:lineRule="auto" w:before="8"/>
        <w:ind w:left="2144" w:right="105"/>
      </w:pPr>
      <w:r>
        <w:rPr>
          <w:w w:val="100"/>
        </w:rPr>
        <w:t>（IQ3</w:t>
      </w:r>
      <w:r>
        <w:rPr>
          <w:spacing w:val="-3"/>
          <w:w w:val="100"/>
        </w:rPr>
        <w:t>5</w:t>
      </w:r>
      <w:r>
        <w:rPr>
          <w:w w:val="100"/>
        </w:rPr>
        <w:t>-49</w:t>
      </w:r>
      <w:r>
        <w:rPr>
          <w:spacing w:val="-106"/>
          <w:w w:val="100"/>
        </w:rPr>
        <w:t>）</w:t>
      </w:r>
      <w:r>
        <w:rPr>
          <w:spacing w:val="-6"/>
          <w:w w:val="100"/>
        </w:rPr>
        <w:t>；重度</w:t>
      </w:r>
      <w:r>
        <w:rPr>
          <w:spacing w:val="-3"/>
          <w:w w:val="100"/>
        </w:rPr>
        <w:t>（</w:t>
      </w:r>
      <w:r>
        <w:rPr>
          <w:w w:val="100"/>
        </w:rPr>
        <w:t>IQ2</w:t>
      </w:r>
      <w:r>
        <w:rPr>
          <w:spacing w:val="-3"/>
          <w:w w:val="100"/>
        </w:rPr>
        <w:t>0-</w:t>
      </w:r>
      <w:r>
        <w:rPr>
          <w:w w:val="100"/>
        </w:rPr>
        <w:t>34</w:t>
      </w:r>
      <w:r>
        <w:rPr>
          <w:spacing w:val="-8"/>
          <w:w w:val="100"/>
        </w:rPr>
        <w:t>）</w:t>
      </w:r>
      <w:r>
        <w:rPr>
          <w:spacing w:val="-4"/>
          <w:w w:val="100"/>
        </w:rPr>
        <w:t>和极重度</w:t>
      </w:r>
      <w:r>
        <w:rPr>
          <w:spacing w:val="-3"/>
          <w:w w:val="100"/>
        </w:rPr>
        <w:t>（</w:t>
      </w:r>
      <w:r>
        <w:rPr>
          <w:w w:val="100"/>
        </w:rPr>
        <w:t>IQ&lt;</w:t>
      </w:r>
      <w:r>
        <w:rPr>
          <w:spacing w:val="-3"/>
          <w:w w:val="100"/>
        </w:rPr>
        <w:t>2</w:t>
      </w:r>
      <w:r>
        <w:rPr>
          <w:spacing w:val="-1"/>
          <w:w w:val="100"/>
        </w:rPr>
        <w:t>0</w:t>
      </w:r>
      <w:r>
        <w:rPr>
          <w:spacing w:val="-108"/>
          <w:w w:val="100"/>
        </w:rPr>
        <w:t>）</w:t>
      </w:r>
      <w:r>
        <w:rPr>
          <w:spacing w:val="-3"/>
          <w:w w:val="100"/>
        </w:rPr>
        <w:t>。智商的检测须由本公</w:t>
      </w:r>
      <w:r>
        <w:rPr>
          <w:spacing w:val="-5"/>
        </w:rPr>
        <w:t>司认可的医院的儿童或成人精神卫生科、心理科或神经科专科医生进行。</w:t>
      </w:r>
      <w:r>
        <w:rPr>
          <w:spacing w:val="-4"/>
        </w:rPr>
        <w:t>根据被保险人年龄采用对应的智力量表如韦克斯勒智力量表</w:t>
      </w:r>
      <w:r>
        <w:rPr>
          <w:spacing w:val="-3"/>
        </w:rPr>
        <w:t>（</w:t>
      </w:r>
      <w:r>
        <w:rPr>
          <w:spacing w:val="-2"/>
        </w:rPr>
        <w:t>儿童智力 </w:t>
      </w:r>
      <w:r>
        <w:rPr>
          <w:spacing w:val="-3"/>
        </w:rPr>
        <w:t>量表或成人智力量表</w:t>
      </w:r>
      <w:r>
        <w:rPr>
          <w:spacing w:val="-106"/>
        </w:rPr>
        <w:t>）</w:t>
      </w:r>
      <w:r>
        <w:rPr/>
        <w:t>。</w:t>
      </w:r>
    </w:p>
    <w:p>
      <w:pPr>
        <w:pStyle w:val="BodyText"/>
        <w:spacing w:before="164"/>
        <w:ind w:left="2177"/>
      </w:pPr>
      <w:r>
        <w:rPr/>
        <w:t>理赔时必须满足下列全部条件：</w:t>
      </w:r>
    </w:p>
    <w:p>
      <w:pPr>
        <w:pStyle w:val="BodyText"/>
        <w:spacing w:before="10"/>
        <w:rPr>
          <w:sz w:val="14"/>
        </w:rPr>
      </w:pPr>
    </w:p>
    <w:p>
      <w:pPr>
        <w:pStyle w:val="ListParagraph"/>
        <w:numPr>
          <w:ilvl w:val="1"/>
          <w:numId w:val="14"/>
        </w:numPr>
        <w:tabs>
          <w:tab w:pos="2985" w:val="left" w:leader="none"/>
        </w:tabs>
        <w:spacing w:line="273" w:lineRule="auto" w:before="0" w:after="0"/>
        <w:ind w:left="3017" w:right="283" w:hanging="420"/>
        <w:jc w:val="left"/>
        <w:rPr>
          <w:sz w:val="21"/>
        </w:rPr>
      </w:pPr>
      <w:r>
        <w:rPr>
          <w:spacing w:val="-3"/>
          <w:sz w:val="21"/>
        </w:rPr>
        <w:t>造成被保险人智力低下或智力残疾的严重头部创伤或疾病</w:t>
      </w:r>
      <w:r>
        <w:rPr>
          <w:sz w:val="21"/>
        </w:rPr>
        <w:t>（以</w:t>
      </w:r>
      <w:r>
        <w:rPr>
          <w:spacing w:val="-2"/>
          <w:sz w:val="21"/>
        </w:rPr>
        <w:t>诊断日期为准</w:t>
      </w:r>
      <w:r>
        <w:rPr>
          <w:spacing w:val="-3"/>
          <w:sz w:val="21"/>
        </w:rPr>
        <w:t>）发生在被保险人六周岁以后；</w:t>
      </w:r>
    </w:p>
    <w:p>
      <w:pPr>
        <w:pStyle w:val="ListParagraph"/>
        <w:numPr>
          <w:ilvl w:val="1"/>
          <w:numId w:val="14"/>
        </w:numPr>
        <w:tabs>
          <w:tab w:pos="2985" w:val="left" w:leader="none"/>
        </w:tabs>
        <w:spacing w:line="273" w:lineRule="auto" w:before="163" w:after="0"/>
        <w:ind w:left="3017" w:right="283" w:hanging="420"/>
        <w:jc w:val="left"/>
        <w:rPr>
          <w:sz w:val="21"/>
        </w:rPr>
      </w:pPr>
      <w:r>
        <w:rPr>
          <w:spacing w:val="-3"/>
          <w:sz w:val="21"/>
        </w:rPr>
        <w:t>本公司认可医院的专科医生确诊被保险人由于严重头部创伤或疾病造成智力低下或智力残疾；</w:t>
      </w:r>
    </w:p>
    <w:p>
      <w:pPr>
        <w:pStyle w:val="ListParagraph"/>
        <w:numPr>
          <w:ilvl w:val="1"/>
          <w:numId w:val="14"/>
        </w:numPr>
        <w:tabs>
          <w:tab w:pos="2985" w:val="left" w:leader="none"/>
        </w:tabs>
        <w:spacing w:line="273" w:lineRule="auto" w:before="163" w:after="0"/>
        <w:ind w:left="3017" w:right="249" w:hanging="420"/>
        <w:jc w:val="both"/>
        <w:rPr>
          <w:sz w:val="21"/>
        </w:rPr>
      </w:pPr>
      <w:r>
        <w:rPr>
          <w:spacing w:val="-3"/>
          <w:sz w:val="21"/>
        </w:rPr>
        <w:t>本公司认可医院的儿童或成人精神卫生科、心理科或神经科专科医生做的检测证实被保险人智力低下或智力残疾</w:t>
      </w:r>
      <w:r>
        <w:rPr>
          <w:sz w:val="21"/>
        </w:rPr>
        <w:t>（</w:t>
      </w:r>
      <w:r>
        <w:rPr>
          <w:spacing w:val="-2"/>
          <w:sz w:val="21"/>
        </w:rPr>
        <w:t>轻度、中</w:t>
      </w:r>
      <w:r>
        <w:rPr>
          <w:spacing w:val="-3"/>
          <w:w w:val="100"/>
          <w:sz w:val="21"/>
        </w:rPr>
        <w:t>度、重度或极重度</w:t>
      </w:r>
      <w:r>
        <w:rPr>
          <w:spacing w:val="-108"/>
          <w:w w:val="100"/>
          <w:sz w:val="21"/>
        </w:rPr>
        <w:t>）</w:t>
      </w:r>
      <w:r>
        <w:rPr>
          <w:w w:val="100"/>
          <w:sz w:val="21"/>
        </w:rPr>
        <w:t>；</w:t>
      </w:r>
    </w:p>
    <w:p>
      <w:pPr>
        <w:pStyle w:val="ListParagraph"/>
        <w:numPr>
          <w:ilvl w:val="1"/>
          <w:numId w:val="14"/>
        </w:numPr>
        <w:tabs>
          <w:tab w:pos="2985" w:val="left" w:leader="none"/>
        </w:tabs>
        <w:spacing w:line="240" w:lineRule="auto" w:before="163" w:after="0"/>
        <w:ind w:left="3017" w:right="0" w:hanging="420"/>
        <w:jc w:val="left"/>
        <w:rPr>
          <w:sz w:val="21"/>
        </w:rPr>
      </w:pPr>
      <w:r>
        <w:rPr>
          <w:spacing w:val="-5"/>
          <w:sz w:val="21"/>
        </w:rPr>
        <w:t>被保险人的智力低下或智力残疾自确诊日起持续 </w:t>
      </w:r>
      <w:r>
        <w:rPr>
          <w:sz w:val="21"/>
        </w:rPr>
        <w:t>180</w:t>
      </w:r>
      <w:r>
        <w:rPr>
          <w:spacing w:val="-10"/>
          <w:sz w:val="21"/>
        </w:rPr>
        <w:t> 天以上。</w:t>
      </w:r>
    </w:p>
    <w:p>
      <w:pPr>
        <w:pStyle w:val="BodyText"/>
        <w:spacing w:before="9"/>
        <w:rPr>
          <w:sz w:val="14"/>
        </w:rPr>
      </w:pPr>
    </w:p>
    <w:p>
      <w:pPr>
        <w:pStyle w:val="ListParagraph"/>
        <w:numPr>
          <w:ilvl w:val="0"/>
          <w:numId w:val="14"/>
        </w:numPr>
        <w:tabs>
          <w:tab w:pos="2145" w:val="left" w:leader="none"/>
        </w:tabs>
        <w:spacing w:line="273" w:lineRule="auto" w:before="0" w:after="0"/>
        <w:ind w:left="2144" w:right="283" w:hanging="421"/>
        <w:jc w:val="both"/>
        <w:rPr>
          <w:sz w:val="21"/>
        </w:rPr>
      </w:pPr>
      <w:r>
        <w:rPr>
          <w:spacing w:val="-3"/>
          <w:sz w:val="21"/>
        </w:rPr>
        <w:t>非阿尔茨海默病所致严重痴呆：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line="273" w:lineRule="auto" w:before="163"/>
        <w:ind w:right="367"/>
      </w:pPr>
      <w:r>
        <w:rPr/>
        <w:t>神经官能症,精神疾病及酒精中毒所致脑损害不在本附加合同保障范围内。</w:t>
      </w:r>
    </w:p>
    <w:p>
      <w:pPr>
        <w:pStyle w:val="ListParagraph"/>
        <w:numPr>
          <w:ilvl w:val="0"/>
          <w:numId w:val="14"/>
        </w:numPr>
        <w:tabs>
          <w:tab w:pos="2145" w:val="left" w:leader="none"/>
        </w:tabs>
        <w:spacing w:line="240" w:lineRule="auto" w:before="163" w:after="0"/>
        <w:ind w:left="1920" w:right="0" w:hanging="197"/>
        <w:jc w:val="left"/>
        <w:rPr>
          <w:sz w:val="21"/>
        </w:rPr>
      </w:pPr>
      <w:r>
        <w:rPr>
          <w:spacing w:val="-5"/>
          <w:w w:val="100"/>
          <w:sz w:val="21"/>
        </w:rPr>
        <w:t>艾森曼格综合征</w:t>
      </w:r>
      <w:r>
        <w:rPr>
          <w:spacing w:val="-3"/>
          <w:w w:val="100"/>
          <w:sz w:val="21"/>
        </w:rPr>
        <w:t>（先天性心脏病</w:t>
      </w:r>
      <w:r>
        <w:rPr>
          <w:spacing w:val="-106"/>
          <w:w w:val="100"/>
          <w:sz w:val="21"/>
        </w:rPr>
        <w:t>）</w:t>
      </w:r>
      <w:r>
        <w:rPr>
          <w:spacing w:val="-5"/>
          <w:w w:val="100"/>
          <w:sz w:val="21"/>
        </w:rPr>
        <w:t>：因先天性心脏病而引起严重肺动脉高</w:t>
      </w:r>
    </w:p>
    <w:p>
      <w:pPr>
        <w:spacing w:after="0" w:line="240" w:lineRule="auto"/>
        <w:jc w:val="left"/>
        <w:rPr>
          <w:sz w:val="21"/>
        </w:rPr>
        <w:sectPr>
          <w:pgSz w:w="11910" w:h="16840"/>
          <w:pgMar w:header="0" w:footer="924" w:top="1080" w:bottom="1200" w:left="1680" w:right="1280"/>
        </w:sectPr>
      </w:pPr>
    </w:p>
    <w:p>
      <w:pPr>
        <w:pStyle w:val="BodyText"/>
        <w:spacing w:line="273" w:lineRule="auto" w:before="22"/>
        <w:ind w:left="2144" w:right="283"/>
        <w:jc w:val="both"/>
      </w:pPr>
      <w:r>
        <w:rPr/>
        <w:t>血压及右向左分流，皮肤粘膜从无青紫发展至有青紫。本病的诊断必须由本公司认可的医院的专科医生经超声波心动图和心导管等检查确诊， 并且心功能衰竭程度达到纽约心脏病学会的心功能分级标准之心功能</w:t>
      </w:r>
    </w:p>
    <w:p>
      <w:pPr>
        <w:pStyle w:val="BodyText"/>
        <w:spacing w:before="8"/>
        <w:ind w:left="2144"/>
      </w:pPr>
      <w:r>
        <w:rPr/>
        <w:t>IV 级。</w:t>
      </w:r>
    </w:p>
    <w:p>
      <w:pPr>
        <w:pStyle w:val="BodyText"/>
        <w:spacing w:before="10"/>
        <w:rPr>
          <w:sz w:val="14"/>
        </w:rPr>
      </w:pPr>
    </w:p>
    <w:p>
      <w:pPr>
        <w:pStyle w:val="BodyText"/>
        <w:spacing w:line="273" w:lineRule="auto"/>
        <w:ind w:left="2144" w:right="283"/>
      </w:pPr>
      <w:r>
        <w:rPr/>
        <w:t>我们承担本项疾病责任不受本附加合同中“遗传性疾病，先天性畸形、变形或染色体异常”的限制。</w:t>
      </w:r>
    </w:p>
    <w:p>
      <w:pPr>
        <w:pStyle w:val="ListParagraph"/>
        <w:numPr>
          <w:ilvl w:val="0"/>
          <w:numId w:val="14"/>
        </w:numPr>
        <w:tabs>
          <w:tab w:pos="2145" w:val="left" w:leader="none"/>
        </w:tabs>
        <w:spacing w:line="273" w:lineRule="auto" w:before="163" w:after="0"/>
        <w:ind w:left="2144" w:right="108" w:hanging="421"/>
        <w:jc w:val="left"/>
        <w:rPr>
          <w:sz w:val="21"/>
        </w:rPr>
      </w:pPr>
      <w:r>
        <w:rPr>
          <w:spacing w:val="-3"/>
          <w:sz w:val="21"/>
        </w:rPr>
        <w:t>严重幼年型类风湿性关节炎：是指小儿及青少年时期的一种全身结缔组 </w:t>
      </w:r>
      <w:r>
        <w:rPr>
          <w:spacing w:val="-7"/>
          <w:sz w:val="21"/>
        </w:rPr>
        <w:t>织病。可表现为驰张热、皮疹、关节炎、脾肿大、淋巴结肿大、浆膜炎、</w:t>
      </w:r>
      <w:r>
        <w:rPr>
          <w:spacing w:val="-5"/>
          <w:sz w:val="21"/>
        </w:rPr>
        <w:t>体重减轻、中性粒细胞增多等，全身症状可以先于关节炎出现。本病须 </w:t>
      </w:r>
      <w:r>
        <w:rPr>
          <w:spacing w:val="-4"/>
          <w:sz w:val="21"/>
        </w:rPr>
        <w:t>经本公司认可的医院的儿科类风湿病专科医生出具医学诊断证明，</w:t>
      </w:r>
      <w:r>
        <w:rPr>
          <w:b/>
          <w:sz w:val="21"/>
        </w:rPr>
        <w:t>保障 </w:t>
      </w:r>
      <w:r>
        <w:rPr>
          <w:b/>
          <w:spacing w:val="-7"/>
          <w:sz w:val="21"/>
        </w:rPr>
        <w:t>仅限于症状持续 </w:t>
      </w:r>
      <w:r>
        <w:rPr>
          <w:b/>
          <w:sz w:val="21"/>
        </w:rPr>
        <w:t>6</w:t>
      </w:r>
      <w:r>
        <w:rPr>
          <w:b/>
          <w:spacing w:val="-12"/>
          <w:sz w:val="21"/>
        </w:rPr>
        <w:t> 个月以上</w:t>
      </w:r>
      <w:r>
        <w:rPr>
          <w:spacing w:val="-3"/>
          <w:sz w:val="21"/>
        </w:rPr>
        <w:t>，并因病情严重在医生的建议下已接受以治疗为目的的膝或髋关节的置换手术。</w:t>
      </w:r>
    </w:p>
    <w:p>
      <w:pPr>
        <w:pStyle w:val="Heading1"/>
        <w:spacing w:before="163"/>
      </w:pPr>
      <w:r>
        <w:rPr/>
        <w:t>其他类型的儿童类风湿性关节炎不在本附加合同保障范围之内。</w:t>
      </w:r>
    </w:p>
    <w:p>
      <w:pPr>
        <w:pStyle w:val="BodyText"/>
        <w:spacing w:before="9"/>
        <w:rPr>
          <w:b/>
          <w:sz w:val="14"/>
        </w:rPr>
      </w:pPr>
    </w:p>
    <w:p>
      <w:pPr>
        <w:pStyle w:val="ListParagraph"/>
        <w:numPr>
          <w:ilvl w:val="0"/>
          <w:numId w:val="14"/>
        </w:numPr>
        <w:tabs>
          <w:tab w:pos="2145" w:val="left" w:leader="none"/>
        </w:tabs>
        <w:spacing w:line="273" w:lineRule="auto" w:before="1" w:after="0"/>
        <w:ind w:left="2144" w:right="283" w:hanging="421"/>
        <w:jc w:val="both"/>
        <w:rPr>
          <w:sz w:val="21"/>
        </w:rPr>
      </w:pPr>
      <w:r>
        <w:rPr>
          <w:spacing w:val="-3"/>
          <w:sz w:val="21"/>
        </w:rPr>
        <w:t>肝豆状核变性：由于先天性铜代谢障碍所引起的一种疾病，其特点为肝硬化与双侧脑基底神经节变性同时存在。理赔须经本公司认可的专科医生确认并须满足下列全部条件：</w:t>
      </w:r>
    </w:p>
    <w:p>
      <w:pPr>
        <w:pStyle w:val="ListParagraph"/>
        <w:numPr>
          <w:ilvl w:val="1"/>
          <w:numId w:val="14"/>
        </w:numPr>
        <w:tabs>
          <w:tab w:pos="2985" w:val="left" w:leader="none"/>
        </w:tabs>
        <w:spacing w:line="273" w:lineRule="auto" w:before="164" w:after="0"/>
        <w:ind w:left="3017" w:right="283" w:hanging="420"/>
        <w:jc w:val="left"/>
        <w:rPr>
          <w:sz w:val="21"/>
        </w:rPr>
      </w:pPr>
      <w:r>
        <w:rPr>
          <w:spacing w:val="-3"/>
          <w:sz w:val="21"/>
        </w:rPr>
        <w:t>临床表现包括：进行性加剧的肢体震颤，肌强直，吞咽及发音困难，精神异常；</w:t>
      </w:r>
    </w:p>
    <w:p>
      <w:pPr>
        <w:pStyle w:val="ListParagraph"/>
        <w:numPr>
          <w:ilvl w:val="1"/>
          <w:numId w:val="14"/>
        </w:numPr>
        <w:tabs>
          <w:tab w:pos="2985" w:val="left" w:leader="none"/>
        </w:tabs>
        <w:spacing w:line="240" w:lineRule="auto" w:before="164" w:after="0"/>
        <w:ind w:left="3017" w:right="0" w:hanging="420"/>
        <w:jc w:val="left"/>
        <w:rPr>
          <w:sz w:val="21"/>
        </w:rPr>
      </w:pPr>
      <w:r>
        <w:rPr>
          <w:spacing w:val="-2"/>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spacing w:val="-3"/>
          <w:w w:val="100"/>
          <w:sz w:val="21"/>
        </w:rPr>
        <w:t>环</w:t>
      </w:r>
      <w:r>
        <w:rPr>
          <w:spacing w:val="-106"/>
          <w:w w:val="100"/>
          <w:sz w:val="21"/>
        </w:rPr>
        <w:t>）</w:t>
      </w:r>
      <w:r>
        <w:rPr>
          <w:w w:val="100"/>
          <w:sz w:val="21"/>
        </w:rPr>
        <w:t>；</w:t>
      </w:r>
    </w:p>
    <w:p>
      <w:pPr>
        <w:pStyle w:val="BodyText"/>
        <w:spacing w:before="10"/>
        <w:rPr>
          <w:sz w:val="14"/>
        </w:rPr>
      </w:pPr>
    </w:p>
    <w:p>
      <w:pPr>
        <w:pStyle w:val="ListParagraph"/>
        <w:numPr>
          <w:ilvl w:val="1"/>
          <w:numId w:val="14"/>
        </w:numPr>
        <w:tabs>
          <w:tab w:pos="2985" w:val="left" w:leader="none"/>
        </w:tabs>
        <w:spacing w:line="240" w:lineRule="auto" w:before="0" w:after="0"/>
        <w:ind w:left="3017" w:right="0" w:hanging="420"/>
        <w:jc w:val="left"/>
        <w:rPr>
          <w:sz w:val="21"/>
        </w:rPr>
      </w:pPr>
      <w:r>
        <w:rPr>
          <w:spacing w:val="-3"/>
          <w:sz w:val="21"/>
        </w:rPr>
        <w:t>血清铜和血清铜蓝蛋白降低，尿铜增加；</w:t>
      </w:r>
    </w:p>
    <w:p>
      <w:pPr>
        <w:pStyle w:val="BodyText"/>
        <w:spacing w:before="9"/>
        <w:rPr>
          <w:sz w:val="14"/>
        </w:rPr>
      </w:pPr>
    </w:p>
    <w:p>
      <w:pPr>
        <w:pStyle w:val="ListParagraph"/>
        <w:numPr>
          <w:ilvl w:val="1"/>
          <w:numId w:val="14"/>
        </w:numPr>
        <w:tabs>
          <w:tab w:pos="2985" w:val="left" w:leader="none"/>
        </w:tabs>
        <w:spacing w:line="240" w:lineRule="auto" w:before="0" w:after="0"/>
        <w:ind w:left="3017" w:right="0" w:hanging="420"/>
        <w:jc w:val="left"/>
        <w:rPr>
          <w:sz w:val="21"/>
        </w:rPr>
      </w:pPr>
      <w:r>
        <w:rPr>
          <w:spacing w:val="-2"/>
          <w:sz w:val="21"/>
        </w:rPr>
        <w:t>食管静脉曲张；</w:t>
      </w:r>
    </w:p>
    <w:p>
      <w:pPr>
        <w:pStyle w:val="BodyText"/>
        <w:spacing w:before="9"/>
        <w:rPr>
          <w:sz w:val="14"/>
        </w:rPr>
      </w:pPr>
    </w:p>
    <w:p>
      <w:pPr>
        <w:pStyle w:val="ListParagraph"/>
        <w:numPr>
          <w:ilvl w:val="1"/>
          <w:numId w:val="14"/>
        </w:numPr>
        <w:tabs>
          <w:tab w:pos="2985" w:val="left" w:leader="none"/>
        </w:tabs>
        <w:spacing w:line="240" w:lineRule="auto" w:before="0" w:after="0"/>
        <w:ind w:left="3017" w:right="0" w:hanging="420"/>
        <w:jc w:val="left"/>
        <w:rPr>
          <w:sz w:val="21"/>
        </w:rPr>
      </w:pPr>
      <w:r>
        <w:rPr>
          <w:sz w:val="21"/>
        </w:rPr>
        <w:t>腹水。</w:t>
      </w:r>
    </w:p>
    <w:p>
      <w:pPr>
        <w:pStyle w:val="BodyText"/>
        <w:spacing w:before="9"/>
        <w:rPr>
          <w:sz w:val="14"/>
        </w:rPr>
      </w:pPr>
    </w:p>
    <w:p>
      <w:pPr>
        <w:pStyle w:val="BodyText"/>
        <w:spacing w:line="273" w:lineRule="auto"/>
        <w:ind w:left="2144" w:right="283"/>
      </w:pPr>
      <w:r>
        <w:rPr/>
        <w:t>我们承担本项疾病责任不受本附加合同中“遗传性疾病，先天性畸形、变形或染色体异常”的限制。</w:t>
      </w:r>
    </w:p>
    <w:p>
      <w:pPr>
        <w:pStyle w:val="ListParagraph"/>
        <w:numPr>
          <w:ilvl w:val="0"/>
          <w:numId w:val="14"/>
        </w:numPr>
        <w:tabs>
          <w:tab w:pos="2145" w:val="left" w:leader="none"/>
        </w:tabs>
        <w:spacing w:line="240" w:lineRule="auto" w:before="163" w:after="0"/>
        <w:ind w:left="1920" w:right="0" w:hanging="197"/>
        <w:jc w:val="left"/>
        <w:rPr>
          <w:sz w:val="21"/>
        </w:rPr>
      </w:pPr>
      <w:r>
        <w:rPr>
          <w:spacing w:val="-3"/>
          <w:sz w:val="21"/>
        </w:rPr>
        <w:t>疯牛病：神经系统疾病及致命的成胶质状脑病，并有以下症状：</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不能控制的肌肉痉挛及震颤；</w:t>
      </w:r>
    </w:p>
    <w:p>
      <w:pPr>
        <w:pStyle w:val="BodyText"/>
        <w:spacing w:before="9"/>
        <w:rPr>
          <w:sz w:val="14"/>
        </w:rPr>
      </w:pPr>
    </w:p>
    <w:p>
      <w:pPr>
        <w:pStyle w:val="ListParagraph"/>
        <w:numPr>
          <w:ilvl w:val="1"/>
          <w:numId w:val="14"/>
        </w:numPr>
        <w:tabs>
          <w:tab w:pos="2985" w:val="left" w:leader="none"/>
        </w:tabs>
        <w:spacing w:line="240" w:lineRule="auto" w:before="1" w:after="0"/>
        <w:ind w:left="2984" w:right="0" w:hanging="387"/>
        <w:jc w:val="left"/>
        <w:rPr>
          <w:sz w:val="21"/>
        </w:rPr>
      </w:pPr>
      <w:r>
        <w:rPr>
          <w:spacing w:val="-1"/>
          <w:sz w:val="21"/>
        </w:rPr>
        <w:t>逐渐痴呆；</w:t>
      </w:r>
    </w:p>
    <w:p>
      <w:pPr>
        <w:pStyle w:val="BodyText"/>
        <w:spacing w:before="10"/>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小脑功能不良，共济失调；</w:t>
      </w:r>
    </w:p>
    <w:p>
      <w:pPr>
        <w:pStyle w:val="BodyText"/>
        <w:spacing w:before="9"/>
        <w:rPr>
          <w:sz w:val="14"/>
        </w:rPr>
      </w:pPr>
    </w:p>
    <w:p>
      <w:pPr>
        <w:pStyle w:val="ListParagraph"/>
        <w:numPr>
          <w:ilvl w:val="1"/>
          <w:numId w:val="14"/>
        </w:numPr>
        <w:tabs>
          <w:tab w:pos="2985" w:val="left" w:leader="none"/>
        </w:tabs>
        <w:spacing w:line="240" w:lineRule="auto" w:before="1" w:after="0"/>
        <w:ind w:left="2984" w:right="0" w:hanging="387"/>
        <w:jc w:val="left"/>
        <w:rPr>
          <w:sz w:val="21"/>
        </w:rPr>
      </w:pPr>
      <w:r>
        <w:rPr>
          <w:spacing w:val="-2"/>
          <w:sz w:val="21"/>
        </w:rPr>
        <w:t>手足徐动症。</w:t>
      </w:r>
    </w:p>
    <w:p>
      <w:pPr>
        <w:pStyle w:val="BodyText"/>
        <w:spacing w:before="10"/>
        <w:rPr>
          <w:sz w:val="14"/>
        </w:rPr>
      </w:pPr>
    </w:p>
    <w:p>
      <w:pPr>
        <w:pStyle w:val="BodyText"/>
        <w:spacing w:line="273" w:lineRule="auto"/>
        <w:ind w:left="2177" w:right="249"/>
      </w:pPr>
      <w:r>
        <w:rPr/>
        <w:t>诊断必须由神经科专科医生基于以下检查报告作出：脑电图、脑脊液报告、电脑断层扫描(CT)及核磁共振(MRI)。</w:t>
      </w:r>
    </w:p>
    <w:p>
      <w:pPr>
        <w:pStyle w:val="ListParagraph"/>
        <w:numPr>
          <w:ilvl w:val="0"/>
          <w:numId w:val="14"/>
        </w:numPr>
        <w:tabs>
          <w:tab w:pos="2145" w:val="left" w:leader="none"/>
        </w:tabs>
        <w:spacing w:line="273" w:lineRule="auto" w:before="163" w:after="0"/>
        <w:ind w:left="2144" w:right="283" w:hanging="421"/>
        <w:jc w:val="both"/>
        <w:rPr>
          <w:sz w:val="21"/>
        </w:rPr>
      </w:pPr>
      <w:r>
        <w:rPr>
          <w:spacing w:val="-3"/>
          <w:sz w:val="21"/>
        </w:rPr>
        <w:t>肺泡蛋白质沉积症：指肺泡和细支气管腔内充满不可溶性富磷脂蛋白的</w:t>
      </w:r>
      <w:r>
        <w:rPr>
          <w:spacing w:val="-9"/>
          <w:sz w:val="21"/>
        </w:rPr>
        <w:t>疾病，胸部 </w:t>
      </w:r>
      <w:r>
        <w:rPr>
          <w:sz w:val="21"/>
        </w:rPr>
        <w:t>X</w:t>
      </w:r>
      <w:r>
        <w:rPr>
          <w:spacing w:val="-7"/>
          <w:sz w:val="21"/>
        </w:rPr>
        <w:t> 线呈双肺弥漫性肺部磨玻璃影，病理学检查肺泡内充满有</w:t>
      </w:r>
      <w:r>
        <w:rPr>
          <w:spacing w:val="-3"/>
          <w:sz w:val="21"/>
        </w:rPr>
        <w:t>过碘酸雪夫</w:t>
      </w:r>
      <w:r>
        <w:rPr>
          <w:spacing w:val="-1"/>
          <w:sz w:val="21"/>
        </w:rPr>
        <w:t>（PAS）</w:t>
      </w:r>
      <w:r>
        <w:rPr>
          <w:spacing w:val="-3"/>
          <w:sz w:val="21"/>
        </w:rPr>
        <w:t>染色阳性的蛋白样物质。</w:t>
      </w:r>
    </w:p>
    <w:p>
      <w:pPr>
        <w:pStyle w:val="BodyText"/>
        <w:spacing w:line="273" w:lineRule="auto" w:before="163"/>
        <w:ind w:left="2144" w:right="283"/>
      </w:pPr>
      <w:r>
        <w:rPr/>
        <w:t>本病必须由本公司认可的医院的专科医生确诊，并且已经接受了肺灌洗治疗。</w:t>
      </w:r>
    </w:p>
    <w:p>
      <w:pPr>
        <w:spacing w:after="0" w:line="273" w:lineRule="auto"/>
        <w:sectPr>
          <w:pgSz w:w="11910" w:h="16840"/>
          <w:pgMar w:header="0" w:footer="924" w:top="1080" w:bottom="1200" w:left="1680" w:right="1280"/>
        </w:sectPr>
      </w:pPr>
    </w:p>
    <w:p>
      <w:pPr>
        <w:pStyle w:val="ListParagraph"/>
        <w:numPr>
          <w:ilvl w:val="0"/>
          <w:numId w:val="14"/>
        </w:numPr>
        <w:tabs>
          <w:tab w:pos="2145" w:val="left" w:leader="none"/>
        </w:tabs>
        <w:spacing w:line="273" w:lineRule="auto" w:before="22" w:after="0"/>
        <w:ind w:left="2144" w:right="105" w:hanging="421"/>
        <w:jc w:val="left"/>
        <w:rPr>
          <w:sz w:val="21"/>
        </w:rPr>
      </w:pPr>
      <w:r>
        <w:rPr>
          <w:spacing w:val="-3"/>
          <w:sz w:val="21"/>
        </w:rPr>
        <w:t>肺淋巴管肌瘤病：肺淋巴管肌瘤病是一种弥漫性肺部疾病，主要病理改 变为肺间质、支气管、血管和淋巴管内出现未成熟的平滑肌异常增生， </w:t>
      </w:r>
      <w:r>
        <w:rPr>
          <w:spacing w:val="-5"/>
          <w:sz w:val="21"/>
        </w:rPr>
        <w:t>本病必须由本公司认可的专科医生确诊，并且同时须满足下列全部条件：</w:t>
      </w:r>
    </w:p>
    <w:p>
      <w:pPr>
        <w:pStyle w:val="ListParagraph"/>
        <w:numPr>
          <w:ilvl w:val="1"/>
          <w:numId w:val="14"/>
        </w:numPr>
        <w:tabs>
          <w:tab w:pos="2985" w:val="left" w:leader="none"/>
        </w:tabs>
        <w:spacing w:line="240" w:lineRule="auto" w:before="164" w:after="0"/>
        <w:ind w:left="2984" w:right="0" w:hanging="387"/>
        <w:jc w:val="left"/>
        <w:rPr>
          <w:sz w:val="21"/>
        </w:rPr>
      </w:pPr>
      <w:r>
        <w:rPr>
          <w:spacing w:val="-3"/>
          <w:sz w:val="21"/>
        </w:rPr>
        <w:t>经组织病理学诊断；</w:t>
      </w:r>
    </w:p>
    <w:p>
      <w:pPr>
        <w:pStyle w:val="BodyText"/>
        <w:spacing w:before="10"/>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z w:val="21"/>
        </w:rPr>
        <w:t>CT</w:t>
      </w:r>
      <w:r>
        <w:rPr>
          <w:spacing w:val="-8"/>
          <w:sz w:val="21"/>
        </w:rPr>
        <w:t> 显示双肺弥漫性囊性改变；</w:t>
      </w:r>
    </w:p>
    <w:p>
      <w:pPr>
        <w:pStyle w:val="BodyText"/>
        <w:spacing w:before="9"/>
        <w:rPr>
          <w:sz w:val="14"/>
        </w:rPr>
      </w:pPr>
    </w:p>
    <w:p>
      <w:pPr>
        <w:pStyle w:val="ListParagraph"/>
        <w:numPr>
          <w:ilvl w:val="1"/>
          <w:numId w:val="14"/>
        </w:numPr>
        <w:tabs>
          <w:tab w:pos="2985" w:val="left" w:leader="none"/>
        </w:tabs>
        <w:spacing w:line="240" w:lineRule="auto" w:before="1" w:after="0"/>
        <w:ind w:left="2984" w:right="0" w:hanging="387"/>
        <w:jc w:val="left"/>
        <w:rPr>
          <w:sz w:val="21"/>
        </w:rPr>
      </w:pPr>
      <w:r>
        <w:rPr>
          <w:spacing w:val="-3"/>
          <w:sz w:val="21"/>
        </w:rPr>
        <w:t>血气提示低氧血症。</w:t>
      </w:r>
    </w:p>
    <w:p>
      <w:pPr>
        <w:pStyle w:val="BodyText"/>
        <w:spacing w:before="10"/>
        <w:rPr>
          <w:sz w:val="14"/>
        </w:rPr>
      </w:pPr>
    </w:p>
    <w:p>
      <w:pPr>
        <w:pStyle w:val="ListParagraph"/>
        <w:numPr>
          <w:ilvl w:val="0"/>
          <w:numId w:val="14"/>
        </w:numPr>
        <w:tabs>
          <w:tab w:pos="2145" w:val="left" w:leader="none"/>
        </w:tabs>
        <w:spacing w:line="273" w:lineRule="auto" w:before="0" w:after="0"/>
        <w:ind w:left="2144" w:right="283" w:hanging="421"/>
        <w:jc w:val="left"/>
        <w:rPr>
          <w:sz w:val="21"/>
        </w:rPr>
      </w:pPr>
      <w:r>
        <w:rPr>
          <w:spacing w:val="-3"/>
          <w:sz w:val="21"/>
        </w:rPr>
        <w:t>颅脑手术：被保险人确已实施全麻下的开颅手术（不包括颅骨钻孔手术和经鼻蝶窦入颅手术</w:t>
      </w:r>
      <w:r>
        <w:rPr>
          <w:spacing w:val="-106"/>
          <w:sz w:val="21"/>
        </w:rPr>
        <w:t>）</w:t>
      </w:r>
      <w:r>
        <w:rPr>
          <w:sz w:val="21"/>
        </w:rPr>
        <w:t>。</w:t>
      </w:r>
    </w:p>
    <w:p>
      <w:pPr>
        <w:spacing w:line="410" w:lineRule="auto" w:before="163"/>
        <w:ind w:left="2177" w:right="1284" w:firstLine="0"/>
        <w:jc w:val="left"/>
        <w:rPr>
          <w:sz w:val="21"/>
        </w:rPr>
      </w:pPr>
      <w:r>
        <w:rPr>
          <w:b/>
          <w:sz w:val="21"/>
        </w:rPr>
        <w:t>因外伤而实施的脑外科手术不在本附加合同保障范围之内。</w:t>
      </w:r>
      <w:r>
        <w:rPr>
          <w:sz w:val="21"/>
        </w:rPr>
        <w:t>理赔时必须提供由神经外科医生出具的诊断书及手术报告。</w:t>
      </w:r>
    </w:p>
    <w:p>
      <w:pPr>
        <w:pStyle w:val="ListParagraph"/>
        <w:numPr>
          <w:ilvl w:val="0"/>
          <w:numId w:val="14"/>
        </w:numPr>
        <w:tabs>
          <w:tab w:pos="2145" w:val="left" w:leader="none"/>
        </w:tabs>
        <w:spacing w:line="273" w:lineRule="auto" w:before="43" w:after="0"/>
        <w:ind w:left="2144" w:right="211" w:hanging="421"/>
        <w:jc w:val="left"/>
        <w:rPr>
          <w:sz w:val="21"/>
        </w:rPr>
      </w:pPr>
      <w:r>
        <w:rPr>
          <w:sz w:val="21"/>
        </w:rPr>
        <w:t>III</w:t>
      </w:r>
      <w:r>
        <w:rPr>
          <w:spacing w:val="-13"/>
          <w:sz w:val="21"/>
        </w:rPr>
        <w:t> 度房室传导阻滞：指心房激动在房室交界区、房室束及其分支内发生</w:t>
      </w:r>
      <w:r>
        <w:rPr>
          <w:spacing w:val="-3"/>
          <w:sz w:val="21"/>
        </w:rPr>
        <w:t>阻滞，不能正常地传到心室的心脏传导性疾病，须满足下列全部条件：</w:t>
      </w:r>
    </w:p>
    <w:p>
      <w:pPr>
        <w:pStyle w:val="ListParagraph"/>
        <w:numPr>
          <w:ilvl w:val="1"/>
          <w:numId w:val="14"/>
        </w:numPr>
        <w:tabs>
          <w:tab w:pos="2985" w:val="left" w:leader="none"/>
        </w:tabs>
        <w:spacing w:line="240" w:lineRule="auto" w:before="163" w:after="0"/>
        <w:ind w:left="3017" w:right="0" w:hanging="420"/>
        <w:jc w:val="left"/>
        <w:rPr>
          <w:sz w:val="21"/>
        </w:rPr>
      </w:pPr>
      <w:r>
        <w:rPr>
          <w:spacing w:val="-3"/>
          <w:sz w:val="21"/>
        </w:rPr>
        <w:t>心电图显示房室搏动彼此独立，心室率&lt;</w:t>
      </w:r>
      <w:r>
        <w:rPr>
          <w:sz w:val="21"/>
        </w:rPr>
        <w:t>50</w:t>
      </w:r>
      <w:r>
        <w:rPr>
          <w:spacing w:val="10"/>
          <w:sz w:val="21"/>
        </w:rPr>
        <w:t> 次</w:t>
      </w:r>
      <w:r>
        <w:rPr>
          <w:sz w:val="21"/>
        </w:rPr>
        <w:t>/</w:t>
      </w:r>
      <w:r>
        <w:rPr>
          <w:spacing w:val="-2"/>
          <w:sz w:val="21"/>
        </w:rPr>
        <w:t>分钟；</w:t>
      </w:r>
    </w:p>
    <w:p>
      <w:pPr>
        <w:pStyle w:val="BodyText"/>
        <w:spacing w:before="9"/>
        <w:rPr>
          <w:sz w:val="14"/>
        </w:rPr>
      </w:pPr>
    </w:p>
    <w:p>
      <w:pPr>
        <w:pStyle w:val="ListParagraph"/>
        <w:numPr>
          <w:ilvl w:val="1"/>
          <w:numId w:val="14"/>
        </w:numPr>
        <w:tabs>
          <w:tab w:pos="2985" w:val="left" w:leader="none"/>
        </w:tabs>
        <w:spacing w:line="240" w:lineRule="auto" w:before="0" w:after="0"/>
        <w:ind w:left="3017" w:right="0" w:hanging="420"/>
        <w:jc w:val="left"/>
        <w:rPr>
          <w:sz w:val="21"/>
        </w:rPr>
      </w:pPr>
      <w:r>
        <w:rPr>
          <w:spacing w:val="-3"/>
          <w:sz w:val="21"/>
        </w:rPr>
        <w:t>出现阿-斯综合征或心力衰竭的表现；</w:t>
      </w:r>
    </w:p>
    <w:p>
      <w:pPr>
        <w:pStyle w:val="BodyText"/>
        <w:spacing w:before="9"/>
        <w:rPr>
          <w:sz w:val="14"/>
        </w:rPr>
      </w:pPr>
    </w:p>
    <w:p>
      <w:pPr>
        <w:pStyle w:val="ListParagraph"/>
        <w:numPr>
          <w:ilvl w:val="1"/>
          <w:numId w:val="14"/>
        </w:numPr>
        <w:tabs>
          <w:tab w:pos="2985" w:val="left" w:leader="none"/>
        </w:tabs>
        <w:spacing w:line="273" w:lineRule="auto" w:before="0" w:after="0"/>
        <w:ind w:left="3017" w:right="283" w:hanging="420"/>
        <w:jc w:val="left"/>
        <w:rPr>
          <w:sz w:val="21"/>
        </w:rPr>
      </w:pPr>
      <w:r>
        <w:rPr>
          <w:spacing w:val="-3"/>
          <w:sz w:val="21"/>
        </w:rPr>
        <w:t>必须持续性依赖心脏起搏器维持心脏正常功能，且已经放置心</w:t>
      </w:r>
      <w:r>
        <w:rPr>
          <w:spacing w:val="-2"/>
          <w:sz w:val="21"/>
        </w:rPr>
        <w:t>脏起搏器。</w:t>
      </w:r>
    </w:p>
    <w:p>
      <w:pPr>
        <w:pStyle w:val="ListParagraph"/>
        <w:numPr>
          <w:ilvl w:val="0"/>
          <w:numId w:val="14"/>
        </w:numPr>
        <w:tabs>
          <w:tab w:pos="2145" w:val="left" w:leader="none"/>
        </w:tabs>
        <w:spacing w:line="273" w:lineRule="auto" w:before="163" w:after="0"/>
        <w:ind w:left="2144" w:right="283" w:hanging="421"/>
        <w:jc w:val="left"/>
        <w:rPr>
          <w:sz w:val="21"/>
        </w:rPr>
      </w:pPr>
      <w:r>
        <w:rPr>
          <w:spacing w:val="-3"/>
          <w:sz w:val="21"/>
        </w:rPr>
        <w:t>骨生长不全症：指一种胶元病，特征为骨易碎、骨质疏松和易骨折。该</w:t>
      </w:r>
      <w:r>
        <w:rPr>
          <w:spacing w:val="-17"/>
          <w:sz w:val="21"/>
        </w:rPr>
        <w:t>病有 </w:t>
      </w:r>
      <w:r>
        <w:rPr>
          <w:sz w:val="21"/>
        </w:rPr>
        <w:t>4</w:t>
      </w:r>
      <w:r>
        <w:rPr>
          <w:spacing w:val="-8"/>
          <w:sz w:val="21"/>
        </w:rPr>
        <w:t> 种类型：Ⅰ型、Ⅱ型、Ⅲ型、Ⅳ型。</w:t>
      </w:r>
    </w:p>
    <w:p>
      <w:pPr>
        <w:spacing w:line="273" w:lineRule="auto" w:before="163"/>
        <w:ind w:left="2144" w:right="211" w:firstLine="0"/>
        <w:jc w:val="both"/>
        <w:rPr>
          <w:sz w:val="21"/>
        </w:rPr>
      </w:pPr>
      <w:r>
        <w:rPr>
          <w:b/>
          <w:spacing w:val="-2"/>
          <w:sz w:val="21"/>
        </w:rPr>
        <w:t>本附加合同只对Ⅲ型成骨不全承担保障责任。</w:t>
      </w:r>
      <w:r>
        <w:rPr>
          <w:spacing w:val="-3"/>
          <w:sz w:val="21"/>
        </w:rPr>
        <w:t>其主要临床特点有：发育迟缓、多发性骨折、进行性脊柱后侧凸及听力损害。Ⅲ型成骨不全的诊</w:t>
      </w:r>
      <w:r>
        <w:rPr>
          <w:spacing w:val="-11"/>
          <w:sz w:val="21"/>
        </w:rPr>
        <w:t>断必须根据身体检查、家族史、</w:t>
      </w:r>
      <w:r>
        <w:rPr>
          <w:sz w:val="21"/>
        </w:rPr>
        <w:t>X</w:t>
      </w:r>
      <w:r>
        <w:rPr>
          <w:spacing w:val="-6"/>
          <w:sz w:val="21"/>
        </w:rPr>
        <w:t> 线检查和皮肤活检报告资料并由专科医</w:t>
      </w:r>
      <w:r>
        <w:rPr>
          <w:spacing w:val="-4"/>
          <w:sz w:val="21"/>
        </w:rPr>
        <w:t>生确诊。</w:t>
      </w:r>
    </w:p>
    <w:p>
      <w:pPr>
        <w:pStyle w:val="BodyText"/>
        <w:spacing w:line="273" w:lineRule="auto" w:before="163"/>
        <w:ind w:left="2144" w:right="283"/>
        <w:jc w:val="both"/>
      </w:pPr>
      <w:r>
        <w:rPr/>
        <w:t>我们承担本项疾病责任不受本附加合同中“遗传性疾病，先天性畸形、变形或染色体异常”的限制。</w:t>
      </w:r>
    </w:p>
    <w:p>
      <w:pPr>
        <w:pStyle w:val="ListParagraph"/>
        <w:numPr>
          <w:ilvl w:val="0"/>
          <w:numId w:val="14"/>
        </w:numPr>
        <w:tabs>
          <w:tab w:pos="2145" w:val="left" w:leader="none"/>
        </w:tabs>
        <w:spacing w:line="273" w:lineRule="auto" w:before="163" w:after="0"/>
        <w:ind w:left="2144" w:right="283" w:hanging="421"/>
        <w:jc w:val="both"/>
        <w:rPr>
          <w:sz w:val="21"/>
        </w:rPr>
      </w:pPr>
      <w:r>
        <w:rPr>
          <w:spacing w:val="-3"/>
          <w:sz w:val="21"/>
        </w:rPr>
        <w:t>急性坏死性胰腺炎开腹手术：指胰酶在胰腺内激活后引起胰腺组织自身消化的急性化学性炎症，并伴有胰腺功能障碍。本病必须经认可医院的专科医生明确诊断，并已经接受了外科剖腹手术治疗，以进行坏死组织清除、坏死病灶切除或胰腺切除。</w:t>
      </w:r>
    </w:p>
    <w:p>
      <w:pPr>
        <w:pStyle w:val="Heading1"/>
        <w:spacing w:line="273" w:lineRule="auto" w:before="163"/>
        <w:ind w:right="261"/>
        <w:jc w:val="both"/>
      </w:pPr>
      <w:r>
        <w:rPr/>
        <w:t>因酗酒或饮酒过量所致的急性坏死性胰腺炎以及腹腔镜手术不在本附加合同保障范围内。</w:t>
      </w:r>
    </w:p>
    <w:p>
      <w:pPr>
        <w:pStyle w:val="ListParagraph"/>
        <w:numPr>
          <w:ilvl w:val="0"/>
          <w:numId w:val="14"/>
        </w:numPr>
        <w:tabs>
          <w:tab w:pos="2145" w:val="left" w:leader="none"/>
        </w:tabs>
        <w:spacing w:line="273" w:lineRule="auto" w:before="163" w:after="0"/>
        <w:ind w:left="2144" w:right="211" w:hanging="421"/>
        <w:jc w:val="left"/>
        <w:rPr>
          <w:sz w:val="21"/>
        </w:rPr>
      </w:pPr>
      <w:r>
        <w:rPr>
          <w:spacing w:val="-3"/>
          <w:sz w:val="21"/>
        </w:rPr>
        <w:t>进行性球麻痹：由神经科专科医生诊断的包括延髓神经支配的肌肉在内</w:t>
      </w:r>
      <w:r>
        <w:rPr>
          <w:spacing w:val="-7"/>
          <w:sz w:val="21"/>
        </w:rPr>
        <w:t>的肌肉变性及消耗，诊断必须有诸如肌电图(</w:t>
      </w:r>
      <w:r>
        <w:rPr>
          <w:sz w:val="21"/>
        </w:rPr>
        <w:t>EMG</w:t>
      </w:r>
      <w:r>
        <w:rPr>
          <w:spacing w:val="-3"/>
          <w:sz w:val="21"/>
        </w:rPr>
        <w:t>)在内的神经肌肉测试来确定诊断。</w:t>
      </w:r>
    </w:p>
    <w:p>
      <w:pPr>
        <w:pStyle w:val="ListParagraph"/>
        <w:numPr>
          <w:ilvl w:val="0"/>
          <w:numId w:val="14"/>
        </w:numPr>
        <w:tabs>
          <w:tab w:pos="2145" w:val="left" w:leader="none"/>
        </w:tabs>
        <w:spacing w:line="240" w:lineRule="auto" w:before="163" w:after="0"/>
        <w:ind w:left="1920" w:right="0" w:hanging="197"/>
        <w:jc w:val="left"/>
        <w:rPr>
          <w:sz w:val="21"/>
        </w:rPr>
      </w:pPr>
      <w:r>
        <w:rPr>
          <w:spacing w:val="-3"/>
          <w:sz w:val="21"/>
        </w:rPr>
        <w:t>风湿热导致的心脏瓣膜疾病：必须满足下列全部条件：</w:t>
      </w:r>
    </w:p>
    <w:p>
      <w:pPr>
        <w:pStyle w:val="BodyText"/>
        <w:spacing w:before="9"/>
        <w:rPr>
          <w:sz w:val="14"/>
        </w:rPr>
      </w:pPr>
    </w:p>
    <w:p>
      <w:pPr>
        <w:pStyle w:val="ListParagraph"/>
        <w:numPr>
          <w:ilvl w:val="1"/>
          <w:numId w:val="14"/>
        </w:numPr>
        <w:tabs>
          <w:tab w:pos="2985" w:val="left" w:leader="none"/>
        </w:tabs>
        <w:spacing w:line="273" w:lineRule="auto" w:before="1" w:after="0"/>
        <w:ind w:left="3017" w:right="232" w:hanging="420"/>
        <w:jc w:val="left"/>
        <w:rPr>
          <w:sz w:val="21"/>
        </w:rPr>
      </w:pPr>
      <w:r>
        <w:rPr>
          <w:spacing w:val="-5"/>
          <w:sz w:val="21"/>
        </w:rPr>
        <w:t>经由本公司认可的儿科专科注册医生根据已修订的 </w:t>
      </w:r>
      <w:r>
        <w:rPr>
          <w:sz w:val="21"/>
        </w:rPr>
        <w:t>Jones</w:t>
      </w:r>
      <w:r>
        <w:rPr>
          <w:spacing w:val="5"/>
          <w:sz w:val="21"/>
        </w:rPr>
        <w:t> 标准</w:t>
      </w:r>
      <w:r>
        <w:rPr>
          <w:spacing w:val="-3"/>
          <w:sz w:val="21"/>
        </w:rPr>
        <w:t>诊断证实罹患急性风湿热；</w:t>
      </w:r>
    </w:p>
    <w:p>
      <w:pPr>
        <w:spacing w:after="0" w:line="273" w:lineRule="auto"/>
        <w:jc w:val="left"/>
        <w:rPr>
          <w:sz w:val="21"/>
        </w:rPr>
        <w:sectPr>
          <w:pgSz w:w="11910" w:h="16840"/>
          <w:pgMar w:header="0" w:footer="924" w:top="1080" w:bottom="1200" w:left="1680" w:right="1280"/>
        </w:sectPr>
      </w:pPr>
    </w:p>
    <w:p>
      <w:pPr>
        <w:pStyle w:val="ListParagraph"/>
        <w:numPr>
          <w:ilvl w:val="1"/>
          <w:numId w:val="14"/>
        </w:numPr>
        <w:tabs>
          <w:tab w:pos="2985" w:val="left" w:leader="none"/>
        </w:tabs>
        <w:spacing w:line="273" w:lineRule="auto" w:before="22" w:after="0"/>
        <w:ind w:left="3017" w:right="263" w:hanging="420"/>
        <w:jc w:val="both"/>
        <w:rPr>
          <w:sz w:val="21"/>
        </w:rPr>
      </w:pPr>
      <w:r>
        <w:rPr>
          <w:spacing w:val="-3"/>
          <w:sz w:val="21"/>
        </w:rPr>
        <w:t>因风湿热所导致一个或以上最少轻度心脏瓣膜关闭不全（</w:t>
      </w:r>
      <w:r>
        <w:rPr>
          <w:sz w:val="21"/>
        </w:rPr>
        <w:t>即返</w:t>
      </w:r>
      <w:r>
        <w:rPr>
          <w:spacing w:val="-9"/>
          <w:sz w:val="21"/>
        </w:rPr>
        <w:t>流部份达 </w:t>
      </w:r>
      <w:r>
        <w:rPr>
          <w:sz w:val="21"/>
        </w:rPr>
        <w:t>20</w:t>
      </w:r>
      <w:r>
        <w:rPr>
          <w:spacing w:val="-3"/>
          <w:sz w:val="21"/>
        </w:rPr>
        <w:t>%或以上</w:t>
      </w:r>
      <w:r>
        <w:rPr>
          <w:sz w:val="21"/>
        </w:rPr>
        <w:t>）</w:t>
      </w:r>
      <w:r>
        <w:rPr>
          <w:spacing w:val="-3"/>
          <w:sz w:val="21"/>
        </w:rPr>
        <w:t>或狭窄的心瓣损伤</w:t>
      </w:r>
      <w:r>
        <w:rPr>
          <w:sz w:val="21"/>
        </w:rPr>
        <w:t>（</w:t>
      </w:r>
      <w:r>
        <w:rPr>
          <w:spacing w:val="-3"/>
          <w:sz w:val="21"/>
        </w:rPr>
        <w:t>即心脏瓣面积为正</w:t>
      </w:r>
      <w:r>
        <w:rPr>
          <w:spacing w:val="-13"/>
          <w:sz w:val="21"/>
        </w:rPr>
        <w:t>常值的 </w:t>
      </w:r>
      <w:r>
        <w:rPr>
          <w:sz w:val="21"/>
        </w:rPr>
        <w:t>30</w:t>
      </w:r>
      <w:r>
        <w:rPr>
          <w:spacing w:val="-1"/>
          <w:sz w:val="21"/>
        </w:rPr>
        <w:t>%或以下</w:t>
      </w:r>
      <w:r>
        <w:rPr>
          <w:spacing w:val="-108"/>
          <w:sz w:val="21"/>
        </w:rPr>
        <w:t>）</w:t>
      </w:r>
      <w:r>
        <w:rPr>
          <w:sz w:val="21"/>
        </w:rPr>
        <w:t>。</w:t>
      </w:r>
    </w:p>
    <w:p>
      <w:pPr>
        <w:pStyle w:val="BodyText"/>
        <w:spacing w:line="273" w:lineRule="auto" w:before="164"/>
        <w:ind w:left="2144" w:right="263"/>
      </w:pPr>
      <w:r>
        <w:rPr/>
        <w:t>有关诊断必须由本公司认可医院的的心脏病专科注册医生根据心瓣功能的定量检查证实。</w:t>
      </w:r>
    </w:p>
    <w:p>
      <w:pPr>
        <w:pStyle w:val="Heading1"/>
        <w:spacing w:line="273" w:lineRule="auto" w:before="164"/>
        <w:ind w:right="189"/>
      </w:pPr>
      <w:r>
        <w:rPr>
          <w:spacing w:val="-3"/>
        </w:rPr>
        <w:t>如因任何先天缺陷，或遗传疾病或发育中出现异常情况，而该异常情况</w:t>
      </w:r>
      <w:r>
        <w:rPr>
          <w:spacing w:val="-9"/>
        </w:rPr>
        <w:t>在被保险人年龄满 </w:t>
      </w:r>
      <w:r>
        <w:rPr/>
        <w:t>18</w:t>
      </w:r>
      <w:r>
        <w:rPr>
          <w:spacing w:val="-12"/>
        </w:rPr>
        <w:t> 岁之前已被诊断或出现，所直接或间接引起或导致</w:t>
      </w:r>
    </w:p>
    <w:p>
      <w:pPr>
        <w:spacing w:before="8"/>
        <w:ind w:left="2144" w:right="0" w:firstLine="0"/>
        <w:jc w:val="left"/>
        <w:rPr>
          <w:b/>
          <w:sz w:val="21"/>
        </w:rPr>
      </w:pPr>
      <w:r>
        <w:rPr>
          <w:b/>
          <w:w w:val="100"/>
          <w:sz w:val="21"/>
        </w:rPr>
        <w:t>（全部或部分</w:t>
      </w:r>
      <w:r>
        <w:rPr>
          <w:b/>
          <w:spacing w:val="-106"/>
          <w:w w:val="100"/>
          <w:sz w:val="21"/>
        </w:rPr>
        <w:t>）</w:t>
      </w:r>
      <w:r>
        <w:rPr>
          <w:b/>
          <w:spacing w:val="-3"/>
          <w:w w:val="100"/>
          <w:sz w:val="21"/>
        </w:rPr>
        <w:t>，将不在本附加合同保障范围内。</w:t>
      </w:r>
    </w:p>
    <w:p>
      <w:pPr>
        <w:pStyle w:val="BodyText"/>
        <w:spacing w:before="10"/>
        <w:rPr>
          <w:b/>
          <w:sz w:val="14"/>
        </w:rPr>
      </w:pPr>
    </w:p>
    <w:p>
      <w:pPr>
        <w:pStyle w:val="ListParagraph"/>
        <w:numPr>
          <w:ilvl w:val="0"/>
          <w:numId w:val="14"/>
        </w:numPr>
        <w:tabs>
          <w:tab w:pos="2145" w:val="left" w:leader="none"/>
        </w:tabs>
        <w:spacing w:line="273" w:lineRule="auto" w:before="0" w:after="0"/>
        <w:ind w:left="2144" w:right="263" w:hanging="421"/>
        <w:jc w:val="both"/>
        <w:rPr>
          <w:sz w:val="21"/>
        </w:rPr>
      </w:pPr>
      <w:r>
        <w:rPr>
          <w:spacing w:val="-3"/>
          <w:sz w:val="21"/>
        </w:rPr>
        <w:t>弥散性血管内凝血：指血液凝固系统和纤溶系统的过度活动导致微血管血栓形成、血小板及凝血因子耗竭和严重出血，需要输注血浆和浓缩血小板进行治疗。</w:t>
      </w:r>
    </w:p>
    <w:p>
      <w:pPr>
        <w:pStyle w:val="BodyText"/>
        <w:spacing w:before="163"/>
        <w:ind w:left="2144"/>
      </w:pPr>
      <w:r>
        <w:rPr/>
        <w:t>诊断时必须满足下列全部条件：</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突发性起病，一般持续数小时或数天；</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严重的出血倾向；</w:t>
      </w:r>
    </w:p>
    <w:p>
      <w:pPr>
        <w:pStyle w:val="BodyText"/>
        <w:spacing w:before="9"/>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1"/>
          <w:sz w:val="21"/>
        </w:rPr>
        <w:t>伴有休克。</w:t>
      </w:r>
    </w:p>
    <w:p>
      <w:pPr>
        <w:pStyle w:val="BodyText"/>
        <w:spacing w:before="9"/>
        <w:rPr>
          <w:sz w:val="14"/>
        </w:rPr>
      </w:pPr>
    </w:p>
    <w:p>
      <w:pPr>
        <w:pStyle w:val="BodyText"/>
        <w:ind w:left="2144"/>
      </w:pPr>
      <w:r>
        <w:rPr/>
        <w:t>有关诊断必须由本公司认可的医院的专科医生确诊。</w:t>
      </w:r>
    </w:p>
    <w:p>
      <w:pPr>
        <w:pStyle w:val="BodyText"/>
        <w:spacing w:before="9"/>
        <w:rPr>
          <w:sz w:val="14"/>
        </w:rPr>
      </w:pPr>
    </w:p>
    <w:p>
      <w:pPr>
        <w:pStyle w:val="ListParagraph"/>
        <w:numPr>
          <w:ilvl w:val="0"/>
          <w:numId w:val="14"/>
        </w:numPr>
        <w:tabs>
          <w:tab w:pos="2145" w:val="left" w:leader="none"/>
        </w:tabs>
        <w:spacing w:line="273" w:lineRule="auto" w:before="0" w:after="0"/>
        <w:ind w:left="2144" w:right="263" w:hanging="421"/>
        <w:jc w:val="both"/>
        <w:rPr>
          <w:sz w:val="21"/>
        </w:rPr>
      </w:pPr>
      <w:r>
        <w:rPr>
          <w:spacing w:val="-3"/>
          <w:sz w:val="21"/>
        </w:rPr>
        <w:t>严重冠心病：指经冠状动脉造影检查明确诊断为主要血管严重狭窄性病变，须满足下列至少一项条件：</w:t>
      </w:r>
    </w:p>
    <w:p>
      <w:pPr>
        <w:pStyle w:val="ListParagraph"/>
        <w:numPr>
          <w:ilvl w:val="1"/>
          <w:numId w:val="14"/>
        </w:numPr>
        <w:tabs>
          <w:tab w:pos="2985" w:val="left" w:leader="none"/>
        </w:tabs>
        <w:spacing w:line="273" w:lineRule="auto" w:before="164" w:after="0"/>
        <w:ind w:left="3017" w:right="107" w:hanging="420"/>
        <w:jc w:val="left"/>
        <w:rPr>
          <w:sz w:val="21"/>
        </w:rPr>
      </w:pPr>
      <w:r>
        <w:rPr>
          <w:spacing w:val="-5"/>
          <w:sz w:val="21"/>
        </w:rPr>
        <w:t>左冠状动脉主干和右冠状动脉中，一支血管管腔堵塞 </w:t>
      </w:r>
      <w:r>
        <w:rPr>
          <w:sz w:val="21"/>
        </w:rPr>
        <w:t>75</w:t>
      </w:r>
      <w:r>
        <w:rPr>
          <w:spacing w:val="-1"/>
          <w:sz w:val="21"/>
        </w:rPr>
        <w:t>%以上， </w:t>
      </w:r>
      <w:r>
        <w:rPr>
          <w:spacing w:val="-7"/>
          <w:sz w:val="21"/>
        </w:rPr>
        <w:t>另一支血管管腔堵塞 </w:t>
      </w:r>
      <w:r>
        <w:rPr>
          <w:sz w:val="21"/>
        </w:rPr>
        <w:t>60%以上；</w:t>
      </w:r>
    </w:p>
    <w:p>
      <w:pPr>
        <w:pStyle w:val="ListParagraph"/>
        <w:numPr>
          <w:ilvl w:val="1"/>
          <w:numId w:val="14"/>
        </w:numPr>
        <w:tabs>
          <w:tab w:pos="2985" w:val="left" w:leader="none"/>
        </w:tabs>
        <w:spacing w:line="273" w:lineRule="auto" w:before="164" w:after="0"/>
        <w:ind w:left="3017" w:right="193" w:hanging="420"/>
        <w:jc w:val="left"/>
        <w:rPr>
          <w:sz w:val="21"/>
        </w:rPr>
      </w:pPr>
      <w:r>
        <w:rPr>
          <w:spacing w:val="-12"/>
          <w:sz w:val="21"/>
        </w:rPr>
        <w:t>左前降支、左旋支和右冠状动脉中，至少一支血管管腔堵塞 </w:t>
      </w:r>
      <w:r>
        <w:rPr>
          <w:sz w:val="21"/>
        </w:rPr>
        <w:t>75% </w:t>
      </w:r>
      <w:r>
        <w:rPr>
          <w:spacing w:val="-6"/>
          <w:sz w:val="21"/>
        </w:rPr>
        <w:t>以上，其他两支血管管腔堵塞 </w:t>
      </w:r>
      <w:r>
        <w:rPr>
          <w:sz w:val="21"/>
        </w:rPr>
        <w:t>60</w:t>
      </w:r>
      <w:r>
        <w:rPr>
          <w:spacing w:val="-2"/>
          <w:sz w:val="21"/>
        </w:rPr>
        <w:t>%以上。</w:t>
      </w:r>
    </w:p>
    <w:p>
      <w:pPr>
        <w:pStyle w:val="BodyText"/>
        <w:spacing w:line="273" w:lineRule="auto" w:before="164"/>
        <w:ind w:left="2144" w:right="263"/>
      </w:pPr>
      <w:r>
        <w:rPr/>
        <w:t>左前降支的分支血管、左旋支的分支血管及右冠状动脉的分支血管的狭窄不作为本保障的衡量指标。</w:t>
      </w:r>
    </w:p>
    <w:p>
      <w:pPr>
        <w:pStyle w:val="ListParagraph"/>
        <w:numPr>
          <w:ilvl w:val="0"/>
          <w:numId w:val="14"/>
        </w:numPr>
        <w:tabs>
          <w:tab w:pos="2145" w:val="left" w:leader="none"/>
        </w:tabs>
        <w:spacing w:line="273" w:lineRule="auto" w:before="164" w:after="0"/>
        <w:ind w:left="2144" w:right="263" w:hanging="421"/>
        <w:jc w:val="both"/>
        <w:rPr>
          <w:sz w:val="21"/>
        </w:rPr>
      </w:pPr>
      <w:r>
        <w:rPr>
          <w:spacing w:val="-3"/>
          <w:sz w:val="21"/>
        </w:rPr>
        <w:t>严重自身免疫性肝炎：自身免疫性肝炎是一种原因不明的慢性肝脏的坏死性炎性疾病，机体免疫机制被破坏，产生针对肝脏自身抗原的抗体导致自身免疫反应，从而破坏肝细胞造成肝脏炎症坏死，进而发展为肝硬化。必须满足下列全部条件：</w:t>
      </w:r>
    </w:p>
    <w:p>
      <w:pPr>
        <w:pStyle w:val="ListParagraph"/>
        <w:numPr>
          <w:ilvl w:val="1"/>
          <w:numId w:val="14"/>
        </w:numPr>
        <w:tabs>
          <w:tab w:pos="2985" w:val="left" w:leader="none"/>
        </w:tabs>
        <w:spacing w:line="240" w:lineRule="auto" w:before="164" w:after="0"/>
        <w:ind w:left="2984" w:right="0" w:hanging="387"/>
        <w:jc w:val="left"/>
        <w:rPr>
          <w:sz w:val="21"/>
        </w:rPr>
      </w:pPr>
      <w:r>
        <w:rPr>
          <w:sz w:val="21"/>
        </w:rPr>
        <w:t>高</w:t>
      </w:r>
      <w:r>
        <w:rPr>
          <w:rFonts w:ascii="Arial" w:hAnsi="Arial" w:eastAsia="Arial"/>
          <w:sz w:val="21"/>
        </w:rPr>
        <w:t>γ</w:t>
      </w:r>
      <w:r>
        <w:rPr>
          <w:rFonts w:ascii="Arial" w:hAnsi="Arial" w:eastAsia="Arial"/>
          <w:spacing w:val="55"/>
          <w:sz w:val="21"/>
        </w:rPr>
        <w:t> </w:t>
      </w:r>
      <w:r>
        <w:rPr>
          <w:spacing w:val="-3"/>
          <w:sz w:val="21"/>
        </w:rPr>
        <w:t>球蛋白血症；</w:t>
      </w:r>
    </w:p>
    <w:p>
      <w:pPr>
        <w:pStyle w:val="ListParagraph"/>
        <w:numPr>
          <w:ilvl w:val="1"/>
          <w:numId w:val="14"/>
        </w:numPr>
        <w:tabs>
          <w:tab w:pos="2985" w:val="left" w:leader="none"/>
        </w:tabs>
        <w:spacing w:line="240" w:lineRule="auto" w:before="178" w:after="0"/>
        <w:ind w:left="2984" w:right="0" w:hanging="387"/>
        <w:jc w:val="left"/>
        <w:rPr>
          <w:sz w:val="21"/>
        </w:rPr>
      </w:pPr>
      <w:r>
        <w:rPr>
          <w:spacing w:val="-5"/>
          <w:sz w:val="21"/>
        </w:rPr>
        <w:t>血液中存在高水平的自身免疫抗体，如 </w:t>
      </w:r>
      <w:r>
        <w:rPr>
          <w:sz w:val="21"/>
        </w:rPr>
        <w:t>ANA（</w:t>
      </w:r>
      <w:r>
        <w:rPr>
          <w:spacing w:val="-2"/>
          <w:sz w:val="21"/>
        </w:rPr>
        <w:t>抗核抗体</w:t>
      </w:r>
      <w:r>
        <w:rPr>
          <w:spacing w:val="-108"/>
          <w:sz w:val="21"/>
        </w:rPr>
        <w:t>）</w:t>
      </w:r>
      <w:r>
        <w:rPr>
          <w:sz w:val="21"/>
        </w:rPr>
        <w:t>、SMA</w:t>
      </w:r>
    </w:p>
    <w:p>
      <w:pPr>
        <w:pStyle w:val="BodyText"/>
        <w:spacing w:before="37"/>
        <w:ind w:left="3011" w:right="1123"/>
        <w:jc w:val="center"/>
      </w:pPr>
      <w:r>
        <w:rPr/>
        <w:t>（</w:t>
      </w:r>
      <w:r>
        <w:rPr>
          <w:spacing w:val="-3"/>
        </w:rPr>
        <w:t>抗平滑肌抗体</w:t>
      </w:r>
      <w:r>
        <w:rPr>
          <w:spacing w:val="-106"/>
        </w:rPr>
        <w:t>）</w:t>
      </w:r>
      <w:r>
        <w:rPr>
          <w:spacing w:val="-17"/>
        </w:rPr>
        <w:t>、抗 </w:t>
      </w:r>
      <w:r>
        <w:rPr/>
        <w:t>LKM1</w:t>
      </w:r>
      <w:r>
        <w:rPr>
          <w:spacing w:val="-11"/>
        </w:rPr>
        <w:t> 抗体或抗</w:t>
      </w:r>
      <w:r>
        <w:rPr/>
        <w:t>-SLA/LP</w:t>
      </w:r>
      <w:r>
        <w:rPr>
          <w:spacing w:val="-14"/>
        </w:rPr>
        <w:t> 抗体；</w:t>
      </w:r>
    </w:p>
    <w:p>
      <w:pPr>
        <w:pStyle w:val="BodyText"/>
        <w:spacing w:before="10"/>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肝脏活检证实免疫性肝炎；</w:t>
      </w:r>
    </w:p>
    <w:p>
      <w:pPr>
        <w:pStyle w:val="BodyText"/>
        <w:spacing w:before="9"/>
        <w:rPr>
          <w:sz w:val="14"/>
        </w:rPr>
      </w:pPr>
    </w:p>
    <w:p>
      <w:pPr>
        <w:pStyle w:val="ListParagraph"/>
        <w:numPr>
          <w:ilvl w:val="1"/>
          <w:numId w:val="14"/>
        </w:numPr>
        <w:tabs>
          <w:tab w:pos="2985" w:val="left" w:leader="none"/>
        </w:tabs>
        <w:spacing w:line="240" w:lineRule="auto" w:before="1" w:after="0"/>
        <w:ind w:left="2984" w:right="0" w:hanging="387"/>
        <w:jc w:val="left"/>
        <w:rPr>
          <w:sz w:val="21"/>
        </w:rPr>
      </w:pPr>
      <w:r>
        <w:rPr>
          <w:spacing w:val="-3"/>
          <w:sz w:val="21"/>
        </w:rPr>
        <w:t>临床已经出现腹水、食道静脉曲张和脾肿大等肝硬化表现。</w:t>
      </w:r>
    </w:p>
    <w:p>
      <w:pPr>
        <w:pStyle w:val="BodyText"/>
        <w:spacing w:before="10"/>
        <w:rPr>
          <w:sz w:val="14"/>
        </w:rPr>
      </w:pPr>
    </w:p>
    <w:p>
      <w:pPr>
        <w:pStyle w:val="ListParagraph"/>
        <w:numPr>
          <w:ilvl w:val="0"/>
          <w:numId w:val="14"/>
        </w:numPr>
        <w:tabs>
          <w:tab w:pos="2145" w:val="left" w:leader="none"/>
        </w:tabs>
        <w:spacing w:line="273" w:lineRule="auto" w:before="0" w:after="0"/>
        <w:ind w:left="2144" w:right="263" w:hanging="421"/>
        <w:jc w:val="both"/>
        <w:rPr>
          <w:sz w:val="21"/>
        </w:rPr>
      </w:pPr>
      <w:r>
        <w:rPr>
          <w:spacing w:val="-3"/>
          <w:sz w:val="21"/>
        </w:rPr>
        <w:t>脊髓小脑变性症：脊髓小脑变性症为一组以小脑萎缩和共济失调为主要临床特点的疾病。脊髓小脑变性症必须由本公司认可的医院的专科医生确诊，必须满足下列全部条件：</w:t>
      </w:r>
    </w:p>
    <w:p>
      <w:pPr>
        <w:spacing w:after="0" w:line="273" w:lineRule="auto"/>
        <w:jc w:val="both"/>
        <w:rPr>
          <w:sz w:val="21"/>
        </w:rPr>
        <w:sectPr>
          <w:pgSz w:w="11910" w:h="16840"/>
          <w:pgMar w:header="0" w:footer="924" w:top="1080" w:bottom="1200" w:left="1680" w:right="1300"/>
        </w:sectPr>
      </w:pPr>
    </w:p>
    <w:p>
      <w:pPr>
        <w:pStyle w:val="ListParagraph"/>
        <w:numPr>
          <w:ilvl w:val="1"/>
          <w:numId w:val="14"/>
        </w:numPr>
        <w:tabs>
          <w:tab w:pos="2985" w:val="left" w:leader="none"/>
        </w:tabs>
        <w:spacing w:line="240" w:lineRule="auto" w:before="22" w:after="0"/>
        <w:ind w:left="3017" w:right="0" w:hanging="420"/>
        <w:jc w:val="left"/>
        <w:rPr>
          <w:sz w:val="21"/>
        </w:rPr>
      </w:pPr>
      <w:r>
        <w:rPr>
          <w:spacing w:val="-3"/>
          <w:sz w:val="21"/>
        </w:rPr>
        <w:t>影像学检查证实存在小脑萎缩；</w:t>
      </w:r>
    </w:p>
    <w:p>
      <w:pPr>
        <w:pStyle w:val="BodyText"/>
        <w:spacing w:before="10"/>
        <w:rPr>
          <w:sz w:val="14"/>
        </w:rPr>
      </w:pPr>
    </w:p>
    <w:p>
      <w:pPr>
        <w:pStyle w:val="ListParagraph"/>
        <w:numPr>
          <w:ilvl w:val="1"/>
          <w:numId w:val="14"/>
        </w:numPr>
        <w:tabs>
          <w:tab w:pos="2985" w:val="left" w:leader="none"/>
        </w:tabs>
        <w:spacing w:line="240" w:lineRule="auto" w:before="0" w:after="0"/>
        <w:ind w:left="3017" w:right="0" w:hanging="420"/>
        <w:jc w:val="left"/>
        <w:rPr>
          <w:sz w:val="21"/>
        </w:rPr>
      </w:pPr>
      <w:r>
        <w:rPr>
          <w:spacing w:val="-3"/>
          <w:sz w:val="21"/>
        </w:rPr>
        <w:t>临床表现存在共济失调、语言障碍和肌张力异常；</w:t>
      </w:r>
    </w:p>
    <w:p>
      <w:pPr>
        <w:pStyle w:val="BodyText"/>
        <w:spacing w:before="9"/>
        <w:rPr>
          <w:sz w:val="14"/>
        </w:rPr>
      </w:pPr>
    </w:p>
    <w:p>
      <w:pPr>
        <w:pStyle w:val="ListParagraph"/>
        <w:numPr>
          <w:ilvl w:val="1"/>
          <w:numId w:val="14"/>
        </w:numPr>
        <w:tabs>
          <w:tab w:pos="2985" w:val="left" w:leader="none"/>
        </w:tabs>
        <w:spacing w:line="273" w:lineRule="auto" w:before="0" w:after="0"/>
        <w:ind w:left="3017" w:right="283" w:hanging="420"/>
        <w:jc w:val="left"/>
        <w:rPr>
          <w:sz w:val="21"/>
        </w:rPr>
      </w:pPr>
      <w:r>
        <w:rPr>
          <w:spacing w:val="-3"/>
          <w:sz w:val="21"/>
        </w:rPr>
        <w:t>被保险人运动功能严重障碍，自主生活能力完全丧失，无法独立完成六项基本日常生活活动中的三项或三项以上。</w:t>
      </w:r>
    </w:p>
    <w:p>
      <w:pPr>
        <w:pStyle w:val="ListParagraph"/>
        <w:numPr>
          <w:ilvl w:val="0"/>
          <w:numId w:val="14"/>
        </w:numPr>
        <w:tabs>
          <w:tab w:pos="2145" w:val="left" w:leader="none"/>
        </w:tabs>
        <w:spacing w:line="273" w:lineRule="auto" w:before="163" w:after="0"/>
        <w:ind w:left="2144" w:right="105" w:hanging="421"/>
        <w:jc w:val="left"/>
        <w:rPr>
          <w:sz w:val="21"/>
        </w:rPr>
      </w:pPr>
      <w:r>
        <w:rPr>
          <w:w w:val="100"/>
          <w:sz w:val="21"/>
        </w:rPr>
        <w:t>I</w:t>
      </w:r>
      <w:r>
        <w:rPr>
          <w:spacing w:val="-53"/>
          <w:sz w:val="21"/>
        </w:rPr>
        <w:t> </w:t>
      </w:r>
      <w:r>
        <w:rPr>
          <w:spacing w:val="-3"/>
          <w:w w:val="100"/>
          <w:sz w:val="21"/>
        </w:rPr>
        <w:t>型糖尿病</w:t>
      </w:r>
      <w:r>
        <w:rPr>
          <w:w w:val="100"/>
          <w:sz w:val="21"/>
        </w:rPr>
        <w:t>（</w:t>
      </w:r>
      <w:r>
        <w:rPr>
          <w:spacing w:val="-3"/>
          <w:w w:val="100"/>
          <w:sz w:val="21"/>
        </w:rPr>
        <w:t>或称胰岛素依赖性糖尿病</w:t>
      </w:r>
      <w:r>
        <w:rPr>
          <w:spacing w:val="-109"/>
          <w:w w:val="100"/>
          <w:sz w:val="21"/>
        </w:rPr>
        <w:t>）</w:t>
      </w:r>
      <w:r>
        <w:rPr>
          <w:spacing w:val="-3"/>
          <w:w w:val="100"/>
          <w:sz w:val="21"/>
        </w:rPr>
        <w:t>：指因严重的胰岛素缺乏导致的</w:t>
      </w:r>
      <w:r>
        <w:rPr>
          <w:spacing w:val="-3"/>
          <w:sz w:val="21"/>
        </w:rPr>
        <w:t>一组糖、脂肪、蛋白质代谢异常综合征，且须依赖外源性胰岛素进行机 </w:t>
      </w:r>
      <w:r>
        <w:rPr>
          <w:spacing w:val="-11"/>
          <w:sz w:val="21"/>
        </w:rPr>
        <w:t>体的葡萄糖代谢和维持生命。本病须经血胰岛素测定、血 </w:t>
      </w:r>
      <w:r>
        <w:rPr>
          <w:sz w:val="21"/>
        </w:rPr>
        <w:t>C</w:t>
      </w:r>
      <w:r>
        <w:rPr>
          <w:spacing w:val="-16"/>
          <w:sz w:val="21"/>
        </w:rPr>
        <w:t> 肽测定或尿 </w:t>
      </w:r>
      <w:r>
        <w:rPr>
          <w:sz w:val="21"/>
        </w:rPr>
        <w:t>C </w:t>
      </w:r>
      <w:r>
        <w:rPr>
          <w:spacing w:val="-8"/>
          <w:sz w:val="21"/>
        </w:rPr>
        <w:t>肽测定检查证实，且被保险人已经接受了持续的胰岛素治疗 </w:t>
      </w:r>
      <w:r>
        <w:rPr>
          <w:sz w:val="21"/>
        </w:rPr>
        <w:t>180</w:t>
      </w:r>
      <w:r>
        <w:rPr>
          <w:spacing w:val="-10"/>
          <w:sz w:val="21"/>
        </w:rPr>
        <w:t> 天以上， </w:t>
      </w:r>
      <w:r>
        <w:rPr>
          <w:spacing w:val="-5"/>
          <w:sz w:val="21"/>
        </w:rPr>
        <w:t>并须满足下列至少两项条件：</w:t>
      </w:r>
    </w:p>
    <w:p>
      <w:pPr>
        <w:pStyle w:val="ListParagraph"/>
        <w:numPr>
          <w:ilvl w:val="1"/>
          <w:numId w:val="14"/>
        </w:numPr>
        <w:tabs>
          <w:tab w:pos="2985" w:val="left" w:leader="none"/>
        </w:tabs>
        <w:spacing w:line="240" w:lineRule="auto" w:before="163" w:after="0"/>
        <w:ind w:left="2984" w:right="0" w:hanging="387"/>
        <w:jc w:val="left"/>
        <w:rPr>
          <w:sz w:val="21"/>
        </w:rPr>
      </w:pPr>
      <w:r>
        <w:rPr>
          <w:spacing w:val="-3"/>
          <w:sz w:val="21"/>
        </w:rPr>
        <w:t>并发增殖性视网膜病变；</w:t>
      </w:r>
    </w:p>
    <w:p>
      <w:pPr>
        <w:pStyle w:val="BodyText"/>
        <w:spacing w:before="10"/>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并发心脏病变，并须植入心脏起搏器进行治疗；</w:t>
      </w:r>
    </w:p>
    <w:p>
      <w:pPr>
        <w:pStyle w:val="BodyText"/>
        <w:spacing w:before="9"/>
        <w:rPr>
          <w:sz w:val="14"/>
        </w:rPr>
      </w:pPr>
    </w:p>
    <w:p>
      <w:pPr>
        <w:pStyle w:val="ListParagraph"/>
        <w:numPr>
          <w:ilvl w:val="1"/>
          <w:numId w:val="14"/>
        </w:numPr>
        <w:tabs>
          <w:tab w:pos="2985" w:val="left" w:leader="none"/>
        </w:tabs>
        <w:spacing w:line="240" w:lineRule="auto" w:before="1" w:after="0"/>
        <w:ind w:left="2984" w:right="0" w:hanging="387"/>
        <w:jc w:val="left"/>
        <w:rPr>
          <w:sz w:val="21"/>
        </w:rPr>
      </w:pPr>
      <w:r>
        <w:rPr>
          <w:spacing w:val="-3"/>
          <w:sz w:val="21"/>
        </w:rPr>
        <w:t>至少一个脚趾发生坏疽并已实施手术切除。</w:t>
      </w:r>
    </w:p>
    <w:p>
      <w:pPr>
        <w:pStyle w:val="BodyText"/>
        <w:spacing w:before="10"/>
        <w:rPr>
          <w:sz w:val="14"/>
        </w:rPr>
      </w:pPr>
    </w:p>
    <w:p>
      <w:pPr>
        <w:pStyle w:val="ListParagraph"/>
        <w:numPr>
          <w:ilvl w:val="0"/>
          <w:numId w:val="14"/>
        </w:numPr>
        <w:tabs>
          <w:tab w:pos="2145" w:val="left" w:leader="none"/>
        </w:tabs>
        <w:spacing w:line="273" w:lineRule="auto" w:before="0" w:after="0"/>
        <w:ind w:left="2144" w:right="283" w:hanging="421"/>
        <w:jc w:val="both"/>
        <w:rPr>
          <w:sz w:val="21"/>
        </w:rPr>
      </w:pPr>
      <w:r>
        <w:rPr>
          <w:spacing w:val="-3"/>
          <w:sz w:val="21"/>
        </w:rPr>
        <w:t>胆道重建：指因疾病或胆道创伤导致接受涉及胆总管小肠吻合术的胆道重建手术。手术必须在专科医生认为是医疗所需的情况下进行。</w:t>
      </w:r>
    </w:p>
    <w:p>
      <w:pPr>
        <w:pStyle w:val="Heading1"/>
        <w:spacing w:before="94"/>
      </w:pPr>
      <w:r>
        <w:rPr/>
        <w:t>胆道闭锁</w:t>
      </w:r>
      <w:r>
        <w:rPr>
          <w:rFonts w:ascii="Malgun Gothic" w:eastAsia="Malgun Gothic" w:hint="eastAsia"/>
        </w:rPr>
        <w:t>不</w:t>
      </w:r>
      <w:r>
        <w:rPr/>
        <w:t>在本附加合同保障范围内。</w:t>
      </w:r>
    </w:p>
    <w:p>
      <w:pPr>
        <w:pStyle w:val="ListParagraph"/>
        <w:numPr>
          <w:ilvl w:val="0"/>
          <w:numId w:val="14"/>
        </w:numPr>
        <w:tabs>
          <w:tab w:pos="2145" w:val="left" w:leader="none"/>
        </w:tabs>
        <w:spacing w:line="273" w:lineRule="auto" w:before="171" w:after="0"/>
        <w:ind w:left="2144" w:right="283" w:hanging="421"/>
        <w:jc w:val="both"/>
        <w:rPr>
          <w:sz w:val="21"/>
        </w:rPr>
      </w:pPr>
      <w:r>
        <w:rPr>
          <w:spacing w:val="-3"/>
          <w:sz w:val="21"/>
        </w:rPr>
        <w:t>多处臂丛神经根性撕脱：由于疾病或意外导致至少两根臂丛神经根性撕脱，所造成的手臂感觉功能与运动功能完全永久性丧失。该病必须由本公司认可的医院的专科医生确诊，并且有完整的电生理检查结果证实。</w:t>
      </w:r>
    </w:p>
    <w:p>
      <w:pPr>
        <w:pStyle w:val="ListParagraph"/>
        <w:numPr>
          <w:ilvl w:val="0"/>
          <w:numId w:val="14"/>
        </w:numPr>
        <w:tabs>
          <w:tab w:pos="2145" w:val="left" w:leader="none"/>
        </w:tabs>
        <w:spacing w:line="273" w:lineRule="auto" w:before="163" w:after="0"/>
        <w:ind w:left="2144" w:right="105" w:hanging="421"/>
        <w:jc w:val="left"/>
        <w:rPr>
          <w:sz w:val="21"/>
        </w:rPr>
      </w:pPr>
      <w:r>
        <w:rPr>
          <w:spacing w:val="-3"/>
          <w:sz w:val="21"/>
        </w:rPr>
        <w:t>肺源性心脏病：指被保险人因慢性肺部疾病导致慢性心功能损害造成永 久不可逆性的心功能衰竭。心功能衰竭程度达到纽约心脏病学会的心功 </w:t>
      </w:r>
      <w:r>
        <w:rPr>
          <w:spacing w:val="-8"/>
          <w:sz w:val="21"/>
        </w:rPr>
        <w:t>能分级标准之心功能 </w:t>
      </w:r>
      <w:r>
        <w:rPr>
          <w:sz w:val="21"/>
        </w:rPr>
        <w:t>IV</w:t>
      </w:r>
      <w:r>
        <w:rPr>
          <w:spacing w:val="-15"/>
          <w:sz w:val="21"/>
        </w:rPr>
        <w:t> 级。被保险人永久不可逆性的体力活动能力受限， </w:t>
      </w:r>
      <w:r>
        <w:rPr>
          <w:spacing w:val="-7"/>
          <w:sz w:val="21"/>
        </w:rPr>
        <w:t>不能从事任何体力活动。</w:t>
      </w:r>
    </w:p>
    <w:p>
      <w:pPr>
        <w:pStyle w:val="ListParagraph"/>
        <w:numPr>
          <w:ilvl w:val="0"/>
          <w:numId w:val="14"/>
        </w:numPr>
        <w:tabs>
          <w:tab w:pos="2145" w:val="left" w:leader="none"/>
        </w:tabs>
        <w:spacing w:line="273" w:lineRule="auto" w:before="163" w:after="0"/>
        <w:ind w:left="2144" w:right="283" w:hanging="421"/>
        <w:jc w:val="both"/>
        <w:rPr>
          <w:sz w:val="21"/>
        </w:rPr>
      </w:pPr>
      <w:r>
        <w:rPr>
          <w:spacing w:val="-3"/>
          <w:sz w:val="21"/>
        </w:rPr>
        <w:t>血管性痴呆：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line="273" w:lineRule="auto" w:before="164"/>
        <w:ind w:right="261"/>
      </w:pPr>
      <w:r>
        <w:rPr/>
        <w:t>神经官能症、精神疾病及酒精中毒所致脑损害不在本附加合同保障范围内。</w:t>
      </w:r>
    </w:p>
    <w:p>
      <w:pPr>
        <w:pStyle w:val="ListParagraph"/>
        <w:numPr>
          <w:ilvl w:val="0"/>
          <w:numId w:val="14"/>
        </w:numPr>
        <w:tabs>
          <w:tab w:pos="2145" w:val="left" w:leader="none"/>
        </w:tabs>
        <w:spacing w:line="273" w:lineRule="auto" w:before="163" w:after="0"/>
        <w:ind w:left="2144" w:right="283" w:hanging="421"/>
        <w:jc w:val="both"/>
        <w:rPr>
          <w:sz w:val="21"/>
        </w:rPr>
      </w:pPr>
      <w:r>
        <w:rPr>
          <w:spacing w:val="-3"/>
          <w:sz w:val="21"/>
        </w:rPr>
        <w:t>额颞叶痴呆：指一组以额颞叶萎缩为特征的痴呆综合征，临床以明显的人格、行为改变和认知障碍为特征。被保险人自主生活能力完全丧失， 无法独立完成六项基本日常生活活动中的三项或三项以上，日常生活必须持续受到他人监护。导致痴呆的疾病必须明确诊断，并且有完整的临床、实验室和影像学检查结果证实。</w:t>
      </w:r>
    </w:p>
    <w:p>
      <w:pPr>
        <w:pStyle w:val="Heading1"/>
        <w:spacing w:line="273" w:lineRule="auto" w:before="163"/>
        <w:ind w:right="261"/>
      </w:pPr>
      <w:r>
        <w:rPr/>
        <w:t>神经官能症，精神疾病及酒精中毒所致脑损害不在本附加合同保障范围内。</w:t>
      </w:r>
    </w:p>
    <w:p>
      <w:pPr>
        <w:pStyle w:val="ListParagraph"/>
        <w:numPr>
          <w:ilvl w:val="0"/>
          <w:numId w:val="14"/>
        </w:numPr>
        <w:tabs>
          <w:tab w:pos="2145" w:val="left" w:leader="none"/>
        </w:tabs>
        <w:spacing w:line="273" w:lineRule="auto" w:before="164" w:after="0"/>
        <w:ind w:left="2144" w:right="283" w:hanging="421"/>
        <w:jc w:val="both"/>
        <w:rPr>
          <w:sz w:val="21"/>
        </w:rPr>
      </w:pPr>
      <w:r>
        <w:rPr>
          <w:spacing w:val="-3"/>
          <w:sz w:val="21"/>
        </w:rPr>
        <w:t>路易体痴呆：指一组在临床和病理表现上以波动性认知功能障碍、视幻觉和帕金森综合征为临床特点，以路易体为病理特征的神经变性疾病。</w:t>
      </w:r>
    </w:p>
    <w:p>
      <w:pPr>
        <w:spacing w:after="0" w:line="273" w:lineRule="auto"/>
        <w:jc w:val="both"/>
        <w:rPr>
          <w:sz w:val="21"/>
        </w:rPr>
        <w:sectPr>
          <w:pgSz w:w="11910" w:h="16840"/>
          <w:pgMar w:header="0" w:footer="924" w:top="1080" w:bottom="1200" w:left="1680" w:right="1280"/>
        </w:sectPr>
      </w:pPr>
    </w:p>
    <w:p>
      <w:pPr>
        <w:pStyle w:val="BodyText"/>
        <w:spacing w:line="273" w:lineRule="auto" w:before="22"/>
        <w:ind w:left="2144" w:right="183"/>
        <w:jc w:val="both"/>
      </w:pPr>
      <w:r>
        <w:rPr/>
        <w:t>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Heading1"/>
        <w:spacing w:line="273" w:lineRule="auto" w:before="164"/>
        <w:ind w:right="161"/>
        <w:jc w:val="both"/>
      </w:pPr>
      <w:r>
        <w:rPr/>
        <w:t>神经官能症，精神疾病及酒精中毒所致脑损害不在本附加合同保障范围内。</w:t>
      </w:r>
    </w:p>
    <w:p>
      <w:pPr>
        <w:pStyle w:val="ListParagraph"/>
        <w:numPr>
          <w:ilvl w:val="0"/>
          <w:numId w:val="14"/>
        </w:numPr>
        <w:tabs>
          <w:tab w:pos="2145" w:val="left" w:leader="none"/>
        </w:tabs>
        <w:spacing w:line="273" w:lineRule="auto" w:before="164" w:after="0"/>
        <w:ind w:left="2144" w:right="108" w:hanging="421"/>
        <w:jc w:val="both"/>
        <w:rPr>
          <w:sz w:val="21"/>
        </w:rPr>
      </w:pPr>
      <w:r>
        <w:rPr>
          <w:spacing w:val="-16"/>
          <w:sz w:val="21"/>
        </w:rPr>
        <w:t>严重甲型及乙型血友病：被保险人必须是患上严重甲型血友病</w:t>
      </w:r>
      <w:r>
        <w:rPr>
          <w:sz w:val="21"/>
        </w:rPr>
        <w:t>（</w:t>
      </w:r>
      <w:r>
        <w:rPr>
          <w:spacing w:val="-11"/>
          <w:sz w:val="21"/>
        </w:rPr>
        <w:t>缺乏 </w:t>
      </w:r>
      <w:r>
        <w:rPr>
          <w:sz w:val="21"/>
        </w:rPr>
        <w:t>VIII </w:t>
      </w:r>
      <w:r>
        <w:rPr>
          <w:spacing w:val="-2"/>
          <w:sz w:val="21"/>
        </w:rPr>
        <w:t>凝血因子</w:t>
      </w:r>
      <w:r>
        <w:rPr>
          <w:spacing w:val="-27"/>
          <w:sz w:val="21"/>
        </w:rPr>
        <w:t>）</w:t>
      </w:r>
      <w:r>
        <w:rPr>
          <w:spacing w:val="-7"/>
          <w:sz w:val="21"/>
        </w:rPr>
        <w:t>或严重乙型血友病</w:t>
      </w:r>
      <w:r>
        <w:rPr>
          <w:sz w:val="21"/>
        </w:rPr>
        <w:t>（</w:t>
      </w:r>
      <w:r>
        <w:rPr>
          <w:spacing w:val="-18"/>
          <w:sz w:val="21"/>
        </w:rPr>
        <w:t>缺乏 </w:t>
      </w:r>
      <w:r>
        <w:rPr>
          <w:sz w:val="21"/>
        </w:rPr>
        <w:t>IX</w:t>
      </w:r>
      <w:r>
        <w:rPr>
          <w:spacing w:val="-12"/>
          <w:sz w:val="21"/>
        </w:rPr>
        <w:t> 凝血因子</w:t>
      </w:r>
      <w:r>
        <w:rPr>
          <w:spacing w:val="-68"/>
          <w:sz w:val="21"/>
        </w:rPr>
        <w:t>）</w:t>
      </w:r>
      <w:r>
        <w:rPr>
          <w:spacing w:val="-19"/>
          <w:sz w:val="21"/>
        </w:rPr>
        <w:t>，而凝血因子 </w:t>
      </w:r>
      <w:r>
        <w:rPr>
          <w:sz w:val="21"/>
        </w:rPr>
        <w:t>VIII</w:t>
      </w:r>
      <w:r>
        <w:rPr>
          <w:spacing w:val="5"/>
          <w:sz w:val="21"/>
        </w:rPr>
        <w:t> 或</w:t>
      </w:r>
      <w:r>
        <w:rPr>
          <w:spacing w:val="-8"/>
          <w:sz w:val="21"/>
        </w:rPr>
        <w:t>凝血因子 </w:t>
      </w:r>
      <w:r>
        <w:rPr>
          <w:sz w:val="21"/>
        </w:rPr>
        <w:t>IX</w:t>
      </w:r>
      <w:r>
        <w:rPr>
          <w:spacing w:val="-10"/>
          <w:sz w:val="21"/>
        </w:rPr>
        <w:t> 的活性水平少于百分之一。诊断必须由本公司认可医院的血</w:t>
      </w:r>
      <w:r>
        <w:rPr>
          <w:spacing w:val="-5"/>
          <w:sz w:val="21"/>
        </w:rPr>
        <w:t>液病专科注册医生确认。</w:t>
      </w:r>
    </w:p>
    <w:p>
      <w:pPr>
        <w:pStyle w:val="BodyText"/>
        <w:spacing w:line="273" w:lineRule="auto" w:before="164"/>
        <w:ind w:left="2144" w:right="183"/>
        <w:jc w:val="both"/>
      </w:pPr>
      <w:r>
        <w:rPr/>
        <w:t>我们承担本项疾病责任不受本附加合同中“遗传性疾病，先天性畸形、变形或染色体异常”的限制。</w:t>
      </w:r>
    </w:p>
    <w:p>
      <w:pPr>
        <w:pStyle w:val="ListParagraph"/>
        <w:numPr>
          <w:ilvl w:val="0"/>
          <w:numId w:val="14"/>
        </w:numPr>
        <w:tabs>
          <w:tab w:pos="2145" w:val="left" w:leader="none"/>
        </w:tabs>
        <w:spacing w:line="273" w:lineRule="auto" w:before="164" w:after="0"/>
        <w:ind w:left="2144" w:right="183" w:hanging="421"/>
        <w:jc w:val="left"/>
        <w:rPr>
          <w:sz w:val="21"/>
        </w:rPr>
      </w:pPr>
      <w:r>
        <w:rPr>
          <w:spacing w:val="-3"/>
          <w:sz w:val="21"/>
        </w:rPr>
        <w:t>进行性多灶性白质脑病：是一种亚急性脱髓鞘性脑病，常常发现于免疫缺陷的病人。必须根据脑组织活检确诊。</w:t>
      </w:r>
    </w:p>
    <w:p>
      <w:pPr>
        <w:pStyle w:val="ListParagraph"/>
        <w:numPr>
          <w:ilvl w:val="0"/>
          <w:numId w:val="14"/>
        </w:numPr>
        <w:tabs>
          <w:tab w:pos="2145" w:val="left" w:leader="none"/>
        </w:tabs>
        <w:spacing w:line="273" w:lineRule="auto" w:before="164" w:after="0"/>
        <w:ind w:left="2144" w:right="183" w:hanging="421"/>
        <w:jc w:val="left"/>
        <w:rPr>
          <w:sz w:val="21"/>
        </w:rPr>
      </w:pPr>
      <w:r>
        <w:rPr>
          <w:spacing w:val="-3"/>
          <w:sz w:val="21"/>
        </w:rPr>
        <w:t>一肢及单眼缺失：因疾病或意外伤害导致单眼视力丧失及任何一肢自腕关节或踝关节近端（靠近躯干端</w:t>
      </w:r>
      <w:r>
        <w:rPr>
          <w:sz w:val="21"/>
        </w:rPr>
        <w:t>）</w:t>
      </w:r>
      <w:r>
        <w:rPr>
          <w:spacing w:val="-3"/>
          <w:sz w:val="21"/>
        </w:rPr>
        <w:t>以上完全性断离。</w:t>
      </w:r>
    </w:p>
    <w:p>
      <w:pPr>
        <w:pStyle w:val="BodyText"/>
        <w:spacing w:line="273" w:lineRule="auto" w:before="164"/>
        <w:ind w:left="2144" w:right="183"/>
        <w:jc w:val="both"/>
      </w:pPr>
      <w:r>
        <w:rPr/>
        <w:t>单眼视力丧失指单眼视力永久不可逆性丧失，患眼须满足下列至少一项条件：</w:t>
      </w:r>
    </w:p>
    <w:p>
      <w:pPr>
        <w:pStyle w:val="ListParagraph"/>
        <w:numPr>
          <w:ilvl w:val="1"/>
          <w:numId w:val="14"/>
        </w:numPr>
        <w:tabs>
          <w:tab w:pos="2985" w:val="left" w:leader="none"/>
        </w:tabs>
        <w:spacing w:line="240" w:lineRule="auto" w:before="164" w:after="0"/>
        <w:ind w:left="3017" w:right="0" w:hanging="420"/>
        <w:jc w:val="left"/>
        <w:rPr>
          <w:sz w:val="21"/>
        </w:rPr>
      </w:pPr>
      <w:r>
        <w:rPr>
          <w:spacing w:val="-3"/>
          <w:sz w:val="21"/>
        </w:rPr>
        <w:t>眼球缺失或摘除；</w:t>
      </w:r>
    </w:p>
    <w:p>
      <w:pPr>
        <w:pStyle w:val="BodyText"/>
        <w:spacing w:before="10"/>
        <w:rPr>
          <w:sz w:val="14"/>
        </w:rPr>
      </w:pPr>
    </w:p>
    <w:p>
      <w:pPr>
        <w:pStyle w:val="ListParagraph"/>
        <w:numPr>
          <w:ilvl w:val="1"/>
          <w:numId w:val="14"/>
        </w:numPr>
        <w:tabs>
          <w:tab w:pos="2985" w:val="left" w:leader="none"/>
        </w:tabs>
        <w:spacing w:line="273" w:lineRule="auto" w:before="0" w:after="0"/>
        <w:ind w:left="3017" w:right="132" w:hanging="420"/>
        <w:jc w:val="left"/>
        <w:rPr>
          <w:sz w:val="21"/>
        </w:rPr>
      </w:pPr>
      <w:r>
        <w:rPr>
          <w:spacing w:val="-7"/>
          <w:sz w:val="21"/>
        </w:rPr>
        <w:t>矫正视力低于 </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ListParagraph"/>
        <w:numPr>
          <w:ilvl w:val="1"/>
          <w:numId w:val="14"/>
        </w:numPr>
        <w:tabs>
          <w:tab w:pos="2985" w:val="left" w:leader="none"/>
        </w:tabs>
        <w:spacing w:line="240" w:lineRule="auto" w:before="163" w:after="0"/>
        <w:ind w:left="3017" w:right="0" w:hanging="420"/>
        <w:jc w:val="left"/>
        <w:rPr>
          <w:sz w:val="21"/>
        </w:rPr>
      </w:pPr>
      <w:r>
        <w:rPr>
          <w:spacing w:val="-9"/>
          <w:sz w:val="21"/>
        </w:rPr>
        <w:t>视野半径小于 </w:t>
      </w:r>
      <w:r>
        <w:rPr>
          <w:sz w:val="21"/>
        </w:rPr>
        <w:t>5</w:t>
      </w:r>
      <w:r>
        <w:rPr>
          <w:spacing w:val="-17"/>
          <w:sz w:val="21"/>
        </w:rPr>
        <w:t> 度。</w:t>
      </w:r>
    </w:p>
    <w:p>
      <w:pPr>
        <w:pStyle w:val="BodyText"/>
        <w:spacing w:before="9"/>
        <w:rPr>
          <w:sz w:val="14"/>
        </w:rPr>
      </w:pPr>
    </w:p>
    <w:p>
      <w:pPr>
        <w:pStyle w:val="Heading1"/>
        <w:spacing w:line="273" w:lineRule="auto"/>
        <w:ind w:right="159"/>
        <w:jc w:val="both"/>
      </w:pPr>
      <w:r>
        <w:rPr>
          <w:spacing w:val="-9"/>
        </w:rPr>
        <w:t>被保险人在 </w:t>
      </w:r>
      <w:r>
        <w:rPr/>
        <w:t>3</w:t>
      </w:r>
      <w:r>
        <w:rPr>
          <w:spacing w:val="-8"/>
        </w:rPr>
        <w:t> 周岁之前因疾病导致单眼视力丧失不在本附加合同保障范围内。</w:t>
      </w:r>
    </w:p>
    <w:p>
      <w:pPr>
        <w:pStyle w:val="ListParagraph"/>
        <w:numPr>
          <w:ilvl w:val="0"/>
          <w:numId w:val="14"/>
        </w:numPr>
        <w:tabs>
          <w:tab w:pos="2145" w:val="left" w:leader="none"/>
        </w:tabs>
        <w:spacing w:line="273" w:lineRule="auto" w:before="163" w:after="0"/>
        <w:ind w:left="2144" w:right="183" w:hanging="421"/>
        <w:jc w:val="left"/>
        <w:rPr>
          <w:sz w:val="21"/>
        </w:rPr>
      </w:pPr>
      <w:r>
        <w:rPr>
          <w:spacing w:val="-3"/>
          <w:sz w:val="21"/>
        </w:rPr>
        <w:t>慢性呼吸功能衰竭：指慢性肺部疾病导致永久不可逆性的慢性呼吸功能衰竭。慢性呼吸功能衰竭必须明确诊断并须满足下列全部条件：</w:t>
      </w:r>
    </w:p>
    <w:p>
      <w:pPr>
        <w:pStyle w:val="ListParagraph"/>
        <w:numPr>
          <w:ilvl w:val="1"/>
          <w:numId w:val="14"/>
        </w:numPr>
        <w:tabs>
          <w:tab w:pos="2985" w:val="left" w:leader="none"/>
        </w:tabs>
        <w:spacing w:line="240" w:lineRule="auto" w:before="163" w:after="0"/>
        <w:ind w:left="2984" w:right="0" w:hanging="387"/>
        <w:jc w:val="left"/>
        <w:rPr>
          <w:sz w:val="21"/>
        </w:rPr>
      </w:pPr>
      <w:r>
        <w:rPr>
          <w:spacing w:val="-3"/>
          <w:sz w:val="21"/>
        </w:rPr>
        <w:t>休息时出现呼吸困难；</w:t>
      </w:r>
    </w:p>
    <w:p>
      <w:pPr>
        <w:pStyle w:val="BodyText"/>
        <w:spacing w:before="9"/>
        <w:rPr>
          <w:sz w:val="14"/>
        </w:rPr>
      </w:pPr>
    </w:p>
    <w:p>
      <w:pPr>
        <w:pStyle w:val="ListParagraph"/>
        <w:numPr>
          <w:ilvl w:val="1"/>
          <w:numId w:val="14"/>
        </w:numPr>
        <w:tabs>
          <w:tab w:pos="2985" w:val="left" w:leader="none"/>
        </w:tabs>
        <w:spacing w:line="240" w:lineRule="auto" w:before="1" w:after="0"/>
        <w:ind w:left="2984" w:right="0" w:hanging="387"/>
        <w:jc w:val="left"/>
        <w:rPr>
          <w:sz w:val="21"/>
        </w:rPr>
      </w:pPr>
      <w:r>
        <w:rPr>
          <w:spacing w:val="-2"/>
          <w:sz w:val="21"/>
        </w:rPr>
        <w:t>动脉血氧分压</w:t>
      </w:r>
      <w:r>
        <w:rPr>
          <w:sz w:val="21"/>
        </w:rPr>
        <w:t>（PaO2）&lt;</w:t>
      </w:r>
      <w:r>
        <w:rPr>
          <w:spacing w:val="3"/>
          <w:sz w:val="21"/>
        </w:rPr>
        <w:t> </w:t>
      </w:r>
      <w:r>
        <w:rPr>
          <w:sz w:val="21"/>
        </w:rPr>
        <w:t>50mmHg；</w:t>
      </w:r>
    </w:p>
    <w:p>
      <w:pPr>
        <w:pStyle w:val="BodyText"/>
        <w:spacing w:before="10"/>
        <w:rPr>
          <w:sz w:val="14"/>
        </w:rPr>
      </w:pPr>
    </w:p>
    <w:p>
      <w:pPr>
        <w:pStyle w:val="ListParagraph"/>
        <w:numPr>
          <w:ilvl w:val="1"/>
          <w:numId w:val="14"/>
        </w:numPr>
        <w:tabs>
          <w:tab w:pos="2985" w:val="left" w:leader="none"/>
        </w:tabs>
        <w:spacing w:line="240" w:lineRule="auto" w:before="0" w:after="0"/>
        <w:ind w:left="2984" w:right="0" w:hanging="387"/>
        <w:jc w:val="left"/>
        <w:rPr>
          <w:sz w:val="21"/>
        </w:rPr>
      </w:pPr>
      <w:r>
        <w:rPr>
          <w:spacing w:val="-3"/>
          <w:sz w:val="21"/>
        </w:rPr>
        <w:t>动脉血氧饱和度</w:t>
      </w:r>
      <w:r>
        <w:rPr>
          <w:sz w:val="21"/>
        </w:rPr>
        <w:t>（SaO2）</w:t>
      </w:r>
      <w:r>
        <w:rPr>
          <w:spacing w:val="2"/>
          <w:sz w:val="21"/>
        </w:rPr>
        <w:t>&lt; </w:t>
      </w:r>
      <w:r>
        <w:rPr>
          <w:sz w:val="21"/>
        </w:rPr>
        <w:t>80%；</w:t>
      </w:r>
    </w:p>
    <w:p>
      <w:pPr>
        <w:pStyle w:val="BodyText"/>
        <w:spacing w:before="9"/>
        <w:rPr>
          <w:sz w:val="14"/>
        </w:rPr>
      </w:pPr>
    </w:p>
    <w:p>
      <w:pPr>
        <w:pStyle w:val="ListParagraph"/>
        <w:numPr>
          <w:ilvl w:val="1"/>
          <w:numId w:val="14"/>
        </w:numPr>
        <w:tabs>
          <w:tab w:pos="2985" w:val="left" w:leader="none"/>
        </w:tabs>
        <w:spacing w:line="240" w:lineRule="auto" w:before="1" w:after="0"/>
        <w:ind w:left="2984" w:right="0" w:hanging="387"/>
        <w:jc w:val="left"/>
        <w:rPr>
          <w:sz w:val="21"/>
        </w:rPr>
      </w:pPr>
      <w:r>
        <w:rPr>
          <w:spacing w:val="-3"/>
          <w:sz w:val="21"/>
        </w:rPr>
        <w:t>因缺氧必须接受输氧治疗。</w:t>
      </w:r>
    </w:p>
    <w:p>
      <w:pPr>
        <w:pStyle w:val="BodyText"/>
        <w:spacing w:before="10"/>
        <w:rPr>
          <w:sz w:val="14"/>
        </w:rPr>
      </w:pPr>
    </w:p>
    <w:p>
      <w:pPr>
        <w:pStyle w:val="ListParagraph"/>
        <w:numPr>
          <w:ilvl w:val="0"/>
          <w:numId w:val="14"/>
        </w:numPr>
        <w:tabs>
          <w:tab w:pos="2145" w:val="left" w:leader="none"/>
        </w:tabs>
        <w:spacing w:line="273" w:lineRule="auto" w:before="0" w:after="0"/>
        <w:ind w:left="2144" w:right="111" w:hanging="421"/>
        <w:jc w:val="left"/>
        <w:rPr>
          <w:sz w:val="21"/>
        </w:rPr>
      </w:pPr>
      <w:r>
        <w:rPr>
          <w:spacing w:val="-3"/>
          <w:sz w:val="21"/>
        </w:rPr>
        <w:t>脑外科手术：因颅内动脉瘤、帕金森病、癫痫的治疗需要，在全麻下进</w:t>
      </w:r>
      <w:r>
        <w:rPr>
          <w:spacing w:val="-5"/>
          <w:sz w:val="21"/>
        </w:rPr>
        <w:t>行脑部颅骨切开手术</w:t>
      </w:r>
      <w:r>
        <w:rPr>
          <w:spacing w:val="-3"/>
          <w:sz w:val="21"/>
        </w:rPr>
        <w:t>（以切开硬脑膜为准</w:t>
      </w:r>
      <w:r>
        <w:rPr>
          <w:spacing w:val="-106"/>
          <w:sz w:val="21"/>
        </w:rPr>
        <w:t>）</w:t>
      </w:r>
      <w:r>
        <w:rPr>
          <w:spacing w:val="-5"/>
          <w:sz w:val="21"/>
        </w:rPr>
        <w:t>。手术必须是在本公司认可的</w:t>
      </w:r>
      <w:r>
        <w:rPr>
          <w:spacing w:val="-4"/>
          <w:sz w:val="21"/>
        </w:rPr>
        <w:t>医院内由神经专科医师认为是医疗必须的情况下进行。</w:t>
      </w:r>
    </w:p>
    <w:p>
      <w:pPr>
        <w:pStyle w:val="Heading1"/>
        <w:spacing w:line="273" w:lineRule="auto" w:before="163"/>
        <w:ind w:right="162"/>
        <w:jc w:val="both"/>
      </w:pPr>
      <w:r>
        <w:rPr/>
        <w:t>不需手术切开或切除组织的治疗（如伽玛射线、脑血管神经放射介入治疗如栓塞形成、血栓溶解及立体定位活检）及因意外而需要进行的脑部外科手术均不在本附加合同保障范围内。</w:t>
      </w:r>
    </w:p>
    <w:p>
      <w:pPr>
        <w:pStyle w:val="ListParagraph"/>
        <w:numPr>
          <w:ilvl w:val="0"/>
          <w:numId w:val="14"/>
        </w:numPr>
        <w:tabs>
          <w:tab w:pos="2145" w:val="left" w:leader="none"/>
        </w:tabs>
        <w:spacing w:line="240" w:lineRule="auto" w:before="163" w:after="0"/>
        <w:ind w:left="1920" w:right="0" w:hanging="197"/>
        <w:jc w:val="left"/>
        <w:rPr>
          <w:sz w:val="21"/>
        </w:rPr>
      </w:pPr>
      <w:r>
        <w:rPr>
          <w:spacing w:val="-3"/>
          <w:sz w:val="21"/>
        </w:rPr>
        <w:t>破裂脑动脉瘤夹闭手术：指因脑动脉瘤破裂造成蛛网膜下腔出血，被保</w:t>
      </w:r>
    </w:p>
    <w:p>
      <w:pPr>
        <w:spacing w:after="0" w:line="240" w:lineRule="auto"/>
        <w:jc w:val="left"/>
        <w:rPr>
          <w:sz w:val="21"/>
        </w:rPr>
        <w:sectPr>
          <w:pgSz w:w="11910" w:h="16840"/>
          <w:pgMar w:header="0" w:footer="924" w:top="1080" w:bottom="1200" w:left="1680" w:right="1380"/>
        </w:sectPr>
      </w:pPr>
    </w:p>
    <w:p>
      <w:pPr>
        <w:pStyle w:val="BodyText"/>
        <w:spacing w:before="22"/>
        <w:ind w:left="2144"/>
      </w:pPr>
      <w:r>
        <w:rPr/>
        <w:t>险人实际接受了在全麻下进行的开颅动脉瘤夹闭手术。</w:t>
      </w:r>
    </w:p>
    <w:p>
      <w:pPr>
        <w:pStyle w:val="BodyText"/>
        <w:spacing w:before="10"/>
        <w:rPr>
          <w:sz w:val="14"/>
        </w:rPr>
      </w:pPr>
    </w:p>
    <w:p>
      <w:pPr>
        <w:pStyle w:val="Heading1"/>
        <w:spacing w:line="273" w:lineRule="auto"/>
        <w:ind w:right="162"/>
        <w:jc w:val="both"/>
      </w:pPr>
      <w:r>
        <w:rPr/>
        <w:t>脑动脉瘤（未破裂）预防性手术、颅骨打孔手术、动脉瘤栓塞手术、血管内手术及其他颅脑手术不在本附加合同保障范围内。</w:t>
      </w:r>
    </w:p>
    <w:p>
      <w:pPr>
        <w:pStyle w:val="ListParagraph"/>
        <w:numPr>
          <w:ilvl w:val="0"/>
          <w:numId w:val="14"/>
        </w:numPr>
        <w:tabs>
          <w:tab w:pos="2145" w:val="left" w:leader="none"/>
        </w:tabs>
        <w:spacing w:line="273" w:lineRule="auto" w:before="163" w:after="0"/>
        <w:ind w:left="2144" w:right="183" w:hanging="421"/>
        <w:jc w:val="both"/>
        <w:rPr>
          <w:sz w:val="21"/>
        </w:rPr>
      </w:pPr>
      <w:r>
        <w:rPr>
          <w:spacing w:val="-3"/>
          <w:sz w:val="21"/>
        </w:rPr>
        <w:t>侵蚀性葡萄胎：指异常增生的绒毛组织浸润性生长侵入子宫肌层或转移至其他器官或组织的葡萄胎，并已经进行化疗或手术治疗的。</w:t>
      </w:r>
    </w:p>
    <w:p>
      <w:pPr>
        <w:pStyle w:val="ListParagraph"/>
        <w:numPr>
          <w:ilvl w:val="0"/>
          <w:numId w:val="14"/>
        </w:numPr>
        <w:tabs>
          <w:tab w:pos="2145" w:val="left" w:leader="none"/>
        </w:tabs>
        <w:spacing w:line="273" w:lineRule="auto" w:before="163" w:after="0"/>
        <w:ind w:left="2144" w:right="183" w:hanging="421"/>
        <w:jc w:val="both"/>
        <w:rPr>
          <w:sz w:val="21"/>
        </w:rPr>
      </w:pPr>
      <w:r>
        <w:rPr>
          <w:spacing w:val="-3"/>
          <w:sz w:val="21"/>
        </w:rPr>
        <w:t>糖尿病导致的双脚截除：因糖尿病引起的神经及血管病变而经本公司认可的医院的内分泌科专科医生建议，由足踝或以上位置截除双脚是维持生命的唯一方法。</w:t>
      </w:r>
    </w:p>
    <w:p>
      <w:pPr>
        <w:pStyle w:val="Heading1"/>
        <w:spacing w:line="273" w:lineRule="auto" w:before="163"/>
        <w:ind w:right="161"/>
        <w:jc w:val="both"/>
      </w:pPr>
      <w:r>
        <w:rPr/>
        <w:t>切除一只或多只脚趾或因任何其他原因引起的截除术不在本附加合同保障范围内。</w:t>
      </w:r>
    </w:p>
    <w:p>
      <w:pPr>
        <w:pStyle w:val="ListParagraph"/>
        <w:numPr>
          <w:ilvl w:val="0"/>
          <w:numId w:val="14"/>
        </w:numPr>
        <w:tabs>
          <w:tab w:pos="2145" w:val="left" w:leader="none"/>
        </w:tabs>
        <w:spacing w:line="273" w:lineRule="auto" w:before="164" w:after="0"/>
        <w:ind w:left="2144" w:right="183" w:hanging="421"/>
        <w:jc w:val="both"/>
        <w:rPr>
          <w:sz w:val="21"/>
        </w:rPr>
      </w:pPr>
      <w:r>
        <w:rPr>
          <w:spacing w:val="-3"/>
          <w:sz w:val="21"/>
        </w:rPr>
        <w:t>亚急性硬化性全脑炎：指一种以大脑白质和灰质损害为主的全脑炎。本病的发生是由于缺损型麻疹病毒慢性持续感染所致的一种罕见的致命性中枢神经系统退变性疾病。早期以炎症性病变为主，晚期主要为神经元</w:t>
      </w:r>
      <w:r>
        <w:rPr>
          <w:spacing w:val="-5"/>
          <w:sz w:val="21"/>
        </w:rPr>
        <w:t>坏死和胶质增生，核内包涵体是本病的特征性改变之一。疾病确诊 </w:t>
      </w:r>
      <w:r>
        <w:rPr>
          <w:sz w:val="21"/>
        </w:rPr>
        <w:t>180 </w:t>
      </w:r>
      <w:r>
        <w:rPr>
          <w:spacing w:val="-3"/>
          <w:sz w:val="21"/>
        </w:rPr>
        <w:t>天后，仍遗留下列一种或一种以上障碍：</w:t>
      </w:r>
    </w:p>
    <w:p>
      <w:pPr>
        <w:pStyle w:val="ListParagraph"/>
        <w:numPr>
          <w:ilvl w:val="1"/>
          <w:numId w:val="14"/>
        </w:numPr>
        <w:tabs>
          <w:tab w:pos="2985" w:val="left" w:leader="none"/>
        </w:tabs>
        <w:spacing w:line="240" w:lineRule="auto" w:before="163" w:after="0"/>
        <w:ind w:left="3017" w:right="0" w:hanging="420"/>
        <w:jc w:val="left"/>
        <w:rPr>
          <w:sz w:val="21"/>
        </w:rPr>
      </w:pPr>
      <w:r>
        <w:rPr>
          <w:spacing w:val="-3"/>
          <w:sz w:val="21"/>
        </w:rPr>
        <w:t>一肢或一肢以上肢体机能完全丧失；</w:t>
      </w:r>
    </w:p>
    <w:p>
      <w:pPr>
        <w:pStyle w:val="BodyText"/>
        <w:spacing w:before="9"/>
        <w:rPr>
          <w:sz w:val="14"/>
        </w:rPr>
      </w:pPr>
    </w:p>
    <w:p>
      <w:pPr>
        <w:pStyle w:val="ListParagraph"/>
        <w:numPr>
          <w:ilvl w:val="1"/>
          <w:numId w:val="14"/>
        </w:numPr>
        <w:tabs>
          <w:tab w:pos="2985" w:val="left" w:leader="none"/>
        </w:tabs>
        <w:spacing w:line="240" w:lineRule="auto" w:before="0" w:after="0"/>
        <w:ind w:left="3017" w:right="0" w:hanging="420"/>
        <w:jc w:val="left"/>
        <w:rPr>
          <w:sz w:val="21"/>
        </w:rPr>
      </w:pPr>
      <w:r>
        <w:rPr>
          <w:spacing w:val="-3"/>
          <w:sz w:val="21"/>
        </w:rPr>
        <w:t>语言能力或咀嚼吞咽能力完全丧失；</w:t>
      </w:r>
    </w:p>
    <w:p>
      <w:pPr>
        <w:pStyle w:val="BodyText"/>
        <w:spacing w:before="9"/>
        <w:rPr>
          <w:sz w:val="14"/>
        </w:rPr>
      </w:pPr>
    </w:p>
    <w:p>
      <w:pPr>
        <w:pStyle w:val="ListParagraph"/>
        <w:numPr>
          <w:ilvl w:val="1"/>
          <w:numId w:val="14"/>
        </w:numPr>
        <w:tabs>
          <w:tab w:pos="2985" w:val="left" w:leader="none"/>
        </w:tabs>
        <w:spacing w:line="273" w:lineRule="auto" w:before="0" w:after="0"/>
        <w:ind w:left="3017" w:right="183" w:hanging="420"/>
        <w:jc w:val="left"/>
        <w:rPr>
          <w:sz w:val="21"/>
        </w:rPr>
      </w:pPr>
      <w:r>
        <w:rPr>
          <w:spacing w:val="-3"/>
          <w:sz w:val="21"/>
        </w:rPr>
        <w:t>自主生活能力完全丧失，无法独立完成六项基本日常生活活动中的三项或三项以上。</w:t>
      </w:r>
    </w:p>
    <w:p>
      <w:pPr>
        <w:pStyle w:val="ListParagraph"/>
        <w:numPr>
          <w:ilvl w:val="0"/>
          <w:numId w:val="14"/>
        </w:numPr>
        <w:tabs>
          <w:tab w:pos="2145" w:val="left" w:leader="none"/>
        </w:tabs>
        <w:spacing w:line="273" w:lineRule="auto" w:before="163" w:after="0"/>
        <w:ind w:left="2144" w:right="183" w:hanging="421"/>
        <w:jc w:val="both"/>
        <w:rPr>
          <w:sz w:val="21"/>
        </w:rPr>
      </w:pPr>
      <w:r>
        <w:rPr>
          <w:spacing w:val="-3"/>
          <w:sz w:val="21"/>
        </w:rPr>
        <w:t>严重川崎病：川崎病是一种表现为发热、结膜炎、颈部淋巴结肿大、皮疹及手</w:t>
      </w:r>
      <w:r>
        <w:rPr>
          <w:sz w:val="21"/>
        </w:rPr>
        <w:t>/</w:t>
      </w:r>
      <w:r>
        <w:rPr>
          <w:spacing w:val="-3"/>
          <w:sz w:val="21"/>
        </w:rPr>
        <w:t>脚肿胀的系统性血管炎。 符合本附加合同保障的川崎病须满足下列全部条件：</w:t>
      </w:r>
    </w:p>
    <w:p>
      <w:pPr>
        <w:pStyle w:val="ListParagraph"/>
        <w:numPr>
          <w:ilvl w:val="1"/>
          <w:numId w:val="14"/>
        </w:numPr>
        <w:tabs>
          <w:tab w:pos="2985" w:val="left" w:leader="none"/>
        </w:tabs>
        <w:spacing w:line="273" w:lineRule="auto" w:before="163" w:after="0"/>
        <w:ind w:left="3017" w:right="183" w:hanging="420"/>
        <w:jc w:val="left"/>
        <w:rPr>
          <w:sz w:val="21"/>
        </w:rPr>
      </w:pPr>
      <w:r>
        <w:rPr>
          <w:spacing w:val="-20"/>
          <w:sz w:val="21"/>
        </w:rPr>
        <w:t>有 </w:t>
      </w:r>
      <w:r>
        <w:rPr>
          <w:sz w:val="21"/>
        </w:rPr>
        <w:t>1</w:t>
      </w:r>
      <w:r>
        <w:rPr>
          <w:spacing w:val="-8"/>
          <w:sz w:val="21"/>
        </w:rPr>
        <w:t> 条或以上的冠状动脉出现持续扩张或动脉瘤形成，扩张及</w:t>
      </w:r>
      <w:r>
        <w:rPr>
          <w:spacing w:val="-10"/>
          <w:sz w:val="21"/>
        </w:rPr>
        <w:t>动脉瘤的直径最少为 </w:t>
      </w:r>
      <w:r>
        <w:rPr>
          <w:sz w:val="21"/>
        </w:rPr>
        <w:t>6</w:t>
      </w:r>
      <w:r>
        <w:rPr>
          <w:spacing w:val="-13"/>
          <w:sz w:val="21"/>
        </w:rPr>
        <w:t> 毫米；</w:t>
      </w:r>
    </w:p>
    <w:p>
      <w:pPr>
        <w:pStyle w:val="ListParagraph"/>
        <w:numPr>
          <w:ilvl w:val="1"/>
          <w:numId w:val="14"/>
        </w:numPr>
        <w:tabs>
          <w:tab w:pos="2985" w:val="left" w:leader="none"/>
        </w:tabs>
        <w:spacing w:line="273" w:lineRule="auto" w:before="163" w:after="0"/>
        <w:ind w:left="3017" w:right="183" w:hanging="420"/>
        <w:jc w:val="left"/>
        <w:rPr>
          <w:sz w:val="21"/>
        </w:rPr>
      </w:pPr>
      <w:r>
        <w:rPr>
          <w:spacing w:val="-3"/>
          <w:sz w:val="21"/>
        </w:rPr>
        <w:t>在小儿心脏专科注册医生就此疾病作出初步诊断后，该扩张或</w:t>
      </w:r>
      <w:r>
        <w:rPr>
          <w:spacing w:val="-8"/>
          <w:sz w:val="21"/>
        </w:rPr>
        <w:t>动脉瘤已持续最少 </w:t>
      </w:r>
      <w:r>
        <w:rPr>
          <w:sz w:val="21"/>
        </w:rPr>
        <w:t>6</w:t>
      </w:r>
      <w:r>
        <w:rPr>
          <w:spacing w:val="-14"/>
          <w:sz w:val="21"/>
        </w:rPr>
        <w:t> 个月；</w:t>
      </w:r>
    </w:p>
    <w:p>
      <w:pPr>
        <w:pStyle w:val="ListParagraph"/>
        <w:numPr>
          <w:ilvl w:val="1"/>
          <w:numId w:val="14"/>
        </w:numPr>
        <w:tabs>
          <w:tab w:pos="2985" w:val="left" w:leader="none"/>
        </w:tabs>
        <w:spacing w:line="240" w:lineRule="auto" w:before="163" w:after="0"/>
        <w:ind w:left="3017" w:right="0" w:hanging="420"/>
        <w:jc w:val="left"/>
        <w:rPr>
          <w:sz w:val="21"/>
        </w:rPr>
      </w:pPr>
      <w:r>
        <w:rPr>
          <w:spacing w:val="-3"/>
          <w:sz w:val="21"/>
        </w:rPr>
        <w:t>理赔时必须提供超声心动图和血管造影的诊断证明。</w:t>
      </w:r>
    </w:p>
    <w:p>
      <w:pPr>
        <w:pStyle w:val="BodyText"/>
        <w:spacing w:before="9"/>
        <w:rPr>
          <w:sz w:val="14"/>
        </w:rPr>
      </w:pPr>
    </w:p>
    <w:p>
      <w:pPr>
        <w:pStyle w:val="Heading1"/>
        <w:spacing w:line="273" w:lineRule="auto" w:before="1"/>
        <w:ind w:right="108"/>
        <w:jc w:val="both"/>
      </w:pPr>
      <w:r>
        <w:rPr>
          <w:spacing w:val="-3"/>
        </w:rPr>
        <w:t>在本附加合同保障中的此项疾病，如因任何先天缺陷，或遗传疾病或发</w:t>
      </w:r>
      <w:r>
        <w:rPr>
          <w:spacing w:val="-11"/>
        </w:rPr>
        <w:t>育中出现异常情况，而该异常情况在被保险人年龄满 </w:t>
      </w:r>
      <w:r>
        <w:rPr/>
        <w:t>18</w:t>
      </w:r>
      <w:r>
        <w:rPr>
          <w:spacing w:val="-8"/>
        </w:rPr>
        <w:t> 岁之前已被诊断或出现，所直接或间接引起或导致</w:t>
      </w:r>
      <w:r>
        <w:rPr/>
        <w:t>（全部或部分</w:t>
      </w:r>
      <w:r>
        <w:rPr>
          <w:spacing w:val="-64"/>
        </w:rPr>
        <w:t>）</w:t>
      </w:r>
      <w:r>
        <w:rPr>
          <w:spacing w:val="-9"/>
        </w:rPr>
        <w:t>，将不在本附加合同保障范围内。</w:t>
      </w:r>
    </w:p>
    <w:p>
      <w:pPr>
        <w:pStyle w:val="ListParagraph"/>
        <w:numPr>
          <w:ilvl w:val="0"/>
          <w:numId w:val="14"/>
        </w:numPr>
        <w:tabs>
          <w:tab w:pos="2145" w:val="left" w:leader="none"/>
        </w:tabs>
        <w:spacing w:line="273" w:lineRule="auto" w:before="164" w:after="0"/>
        <w:ind w:left="2144" w:right="183" w:hanging="421"/>
        <w:jc w:val="both"/>
        <w:rPr>
          <w:sz w:val="21"/>
        </w:rPr>
      </w:pPr>
      <w:r>
        <w:rPr>
          <w:spacing w:val="-3"/>
          <w:sz w:val="21"/>
        </w:rPr>
        <w:t>严重的骨质疏松：经本公司认可医院的专科医生确诊为骨质疏松症合并骨折并须满足下列全部条件：</w:t>
      </w:r>
    </w:p>
    <w:p>
      <w:pPr>
        <w:pStyle w:val="ListParagraph"/>
        <w:numPr>
          <w:ilvl w:val="1"/>
          <w:numId w:val="14"/>
        </w:numPr>
        <w:tabs>
          <w:tab w:pos="2985" w:val="left" w:leader="none"/>
        </w:tabs>
        <w:spacing w:line="273" w:lineRule="auto" w:before="164" w:after="0"/>
        <w:ind w:left="3017" w:right="149" w:hanging="420"/>
        <w:jc w:val="both"/>
        <w:rPr>
          <w:sz w:val="21"/>
        </w:rPr>
      </w:pPr>
      <w:r>
        <w:rPr>
          <w:spacing w:val="-5"/>
          <w:sz w:val="21"/>
        </w:rPr>
        <w:t>因骨质疏松症导致或于骨质疏松症出现时，出现最少 </w:t>
      </w:r>
      <w:r>
        <w:rPr>
          <w:sz w:val="21"/>
        </w:rPr>
        <w:t>1</w:t>
      </w:r>
      <w:r>
        <w:rPr>
          <w:spacing w:val="-12"/>
          <w:sz w:val="21"/>
        </w:rPr>
        <w:t> 处股骨</w:t>
      </w:r>
      <w:r>
        <w:rPr>
          <w:spacing w:val="-14"/>
          <w:sz w:val="21"/>
        </w:rPr>
        <w:t>颈骨折或 </w:t>
      </w:r>
      <w:r>
        <w:rPr>
          <w:sz w:val="21"/>
        </w:rPr>
        <w:t>2</w:t>
      </w:r>
      <w:r>
        <w:rPr>
          <w:spacing w:val="-10"/>
          <w:sz w:val="21"/>
        </w:rPr>
        <w:t> 处脊椎骨折</w:t>
      </w:r>
      <w:r>
        <w:rPr>
          <w:spacing w:val="-3"/>
          <w:sz w:val="21"/>
        </w:rPr>
        <w:t>（如为压缩性骨折，须满足椎体高度或</w:t>
      </w:r>
      <w:r>
        <w:rPr>
          <w:spacing w:val="-3"/>
          <w:w w:val="100"/>
          <w:sz w:val="21"/>
        </w:rPr>
        <w:t>面积减少</w:t>
      </w:r>
      <w:r>
        <w:rPr>
          <w:spacing w:val="-53"/>
          <w:sz w:val="21"/>
        </w:rPr>
        <w:t> </w:t>
      </w:r>
      <w:r>
        <w:rPr>
          <w:spacing w:val="-3"/>
          <w:w w:val="100"/>
          <w:sz w:val="21"/>
        </w:rPr>
        <w:t>4</w:t>
      </w:r>
      <w:r>
        <w:rPr>
          <w:w w:val="100"/>
          <w:sz w:val="21"/>
        </w:rPr>
        <w:t>0</w:t>
      </w:r>
      <w:r>
        <w:rPr>
          <w:spacing w:val="-3"/>
          <w:w w:val="100"/>
          <w:sz w:val="21"/>
        </w:rPr>
        <w:t>%及以上</w:t>
      </w:r>
      <w:r>
        <w:rPr>
          <w:spacing w:val="-106"/>
          <w:w w:val="100"/>
          <w:sz w:val="21"/>
        </w:rPr>
        <w:t>）</w:t>
      </w:r>
      <w:r>
        <w:rPr>
          <w:w w:val="100"/>
          <w:sz w:val="21"/>
        </w:rPr>
        <w:t>；</w:t>
      </w:r>
    </w:p>
    <w:p>
      <w:pPr>
        <w:pStyle w:val="ListParagraph"/>
        <w:numPr>
          <w:ilvl w:val="1"/>
          <w:numId w:val="14"/>
        </w:numPr>
        <w:tabs>
          <w:tab w:pos="2985" w:val="left" w:leader="none"/>
        </w:tabs>
        <w:spacing w:line="273" w:lineRule="auto" w:before="164" w:after="0"/>
        <w:ind w:left="3017" w:right="149" w:hanging="420"/>
        <w:jc w:val="left"/>
        <w:rPr>
          <w:sz w:val="21"/>
        </w:rPr>
      </w:pPr>
      <w:r>
        <w:rPr>
          <w:spacing w:val="-11"/>
          <w:sz w:val="21"/>
        </w:rPr>
        <w:t>以双能量 </w:t>
      </w:r>
      <w:r>
        <w:rPr>
          <w:sz w:val="21"/>
        </w:rPr>
        <w:t>X</w:t>
      </w:r>
      <w:r>
        <w:rPr>
          <w:spacing w:val="-10"/>
          <w:sz w:val="21"/>
        </w:rPr>
        <w:t> 光吸收仪或定量电脑断层扫描量度出最少 </w:t>
      </w:r>
      <w:r>
        <w:rPr>
          <w:sz w:val="21"/>
        </w:rPr>
        <w:t>2</w:t>
      </w:r>
      <w:r>
        <w:rPr>
          <w:spacing w:val="-13"/>
          <w:sz w:val="21"/>
        </w:rPr>
        <w:t> 处位置</w:t>
      </w:r>
      <w:r>
        <w:rPr>
          <w:spacing w:val="-6"/>
          <w:sz w:val="21"/>
        </w:rPr>
        <w:t>的骨骼矿物质密度与严重骨质疏鬆症的定义一致</w:t>
      </w:r>
      <w:r>
        <w:rPr>
          <w:spacing w:val="-3"/>
          <w:sz w:val="21"/>
        </w:rPr>
        <w:t>（</w:t>
      </w:r>
      <w:r>
        <w:rPr>
          <w:spacing w:val="-1"/>
          <w:sz w:val="21"/>
        </w:rPr>
        <w:t>即低于</w:t>
      </w:r>
      <w:r>
        <w:rPr>
          <w:sz w:val="21"/>
        </w:rPr>
        <w:t>-2.5</w:t>
      </w:r>
    </w:p>
    <w:p>
      <w:pPr>
        <w:spacing w:after="0" w:line="273" w:lineRule="auto"/>
        <w:jc w:val="left"/>
        <w:rPr>
          <w:sz w:val="21"/>
        </w:rPr>
        <w:sectPr>
          <w:pgSz w:w="11910" w:h="16840"/>
          <w:pgMar w:header="0" w:footer="924" w:top="1080" w:bottom="1200" w:left="1680" w:right="13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599"/>
        <w:gridCol w:w="7547"/>
      </w:tblGrid>
      <w:tr>
        <w:trPr>
          <w:trHeight w:val="9233" w:hRule="atLeast"/>
        </w:trPr>
        <w:tc>
          <w:tcPr>
            <w:tcW w:w="838" w:type="dxa"/>
          </w:tcPr>
          <w:p>
            <w:pPr>
              <w:pStyle w:val="TableParagraph"/>
              <w:rPr>
                <w:rFonts w:ascii="Times New Roman"/>
                <w:sz w:val="20"/>
              </w:rPr>
            </w:pPr>
          </w:p>
        </w:tc>
        <w:tc>
          <w:tcPr>
            <w:tcW w:w="1599" w:type="dxa"/>
          </w:tcPr>
          <w:p>
            <w:pPr>
              <w:pStyle w:val="TableParagraph"/>
              <w:rPr>
                <w:rFonts w:ascii="Times New Roman"/>
                <w:sz w:val="20"/>
              </w:rPr>
            </w:pPr>
          </w:p>
        </w:tc>
        <w:tc>
          <w:tcPr>
            <w:tcW w:w="7547" w:type="dxa"/>
          </w:tcPr>
          <w:p>
            <w:pPr>
              <w:pStyle w:val="TableParagraph"/>
              <w:spacing w:line="211" w:lineRule="exact"/>
              <w:ind w:left="1327"/>
              <w:rPr>
                <w:sz w:val="21"/>
              </w:rPr>
            </w:pPr>
            <w:r>
              <w:rPr>
                <w:w w:val="100"/>
                <w:sz w:val="21"/>
              </w:rPr>
              <w:t>的</w:t>
            </w:r>
            <w:r>
              <w:rPr>
                <w:spacing w:val="-53"/>
                <w:sz w:val="21"/>
              </w:rPr>
              <w:t> </w:t>
            </w:r>
            <w:r>
              <w:rPr>
                <w:w w:val="100"/>
                <w:sz w:val="21"/>
              </w:rPr>
              <w:t>T</w:t>
            </w:r>
            <w:r>
              <w:rPr>
                <w:spacing w:val="-2"/>
                <w:sz w:val="21"/>
              </w:rPr>
              <w:t> </w:t>
            </w:r>
            <w:r>
              <w:rPr>
                <w:w w:val="100"/>
                <w:sz w:val="21"/>
              </w:rPr>
              <w:t>数值</w:t>
            </w:r>
            <w:r>
              <w:rPr>
                <w:spacing w:val="-108"/>
                <w:w w:val="100"/>
                <w:sz w:val="21"/>
              </w:rPr>
              <w:t>）</w:t>
            </w:r>
            <w:r>
              <w:rPr>
                <w:w w:val="100"/>
                <w:sz w:val="21"/>
              </w:rPr>
              <w:t>；</w:t>
            </w:r>
          </w:p>
          <w:p>
            <w:pPr>
              <w:pStyle w:val="TableParagraph"/>
              <w:spacing w:before="10"/>
              <w:rPr>
                <w:sz w:val="14"/>
              </w:rPr>
            </w:pPr>
          </w:p>
          <w:p>
            <w:pPr>
              <w:pStyle w:val="TableParagraph"/>
              <w:numPr>
                <w:ilvl w:val="0"/>
                <w:numId w:val="16"/>
              </w:numPr>
              <w:tabs>
                <w:tab w:pos="1295" w:val="left" w:leader="none"/>
              </w:tabs>
              <w:spacing w:line="240" w:lineRule="auto" w:before="0" w:after="0"/>
              <w:ind w:left="1328" w:right="0" w:hanging="420"/>
              <w:jc w:val="left"/>
              <w:rPr>
                <w:sz w:val="21"/>
              </w:rPr>
            </w:pPr>
            <w:r>
              <w:rPr>
                <w:spacing w:val="-3"/>
                <w:sz w:val="21"/>
              </w:rPr>
              <w:t>已经就骨折进行内部固定术或置换术治疗；</w:t>
            </w:r>
          </w:p>
          <w:p>
            <w:pPr>
              <w:pStyle w:val="TableParagraph"/>
              <w:spacing w:before="9"/>
              <w:rPr>
                <w:sz w:val="14"/>
              </w:rPr>
            </w:pPr>
          </w:p>
          <w:p>
            <w:pPr>
              <w:pStyle w:val="TableParagraph"/>
              <w:numPr>
                <w:ilvl w:val="0"/>
                <w:numId w:val="16"/>
              </w:numPr>
              <w:tabs>
                <w:tab w:pos="1295" w:val="left" w:leader="none"/>
              </w:tabs>
              <w:spacing w:line="273" w:lineRule="auto" w:before="0" w:after="0"/>
              <w:ind w:left="1328" w:right="573" w:hanging="420"/>
              <w:jc w:val="left"/>
              <w:rPr>
                <w:sz w:val="21"/>
              </w:rPr>
            </w:pPr>
            <w:r>
              <w:rPr>
                <w:spacing w:val="-3"/>
                <w:sz w:val="21"/>
              </w:rPr>
              <w:t>诊断及治疗均须在本公司认可的医院内由专科医师认为是医疗必须的情况下进行。</w:t>
            </w:r>
          </w:p>
          <w:p>
            <w:pPr>
              <w:pStyle w:val="TableParagraph"/>
              <w:spacing w:line="273" w:lineRule="auto" w:before="163"/>
              <w:ind w:left="454" w:right="655"/>
              <w:rPr>
                <w:b/>
                <w:sz w:val="21"/>
              </w:rPr>
            </w:pPr>
            <w:r>
              <w:rPr>
                <w:b/>
                <w:spacing w:val="-5"/>
                <w:sz w:val="21"/>
              </w:rPr>
              <w:t>被保险人确诊患上本项疾病的年龄必须在 </w:t>
            </w:r>
            <w:r>
              <w:rPr>
                <w:b/>
                <w:sz w:val="21"/>
              </w:rPr>
              <w:t>74</w:t>
            </w:r>
            <w:r>
              <w:rPr>
                <w:b/>
                <w:spacing w:val="-8"/>
                <w:sz w:val="21"/>
              </w:rPr>
              <w:t> 周岁或以下才属于本附加合同保障范围内。</w:t>
            </w:r>
          </w:p>
          <w:p>
            <w:pPr>
              <w:pStyle w:val="TableParagraph"/>
              <w:numPr>
                <w:ilvl w:val="0"/>
                <w:numId w:val="17"/>
              </w:numPr>
              <w:tabs>
                <w:tab w:pos="455" w:val="left" w:leader="none"/>
              </w:tabs>
              <w:spacing w:line="273" w:lineRule="auto" w:before="163" w:after="0"/>
              <w:ind w:left="454" w:right="499" w:hanging="421"/>
              <w:jc w:val="left"/>
              <w:rPr>
                <w:sz w:val="21"/>
              </w:rPr>
            </w:pPr>
            <w:r>
              <w:rPr>
                <w:spacing w:val="-3"/>
                <w:sz w:val="21"/>
              </w:rPr>
              <w:t>严重癫痫症：由本公司认可医院的神经科专科医生或儿科医生确诊，并</w:t>
            </w:r>
            <w:r>
              <w:rPr>
                <w:spacing w:val="-4"/>
                <w:sz w:val="21"/>
              </w:rPr>
              <w:t>有证据显示其典型临床症状及有脑电图</w:t>
            </w:r>
            <w:r>
              <w:rPr>
                <w:spacing w:val="-5"/>
                <w:sz w:val="21"/>
              </w:rPr>
              <w:t>（EEG）</w:t>
            </w:r>
            <w:r>
              <w:rPr>
                <w:spacing w:val="-3"/>
                <w:sz w:val="21"/>
              </w:rPr>
              <w:t>及或其它脑部影像素描技</w:t>
            </w:r>
            <w:r>
              <w:rPr>
                <w:spacing w:val="-3"/>
                <w:w w:val="100"/>
                <w:sz w:val="21"/>
              </w:rPr>
              <w:t>术（如核磁共振扫描</w:t>
            </w:r>
            <w:r>
              <w:rPr>
                <w:spacing w:val="-1"/>
                <w:w w:val="100"/>
                <w:sz w:val="21"/>
              </w:rPr>
              <w:t>（</w:t>
            </w:r>
            <w:r>
              <w:rPr>
                <w:w w:val="100"/>
                <w:sz w:val="21"/>
              </w:rPr>
              <w:t>M</w:t>
            </w:r>
            <w:r>
              <w:rPr>
                <w:spacing w:val="-3"/>
                <w:w w:val="100"/>
                <w:sz w:val="21"/>
              </w:rPr>
              <w:t>RI</w:t>
            </w:r>
            <w:r>
              <w:rPr>
                <w:spacing w:val="-106"/>
                <w:w w:val="100"/>
                <w:sz w:val="21"/>
              </w:rPr>
              <w:t>）</w:t>
            </w:r>
            <w:r>
              <w:rPr>
                <w:spacing w:val="-3"/>
                <w:w w:val="100"/>
                <w:sz w:val="21"/>
              </w:rPr>
              <w:t>、正电子发射断层扫描（</w:t>
            </w:r>
            <w:r>
              <w:rPr>
                <w:w w:val="100"/>
                <w:sz w:val="21"/>
              </w:rPr>
              <w:t>PET</w:t>
            </w:r>
            <w:r>
              <w:rPr>
                <w:spacing w:val="-106"/>
                <w:w w:val="100"/>
                <w:sz w:val="21"/>
              </w:rPr>
              <w:t>）</w:t>
            </w:r>
            <w:r>
              <w:rPr>
                <w:spacing w:val="-3"/>
                <w:w w:val="100"/>
                <w:sz w:val="21"/>
              </w:rPr>
              <w:t>、电脑断层扫</w:t>
            </w:r>
            <w:r>
              <w:rPr>
                <w:spacing w:val="-10"/>
                <w:w w:val="100"/>
                <w:sz w:val="21"/>
              </w:rPr>
              <w:t>描</w:t>
            </w:r>
            <w:r>
              <w:rPr>
                <w:w w:val="100"/>
                <w:sz w:val="21"/>
              </w:rPr>
              <w:t>（</w:t>
            </w:r>
            <w:r>
              <w:rPr>
                <w:spacing w:val="-3"/>
                <w:w w:val="100"/>
                <w:sz w:val="21"/>
              </w:rPr>
              <w:t>C</w:t>
            </w:r>
            <w:r>
              <w:rPr>
                <w:w w:val="100"/>
                <w:sz w:val="21"/>
              </w:rPr>
              <w:t>T</w:t>
            </w:r>
            <w:r>
              <w:rPr>
                <w:spacing w:val="-108"/>
                <w:w w:val="100"/>
                <w:sz w:val="21"/>
              </w:rPr>
              <w:t>）</w:t>
            </w:r>
            <w:r>
              <w:rPr>
                <w:spacing w:val="-10"/>
                <w:w w:val="100"/>
                <w:sz w:val="21"/>
              </w:rPr>
              <w:t>）</w:t>
            </w:r>
            <w:r>
              <w:rPr>
                <w:spacing w:val="-4"/>
                <w:w w:val="100"/>
                <w:sz w:val="21"/>
              </w:rPr>
              <w:t>的特征性发现之严重癫痫。被保险人必须反覆出现自发性的强</w:t>
            </w:r>
            <w:r>
              <w:rPr>
                <w:spacing w:val="-3"/>
                <w:sz w:val="21"/>
              </w:rPr>
              <w:t>直阵挛性抽搐或大发作，且必须已经按照本公司认可医院的专科医生建</w:t>
            </w:r>
            <w:r>
              <w:rPr>
                <w:spacing w:val="-7"/>
                <w:sz w:val="21"/>
              </w:rPr>
              <w:t>议接受抗癫痫药物治疗至少 </w:t>
            </w:r>
            <w:r>
              <w:rPr>
                <w:sz w:val="21"/>
              </w:rPr>
              <w:t>6</w:t>
            </w:r>
            <w:r>
              <w:rPr>
                <w:spacing w:val="-8"/>
                <w:sz w:val="21"/>
              </w:rPr>
              <w:t> 个月或已经进行神经外科手术以治疗反覆</w:t>
            </w:r>
            <w:r>
              <w:rPr>
                <w:spacing w:val="-5"/>
                <w:sz w:val="21"/>
              </w:rPr>
              <w:t>性癫痫发作。</w:t>
            </w:r>
          </w:p>
          <w:p>
            <w:pPr>
              <w:pStyle w:val="TableParagraph"/>
              <w:spacing w:before="163"/>
              <w:ind w:left="454"/>
              <w:rPr>
                <w:b/>
                <w:sz w:val="21"/>
              </w:rPr>
            </w:pPr>
            <w:r>
              <w:rPr>
                <w:b/>
                <w:sz w:val="21"/>
              </w:rPr>
              <w:t>以下情况不属于本附加合同保障范围内：</w:t>
            </w:r>
          </w:p>
          <w:p>
            <w:pPr>
              <w:pStyle w:val="TableParagraph"/>
              <w:spacing w:before="9"/>
              <w:rPr>
                <w:sz w:val="14"/>
              </w:rPr>
            </w:pPr>
          </w:p>
          <w:p>
            <w:pPr>
              <w:pStyle w:val="TableParagraph"/>
              <w:numPr>
                <w:ilvl w:val="1"/>
                <w:numId w:val="17"/>
              </w:numPr>
              <w:tabs>
                <w:tab w:pos="1295" w:val="left" w:leader="none"/>
              </w:tabs>
              <w:spacing w:line="240" w:lineRule="auto" w:before="0" w:after="0"/>
              <w:ind w:left="1294" w:right="0" w:hanging="386"/>
              <w:jc w:val="left"/>
              <w:rPr>
                <w:b/>
                <w:sz w:val="21"/>
              </w:rPr>
            </w:pPr>
            <w:r>
              <w:rPr>
                <w:b/>
                <w:sz w:val="21"/>
              </w:rPr>
              <w:t>1.发热性抽搐；</w:t>
            </w:r>
          </w:p>
          <w:p>
            <w:pPr>
              <w:pStyle w:val="TableParagraph"/>
              <w:spacing w:before="9"/>
              <w:rPr>
                <w:sz w:val="14"/>
              </w:rPr>
            </w:pPr>
          </w:p>
          <w:p>
            <w:pPr>
              <w:pStyle w:val="TableParagraph"/>
              <w:numPr>
                <w:ilvl w:val="1"/>
                <w:numId w:val="17"/>
              </w:numPr>
              <w:tabs>
                <w:tab w:pos="1295" w:val="left" w:leader="none"/>
              </w:tabs>
              <w:spacing w:line="240" w:lineRule="auto" w:before="0" w:after="0"/>
              <w:ind w:left="1294" w:right="0" w:hanging="386"/>
              <w:jc w:val="left"/>
              <w:rPr>
                <w:b/>
                <w:sz w:val="21"/>
              </w:rPr>
            </w:pPr>
            <w:r>
              <w:rPr>
                <w:b/>
                <w:sz w:val="21"/>
              </w:rPr>
              <w:t>2.</w:t>
            </w:r>
            <w:r>
              <w:rPr>
                <w:b/>
                <w:spacing w:val="-1"/>
                <w:sz w:val="21"/>
              </w:rPr>
              <w:t>失神性及非全脑性发作</w:t>
            </w:r>
            <w:r>
              <w:rPr>
                <w:b/>
                <w:sz w:val="21"/>
              </w:rPr>
              <w:t>（小发作</w:t>
            </w:r>
            <w:r>
              <w:rPr>
                <w:b/>
                <w:spacing w:val="-106"/>
                <w:sz w:val="21"/>
              </w:rPr>
              <w:t>）</w:t>
            </w:r>
            <w:r>
              <w:rPr>
                <w:b/>
                <w:sz w:val="21"/>
              </w:rPr>
              <w:t>。</w:t>
            </w:r>
          </w:p>
          <w:p>
            <w:pPr>
              <w:pStyle w:val="TableParagraph"/>
              <w:spacing w:before="9"/>
              <w:rPr>
                <w:sz w:val="14"/>
              </w:rPr>
            </w:pPr>
          </w:p>
          <w:p>
            <w:pPr>
              <w:pStyle w:val="TableParagraph"/>
              <w:numPr>
                <w:ilvl w:val="0"/>
                <w:numId w:val="17"/>
              </w:numPr>
              <w:tabs>
                <w:tab w:pos="875" w:val="left" w:leader="none"/>
              </w:tabs>
              <w:spacing w:line="273" w:lineRule="auto" w:before="0" w:after="0"/>
              <w:ind w:left="454" w:right="523" w:hanging="421"/>
              <w:jc w:val="both"/>
              <w:rPr>
                <w:sz w:val="21"/>
              </w:rPr>
            </w:pPr>
            <w:r>
              <w:rPr>
                <w:spacing w:val="-3"/>
                <w:sz w:val="21"/>
              </w:rPr>
              <w:t>进行性风疹性全脑炎：指由风疹病毒感染引起的儿童和青少年的慢性脑炎，且导致神经系统永久性的功能障碍。须由神经专科医师确诊。</w:t>
            </w:r>
            <w:r>
              <w:rPr>
                <w:spacing w:val="-6"/>
                <w:sz w:val="21"/>
              </w:rPr>
              <w:t>神经系统永久性的功能障碍，指疾病确诊 </w:t>
            </w:r>
            <w:r>
              <w:rPr>
                <w:sz w:val="21"/>
              </w:rPr>
              <w:t>180</w:t>
            </w:r>
            <w:r>
              <w:rPr>
                <w:spacing w:val="-2"/>
                <w:sz w:val="21"/>
              </w:rPr>
              <w:t> 天后，仍遗留下列一种或</w:t>
            </w:r>
            <w:r>
              <w:rPr>
                <w:spacing w:val="-3"/>
                <w:sz w:val="21"/>
              </w:rPr>
              <w:t>一种以上障碍：</w:t>
            </w:r>
          </w:p>
          <w:p>
            <w:pPr>
              <w:pStyle w:val="TableParagraph"/>
              <w:numPr>
                <w:ilvl w:val="1"/>
                <w:numId w:val="17"/>
              </w:numPr>
              <w:tabs>
                <w:tab w:pos="1295" w:val="left" w:leader="none"/>
              </w:tabs>
              <w:spacing w:line="240" w:lineRule="auto" w:before="163" w:after="0"/>
              <w:ind w:left="1328" w:right="0" w:hanging="420"/>
              <w:jc w:val="left"/>
              <w:rPr>
                <w:sz w:val="21"/>
              </w:rPr>
            </w:pPr>
            <w:r>
              <w:rPr>
                <w:spacing w:val="-3"/>
                <w:sz w:val="21"/>
              </w:rPr>
              <w:t>一肢或一肢以上肢体机能完全丧失；</w:t>
            </w:r>
          </w:p>
          <w:p>
            <w:pPr>
              <w:pStyle w:val="TableParagraph"/>
              <w:spacing w:before="9"/>
              <w:rPr>
                <w:sz w:val="14"/>
              </w:rPr>
            </w:pPr>
          </w:p>
          <w:p>
            <w:pPr>
              <w:pStyle w:val="TableParagraph"/>
              <w:numPr>
                <w:ilvl w:val="1"/>
                <w:numId w:val="17"/>
              </w:numPr>
              <w:tabs>
                <w:tab w:pos="1295" w:val="left" w:leader="none"/>
              </w:tabs>
              <w:spacing w:line="240" w:lineRule="auto" w:before="1" w:after="0"/>
              <w:ind w:left="1328" w:right="0" w:hanging="420"/>
              <w:jc w:val="left"/>
              <w:rPr>
                <w:sz w:val="21"/>
              </w:rPr>
            </w:pPr>
            <w:r>
              <w:rPr>
                <w:spacing w:val="-3"/>
                <w:sz w:val="21"/>
              </w:rPr>
              <w:t>语言能力或咀嚼吞咽能力完全丧失；</w:t>
            </w:r>
          </w:p>
          <w:p>
            <w:pPr>
              <w:pStyle w:val="TableParagraph"/>
              <w:spacing w:before="10"/>
              <w:rPr>
                <w:sz w:val="14"/>
              </w:rPr>
            </w:pPr>
          </w:p>
          <w:p>
            <w:pPr>
              <w:pStyle w:val="TableParagraph"/>
              <w:numPr>
                <w:ilvl w:val="1"/>
                <w:numId w:val="17"/>
              </w:numPr>
              <w:tabs>
                <w:tab w:pos="1295" w:val="left" w:leader="none"/>
              </w:tabs>
              <w:spacing w:line="273" w:lineRule="auto" w:before="0" w:after="0"/>
              <w:ind w:left="1328" w:right="573" w:hanging="420"/>
              <w:jc w:val="left"/>
              <w:rPr>
                <w:sz w:val="21"/>
              </w:rPr>
            </w:pPr>
            <w:r>
              <w:rPr>
                <w:spacing w:val="-3"/>
                <w:sz w:val="21"/>
              </w:rPr>
              <w:t>自主生活能力完全丧失，无法独立完成六项基本日常生活活动中的三项或三项以上。</w:t>
            </w:r>
          </w:p>
        </w:tc>
      </w:tr>
      <w:tr>
        <w:trPr>
          <w:trHeight w:val="1092" w:hRule="atLeast"/>
        </w:trPr>
        <w:tc>
          <w:tcPr>
            <w:tcW w:w="838" w:type="dxa"/>
          </w:tcPr>
          <w:p>
            <w:pPr>
              <w:pStyle w:val="TableParagraph"/>
              <w:spacing w:before="64"/>
              <w:ind w:left="200"/>
              <w:rPr>
                <w:b/>
                <w:sz w:val="21"/>
              </w:rPr>
            </w:pPr>
            <w:r>
              <w:rPr>
                <w:b/>
                <w:sz w:val="21"/>
              </w:rPr>
              <w:t>9.11</w:t>
            </w:r>
          </w:p>
        </w:tc>
        <w:tc>
          <w:tcPr>
            <w:tcW w:w="1599" w:type="dxa"/>
          </w:tcPr>
          <w:p>
            <w:pPr>
              <w:pStyle w:val="TableParagraph"/>
              <w:spacing w:line="273" w:lineRule="auto" w:before="64"/>
              <w:ind w:left="214" w:right="115"/>
              <w:jc w:val="both"/>
              <w:rPr>
                <w:b/>
                <w:sz w:val="21"/>
              </w:rPr>
            </w:pPr>
            <w:r>
              <w:rPr>
                <w:b/>
                <w:sz w:val="21"/>
              </w:rPr>
              <w:t>《人身保险伤残评定标准与代码》</w:t>
            </w:r>
          </w:p>
        </w:tc>
        <w:tc>
          <w:tcPr>
            <w:tcW w:w="7547" w:type="dxa"/>
          </w:tcPr>
          <w:p>
            <w:pPr>
              <w:pStyle w:val="TableParagraph"/>
              <w:spacing w:line="273" w:lineRule="auto" w:before="64"/>
              <w:ind w:left="115" w:right="270"/>
              <w:rPr>
                <w:sz w:val="21"/>
              </w:rPr>
            </w:pPr>
            <w:r>
              <w:rPr>
                <w:sz w:val="21"/>
              </w:rPr>
              <w:t>《人身保险伤残评定标准与代码》（标准编号为 JR/T 0083—2013）是由全国金融标准化技术委员会保险分技术委员会制定并审查通过，并由中国保险监督管理委员会发布(保监发[2014]6 号)的中华人民共和国金融行业标准。</w:t>
            </w:r>
          </w:p>
        </w:tc>
      </w:tr>
      <w:tr>
        <w:trPr>
          <w:trHeight w:val="1482" w:hRule="atLeast"/>
        </w:trPr>
        <w:tc>
          <w:tcPr>
            <w:tcW w:w="838" w:type="dxa"/>
          </w:tcPr>
          <w:p>
            <w:pPr>
              <w:pStyle w:val="TableParagraph"/>
              <w:spacing w:before="65"/>
              <w:ind w:left="200"/>
              <w:rPr>
                <w:b/>
                <w:sz w:val="21"/>
              </w:rPr>
            </w:pPr>
            <w:r>
              <w:rPr>
                <w:b/>
                <w:sz w:val="21"/>
              </w:rPr>
              <w:t>9.12</w:t>
            </w:r>
          </w:p>
        </w:tc>
        <w:tc>
          <w:tcPr>
            <w:tcW w:w="1599" w:type="dxa"/>
          </w:tcPr>
          <w:p>
            <w:pPr>
              <w:pStyle w:val="TableParagraph"/>
              <w:spacing w:before="65"/>
              <w:ind w:left="214"/>
              <w:rPr>
                <w:b/>
                <w:sz w:val="21"/>
              </w:rPr>
            </w:pPr>
            <w:r>
              <w:rPr>
                <w:b/>
                <w:sz w:val="21"/>
              </w:rPr>
              <w:t>毒品</w:t>
            </w:r>
          </w:p>
        </w:tc>
        <w:tc>
          <w:tcPr>
            <w:tcW w:w="7547" w:type="dxa"/>
          </w:tcPr>
          <w:p>
            <w:pPr>
              <w:pStyle w:val="TableParagraph"/>
              <w:spacing w:line="273" w:lineRule="auto" w:before="65"/>
              <w:ind w:left="115" w:right="199"/>
              <w:rPr>
                <w:sz w:val="21"/>
              </w:rPr>
            </w:pPr>
            <w:r>
              <w:rPr>
                <w:spacing w:val="-5"/>
                <w:sz w:val="21"/>
              </w:rPr>
              <w:t>指《中华人民共和国刑法》规定的鸦片、海洛因、甲基苯丙胺</w:t>
            </w:r>
            <w:r>
              <w:rPr>
                <w:spacing w:val="-3"/>
                <w:sz w:val="21"/>
              </w:rPr>
              <w:t>（</w:t>
            </w:r>
            <w:r>
              <w:rPr>
                <w:sz w:val="21"/>
              </w:rPr>
              <w:t>冰毒</w:t>
            </w:r>
            <w:r>
              <w:rPr>
                <w:spacing w:val="-108"/>
                <w:sz w:val="21"/>
              </w:rPr>
              <w:t>）</w:t>
            </w:r>
            <w:r>
              <w:rPr>
                <w:spacing w:val="-3"/>
                <w:sz w:val="21"/>
              </w:rPr>
              <w:t>、吗啡、</w:t>
            </w:r>
            <w:r>
              <w:rPr>
                <w:spacing w:val="-6"/>
                <w:sz w:val="21"/>
              </w:rPr>
              <w:t>大麻、可卡因以及国家规定管制的其他能够使人形成瘾癖的麻醉药品和精神药品，但不包括由医生开具并遵医嘱使用的用于治疗疾病但含有毒品成分的处方药品。</w:t>
            </w:r>
          </w:p>
        </w:tc>
      </w:tr>
      <w:tr>
        <w:trPr>
          <w:trHeight w:val="1041" w:hRule="atLeast"/>
        </w:trPr>
        <w:tc>
          <w:tcPr>
            <w:tcW w:w="838" w:type="dxa"/>
          </w:tcPr>
          <w:p>
            <w:pPr>
              <w:pStyle w:val="TableParagraph"/>
              <w:spacing w:before="142"/>
              <w:ind w:left="200"/>
              <w:rPr>
                <w:b/>
                <w:sz w:val="21"/>
              </w:rPr>
            </w:pPr>
            <w:r>
              <w:rPr>
                <w:b/>
                <w:sz w:val="21"/>
              </w:rPr>
              <w:t>9.13</w:t>
            </w:r>
          </w:p>
        </w:tc>
        <w:tc>
          <w:tcPr>
            <w:tcW w:w="1599" w:type="dxa"/>
          </w:tcPr>
          <w:p>
            <w:pPr>
              <w:pStyle w:val="TableParagraph"/>
              <w:spacing w:before="142"/>
              <w:ind w:left="214"/>
              <w:rPr>
                <w:b/>
                <w:sz w:val="21"/>
              </w:rPr>
            </w:pPr>
            <w:r>
              <w:rPr>
                <w:b/>
                <w:sz w:val="21"/>
              </w:rPr>
              <w:t>酒后驾驶</w:t>
            </w:r>
          </w:p>
        </w:tc>
        <w:tc>
          <w:tcPr>
            <w:tcW w:w="7547" w:type="dxa"/>
          </w:tcPr>
          <w:p>
            <w:pPr>
              <w:pStyle w:val="TableParagraph"/>
              <w:spacing w:line="310" w:lineRule="atLeast" w:before="107"/>
              <w:ind w:left="115" w:right="302"/>
              <w:jc w:val="both"/>
              <w:rPr>
                <w:sz w:val="21"/>
              </w:rPr>
            </w:pPr>
            <w:r>
              <w:rPr>
                <w:spacing w:val="-6"/>
                <w:sz w:val="21"/>
              </w:rPr>
              <w:t>指经检测或鉴定，发生事故时车辆驾驶人员每百毫升血液中的酒精含量达到或超过一定的标准，公安机关交通管理部门依据《道路交通安全法》的规定认定</w:t>
            </w:r>
            <w:r>
              <w:rPr>
                <w:spacing w:val="-4"/>
                <w:sz w:val="21"/>
              </w:rPr>
              <w:t>为饮酒后驾驶或醉酒后驾驶。</w:t>
            </w:r>
          </w:p>
        </w:tc>
      </w:tr>
    </w:tbl>
    <w:p>
      <w:pPr>
        <w:spacing w:after="0" w:line="310" w:lineRule="atLeast"/>
        <w:jc w:val="both"/>
        <w:rPr>
          <w:sz w:val="21"/>
        </w:rPr>
        <w:sectPr>
          <w:pgSz w:w="11910" w:h="16840"/>
          <w:pgMar w:header="0" w:footer="924" w:top="1160" w:bottom="1120" w:left="820" w:right="8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610"/>
        <w:gridCol w:w="7603"/>
      </w:tblGrid>
      <w:tr>
        <w:trPr>
          <w:trHeight w:val="3282" w:hRule="atLeast"/>
        </w:trPr>
        <w:tc>
          <w:tcPr>
            <w:tcW w:w="809" w:type="dxa"/>
          </w:tcPr>
          <w:p>
            <w:pPr>
              <w:pStyle w:val="TableParagraph"/>
              <w:spacing w:line="211" w:lineRule="exact"/>
              <w:ind w:left="200"/>
              <w:rPr>
                <w:b/>
                <w:sz w:val="21"/>
              </w:rPr>
            </w:pPr>
            <w:r>
              <w:rPr>
                <w:b/>
                <w:sz w:val="21"/>
              </w:rPr>
              <w:t>9.14</w:t>
            </w:r>
          </w:p>
        </w:tc>
        <w:tc>
          <w:tcPr>
            <w:tcW w:w="1610" w:type="dxa"/>
          </w:tcPr>
          <w:p>
            <w:pPr>
              <w:pStyle w:val="TableParagraph"/>
              <w:spacing w:line="211" w:lineRule="exact"/>
              <w:ind w:left="243"/>
              <w:rPr>
                <w:b/>
                <w:sz w:val="21"/>
              </w:rPr>
            </w:pPr>
            <w:r>
              <w:rPr>
                <w:b/>
                <w:sz w:val="21"/>
              </w:rPr>
              <w:t>无合法有效驾</w:t>
            </w:r>
          </w:p>
          <w:p>
            <w:pPr>
              <w:pStyle w:val="TableParagraph"/>
              <w:spacing w:before="37"/>
              <w:ind w:left="243"/>
              <w:rPr>
                <w:b/>
                <w:sz w:val="21"/>
              </w:rPr>
            </w:pPr>
            <w:r>
              <w:rPr>
                <w:b/>
                <w:sz w:val="21"/>
              </w:rPr>
              <w:t>驶证驾驶</w:t>
            </w:r>
          </w:p>
        </w:tc>
        <w:tc>
          <w:tcPr>
            <w:tcW w:w="7603" w:type="dxa"/>
          </w:tcPr>
          <w:p>
            <w:pPr>
              <w:pStyle w:val="TableParagraph"/>
              <w:spacing w:line="211" w:lineRule="exact"/>
              <w:ind w:left="133"/>
              <w:rPr>
                <w:sz w:val="21"/>
              </w:rPr>
            </w:pPr>
            <w:r>
              <w:rPr>
                <w:sz w:val="21"/>
              </w:rPr>
              <w:t>指下列情形之一：</w:t>
            </w:r>
          </w:p>
          <w:p>
            <w:pPr>
              <w:pStyle w:val="TableParagraph"/>
              <w:spacing w:before="10"/>
              <w:rPr>
                <w:sz w:val="14"/>
              </w:rPr>
            </w:pPr>
          </w:p>
          <w:p>
            <w:pPr>
              <w:pStyle w:val="TableParagraph"/>
              <w:ind w:left="133"/>
              <w:rPr>
                <w:sz w:val="21"/>
              </w:rPr>
            </w:pPr>
            <w:r>
              <w:rPr>
                <w:sz w:val="21"/>
              </w:rPr>
              <w:t>1.没有取得中华人民共和国有关主管部门颁发或者认可的驾驶资格；</w:t>
            </w:r>
          </w:p>
          <w:p>
            <w:pPr>
              <w:pStyle w:val="TableParagraph"/>
              <w:spacing w:before="9"/>
              <w:rPr>
                <w:sz w:val="14"/>
              </w:rPr>
            </w:pPr>
          </w:p>
          <w:p>
            <w:pPr>
              <w:pStyle w:val="TableParagraph"/>
              <w:ind w:left="133"/>
              <w:rPr>
                <w:sz w:val="21"/>
              </w:rPr>
            </w:pPr>
            <w:r>
              <w:rPr>
                <w:sz w:val="21"/>
              </w:rPr>
              <w:t>2.驾驶与合法有效驾驶证准驾车型不相符合的车辆；</w:t>
            </w:r>
          </w:p>
          <w:p>
            <w:pPr>
              <w:pStyle w:val="TableParagraph"/>
              <w:spacing w:before="9"/>
              <w:rPr>
                <w:sz w:val="14"/>
              </w:rPr>
            </w:pPr>
          </w:p>
          <w:p>
            <w:pPr>
              <w:pStyle w:val="TableParagraph"/>
              <w:ind w:left="133"/>
              <w:rPr>
                <w:sz w:val="21"/>
              </w:rPr>
            </w:pPr>
            <w:r>
              <w:rPr>
                <w:sz w:val="21"/>
              </w:rPr>
              <w:t>3.持审验不合格或已过期的驾驶证驾驶；</w:t>
            </w:r>
          </w:p>
          <w:p>
            <w:pPr>
              <w:pStyle w:val="TableParagraph"/>
              <w:spacing w:before="9"/>
              <w:rPr>
                <w:sz w:val="14"/>
              </w:rPr>
            </w:pPr>
          </w:p>
          <w:p>
            <w:pPr>
              <w:pStyle w:val="TableParagraph"/>
              <w:spacing w:line="273" w:lineRule="auto"/>
              <w:ind w:left="133" w:right="326"/>
              <w:rPr>
                <w:sz w:val="21"/>
              </w:rPr>
            </w:pPr>
            <w:r>
              <w:rPr>
                <w:sz w:val="21"/>
              </w:rPr>
              <w:t>4.持学习驾驶证学习驾车时，无教练员随车指导，或不按指定时间、路线学习驾车；</w:t>
            </w:r>
          </w:p>
          <w:p>
            <w:pPr>
              <w:pStyle w:val="TableParagraph"/>
              <w:spacing w:line="273" w:lineRule="auto" w:before="163"/>
              <w:ind w:left="133" w:right="427"/>
              <w:rPr>
                <w:sz w:val="21"/>
              </w:rPr>
            </w:pPr>
            <w:r>
              <w:rPr>
                <w:sz w:val="21"/>
              </w:rPr>
              <w:t>5．在驾驶证有效期内未按照中华人民共和国法律、行政法规的规定，定期对机动车驾驶证实施审验的。</w:t>
            </w:r>
          </w:p>
        </w:tc>
      </w:tr>
      <w:tr>
        <w:trPr>
          <w:trHeight w:val="1910" w:hRule="atLeast"/>
        </w:trPr>
        <w:tc>
          <w:tcPr>
            <w:tcW w:w="809" w:type="dxa"/>
          </w:tcPr>
          <w:p>
            <w:pPr>
              <w:pStyle w:val="TableParagraph"/>
              <w:spacing w:before="43"/>
              <w:ind w:left="200"/>
              <w:rPr>
                <w:b/>
                <w:sz w:val="21"/>
              </w:rPr>
            </w:pPr>
            <w:r>
              <w:rPr>
                <w:b/>
                <w:sz w:val="21"/>
              </w:rPr>
              <w:t>9.15</w:t>
            </w:r>
          </w:p>
        </w:tc>
        <w:tc>
          <w:tcPr>
            <w:tcW w:w="1610" w:type="dxa"/>
          </w:tcPr>
          <w:p>
            <w:pPr>
              <w:pStyle w:val="TableParagraph"/>
              <w:spacing w:before="43"/>
              <w:ind w:left="243"/>
              <w:rPr>
                <w:b/>
                <w:sz w:val="21"/>
              </w:rPr>
            </w:pPr>
            <w:r>
              <w:rPr>
                <w:b/>
                <w:sz w:val="21"/>
              </w:rPr>
              <w:t>无有效行驶证</w:t>
            </w:r>
          </w:p>
        </w:tc>
        <w:tc>
          <w:tcPr>
            <w:tcW w:w="7603" w:type="dxa"/>
          </w:tcPr>
          <w:p>
            <w:pPr>
              <w:pStyle w:val="TableParagraph"/>
              <w:spacing w:before="43"/>
              <w:ind w:left="133"/>
              <w:rPr>
                <w:sz w:val="21"/>
              </w:rPr>
            </w:pPr>
            <w:r>
              <w:rPr>
                <w:sz w:val="21"/>
              </w:rPr>
              <w:t>指下列情形之一：</w:t>
            </w:r>
          </w:p>
          <w:p>
            <w:pPr>
              <w:pStyle w:val="TableParagraph"/>
              <w:spacing w:before="10"/>
              <w:rPr>
                <w:sz w:val="14"/>
              </w:rPr>
            </w:pPr>
          </w:p>
          <w:p>
            <w:pPr>
              <w:pStyle w:val="TableParagraph"/>
              <w:ind w:left="133"/>
              <w:rPr>
                <w:sz w:val="21"/>
              </w:rPr>
            </w:pPr>
            <w:r>
              <w:rPr>
                <w:sz w:val="21"/>
              </w:rPr>
              <w:t>1.机动车行驶证被依法注销登记的；</w:t>
            </w:r>
          </w:p>
          <w:p>
            <w:pPr>
              <w:pStyle w:val="TableParagraph"/>
              <w:spacing w:before="9"/>
              <w:rPr>
                <w:sz w:val="14"/>
              </w:rPr>
            </w:pPr>
          </w:p>
          <w:p>
            <w:pPr>
              <w:pStyle w:val="TableParagraph"/>
              <w:ind w:left="133"/>
              <w:rPr>
                <w:sz w:val="21"/>
              </w:rPr>
            </w:pPr>
            <w:r>
              <w:rPr>
                <w:sz w:val="21"/>
              </w:rPr>
              <w:t>2.未办理行驶证或者行驶证在申办过程中；</w:t>
            </w:r>
          </w:p>
          <w:p>
            <w:pPr>
              <w:pStyle w:val="TableParagraph"/>
              <w:spacing w:before="9"/>
              <w:rPr>
                <w:sz w:val="14"/>
              </w:rPr>
            </w:pPr>
          </w:p>
          <w:p>
            <w:pPr>
              <w:pStyle w:val="TableParagraph"/>
              <w:ind w:left="133"/>
              <w:rPr>
                <w:sz w:val="21"/>
              </w:rPr>
            </w:pPr>
            <w:r>
              <w:rPr>
                <w:sz w:val="21"/>
              </w:rPr>
              <w:t>3.未在行驶证检验有效期内依法按时进行或通过机动车安全技术检验。</w:t>
            </w:r>
          </w:p>
        </w:tc>
      </w:tr>
      <w:tr>
        <w:trPr>
          <w:trHeight w:val="840" w:hRule="atLeast"/>
        </w:trPr>
        <w:tc>
          <w:tcPr>
            <w:tcW w:w="809" w:type="dxa"/>
          </w:tcPr>
          <w:p>
            <w:pPr>
              <w:pStyle w:val="TableParagraph"/>
              <w:spacing w:before="124"/>
              <w:ind w:left="200"/>
              <w:rPr>
                <w:b/>
                <w:sz w:val="21"/>
              </w:rPr>
            </w:pPr>
            <w:r>
              <w:rPr>
                <w:b/>
                <w:sz w:val="21"/>
              </w:rPr>
              <w:t>9.16</w:t>
            </w:r>
          </w:p>
        </w:tc>
        <w:tc>
          <w:tcPr>
            <w:tcW w:w="1610" w:type="dxa"/>
          </w:tcPr>
          <w:p>
            <w:pPr>
              <w:pStyle w:val="TableParagraph"/>
              <w:spacing w:before="124"/>
              <w:ind w:left="243"/>
              <w:rPr>
                <w:b/>
                <w:sz w:val="21"/>
              </w:rPr>
            </w:pPr>
            <w:r>
              <w:rPr>
                <w:b/>
                <w:sz w:val="21"/>
              </w:rPr>
              <w:t>机动车</w:t>
            </w:r>
          </w:p>
        </w:tc>
        <w:tc>
          <w:tcPr>
            <w:tcW w:w="7603" w:type="dxa"/>
          </w:tcPr>
          <w:p>
            <w:pPr>
              <w:pStyle w:val="TableParagraph"/>
              <w:spacing w:line="273" w:lineRule="auto" w:before="124"/>
              <w:ind w:left="133" w:right="321"/>
              <w:rPr>
                <w:sz w:val="21"/>
              </w:rPr>
            </w:pPr>
            <w:r>
              <w:rPr>
                <w:sz w:val="21"/>
              </w:rPr>
              <w:t>指以动力装置驱动或者牵引，上道路行驶的供人员乘用或者用于运送物品以及进行工程专项作业的轮式车辆。</w:t>
            </w:r>
          </w:p>
        </w:tc>
      </w:tr>
      <w:tr>
        <w:trPr>
          <w:trHeight w:val="1440" w:hRule="atLeast"/>
        </w:trPr>
        <w:tc>
          <w:tcPr>
            <w:tcW w:w="809" w:type="dxa"/>
          </w:tcPr>
          <w:p>
            <w:pPr>
              <w:pStyle w:val="TableParagraph"/>
              <w:spacing w:before="64"/>
              <w:ind w:left="200"/>
              <w:rPr>
                <w:b/>
                <w:sz w:val="21"/>
              </w:rPr>
            </w:pPr>
            <w:r>
              <w:rPr>
                <w:b/>
                <w:sz w:val="21"/>
              </w:rPr>
              <w:t>9.17</w:t>
            </w:r>
          </w:p>
        </w:tc>
        <w:tc>
          <w:tcPr>
            <w:tcW w:w="1610" w:type="dxa"/>
          </w:tcPr>
          <w:p>
            <w:pPr>
              <w:pStyle w:val="TableParagraph"/>
              <w:spacing w:line="273" w:lineRule="auto" w:before="64"/>
              <w:ind w:left="243" w:right="97"/>
              <w:rPr>
                <w:b/>
                <w:sz w:val="21"/>
              </w:rPr>
            </w:pPr>
            <w:r>
              <w:rPr>
                <w:b/>
                <w:sz w:val="21"/>
              </w:rPr>
              <w:t>感染艾滋病病毒或患艾滋病</w:t>
            </w:r>
          </w:p>
        </w:tc>
        <w:tc>
          <w:tcPr>
            <w:tcW w:w="7603" w:type="dxa"/>
          </w:tcPr>
          <w:p>
            <w:pPr>
              <w:pStyle w:val="TableParagraph"/>
              <w:spacing w:line="273" w:lineRule="auto" w:before="64"/>
              <w:ind w:left="133" w:right="340"/>
              <w:jc w:val="both"/>
              <w:rPr>
                <w:sz w:val="21"/>
              </w:rPr>
            </w:pPr>
            <w:r>
              <w:rPr>
                <w:spacing w:val="-5"/>
                <w:sz w:val="21"/>
              </w:rPr>
              <w:t>艾滋病病毒指人类免疫缺陷病毒，英文缩写为 </w:t>
            </w:r>
            <w:r>
              <w:rPr>
                <w:sz w:val="21"/>
              </w:rPr>
              <w:t>HIV</w:t>
            </w:r>
            <w:r>
              <w:rPr>
                <w:spacing w:val="-3"/>
                <w:sz w:val="21"/>
              </w:rPr>
              <w:t>。艾滋病指人类免疫缺陷病</w:t>
            </w:r>
            <w:r>
              <w:rPr>
                <w:spacing w:val="-7"/>
                <w:sz w:val="21"/>
              </w:rPr>
              <w:t>毒引起的获得性免疫缺陷综合征，英文缩写为 </w:t>
            </w:r>
            <w:r>
              <w:rPr>
                <w:sz w:val="21"/>
              </w:rPr>
              <w:t>AIDS</w:t>
            </w:r>
            <w:r>
              <w:rPr>
                <w:spacing w:val="-7"/>
                <w:sz w:val="21"/>
              </w:rPr>
              <w:t>。在人体血液或其它样本中检测到艾滋病病毒或其抗体呈阳性，没有出现临床症状或体征的，为感染艾滋</w:t>
            </w:r>
            <w:r>
              <w:rPr>
                <w:spacing w:val="-5"/>
                <w:sz w:val="21"/>
              </w:rPr>
              <w:t>病病毒；如果同时出现了明显临床症状或体征的，为患艾滋病。</w:t>
            </w:r>
          </w:p>
        </w:tc>
      </w:tr>
      <w:tr>
        <w:trPr>
          <w:trHeight w:val="847" w:hRule="atLeast"/>
        </w:trPr>
        <w:tc>
          <w:tcPr>
            <w:tcW w:w="809" w:type="dxa"/>
          </w:tcPr>
          <w:p>
            <w:pPr>
              <w:pStyle w:val="TableParagraph"/>
              <w:spacing w:before="100"/>
              <w:ind w:left="200"/>
              <w:rPr>
                <w:b/>
                <w:sz w:val="21"/>
              </w:rPr>
            </w:pPr>
            <w:r>
              <w:rPr>
                <w:b/>
                <w:sz w:val="21"/>
              </w:rPr>
              <w:t>9.18</w:t>
            </w:r>
          </w:p>
        </w:tc>
        <w:tc>
          <w:tcPr>
            <w:tcW w:w="1610" w:type="dxa"/>
          </w:tcPr>
          <w:p>
            <w:pPr>
              <w:pStyle w:val="TableParagraph"/>
              <w:spacing w:before="100"/>
              <w:ind w:left="243"/>
              <w:rPr>
                <w:b/>
                <w:sz w:val="21"/>
              </w:rPr>
            </w:pPr>
            <w:r>
              <w:rPr>
                <w:b/>
                <w:sz w:val="21"/>
              </w:rPr>
              <w:t>遗传性疾病</w:t>
            </w:r>
          </w:p>
        </w:tc>
        <w:tc>
          <w:tcPr>
            <w:tcW w:w="7603" w:type="dxa"/>
          </w:tcPr>
          <w:p>
            <w:pPr>
              <w:pStyle w:val="TableParagraph"/>
              <w:spacing w:line="273" w:lineRule="auto" w:before="100"/>
              <w:ind w:left="133" w:right="295"/>
              <w:rPr>
                <w:sz w:val="21"/>
              </w:rPr>
            </w:pPr>
            <w:r>
              <w:rPr>
                <w:sz w:val="21"/>
              </w:rPr>
              <w:t>指生殖细胞或受精卵的遗传物质（染色体和基因）发生突变或畸变所引起的疾病，通常具有由亲代传至后代的垂直传递的特征。</w:t>
            </w:r>
          </w:p>
        </w:tc>
      </w:tr>
      <w:tr>
        <w:trPr>
          <w:trHeight w:val="1123" w:hRule="atLeast"/>
        </w:trPr>
        <w:tc>
          <w:tcPr>
            <w:tcW w:w="809" w:type="dxa"/>
          </w:tcPr>
          <w:p>
            <w:pPr>
              <w:pStyle w:val="TableParagraph"/>
              <w:spacing w:before="96"/>
              <w:ind w:left="200"/>
              <w:rPr>
                <w:b/>
                <w:sz w:val="21"/>
              </w:rPr>
            </w:pPr>
            <w:r>
              <w:rPr>
                <w:b/>
                <w:sz w:val="21"/>
              </w:rPr>
              <w:t>9.19</w:t>
            </w:r>
          </w:p>
        </w:tc>
        <w:tc>
          <w:tcPr>
            <w:tcW w:w="1610" w:type="dxa"/>
          </w:tcPr>
          <w:p>
            <w:pPr>
              <w:pStyle w:val="TableParagraph"/>
              <w:spacing w:line="273" w:lineRule="auto" w:before="96"/>
              <w:ind w:left="243" w:right="97"/>
              <w:jc w:val="both"/>
              <w:rPr>
                <w:b/>
                <w:sz w:val="21"/>
              </w:rPr>
            </w:pPr>
            <w:r>
              <w:rPr>
                <w:b/>
                <w:sz w:val="21"/>
              </w:rPr>
              <w:t>先天性畸形、变形或染色体异常</w:t>
            </w:r>
          </w:p>
        </w:tc>
        <w:tc>
          <w:tcPr>
            <w:tcW w:w="7603" w:type="dxa"/>
          </w:tcPr>
          <w:p>
            <w:pPr>
              <w:pStyle w:val="TableParagraph"/>
              <w:spacing w:line="273" w:lineRule="auto" w:before="96"/>
              <w:ind w:left="133" w:right="321"/>
              <w:rPr>
                <w:sz w:val="21"/>
              </w:rPr>
            </w:pPr>
            <w:r>
              <w:rPr>
                <w:sz w:val="21"/>
              </w:rPr>
              <w:t>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326" w:hRule="atLeast"/>
        </w:trPr>
        <w:tc>
          <w:tcPr>
            <w:tcW w:w="809" w:type="dxa"/>
          </w:tcPr>
          <w:p>
            <w:pPr>
              <w:pStyle w:val="TableParagraph"/>
              <w:spacing w:before="64"/>
              <w:ind w:left="200"/>
              <w:rPr>
                <w:b/>
                <w:sz w:val="21"/>
              </w:rPr>
            </w:pPr>
            <w:r>
              <w:rPr>
                <w:b/>
                <w:sz w:val="21"/>
              </w:rPr>
              <w:t>9.20</w:t>
            </w:r>
          </w:p>
        </w:tc>
        <w:tc>
          <w:tcPr>
            <w:tcW w:w="1610" w:type="dxa"/>
          </w:tcPr>
          <w:p>
            <w:pPr>
              <w:pStyle w:val="TableParagraph"/>
              <w:spacing w:before="64"/>
              <w:ind w:left="243"/>
              <w:rPr>
                <w:b/>
                <w:sz w:val="21"/>
              </w:rPr>
            </w:pPr>
            <w:r>
              <w:rPr>
                <w:b/>
                <w:sz w:val="21"/>
              </w:rPr>
              <w:t>猝死</w:t>
            </w:r>
          </w:p>
        </w:tc>
        <w:tc>
          <w:tcPr>
            <w:tcW w:w="7603" w:type="dxa"/>
          </w:tcPr>
          <w:p>
            <w:pPr>
              <w:pStyle w:val="TableParagraph"/>
              <w:spacing w:line="273" w:lineRule="auto" w:before="64"/>
              <w:ind w:left="133" w:right="197"/>
              <w:rPr>
                <w:sz w:val="21"/>
              </w:rPr>
            </w:pPr>
            <w:r>
              <w:rPr>
                <w:spacing w:val="-3"/>
                <w:sz w:val="21"/>
              </w:rPr>
              <w:t>猝死是指貌似健康的人因潜在疾病、机能障碍或其他原因在出现症状后</w:t>
            </w:r>
            <w:r>
              <w:rPr>
                <w:sz w:val="21"/>
              </w:rPr>
              <w:t>24</w:t>
            </w:r>
            <w:r>
              <w:rPr>
                <w:spacing w:val="-3"/>
                <w:sz w:val="21"/>
              </w:rPr>
              <w:t>小时内发生的非暴力性突然死亡。属于疾病身故。猝死的认定，如有公安机关、检</w:t>
            </w:r>
            <w:r>
              <w:rPr>
                <w:spacing w:val="-10"/>
                <w:sz w:val="21"/>
              </w:rPr>
              <w:t>察院、法院等司法机关的法律文件、医疗机构的诊断书等，则以上述法律文件、</w:t>
            </w:r>
            <w:r>
              <w:rPr>
                <w:spacing w:val="-5"/>
                <w:sz w:val="21"/>
              </w:rPr>
              <w:t>诊断书等为准。</w:t>
            </w:r>
          </w:p>
        </w:tc>
      </w:tr>
      <w:tr>
        <w:trPr>
          <w:trHeight w:val="1326" w:hRule="atLeast"/>
        </w:trPr>
        <w:tc>
          <w:tcPr>
            <w:tcW w:w="809" w:type="dxa"/>
          </w:tcPr>
          <w:p>
            <w:pPr>
              <w:pStyle w:val="TableParagraph"/>
              <w:spacing w:line="261" w:lineRule="exact"/>
              <w:ind w:left="200"/>
              <w:rPr>
                <w:b/>
                <w:sz w:val="21"/>
              </w:rPr>
            </w:pPr>
            <w:r>
              <w:rPr>
                <w:b/>
                <w:sz w:val="21"/>
              </w:rPr>
              <w:t>9.21</w:t>
            </w:r>
          </w:p>
        </w:tc>
        <w:tc>
          <w:tcPr>
            <w:tcW w:w="1610" w:type="dxa"/>
          </w:tcPr>
          <w:p>
            <w:pPr>
              <w:pStyle w:val="TableParagraph"/>
              <w:spacing w:line="261" w:lineRule="exact"/>
              <w:ind w:left="185"/>
              <w:rPr>
                <w:b/>
                <w:sz w:val="21"/>
              </w:rPr>
            </w:pPr>
            <w:r>
              <w:rPr>
                <w:b/>
                <w:sz w:val="21"/>
              </w:rPr>
              <w:t>六项基本日常</w:t>
            </w:r>
          </w:p>
          <w:p>
            <w:pPr>
              <w:pStyle w:val="TableParagraph"/>
              <w:spacing w:before="37"/>
              <w:ind w:left="185"/>
              <w:rPr>
                <w:b/>
                <w:sz w:val="21"/>
              </w:rPr>
            </w:pPr>
            <w:r>
              <w:rPr>
                <w:b/>
                <w:sz w:val="21"/>
              </w:rPr>
              <w:t>生活活动</w:t>
            </w:r>
          </w:p>
        </w:tc>
        <w:tc>
          <w:tcPr>
            <w:tcW w:w="7603" w:type="dxa"/>
          </w:tcPr>
          <w:p>
            <w:pPr>
              <w:pStyle w:val="TableParagraph"/>
              <w:spacing w:line="261" w:lineRule="exact"/>
              <w:ind w:left="99"/>
              <w:rPr>
                <w:sz w:val="21"/>
              </w:rPr>
            </w:pPr>
            <w:r>
              <w:rPr>
                <w:w w:val="100"/>
                <w:sz w:val="21"/>
              </w:rPr>
              <w:t>（1</w:t>
            </w:r>
            <w:r>
              <w:rPr>
                <w:spacing w:val="-3"/>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3"/>
                <w:w w:val="100"/>
                <w:sz w:val="21"/>
              </w:rPr>
              <w:t>移动：自己从一个房间到另一个房间；</w:t>
            </w:r>
          </w:p>
          <w:p>
            <w:pPr>
              <w:pStyle w:val="TableParagraph"/>
              <w:spacing w:line="273" w:lineRule="auto" w:before="37"/>
              <w:ind w:left="99" w:right="354"/>
              <w:jc w:val="both"/>
              <w:rPr>
                <w:sz w:val="21"/>
              </w:rPr>
            </w:pPr>
            <w:r>
              <w:rPr>
                <w:w w:val="100"/>
                <w:sz w:val="21"/>
              </w:rPr>
              <w:t>（3</w:t>
            </w:r>
            <w:r>
              <w:rPr>
                <w:spacing w:val="-15"/>
                <w:w w:val="100"/>
                <w:sz w:val="21"/>
              </w:rPr>
              <w:t>）</w:t>
            </w:r>
            <w:r>
              <w:rPr>
                <w:spacing w:val="-5"/>
                <w:w w:val="100"/>
                <w:sz w:val="21"/>
              </w:rPr>
              <w:t>行动：自己上下床或上下轮椅</w:t>
            </w:r>
            <w:r>
              <w:rPr>
                <w:spacing w:val="-120"/>
                <w:w w:val="100"/>
                <w:sz w:val="21"/>
              </w:rPr>
              <w:t>；</w:t>
            </w:r>
            <w:r>
              <w:rPr>
                <w:w w:val="100"/>
                <w:sz w:val="21"/>
              </w:rPr>
              <w:t>（</w:t>
            </w:r>
            <w:r>
              <w:rPr>
                <w:spacing w:val="-3"/>
                <w:w w:val="100"/>
                <w:sz w:val="21"/>
              </w:rPr>
              <w:t>4</w:t>
            </w:r>
            <w:r>
              <w:rPr>
                <w:spacing w:val="-13"/>
                <w:w w:val="100"/>
                <w:sz w:val="21"/>
              </w:rPr>
              <w:t>）</w:t>
            </w:r>
            <w:r>
              <w:rPr>
                <w:spacing w:val="-5"/>
                <w:w w:val="100"/>
                <w:sz w:val="21"/>
              </w:rPr>
              <w:t>如厕：自己控制进行大小便</w:t>
            </w:r>
            <w:r>
              <w:rPr>
                <w:spacing w:val="-120"/>
                <w:w w:val="100"/>
                <w:sz w:val="21"/>
              </w:rPr>
              <w:t>；</w:t>
            </w:r>
            <w:r>
              <w:rPr>
                <w:w w:val="100"/>
                <w:sz w:val="21"/>
              </w:rPr>
              <w:t>（</w:t>
            </w:r>
            <w:r>
              <w:rPr>
                <w:spacing w:val="-3"/>
                <w:w w:val="100"/>
                <w:sz w:val="21"/>
              </w:rPr>
              <w:t>5</w:t>
            </w:r>
            <w:r>
              <w:rPr>
                <w:spacing w:val="-15"/>
                <w:w w:val="100"/>
                <w:sz w:val="21"/>
              </w:rPr>
              <w:t>）进</w:t>
            </w:r>
            <w:r>
              <w:rPr>
                <w:spacing w:val="-8"/>
                <w:w w:val="100"/>
                <w:sz w:val="21"/>
              </w:rPr>
              <w:t>食：自己从已准备好的碗或碟中取食物放入口中；</w:t>
            </w:r>
            <w:r>
              <w:rPr>
                <w:spacing w:val="-3"/>
                <w:w w:val="100"/>
                <w:sz w:val="21"/>
              </w:rPr>
              <w:t>（</w:t>
            </w:r>
            <w:r>
              <w:rPr>
                <w:w w:val="100"/>
                <w:sz w:val="21"/>
              </w:rPr>
              <w:t>6）</w:t>
            </w:r>
            <w:r>
              <w:rPr>
                <w:spacing w:val="-3"/>
                <w:w w:val="100"/>
                <w:sz w:val="21"/>
              </w:rPr>
              <w:t>洗澡：自己进行淋浴或</w:t>
            </w:r>
            <w:r>
              <w:rPr>
                <w:spacing w:val="-3"/>
                <w:sz w:val="21"/>
              </w:rPr>
              <w:t>盆浴。</w:t>
            </w:r>
          </w:p>
        </w:tc>
      </w:tr>
      <w:tr>
        <w:trPr>
          <w:trHeight w:val="818" w:hRule="atLeast"/>
        </w:trPr>
        <w:tc>
          <w:tcPr>
            <w:tcW w:w="809" w:type="dxa"/>
          </w:tcPr>
          <w:p>
            <w:pPr>
              <w:pStyle w:val="TableParagraph"/>
              <w:spacing w:before="64"/>
              <w:ind w:left="200"/>
              <w:rPr>
                <w:b/>
                <w:sz w:val="21"/>
              </w:rPr>
            </w:pPr>
            <w:r>
              <w:rPr>
                <w:b/>
                <w:sz w:val="21"/>
              </w:rPr>
              <w:t>9.22</w:t>
            </w:r>
          </w:p>
        </w:tc>
        <w:tc>
          <w:tcPr>
            <w:tcW w:w="1610" w:type="dxa"/>
          </w:tcPr>
          <w:p>
            <w:pPr>
              <w:pStyle w:val="TableParagraph"/>
              <w:spacing w:before="64"/>
              <w:ind w:left="185"/>
              <w:rPr>
                <w:b/>
                <w:sz w:val="21"/>
              </w:rPr>
            </w:pPr>
            <w:r>
              <w:rPr>
                <w:b/>
                <w:sz w:val="21"/>
              </w:rPr>
              <w:t>永久不可逆</w:t>
            </w:r>
          </w:p>
        </w:tc>
        <w:tc>
          <w:tcPr>
            <w:tcW w:w="7603" w:type="dxa"/>
          </w:tcPr>
          <w:p>
            <w:pPr>
              <w:pStyle w:val="TableParagraph"/>
              <w:spacing w:line="273" w:lineRule="auto" w:before="64"/>
              <w:ind w:left="99" w:right="355"/>
              <w:rPr>
                <w:sz w:val="21"/>
              </w:rPr>
            </w:pPr>
            <w:r>
              <w:rPr>
                <w:spacing w:val="-5"/>
                <w:sz w:val="21"/>
              </w:rPr>
              <w:t>指自疾病确诊或意外伤害发生之日起，经过积极治疗 </w:t>
            </w:r>
            <w:r>
              <w:rPr>
                <w:sz w:val="21"/>
              </w:rPr>
              <w:t>180</w:t>
            </w:r>
            <w:r>
              <w:rPr>
                <w:spacing w:val="-8"/>
                <w:sz w:val="21"/>
              </w:rPr>
              <w:t> 天后，仍无法通过现</w:t>
            </w:r>
            <w:r>
              <w:rPr>
                <w:spacing w:val="-5"/>
                <w:sz w:val="21"/>
              </w:rPr>
              <w:t>有医疗手段恢复。</w:t>
            </w:r>
          </w:p>
        </w:tc>
      </w:tr>
      <w:tr>
        <w:trPr>
          <w:trHeight w:val="690" w:hRule="atLeast"/>
        </w:trPr>
        <w:tc>
          <w:tcPr>
            <w:tcW w:w="809" w:type="dxa"/>
          </w:tcPr>
          <w:p>
            <w:pPr>
              <w:pStyle w:val="TableParagraph"/>
              <w:spacing w:before="103"/>
              <w:ind w:left="200"/>
              <w:rPr>
                <w:b/>
                <w:sz w:val="21"/>
              </w:rPr>
            </w:pPr>
            <w:r>
              <w:rPr>
                <w:b/>
                <w:sz w:val="21"/>
              </w:rPr>
              <w:t>9.23</w:t>
            </w:r>
          </w:p>
        </w:tc>
        <w:tc>
          <w:tcPr>
            <w:tcW w:w="1610" w:type="dxa"/>
          </w:tcPr>
          <w:p>
            <w:pPr>
              <w:pStyle w:val="TableParagraph"/>
              <w:spacing w:line="310" w:lineRule="atLeast" w:before="68"/>
              <w:ind w:left="185" w:right="154"/>
              <w:rPr>
                <w:b/>
                <w:sz w:val="21"/>
              </w:rPr>
            </w:pPr>
            <w:r>
              <w:rPr>
                <w:b/>
                <w:sz w:val="21"/>
              </w:rPr>
              <w:t>肢体机能完全丧失</w:t>
            </w:r>
          </w:p>
        </w:tc>
        <w:tc>
          <w:tcPr>
            <w:tcW w:w="7603" w:type="dxa"/>
          </w:tcPr>
          <w:p>
            <w:pPr>
              <w:pStyle w:val="TableParagraph"/>
              <w:spacing w:line="310" w:lineRule="atLeast" w:before="68"/>
              <w:ind w:left="99" w:right="355"/>
              <w:rPr>
                <w:sz w:val="21"/>
              </w:rPr>
            </w:pPr>
            <w:r>
              <w:rPr>
                <w:sz w:val="21"/>
              </w:rPr>
              <w:t>指肢体的三大关节中的两大关节僵硬，或不能随意识活动。肢体是指包括肩关节的整个上肢或包括髋关节的整个下肢。</w:t>
            </w:r>
          </w:p>
        </w:tc>
      </w:tr>
    </w:tbl>
    <w:p>
      <w:pPr>
        <w:spacing w:after="0" w:line="310" w:lineRule="atLeast"/>
        <w:rPr>
          <w:sz w:val="21"/>
        </w:rPr>
        <w:sectPr>
          <w:pgSz w:w="11910" w:h="16840"/>
          <w:pgMar w:header="0" w:footer="924" w:top="1160" w:bottom="1120" w:left="8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2"/>
        <w:gridCol w:w="7595"/>
      </w:tblGrid>
      <w:tr>
        <w:trPr>
          <w:trHeight w:val="1147" w:hRule="atLeast"/>
        </w:trPr>
        <w:tc>
          <w:tcPr>
            <w:tcW w:w="809" w:type="dxa"/>
          </w:tcPr>
          <w:p>
            <w:pPr>
              <w:pStyle w:val="TableParagraph"/>
              <w:spacing w:line="211" w:lineRule="exact"/>
              <w:ind w:left="200"/>
              <w:rPr>
                <w:b/>
                <w:sz w:val="21"/>
              </w:rPr>
            </w:pPr>
            <w:r>
              <w:rPr>
                <w:b/>
                <w:sz w:val="21"/>
              </w:rPr>
              <w:t>9.24</w:t>
            </w:r>
          </w:p>
        </w:tc>
        <w:tc>
          <w:tcPr>
            <w:tcW w:w="1582" w:type="dxa"/>
          </w:tcPr>
          <w:p>
            <w:pPr>
              <w:pStyle w:val="TableParagraph"/>
              <w:spacing w:line="211" w:lineRule="exact"/>
              <w:ind w:left="185"/>
              <w:rPr>
                <w:b/>
                <w:sz w:val="21"/>
              </w:rPr>
            </w:pPr>
            <w:r>
              <w:rPr>
                <w:b/>
                <w:sz w:val="21"/>
              </w:rPr>
              <w:t>语言能力或咀</w:t>
            </w:r>
          </w:p>
          <w:p>
            <w:pPr>
              <w:pStyle w:val="TableParagraph"/>
              <w:spacing w:line="273" w:lineRule="auto" w:before="37"/>
              <w:ind w:left="185" w:right="126"/>
              <w:rPr>
                <w:b/>
                <w:sz w:val="21"/>
              </w:rPr>
            </w:pPr>
            <w:r>
              <w:rPr>
                <w:b/>
                <w:sz w:val="21"/>
              </w:rPr>
              <w:t>嚼吞咽能力完全丧失</w:t>
            </w:r>
          </w:p>
        </w:tc>
        <w:tc>
          <w:tcPr>
            <w:tcW w:w="7595" w:type="dxa"/>
          </w:tcPr>
          <w:p>
            <w:pPr>
              <w:pStyle w:val="TableParagraph"/>
              <w:spacing w:line="211" w:lineRule="exact"/>
              <w:ind w:left="127"/>
              <w:rPr>
                <w:sz w:val="21"/>
              </w:rPr>
            </w:pPr>
            <w:r>
              <w:rPr>
                <w:sz w:val="21"/>
              </w:rPr>
              <w:t>语言能力完全丧失，指无法发出四种语音（包括口唇音、齿舌音、口盖音和喉</w:t>
            </w:r>
          </w:p>
          <w:p>
            <w:pPr>
              <w:pStyle w:val="TableParagraph"/>
              <w:spacing w:line="310" w:lineRule="atLeast" w:before="2"/>
              <w:ind w:left="127" w:right="199"/>
              <w:rPr>
                <w:sz w:val="21"/>
              </w:rPr>
            </w:pPr>
            <w:r>
              <w:rPr>
                <w:spacing w:val="-2"/>
                <w:sz w:val="21"/>
              </w:rPr>
              <w:t>头音</w:t>
            </w:r>
            <w:r>
              <w:rPr>
                <w:spacing w:val="-29"/>
                <w:sz w:val="21"/>
              </w:rPr>
              <w:t>）</w:t>
            </w:r>
            <w:r>
              <w:rPr>
                <w:spacing w:val="-10"/>
                <w:sz w:val="21"/>
              </w:rPr>
              <w:t>中的任何三种、或声带全部切除，或因大脑语言中枢受伤害而患失语症。</w:t>
            </w:r>
            <w:r>
              <w:rPr>
                <w:spacing w:val="-5"/>
                <w:sz w:val="21"/>
              </w:rPr>
              <w:t>咀嚼吞咽能力完全丧失，指因牙齿以外的原因导致器质障碍或机能障碍，以致</w:t>
            </w:r>
            <w:r>
              <w:rPr>
                <w:spacing w:val="-4"/>
                <w:sz w:val="21"/>
              </w:rPr>
              <w:t>不能做咀嚼吞咽运动，除流质食物外不能摄取或吞咽的状态。</w:t>
            </w:r>
          </w:p>
        </w:tc>
      </w:tr>
    </w:tbl>
    <w:p>
      <w:pPr>
        <w:pStyle w:val="BodyText"/>
        <w:rPr>
          <w:sz w:val="20"/>
        </w:rPr>
      </w:pPr>
    </w:p>
    <w:p>
      <w:pPr>
        <w:pStyle w:val="BodyText"/>
        <w:rPr>
          <w:sz w:val="20"/>
        </w:rPr>
      </w:pPr>
    </w:p>
    <w:p>
      <w:pPr>
        <w:pStyle w:val="BodyText"/>
        <w:rPr>
          <w:sz w:val="20"/>
        </w:rPr>
      </w:pPr>
    </w:p>
    <w:p>
      <w:pPr>
        <w:pStyle w:val="BodyText"/>
        <w:spacing w:before="169"/>
        <w:ind w:left="3972" w:right="4097"/>
        <w:jc w:val="center"/>
      </w:pPr>
      <w:r>
        <w:rPr/>
        <w:t>（保险条款内容结束）</w:t>
      </w:r>
    </w:p>
    <w:sectPr>
      <w:pgSz w:w="11910" w:h="16840"/>
      <w:pgMar w:header="0" w:footer="924" w:top="1160" w:bottom="1120" w:left="8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99951pt;width:78.7pt;height:12pt;mso-position-horizontal-relative:page;mso-position-vertical-relative:page;z-index:-4158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40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9"/>
      <w:numFmt w:val="decimal"/>
      <w:lvlText w:val="%1."/>
      <w:lvlJc w:val="left"/>
      <w:pPr>
        <w:ind w:left="454" w:hanging="421"/>
        <w:jc w:val="left"/>
      </w:pPr>
      <w:rPr>
        <w:rFonts w:hint="default" w:ascii="宋体" w:hAnsi="宋体" w:eastAsia="宋体" w:cs="宋体"/>
        <w:w w:val="100"/>
        <w:sz w:val="21"/>
        <w:szCs w:val="21"/>
      </w:rPr>
    </w:lvl>
    <w:lvl w:ilvl="1">
      <w:start w:val="1"/>
      <w:numFmt w:val="lowerLetter"/>
      <w:lvlText w:val="%2)"/>
      <w:lvlJc w:val="left"/>
      <w:pPr>
        <w:ind w:left="1328" w:hanging="387"/>
        <w:jc w:val="left"/>
      </w:pPr>
      <w:rPr>
        <w:rFonts w:hint="default"/>
        <w:w w:val="100"/>
      </w:rPr>
    </w:lvl>
    <w:lvl w:ilvl="2">
      <w:start w:val="0"/>
      <w:numFmt w:val="bullet"/>
      <w:lvlText w:val="•"/>
      <w:lvlJc w:val="left"/>
      <w:pPr>
        <w:ind w:left="1320" w:hanging="387"/>
      </w:pPr>
      <w:rPr>
        <w:rFonts w:hint="default"/>
      </w:rPr>
    </w:lvl>
    <w:lvl w:ilvl="3">
      <w:start w:val="0"/>
      <w:numFmt w:val="bullet"/>
      <w:lvlText w:val="•"/>
      <w:lvlJc w:val="left"/>
      <w:pPr>
        <w:ind w:left="2098" w:hanging="387"/>
      </w:pPr>
      <w:rPr>
        <w:rFonts w:hint="default"/>
      </w:rPr>
    </w:lvl>
    <w:lvl w:ilvl="4">
      <w:start w:val="0"/>
      <w:numFmt w:val="bullet"/>
      <w:lvlText w:val="•"/>
      <w:lvlJc w:val="left"/>
      <w:pPr>
        <w:ind w:left="2876" w:hanging="387"/>
      </w:pPr>
      <w:rPr>
        <w:rFonts w:hint="default"/>
      </w:rPr>
    </w:lvl>
    <w:lvl w:ilvl="5">
      <w:start w:val="0"/>
      <w:numFmt w:val="bullet"/>
      <w:lvlText w:val="•"/>
      <w:lvlJc w:val="left"/>
      <w:pPr>
        <w:ind w:left="3655" w:hanging="387"/>
      </w:pPr>
      <w:rPr>
        <w:rFonts w:hint="default"/>
      </w:rPr>
    </w:lvl>
    <w:lvl w:ilvl="6">
      <w:start w:val="0"/>
      <w:numFmt w:val="bullet"/>
      <w:lvlText w:val="•"/>
      <w:lvlJc w:val="left"/>
      <w:pPr>
        <w:ind w:left="4433" w:hanging="387"/>
      </w:pPr>
      <w:rPr>
        <w:rFonts w:hint="default"/>
      </w:rPr>
    </w:lvl>
    <w:lvl w:ilvl="7">
      <w:start w:val="0"/>
      <w:numFmt w:val="bullet"/>
      <w:lvlText w:val="•"/>
      <w:lvlJc w:val="left"/>
      <w:pPr>
        <w:ind w:left="5211" w:hanging="387"/>
      </w:pPr>
      <w:rPr>
        <w:rFonts w:hint="default"/>
      </w:rPr>
    </w:lvl>
    <w:lvl w:ilvl="8">
      <w:start w:val="0"/>
      <w:numFmt w:val="bullet"/>
      <w:lvlText w:val="•"/>
      <w:lvlJc w:val="left"/>
      <w:pPr>
        <w:ind w:left="5990" w:hanging="387"/>
      </w:pPr>
      <w:rPr>
        <w:rFonts w:hint="default"/>
      </w:rPr>
    </w:lvl>
  </w:abstractNum>
  <w:abstractNum w:abstractNumId="15">
    <w:multiLevelType w:val="hybridMultilevel"/>
    <w:lvl w:ilvl="0">
      <w:start w:val="3"/>
      <w:numFmt w:val="lowerLetter"/>
      <w:lvlText w:val="%1)"/>
      <w:lvlJc w:val="left"/>
      <w:pPr>
        <w:ind w:left="1328" w:hanging="387"/>
        <w:jc w:val="left"/>
      </w:pPr>
      <w:rPr>
        <w:rFonts w:hint="default" w:ascii="宋体" w:hAnsi="宋体" w:eastAsia="宋体" w:cs="宋体"/>
        <w:w w:val="100"/>
        <w:sz w:val="21"/>
        <w:szCs w:val="21"/>
      </w:rPr>
    </w:lvl>
    <w:lvl w:ilvl="1">
      <w:start w:val="0"/>
      <w:numFmt w:val="bullet"/>
      <w:lvlText w:val="•"/>
      <w:lvlJc w:val="left"/>
      <w:pPr>
        <w:ind w:left="1942" w:hanging="387"/>
      </w:pPr>
      <w:rPr>
        <w:rFonts w:hint="default"/>
      </w:rPr>
    </w:lvl>
    <w:lvl w:ilvl="2">
      <w:start w:val="0"/>
      <w:numFmt w:val="bullet"/>
      <w:lvlText w:val="•"/>
      <w:lvlJc w:val="left"/>
      <w:pPr>
        <w:ind w:left="2565" w:hanging="387"/>
      </w:pPr>
      <w:rPr>
        <w:rFonts w:hint="default"/>
      </w:rPr>
    </w:lvl>
    <w:lvl w:ilvl="3">
      <w:start w:val="0"/>
      <w:numFmt w:val="bullet"/>
      <w:lvlText w:val="•"/>
      <w:lvlJc w:val="left"/>
      <w:pPr>
        <w:ind w:left="3188" w:hanging="387"/>
      </w:pPr>
      <w:rPr>
        <w:rFonts w:hint="default"/>
      </w:rPr>
    </w:lvl>
    <w:lvl w:ilvl="4">
      <w:start w:val="0"/>
      <w:numFmt w:val="bullet"/>
      <w:lvlText w:val="•"/>
      <w:lvlJc w:val="left"/>
      <w:pPr>
        <w:ind w:left="3810" w:hanging="387"/>
      </w:pPr>
      <w:rPr>
        <w:rFonts w:hint="default"/>
      </w:rPr>
    </w:lvl>
    <w:lvl w:ilvl="5">
      <w:start w:val="0"/>
      <w:numFmt w:val="bullet"/>
      <w:lvlText w:val="•"/>
      <w:lvlJc w:val="left"/>
      <w:pPr>
        <w:ind w:left="4433" w:hanging="387"/>
      </w:pPr>
      <w:rPr>
        <w:rFonts w:hint="default"/>
      </w:rPr>
    </w:lvl>
    <w:lvl w:ilvl="6">
      <w:start w:val="0"/>
      <w:numFmt w:val="bullet"/>
      <w:lvlText w:val="•"/>
      <w:lvlJc w:val="left"/>
      <w:pPr>
        <w:ind w:left="5056" w:hanging="387"/>
      </w:pPr>
      <w:rPr>
        <w:rFonts w:hint="default"/>
      </w:rPr>
    </w:lvl>
    <w:lvl w:ilvl="7">
      <w:start w:val="0"/>
      <w:numFmt w:val="bullet"/>
      <w:lvlText w:val="•"/>
      <w:lvlJc w:val="left"/>
      <w:pPr>
        <w:ind w:left="5678" w:hanging="387"/>
      </w:pPr>
      <w:rPr>
        <w:rFonts w:hint="default"/>
      </w:rPr>
    </w:lvl>
    <w:lvl w:ilvl="8">
      <w:start w:val="0"/>
      <w:numFmt w:val="bullet"/>
      <w:lvlText w:val="•"/>
      <w:lvlJc w:val="left"/>
      <w:pPr>
        <w:ind w:left="6301" w:hanging="387"/>
      </w:pPr>
      <w:rPr>
        <w:rFonts w:hint="default"/>
      </w:rPr>
    </w:lvl>
  </w:abstractNum>
  <w:abstractNum w:abstractNumId="14">
    <w:multiLevelType w:val="hybridMultilevel"/>
    <w:lvl w:ilvl="0">
      <w:start w:val="1"/>
      <w:numFmt w:val="lowerLetter"/>
      <w:lvlText w:val="%1)"/>
      <w:lvlJc w:val="left"/>
      <w:pPr>
        <w:ind w:left="2984" w:hanging="387"/>
        <w:jc w:val="left"/>
      </w:pPr>
      <w:rPr>
        <w:rFonts w:hint="default" w:ascii="宋体" w:hAnsi="宋体" w:eastAsia="宋体" w:cs="宋体"/>
        <w:b/>
        <w:bCs/>
        <w:w w:val="99"/>
        <w:sz w:val="21"/>
        <w:szCs w:val="21"/>
      </w:rPr>
    </w:lvl>
    <w:lvl w:ilvl="1">
      <w:start w:val="0"/>
      <w:numFmt w:val="bullet"/>
      <w:lvlText w:val="•"/>
      <w:lvlJc w:val="left"/>
      <w:pPr>
        <w:ind w:left="3576" w:hanging="387"/>
      </w:pPr>
      <w:rPr>
        <w:rFonts w:hint="default"/>
      </w:rPr>
    </w:lvl>
    <w:lvl w:ilvl="2">
      <w:start w:val="0"/>
      <w:numFmt w:val="bullet"/>
      <w:lvlText w:val="•"/>
      <w:lvlJc w:val="left"/>
      <w:pPr>
        <w:ind w:left="4173" w:hanging="387"/>
      </w:pPr>
      <w:rPr>
        <w:rFonts w:hint="default"/>
      </w:rPr>
    </w:lvl>
    <w:lvl w:ilvl="3">
      <w:start w:val="0"/>
      <w:numFmt w:val="bullet"/>
      <w:lvlText w:val="•"/>
      <w:lvlJc w:val="left"/>
      <w:pPr>
        <w:ind w:left="4769" w:hanging="387"/>
      </w:pPr>
      <w:rPr>
        <w:rFonts w:hint="default"/>
      </w:rPr>
    </w:lvl>
    <w:lvl w:ilvl="4">
      <w:start w:val="0"/>
      <w:numFmt w:val="bullet"/>
      <w:lvlText w:val="•"/>
      <w:lvlJc w:val="left"/>
      <w:pPr>
        <w:ind w:left="5366" w:hanging="387"/>
      </w:pPr>
      <w:rPr>
        <w:rFonts w:hint="default"/>
      </w:rPr>
    </w:lvl>
    <w:lvl w:ilvl="5">
      <w:start w:val="0"/>
      <w:numFmt w:val="bullet"/>
      <w:lvlText w:val="•"/>
      <w:lvlJc w:val="left"/>
      <w:pPr>
        <w:ind w:left="5963" w:hanging="387"/>
      </w:pPr>
      <w:rPr>
        <w:rFonts w:hint="default"/>
      </w:rPr>
    </w:lvl>
    <w:lvl w:ilvl="6">
      <w:start w:val="0"/>
      <w:numFmt w:val="bullet"/>
      <w:lvlText w:val="•"/>
      <w:lvlJc w:val="left"/>
      <w:pPr>
        <w:ind w:left="6559" w:hanging="387"/>
      </w:pPr>
      <w:rPr>
        <w:rFonts w:hint="default"/>
      </w:rPr>
    </w:lvl>
    <w:lvl w:ilvl="7">
      <w:start w:val="0"/>
      <w:numFmt w:val="bullet"/>
      <w:lvlText w:val="•"/>
      <w:lvlJc w:val="left"/>
      <w:pPr>
        <w:ind w:left="7156" w:hanging="387"/>
      </w:pPr>
      <w:rPr>
        <w:rFonts w:hint="default"/>
      </w:rPr>
    </w:lvl>
    <w:lvl w:ilvl="8">
      <w:start w:val="0"/>
      <w:numFmt w:val="bullet"/>
      <w:lvlText w:val="•"/>
      <w:lvlJc w:val="left"/>
      <w:pPr>
        <w:ind w:left="7753" w:hanging="387"/>
      </w:pPr>
      <w:rPr>
        <w:rFonts w:hint="default"/>
      </w:rPr>
    </w:lvl>
  </w:abstractNum>
  <w:abstractNum w:abstractNumId="13">
    <w:multiLevelType w:val="hybridMultilevel"/>
    <w:lvl w:ilvl="0">
      <w:start w:val="4"/>
      <w:numFmt w:val="decimal"/>
      <w:lvlText w:val="%1."/>
      <w:lvlJc w:val="left"/>
      <w:pPr>
        <w:ind w:left="1920" w:hanging="421"/>
        <w:jc w:val="left"/>
      </w:pPr>
      <w:rPr>
        <w:rFonts w:hint="default" w:ascii="宋体" w:hAnsi="宋体" w:eastAsia="宋体" w:cs="宋体"/>
        <w:w w:val="100"/>
        <w:sz w:val="21"/>
        <w:szCs w:val="21"/>
      </w:rPr>
    </w:lvl>
    <w:lvl w:ilvl="1">
      <w:start w:val="1"/>
      <w:numFmt w:val="lowerLetter"/>
      <w:lvlText w:val="%2)"/>
      <w:lvlJc w:val="left"/>
      <w:pPr>
        <w:ind w:left="3017" w:hanging="394"/>
        <w:jc w:val="left"/>
      </w:pPr>
      <w:rPr>
        <w:rFonts w:hint="default" w:ascii="宋体" w:hAnsi="宋体" w:eastAsia="宋体" w:cs="宋体"/>
        <w:w w:val="100"/>
        <w:sz w:val="21"/>
        <w:szCs w:val="21"/>
      </w:rPr>
    </w:lvl>
    <w:lvl w:ilvl="2">
      <w:start w:val="0"/>
      <w:numFmt w:val="bullet"/>
      <w:lvlText w:val="•"/>
      <w:lvlJc w:val="left"/>
      <w:pPr>
        <w:ind w:left="3020" w:hanging="394"/>
      </w:pPr>
      <w:rPr>
        <w:rFonts w:hint="default"/>
      </w:rPr>
    </w:lvl>
    <w:lvl w:ilvl="3">
      <w:start w:val="0"/>
      <w:numFmt w:val="bullet"/>
      <w:lvlText w:val="•"/>
      <w:lvlJc w:val="left"/>
      <w:pPr>
        <w:ind w:left="3748" w:hanging="394"/>
      </w:pPr>
      <w:rPr>
        <w:rFonts w:hint="default"/>
      </w:rPr>
    </w:lvl>
    <w:lvl w:ilvl="4">
      <w:start w:val="0"/>
      <w:numFmt w:val="bullet"/>
      <w:lvlText w:val="•"/>
      <w:lvlJc w:val="left"/>
      <w:pPr>
        <w:ind w:left="4476" w:hanging="394"/>
      </w:pPr>
      <w:rPr>
        <w:rFonts w:hint="default"/>
      </w:rPr>
    </w:lvl>
    <w:lvl w:ilvl="5">
      <w:start w:val="0"/>
      <w:numFmt w:val="bullet"/>
      <w:lvlText w:val="•"/>
      <w:lvlJc w:val="left"/>
      <w:pPr>
        <w:ind w:left="5204" w:hanging="394"/>
      </w:pPr>
      <w:rPr>
        <w:rFonts w:hint="default"/>
      </w:rPr>
    </w:lvl>
    <w:lvl w:ilvl="6">
      <w:start w:val="0"/>
      <w:numFmt w:val="bullet"/>
      <w:lvlText w:val="•"/>
      <w:lvlJc w:val="left"/>
      <w:pPr>
        <w:ind w:left="5933" w:hanging="394"/>
      </w:pPr>
      <w:rPr>
        <w:rFonts w:hint="default"/>
      </w:rPr>
    </w:lvl>
    <w:lvl w:ilvl="7">
      <w:start w:val="0"/>
      <w:numFmt w:val="bullet"/>
      <w:lvlText w:val="•"/>
      <w:lvlJc w:val="left"/>
      <w:pPr>
        <w:ind w:left="6661" w:hanging="394"/>
      </w:pPr>
      <w:rPr>
        <w:rFonts w:hint="default"/>
      </w:rPr>
    </w:lvl>
    <w:lvl w:ilvl="8">
      <w:start w:val="0"/>
      <w:numFmt w:val="bullet"/>
      <w:lvlText w:val="•"/>
      <w:lvlJc w:val="left"/>
      <w:pPr>
        <w:ind w:left="7389" w:hanging="394"/>
      </w:pPr>
      <w:rPr>
        <w:rFonts w:hint="default"/>
      </w:rPr>
    </w:lvl>
  </w:abstractNum>
  <w:abstractNum w:abstractNumId="12">
    <w:multiLevelType w:val="hybridMultilevel"/>
    <w:lvl w:ilvl="0">
      <w:start w:val="1"/>
      <w:numFmt w:val="decimal"/>
      <w:lvlText w:val="%1."/>
      <w:lvlJc w:val="left"/>
      <w:pPr>
        <w:ind w:left="288" w:hanging="421"/>
        <w:jc w:val="left"/>
      </w:pPr>
      <w:rPr>
        <w:rFonts w:hint="default" w:ascii="宋体" w:hAnsi="宋体" w:eastAsia="宋体" w:cs="宋体"/>
        <w:w w:val="100"/>
        <w:sz w:val="21"/>
        <w:szCs w:val="21"/>
      </w:rPr>
    </w:lvl>
    <w:lvl w:ilvl="1">
      <w:start w:val="1"/>
      <w:numFmt w:val="lowerLetter"/>
      <w:lvlText w:val="%2)"/>
      <w:lvlJc w:val="left"/>
      <w:pPr>
        <w:ind w:left="1371" w:hanging="394"/>
        <w:jc w:val="left"/>
      </w:pPr>
      <w:rPr>
        <w:rFonts w:hint="default"/>
        <w:w w:val="100"/>
      </w:rPr>
    </w:lvl>
    <w:lvl w:ilvl="2">
      <w:start w:val="0"/>
      <w:numFmt w:val="bullet"/>
      <w:lvlText w:val="•"/>
      <w:lvlJc w:val="left"/>
      <w:pPr>
        <w:ind w:left="2058" w:hanging="394"/>
      </w:pPr>
      <w:rPr>
        <w:rFonts w:hint="default"/>
      </w:rPr>
    </w:lvl>
    <w:lvl w:ilvl="3">
      <w:start w:val="0"/>
      <w:numFmt w:val="bullet"/>
      <w:lvlText w:val="•"/>
      <w:lvlJc w:val="left"/>
      <w:pPr>
        <w:ind w:left="2736" w:hanging="394"/>
      </w:pPr>
      <w:rPr>
        <w:rFonts w:hint="default"/>
      </w:rPr>
    </w:lvl>
    <w:lvl w:ilvl="4">
      <w:start w:val="0"/>
      <w:numFmt w:val="bullet"/>
      <w:lvlText w:val="•"/>
      <w:lvlJc w:val="left"/>
      <w:pPr>
        <w:ind w:left="3414" w:hanging="394"/>
      </w:pPr>
      <w:rPr>
        <w:rFonts w:hint="default"/>
      </w:rPr>
    </w:lvl>
    <w:lvl w:ilvl="5">
      <w:start w:val="0"/>
      <w:numFmt w:val="bullet"/>
      <w:lvlText w:val="•"/>
      <w:lvlJc w:val="left"/>
      <w:pPr>
        <w:ind w:left="4092" w:hanging="394"/>
      </w:pPr>
      <w:rPr>
        <w:rFonts w:hint="default"/>
      </w:rPr>
    </w:lvl>
    <w:lvl w:ilvl="6">
      <w:start w:val="0"/>
      <w:numFmt w:val="bullet"/>
      <w:lvlText w:val="•"/>
      <w:lvlJc w:val="left"/>
      <w:pPr>
        <w:ind w:left="4771" w:hanging="394"/>
      </w:pPr>
      <w:rPr>
        <w:rFonts w:hint="default"/>
      </w:rPr>
    </w:lvl>
    <w:lvl w:ilvl="7">
      <w:start w:val="0"/>
      <w:numFmt w:val="bullet"/>
      <w:lvlText w:val="•"/>
      <w:lvlJc w:val="left"/>
      <w:pPr>
        <w:ind w:left="5449" w:hanging="394"/>
      </w:pPr>
      <w:rPr>
        <w:rFonts w:hint="default"/>
      </w:rPr>
    </w:lvl>
    <w:lvl w:ilvl="8">
      <w:start w:val="0"/>
      <w:numFmt w:val="bullet"/>
      <w:lvlText w:val="•"/>
      <w:lvlJc w:val="left"/>
      <w:pPr>
        <w:ind w:left="6127" w:hanging="394"/>
      </w:pPr>
      <w:rPr>
        <w:rFonts w:hint="default"/>
      </w:rPr>
    </w:lvl>
  </w:abstractNum>
  <w:abstractNum w:abstractNumId="11">
    <w:multiLevelType w:val="hybridMultilevel"/>
    <w:lvl w:ilvl="0">
      <w:start w:val="1"/>
      <w:numFmt w:val="lowerLetter"/>
      <w:lvlText w:val="%1)"/>
      <w:lvlJc w:val="left"/>
      <w:pPr>
        <w:ind w:left="2984" w:hanging="420"/>
        <w:jc w:val="left"/>
      </w:pPr>
      <w:rPr>
        <w:rFonts w:hint="default" w:ascii="宋体" w:hAnsi="宋体" w:eastAsia="宋体" w:cs="宋体"/>
        <w:b/>
        <w:bCs/>
        <w:w w:val="99"/>
        <w:sz w:val="21"/>
        <w:szCs w:val="21"/>
      </w:rPr>
    </w:lvl>
    <w:lvl w:ilvl="1">
      <w:start w:val="0"/>
      <w:numFmt w:val="bullet"/>
      <w:lvlText w:val="•"/>
      <w:lvlJc w:val="left"/>
      <w:pPr>
        <w:ind w:left="3576" w:hanging="420"/>
      </w:pPr>
      <w:rPr>
        <w:rFonts w:hint="default"/>
      </w:rPr>
    </w:lvl>
    <w:lvl w:ilvl="2">
      <w:start w:val="0"/>
      <w:numFmt w:val="bullet"/>
      <w:lvlText w:val="•"/>
      <w:lvlJc w:val="left"/>
      <w:pPr>
        <w:ind w:left="4173" w:hanging="420"/>
      </w:pPr>
      <w:rPr>
        <w:rFonts w:hint="default"/>
      </w:rPr>
    </w:lvl>
    <w:lvl w:ilvl="3">
      <w:start w:val="0"/>
      <w:numFmt w:val="bullet"/>
      <w:lvlText w:val="•"/>
      <w:lvlJc w:val="left"/>
      <w:pPr>
        <w:ind w:left="4769" w:hanging="420"/>
      </w:pPr>
      <w:rPr>
        <w:rFonts w:hint="default"/>
      </w:rPr>
    </w:lvl>
    <w:lvl w:ilvl="4">
      <w:start w:val="0"/>
      <w:numFmt w:val="bullet"/>
      <w:lvlText w:val="•"/>
      <w:lvlJc w:val="left"/>
      <w:pPr>
        <w:ind w:left="5366" w:hanging="420"/>
      </w:pPr>
      <w:rPr>
        <w:rFonts w:hint="default"/>
      </w:rPr>
    </w:lvl>
    <w:lvl w:ilvl="5">
      <w:start w:val="0"/>
      <w:numFmt w:val="bullet"/>
      <w:lvlText w:val="•"/>
      <w:lvlJc w:val="left"/>
      <w:pPr>
        <w:ind w:left="5963" w:hanging="420"/>
      </w:pPr>
      <w:rPr>
        <w:rFonts w:hint="default"/>
      </w:rPr>
    </w:lvl>
    <w:lvl w:ilvl="6">
      <w:start w:val="0"/>
      <w:numFmt w:val="bullet"/>
      <w:lvlText w:val="•"/>
      <w:lvlJc w:val="left"/>
      <w:pPr>
        <w:ind w:left="6559" w:hanging="420"/>
      </w:pPr>
      <w:rPr>
        <w:rFonts w:hint="default"/>
      </w:rPr>
    </w:lvl>
    <w:lvl w:ilvl="7">
      <w:start w:val="0"/>
      <w:numFmt w:val="bullet"/>
      <w:lvlText w:val="•"/>
      <w:lvlJc w:val="left"/>
      <w:pPr>
        <w:ind w:left="7156" w:hanging="420"/>
      </w:pPr>
      <w:rPr>
        <w:rFonts w:hint="default"/>
      </w:rPr>
    </w:lvl>
    <w:lvl w:ilvl="8">
      <w:start w:val="0"/>
      <w:numFmt w:val="bullet"/>
      <w:lvlText w:val="•"/>
      <w:lvlJc w:val="left"/>
      <w:pPr>
        <w:ind w:left="7753" w:hanging="420"/>
      </w:pPr>
      <w:rPr>
        <w:rFonts w:hint="default"/>
      </w:rPr>
    </w:lvl>
  </w:abstractNum>
  <w:abstractNum w:abstractNumId="10">
    <w:multiLevelType w:val="hybridMultilevel"/>
    <w:lvl w:ilvl="0">
      <w:start w:val="0"/>
      <w:numFmt w:val="decimal"/>
      <w:lvlText w:val="%1"/>
      <w:lvlJc w:val="left"/>
      <w:pPr>
        <w:ind w:left="2302" w:hanging="159"/>
        <w:jc w:val="left"/>
      </w:pPr>
      <w:rPr>
        <w:rFonts w:hint="default" w:ascii="宋体" w:hAnsi="宋体" w:eastAsia="宋体" w:cs="宋体"/>
        <w:w w:val="100"/>
        <w:sz w:val="21"/>
        <w:szCs w:val="21"/>
      </w:rPr>
    </w:lvl>
    <w:lvl w:ilvl="1">
      <w:start w:val="0"/>
      <w:numFmt w:val="bullet"/>
      <w:lvlText w:val="•"/>
      <w:lvlJc w:val="left"/>
      <w:pPr>
        <w:ind w:left="2962" w:hanging="159"/>
      </w:pPr>
      <w:rPr>
        <w:rFonts w:hint="default"/>
      </w:rPr>
    </w:lvl>
    <w:lvl w:ilvl="2">
      <w:start w:val="0"/>
      <w:numFmt w:val="bullet"/>
      <w:lvlText w:val="•"/>
      <w:lvlJc w:val="left"/>
      <w:pPr>
        <w:ind w:left="3625" w:hanging="159"/>
      </w:pPr>
      <w:rPr>
        <w:rFonts w:hint="default"/>
      </w:rPr>
    </w:lvl>
    <w:lvl w:ilvl="3">
      <w:start w:val="0"/>
      <w:numFmt w:val="bullet"/>
      <w:lvlText w:val="•"/>
      <w:lvlJc w:val="left"/>
      <w:pPr>
        <w:ind w:left="4287" w:hanging="159"/>
      </w:pPr>
      <w:rPr>
        <w:rFonts w:hint="default"/>
      </w:rPr>
    </w:lvl>
    <w:lvl w:ilvl="4">
      <w:start w:val="0"/>
      <w:numFmt w:val="bullet"/>
      <w:lvlText w:val="•"/>
      <w:lvlJc w:val="left"/>
      <w:pPr>
        <w:ind w:left="4950" w:hanging="159"/>
      </w:pPr>
      <w:rPr>
        <w:rFonts w:hint="default"/>
      </w:rPr>
    </w:lvl>
    <w:lvl w:ilvl="5">
      <w:start w:val="0"/>
      <w:numFmt w:val="bullet"/>
      <w:lvlText w:val="•"/>
      <w:lvlJc w:val="left"/>
      <w:pPr>
        <w:ind w:left="5613" w:hanging="159"/>
      </w:pPr>
      <w:rPr>
        <w:rFonts w:hint="default"/>
      </w:rPr>
    </w:lvl>
    <w:lvl w:ilvl="6">
      <w:start w:val="0"/>
      <w:numFmt w:val="bullet"/>
      <w:lvlText w:val="•"/>
      <w:lvlJc w:val="left"/>
      <w:pPr>
        <w:ind w:left="6275" w:hanging="159"/>
      </w:pPr>
      <w:rPr>
        <w:rFonts w:hint="default"/>
      </w:rPr>
    </w:lvl>
    <w:lvl w:ilvl="7">
      <w:start w:val="0"/>
      <w:numFmt w:val="bullet"/>
      <w:lvlText w:val="•"/>
      <w:lvlJc w:val="left"/>
      <w:pPr>
        <w:ind w:left="6938" w:hanging="159"/>
      </w:pPr>
      <w:rPr>
        <w:rFonts w:hint="default"/>
      </w:rPr>
    </w:lvl>
    <w:lvl w:ilvl="8">
      <w:start w:val="0"/>
      <w:numFmt w:val="bullet"/>
      <w:lvlText w:val="•"/>
      <w:lvlJc w:val="left"/>
      <w:pPr>
        <w:ind w:left="7601" w:hanging="159"/>
      </w:pPr>
      <w:rPr>
        <w:rFonts w:hint="default"/>
      </w:rPr>
    </w:lvl>
  </w:abstractNum>
  <w:abstractNum w:abstractNumId="9">
    <w:multiLevelType w:val="hybridMultilevel"/>
    <w:lvl w:ilvl="0">
      <w:start w:val="1"/>
      <w:numFmt w:val="lowerLetter"/>
      <w:lvlText w:val="%1)"/>
      <w:lvlJc w:val="left"/>
      <w:pPr>
        <w:ind w:left="2984" w:hanging="420"/>
        <w:jc w:val="left"/>
      </w:pPr>
      <w:rPr>
        <w:rFonts w:hint="default" w:ascii="宋体" w:hAnsi="宋体" w:eastAsia="宋体" w:cs="宋体"/>
        <w:b/>
        <w:bCs/>
        <w:w w:val="99"/>
        <w:sz w:val="21"/>
        <w:szCs w:val="21"/>
      </w:rPr>
    </w:lvl>
    <w:lvl w:ilvl="1">
      <w:start w:val="0"/>
      <w:numFmt w:val="bullet"/>
      <w:lvlText w:val="•"/>
      <w:lvlJc w:val="left"/>
      <w:pPr>
        <w:ind w:left="3574" w:hanging="420"/>
      </w:pPr>
      <w:rPr>
        <w:rFonts w:hint="default"/>
      </w:rPr>
    </w:lvl>
    <w:lvl w:ilvl="2">
      <w:start w:val="0"/>
      <w:numFmt w:val="bullet"/>
      <w:lvlText w:val="•"/>
      <w:lvlJc w:val="left"/>
      <w:pPr>
        <w:ind w:left="4169" w:hanging="420"/>
      </w:pPr>
      <w:rPr>
        <w:rFonts w:hint="default"/>
      </w:rPr>
    </w:lvl>
    <w:lvl w:ilvl="3">
      <w:start w:val="0"/>
      <w:numFmt w:val="bullet"/>
      <w:lvlText w:val="•"/>
      <w:lvlJc w:val="left"/>
      <w:pPr>
        <w:ind w:left="4763" w:hanging="420"/>
      </w:pPr>
      <w:rPr>
        <w:rFonts w:hint="default"/>
      </w:rPr>
    </w:lvl>
    <w:lvl w:ilvl="4">
      <w:start w:val="0"/>
      <w:numFmt w:val="bullet"/>
      <w:lvlText w:val="•"/>
      <w:lvlJc w:val="left"/>
      <w:pPr>
        <w:ind w:left="5358" w:hanging="420"/>
      </w:pPr>
      <w:rPr>
        <w:rFonts w:hint="default"/>
      </w:rPr>
    </w:lvl>
    <w:lvl w:ilvl="5">
      <w:start w:val="0"/>
      <w:numFmt w:val="bullet"/>
      <w:lvlText w:val="•"/>
      <w:lvlJc w:val="left"/>
      <w:pPr>
        <w:ind w:left="5953" w:hanging="420"/>
      </w:pPr>
      <w:rPr>
        <w:rFonts w:hint="default"/>
      </w:rPr>
    </w:lvl>
    <w:lvl w:ilvl="6">
      <w:start w:val="0"/>
      <w:numFmt w:val="bullet"/>
      <w:lvlText w:val="•"/>
      <w:lvlJc w:val="left"/>
      <w:pPr>
        <w:ind w:left="6547" w:hanging="420"/>
      </w:pPr>
      <w:rPr>
        <w:rFonts w:hint="default"/>
      </w:rPr>
    </w:lvl>
    <w:lvl w:ilvl="7">
      <w:start w:val="0"/>
      <w:numFmt w:val="bullet"/>
      <w:lvlText w:val="•"/>
      <w:lvlJc w:val="left"/>
      <w:pPr>
        <w:ind w:left="7142" w:hanging="420"/>
      </w:pPr>
      <w:rPr>
        <w:rFonts w:hint="default"/>
      </w:rPr>
    </w:lvl>
    <w:lvl w:ilvl="8">
      <w:start w:val="0"/>
      <w:numFmt w:val="bullet"/>
      <w:lvlText w:val="•"/>
      <w:lvlJc w:val="left"/>
      <w:pPr>
        <w:ind w:left="7737" w:hanging="420"/>
      </w:pPr>
      <w:rPr>
        <w:rFonts w:hint="default"/>
      </w:rPr>
    </w:lvl>
  </w:abstractNum>
  <w:abstractNum w:abstractNumId="8">
    <w:multiLevelType w:val="hybridMultilevel"/>
    <w:lvl w:ilvl="0">
      <w:start w:val="1"/>
      <w:numFmt w:val="decimal"/>
      <w:lvlText w:val="%1."/>
      <w:lvlJc w:val="left"/>
      <w:pPr>
        <w:ind w:left="116" w:hanging="317"/>
        <w:jc w:val="left"/>
      </w:pPr>
      <w:rPr>
        <w:rFonts w:hint="default" w:ascii="宋体" w:hAnsi="宋体" w:eastAsia="宋体" w:cs="宋体"/>
        <w:w w:val="100"/>
        <w:sz w:val="21"/>
        <w:szCs w:val="21"/>
      </w:rPr>
    </w:lvl>
    <w:lvl w:ilvl="1">
      <w:start w:val="0"/>
      <w:numFmt w:val="bullet"/>
      <w:lvlText w:val="•"/>
      <w:lvlJc w:val="left"/>
      <w:pPr>
        <w:ind w:left="846" w:hanging="317"/>
      </w:pPr>
      <w:rPr>
        <w:rFonts w:hint="default"/>
      </w:rPr>
    </w:lvl>
    <w:lvl w:ilvl="2">
      <w:start w:val="0"/>
      <w:numFmt w:val="bullet"/>
      <w:lvlText w:val="•"/>
      <w:lvlJc w:val="left"/>
      <w:pPr>
        <w:ind w:left="1573" w:hanging="317"/>
      </w:pPr>
      <w:rPr>
        <w:rFonts w:hint="default"/>
      </w:rPr>
    </w:lvl>
    <w:lvl w:ilvl="3">
      <w:start w:val="0"/>
      <w:numFmt w:val="bullet"/>
      <w:lvlText w:val="•"/>
      <w:lvlJc w:val="left"/>
      <w:pPr>
        <w:ind w:left="2300" w:hanging="317"/>
      </w:pPr>
      <w:rPr>
        <w:rFonts w:hint="default"/>
      </w:rPr>
    </w:lvl>
    <w:lvl w:ilvl="4">
      <w:start w:val="0"/>
      <w:numFmt w:val="bullet"/>
      <w:lvlText w:val="•"/>
      <w:lvlJc w:val="left"/>
      <w:pPr>
        <w:ind w:left="3026" w:hanging="317"/>
      </w:pPr>
      <w:rPr>
        <w:rFonts w:hint="default"/>
      </w:rPr>
    </w:lvl>
    <w:lvl w:ilvl="5">
      <w:start w:val="0"/>
      <w:numFmt w:val="bullet"/>
      <w:lvlText w:val="•"/>
      <w:lvlJc w:val="left"/>
      <w:pPr>
        <w:ind w:left="3753" w:hanging="317"/>
      </w:pPr>
      <w:rPr>
        <w:rFonts w:hint="default"/>
      </w:rPr>
    </w:lvl>
    <w:lvl w:ilvl="6">
      <w:start w:val="0"/>
      <w:numFmt w:val="bullet"/>
      <w:lvlText w:val="•"/>
      <w:lvlJc w:val="left"/>
      <w:pPr>
        <w:ind w:left="4480" w:hanging="317"/>
      </w:pPr>
      <w:rPr>
        <w:rFonts w:hint="default"/>
      </w:rPr>
    </w:lvl>
    <w:lvl w:ilvl="7">
      <w:start w:val="0"/>
      <w:numFmt w:val="bullet"/>
      <w:lvlText w:val="•"/>
      <w:lvlJc w:val="left"/>
      <w:pPr>
        <w:ind w:left="5206" w:hanging="317"/>
      </w:pPr>
      <w:rPr>
        <w:rFonts w:hint="default"/>
      </w:rPr>
    </w:lvl>
    <w:lvl w:ilvl="8">
      <w:start w:val="0"/>
      <w:numFmt w:val="bullet"/>
      <w:lvlText w:val="•"/>
      <w:lvlJc w:val="left"/>
      <w:pPr>
        <w:ind w:left="5933" w:hanging="317"/>
      </w:pPr>
      <w:rPr>
        <w:rFonts w:hint="default"/>
      </w:rPr>
    </w:lvl>
  </w:abstractNum>
  <w:abstractNum w:abstractNumId="7">
    <w:multiLevelType w:val="hybridMultilevel"/>
    <w:lvl w:ilvl="0">
      <w:start w:val="1"/>
      <w:numFmt w:val="decimal"/>
      <w:lvlText w:val="（%1）"/>
      <w:lvlJc w:val="left"/>
      <w:pPr>
        <w:ind w:left="1048" w:hanging="721"/>
        <w:jc w:val="left"/>
      </w:pPr>
      <w:rPr>
        <w:rFonts w:hint="default" w:ascii="宋体" w:hAnsi="宋体" w:eastAsia="宋体" w:cs="宋体"/>
        <w:w w:val="100"/>
        <w:sz w:val="21"/>
        <w:szCs w:val="21"/>
      </w:rPr>
    </w:lvl>
    <w:lvl w:ilvl="1">
      <w:start w:val="0"/>
      <w:numFmt w:val="bullet"/>
      <w:lvlText w:val="•"/>
      <w:lvlJc w:val="left"/>
      <w:pPr>
        <w:ind w:left="1705" w:hanging="721"/>
      </w:pPr>
      <w:rPr>
        <w:rFonts w:hint="default"/>
      </w:rPr>
    </w:lvl>
    <w:lvl w:ilvl="2">
      <w:start w:val="0"/>
      <w:numFmt w:val="bullet"/>
      <w:lvlText w:val="•"/>
      <w:lvlJc w:val="left"/>
      <w:pPr>
        <w:ind w:left="2371" w:hanging="721"/>
      </w:pPr>
      <w:rPr>
        <w:rFonts w:hint="default"/>
      </w:rPr>
    </w:lvl>
    <w:lvl w:ilvl="3">
      <w:start w:val="0"/>
      <w:numFmt w:val="bullet"/>
      <w:lvlText w:val="•"/>
      <w:lvlJc w:val="left"/>
      <w:pPr>
        <w:ind w:left="3036" w:hanging="721"/>
      </w:pPr>
      <w:rPr>
        <w:rFonts w:hint="default"/>
      </w:rPr>
    </w:lvl>
    <w:lvl w:ilvl="4">
      <w:start w:val="0"/>
      <w:numFmt w:val="bullet"/>
      <w:lvlText w:val="•"/>
      <w:lvlJc w:val="left"/>
      <w:pPr>
        <w:ind w:left="3702" w:hanging="721"/>
      </w:pPr>
      <w:rPr>
        <w:rFonts w:hint="default"/>
      </w:rPr>
    </w:lvl>
    <w:lvl w:ilvl="5">
      <w:start w:val="0"/>
      <w:numFmt w:val="bullet"/>
      <w:lvlText w:val="•"/>
      <w:lvlJc w:val="left"/>
      <w:pPr>
        <w:ind w:left="4368" w:hanging="721"/>
      </w:pPr>
      <w:rPr>
        <w:rFonts w:hint="default"/>
      </w:rPr>
    </w:lvl>
    <w:lvl w:ilvl="6">
      <w:start w:val="0"/>
      <w:numFmt w:val="bullet"/>
      <w:lvlText w:val="•"/>
      <w:lvlJc w:val="left"/>
      <w:pPr>
        <w:ind w:left="5033" w:hanging="721"/>
      </w:pPr>
      <w:rPr>
        <w:rFonts w:hint="default"/>
      </w:rPr>
    </w:lvl>
    <w:lvl w:ilvl="7">
      <w:start w:val="0"/>
      <w:numFmt w:val="bullet"/>
      <w:lvlText w:val="•"/>
      <w:lvlJc w:val="left"/>
      <w:pPr>
        <w:ind w:left="5699" w:hanging="721"/>
      </w:pPr>
      <w:rPr>
        <w:rFonts w:hint="default"/>
      </w:rPr>
    </w:lvl>
    <w:lvl w:ilvl="8">
      <w:start w:val="0"/>
      <w:numFmt w:val="bullet"/>
      <w:lvlText w:val="•"/>
      <w:lvlJc w:val="left"/>
      <w:pPr>
        <w:ind w:left="6364" w:hanging="721"/>
      </w:pPr>
      <w:rPr>
        <w:rFonts w:hint="default"/>
      </w:rPr>
    </w:lvl>
  </w:abstractNum>
  <w:abstractNum w:abstractNumId="6">
    <w:multiLevelType w:val="hybridMultilevel"/>
    <w:lvl w:ilvl="0">
      <w:start w:val="1"/>
      <w:numFmt w:val="decimal"/>
      <w:lvlText w:val="（%1）"/>
      <w:lvlJc w:val="left"/>
      <w:pPr>
        <w:ind w:left="1048" w:hanging="721"/>
        <w:jc w:val="left"/>
      </w:pPr>
      <w:rPr>
        <w:rFonts w:hint="default" w:ascii="宋体" w:hAnsi="宋体" w:eastAsia="宋体" w:cs="宋体"/>
        <w:w w:val="100"/>
        <w:sz w:val="21"/>
        <w:szCs w:val="21"/>
      </w:rPr>
    </w:lvl>
    <w:lvl w:ilvl="1">
      <w:start w:val="0"/>
      <w:numFmt w:val="bullet"/>
      <w:lvlText w:val="•"/>
      <w:lvlJc w:val="left"/>
      <w:pPr>
        <w:ind w:left="1703" w:hanging="721"/>
      </w:pPr>
      <w:rPr>
        <w:rFonts w:hint="default"/>
      </w:rPr>
    </w:lvl>
    <w:lvl w:ilvl="2">
      <w:start w:val="0"/>
      <w:numFmt w:val="bullet"/>
      <w:lvlText w:val="•"/>
      <w:lvlJc w:val="left"/>
      <w:pPr>
        <w:ind w:left="2366" w:hanging="721"/>
      </w:pPr>
      <w:rPr>
        <w:rFonts w:hint="default"/>
      </w:rPr>
    </w:lvl>
    <w:lvl w:ilvl="3">
      <w:start w:val="0"/>
      <w:numFmt w:val="bullet"/>
      <w:lvlText w:val="•"/>
      <w:lvlJc w:val="left"/>
      <w:pPr>
        <w:ind w:left="3030" w:hanging="721"/>
      </w:pPr>
      <w:rPr>
        <w:rFonts w:hint="default"/>
      </w:rPr>
    </w:lvl>
    <w:lvl w:ilvl="4">
      <w:start w:val="0"/>
      <w:numFmt w:val="bullet"/>
      <w:lvlText w:val="•"/>
      <w:lvlJc w:val="left"/>
      <w:pPr>
        <w:ind w:left="3693" w:hanging="721"/>
      </w:pPr>
      <w:rPr>
        <w:rFonts w:hint="default"/>
      </w:rPr>
    </w:lvl>
    <w:lvl w:ilvl="5">
      <w:start w:val="0"/>
      <w:numFmt w:val="bullet"/>
      <w:lvlText w:val="•"/>
      <w:lvlJc w:val="left"/>
      <w:pPr>
        <w:ind w:left="4357" w:hanging="721"/>
      </w:pPr>
      <w:rPr>
        <w:rFonts w:hint="default"/>
      </w:rPr>
    </w:lvl>
    <w:lvl w:ilvl="6">
      <w:start w:val="0"/>
      <w:numFmt w:val="bullet"/>
      <w:lvlText w:val="•"/>
      <w:lvlJc w:val="left"/>
      <w:pPr>
        <w:ind w:left="5020" w:hanging="721"/>
      </w:pPr>
      <w:rPr>
        <w:rFonts w:hint="default"/>
      </w:rPr>
    </w:lvl>
    <w:lvl w:ilvl="7">
      <w:start w:val="0"/>
      <w:numFmt w:val="bullet"/>
      <w:lvlText w:val="•"/>
      <w:lvlJc w:val="left"/>
      <w:pPr>
        <w:ind w:left="5683" w:hanging="721"/>
      </w:pPr>
      <w:rPr>
        <w:rFonts w:hint="default"/>
      </w:rPr>
    </w:lvl>
    <w:lvl w:ilvl="8">
      <w:start w:val="0"/>
      <w:numFmt w:val="bullet"/>
      <w:lvlText w:val="•"/>
      <w:lvlJc w:val="left"/>
      <w:pPr>
        <w:ind w:left="6347" w:hanging="721"/>
      </w:pPr>
      <w:rPr>
        <w:rFonts w:hint="default"/>
      </w:rPr>
    </w:lvl>
  </w:abstractNum>
  <w:abstractNum w:abstractNumId="5">
    <w:multiLevelType w:val="hybridMultilevel"/>
    <w:lvl w:ilvl="0">
      <w:start w:val="1"/>
      <w:numFmt w:val="decimal"/>
      <w:lvlText w:val="（%1）"/>
      <w:lvlJc w:val="left"/>
      <w:pPr>
        <w:ind w:left="1048" w:hanging="721"/>
        <w:jc w:val="left"/>
      </w:pPr>
      <w:rPr>
        <w:rFonts w:hint="default" w:ascii="宋体" w:hAnsi="宋体" w:eastAsia="宋体" w:cs="宋体"/>
        <w:w w:val="100"/>
        <w:sz w:val="21"/>
        <w:szCs w:val="21"/>
      </w:rPr>
    </w:lvl>
    <w:lvl w:ilvl="1">
      <w:start w:val="0"/>
      <w:numFmt w:val="bullet"/>
      <w:lvlText w:val="•"/>
      <w:lvlJc w:val="left"/>
      <w:pPr>
        <w:ind w:left="1703" w:hanging="721"/>
      </w:pPr>
      <w:rPr>
        <w:rFonts w:hint="default"/>
      </w:rPr>
    </w:lvl>
    <w:lvl w:ilvl="2">
      <w:start w:val="0"/>
      <w:numFmt w:val="bullet"/>
      <w:lvlText w:val="•"/>
      <w:lvlJc w:val="left"/>
      <w:pPr>
        <w:ind w:left="2366" w:hanging="721"/>
      </w:pPr>
      <w:rPr>
        <w:rFonts w:hint="default"/>
      </w:rPr>
    </w:lvl>
    <w:lvl w:ilvl="3">
      <w:start w:val="0"/>
      <w:numFmt w:val="bullet"/>
      <w:lvlText w:val="•"/>
      <w:lvlJc w:val="left"/>
      <w:pPr>
        <w:ind w:left="3030" w:hanging="721"/>
      </w:pPr>
      <w:rPr>
        <w:rFonts w:hint="default"/>
      </w:rPr>
    </w:lvl>
    <w:lvl w:ilvl="4">
      <w:start w:val="0"/>
      <w:numFmt w:val="bullet"/>
      <w:lvlText w:val="•"/>
      <w:lvlJc w:val="left"/>
      <w:pPr>
        <w:ind w:left="3693" w:hanging="721"/>
      </w:pPr>
      <w:rPr>
        <w:rFonts w:hint="default"/>
      </w:rPr>
    </w:lvl>
    <w:lvl w:ilvl="5">
      <w:start w:val="0"/>
      <w:numFmt w:val="bullet"/>
      <w:lvlText w:val="•"/>
      <w:lvlJc w:val="left"/>
      <w:pPr>
        <w:ind w:left="4357" w:hanging="721"/>
      </w:pPr>
      <w:rPr>
        <w:rFonts w:hint="default"/>
      </w:rPr>
    </w:lvl>
    <w:lvl w:ilvl="6">
      <w:start w:val="0"/>
      <w:numFmt w:val="bullet"/>
      <w:lvlText w:val="•"/>
      <w:lvlJc w:val="left"/>
      <w:pPr>
        <w:ind w:left="5020" w:hanging="721"/>
      </w:pPr>
      <w:rPr>
        <w:rFonts w:hint="default"/>
      </w:rPr>
    </w:lvl>
    <w:lvl w:ilvl="7">
      <w:start w:val="0"/>
      <w:numFmt w:val="bullet"/>
      <w:lvlText w:val="•"/>
      <w:lvlJc w:val="left"/>
      <w:pPr>
        <w:ind w:left="5683" w:hanging="721"/>
      </w:pPr>
      <w:rPr>
        <w:rFonts w:hint="default"/>
      </w:rPr>
    </w:lvl>
    <w:lvl w:ilvl="8">
      <w:start w:val="0"/>
      <w:numFmt w:val="bullet"/>
      <w:lvlText w:val="•"/>
      <w:lvlJc w:val="left"/>
      <w:pPr>
        <w:ind w:left="6347" w:hanging="721"/>
      </w:pPr>
      <w:rPr>
        <w:rFonts w:hint="default"/>
      </w:rPr>
    </w:lvl>
  </w:abstractNum>
  <w:abstractNum w:abstractNumId="4">
    <w:multiLevelType w:val="hybridMultilevel"/>
    <w:lvl w:ilvl="0">
      <w:start w:val="9"/>
      <w:numFmt w:val="decimal"/>
      <w:lvlText w:val="%1"/>
      <w:lvlJc w:val="left"/>
      <w:pPr>
        <w:ind w:left="684" w:hanging="474"/>
        <w:jc w:val="left"/>
      </w:pPr>
      <w:rPr>
        <w:rFonts w:hint="default"/>
      </w:rPr>
    </w:lvl>
    <w:lvl w:ilvl="1">
      <w:start w:val="14"/>
      <w:numFmt w:val="decimal"/>
      <w:lvlText w:val="%1.%2"/>
      <w:lvlJc w:val="left"/>
      <w:pPr>
        <w:ind w:left="105" w:hanging="474"/>
        <w:jc w:val="left"/>
      </w:pPr>
      <w:rPr>
        <w:rFonts w:hint="default" w:ascii="宋体" w:hAnsi="宋体" w:eastAsia="宋体" w:cs="宋体"/>
        <w:w w:val="100"/>
        <w:sz w:val="21"/>
        <w:szCs w:val="21"/>
      </w:rPr>
    </w:lvl>
    <w:lvl w:ilvl="2">
      <w:start w:val="0"/>
      <w:numFmt w:val="bullet"/>
      <w:lvlText w:val="•"/>
      <w:lvlJc w:val="left"/>
      <w:pPr>
        <w:ind w:left="913" w:hanging="474"/>
      </w:pPr>
      <w:rPr>
        <w:rFonts w:hint="default"/>
      </w:rPr>
    </w:lvl>
    <w:lvl w:ilvl="3">
      <w:start w:val="0"/>
      <w:numFmt w:val="bullet"/>
      <w:lvlText w:val="•"/>
      <w:lvlJc w:val="left"/>
      <w:pPr>
        <w:ind w:left="1146" w:hanging="474"/>
      </w:pPr>
      <w:rPr>
        <w:rFonts w:hint="default"/>
      </w:rPr>
    </w:lvl>
    <w:lvl w:ilvl="4">
      <w:start w:val="0"/>
      <w:numFmt w:val="bullet"/>
      <w:lvlText w:val="•"/>
      <w:lvlJc w:val="left"/>
      <w:pPr>
        <w:ind w:left="1379" w:hanging="474"/>
      </w:pPr>
      <w:rPr>
        <w:rFonts w:hint="default"/>
      </w:rPr>
    </w:lvl>
    <w:lvl w:ilvl="5">
      <w:start w:val="0"/>
      <w:numFmt w:val="bullet"/>
      <w:lvlText w:val="•"/>
      <w:lvlJc w:val="left"/>
      <w:pPr>
        <w:ind w:left="1612" w:hanging="474"/>
      </w:pPr>
      <w:rPr>
        <w:rFonts w:hint="default"/>
      </w:rPr>
    </w:lvl>
    <w:lvl w:ilvl="6">
      <w:start w:val="0"/>
      <w:numFmt w:val="bullet"/>
      <w:lvlText w:val="•"/>
      <w:lvlJc w:val="left"/>
      <w:pPr>
        <w:ind w:left="1845" w:hanging="474"/>
      </w:pPr>
      <w:rPr>
        <w:rFonts w:hint="default"/>
      </w:rPr>
    </w:lvl>
    <w:lvl w:ilvl="7">
      <w:start w:val="0"/>
      <w:numFmt w:val="bullet"/>
      <w:lvlText w:val="•"/>
      <w:lvlJc w:val="left"/>
      <w:pPr>
        <w:ind w:left="2078" w:hanging="474"/>
      </w:pPr>
      <w:rPr>
        <w:rFonts w:hint="default"/>
      </w:rPr>
    </w:lvl>
    <w:lvl w:ilvl="8">
      <w:start w:val="0"/>
      <w:numFmt w:val="bullet"/>
      <w:lvlText w:val="•"/>
      <w:lvlJc w:val="left"/>
      <w:pPr>
        <w:ind w:left="2311" w:hanging="474"/>
      </w:pPr>
      <w:rPr>
        <w:rFonts w:hint="default"/>
      </w:rPr>
    </w:lvl>
  </w:abstractNum>
  <w:abstractNum w:abstractNumId="3">
    <w:multiLevelType w:val="hybridMultilevel"/>
    <w:lvl w:ilvl="0">
      <w:start w:val="9"/>
      <w:numFmt w:val="decimal"/>
      <w:lvlText w:val="%1"/>
      <w:lvlJc w:val="left"/>
      <w:pPr>
        <w:ind w:left="129" w:hanging="421"/>
        <w:jc w:val="left"/>
      </w:pPr>
      <w:rPr>
        <w:rFonts w:hint="default"/>
      </w:rPr>
    </w:lvl>
    <w:lvl w:ilvl="1">
      <w:start w:val="1"/>
      <w:numFmt w:val="decimal"/>
      <w:lvlText w:val="%1.%2"/>
      <w:lvlJc w:val="left"/>
      <w:pPr>
        <w:ind w:left="129" w:hanging="421"/>
        <w:jc w:val="left"/>
      </w:pPr>
      <w:rPr>
        <w:rFonts w:hint="default" w:ascii="宋体" w:hAnsi="宋体" w:eastAsia="宋体" w:cs="宋体"/>
        <w:w w:val="100"/>
        <w:sz w:val="21"/>
        <w:szCs w:val="21"/>
      </w:rPr>
    </w:lvl>
    <w:lvl w:ilvl="2">
      <w:start w:val="0"/>
      <w:numFmt w:val="bullet"/>
      <w:lvlText w:val="•"/>
      <w:lvlJc w:val="left"/>
      <w:pPr>
        <w:ind w:left="554" w:hanging="421"/>
      </w:pPr>
      <w:rPr>
        <w:rFonts w:hint="default"/>
      </w:rPr>
    </w:lvl>
    <w:lvl w:ilvl="3">
      <w:start w:val="0"/>
      <w:numFmt w:val="bullet"/>
      <w:lvlText w:val="•"/>
      <w:lvlJc w:val="left"/>
      <w:pPr>
        <w:ind w:left="771" w:hanging="421"/>
      </w:pPr>
      <w:rPr>
        <w:rFonts w:hint="default"/>
      </w:rPr>
    </w:lvl>
    <w:lvl w:ilvl="4">
      <w:start w:val="0"/>
      <w:numFmt w:val="bullet"/>
      <w:lvlText w:val="•"/>
      <w:lvlJc w:val="left"/>
      <w:pPr>
        <w:ind w:left="989" w:hanging="421"/>
      </w:pPr>
      <w:rPr>
        <w:rFonts w:hint="default"/>
      </w:rPr>
    </w:lvl>
    <w:lvl w:ilvl="5">
      <w:start w:val="0"/>
      <w:numFmt w:val="bullet"/>
      <w:lvlText w:val="•"/>
      <w:lvlJc w:val="left"/>
      <w:pPr>
        <w:ind w:left="1206" w:hanging="421"/>
      </w:pPr>
      <w:rPr>
        <w:rFonts w:hint="default"/>
      </w:rPr>
    </w:lvl>
    <w:lvl w:ilvl="6">
      <w:start w:val="0"/>
      <w:numFmt w:val="bullet"/>
      <w:lvlText w:val="•"/>
      <w:lvlJc w:val="left"/>
      <w:pPr>
        <w:ind w:left="1423" w:hanging="421"/>
      </w:pPr>
      <w:rPr>
        <w:rFonts w:hint="default"/>
      </w:rPr>
    </w:lvl>
    <w:lvl w:ilvl="7">
      <w:start w:val="0"/>
      <w:numFmt w:val="bullet"/>
      <w:lvlText w:val="•"/>
      <w:lvlJc w:val="left"/>
      <w:pPr>
        <w:ind w:left="1641" w:hanging="421"/>
      </w:pPr>
      <w:rPr>
        <w:rFonts w:hint="default"/>
      </w:rPr>
    </w:lvl>
    <w:lvl w:ilvl="8">
      <w:start w:val="0"/>
      <w:numFmt w:val="bullet"/>
      <w:lvlText w:val="•"/>
      <w:lvlJc w:val="left"/>
      <w:pPr>
        <w:ind w:left="1858" w:hanging="421"/>
      </w:pPr>
      <w:rPr>
        <w:rFonts w:hint="default"/>
      </w:rPr>
    </w:lvl>
  </w:abstractNum>
  <w:abstractNum w:abstractNumId="2">
    <w:multiLevelType w:val="hybridMultilevel"/>
    <w:lvl w:ilvl="0">
      <w:start w:val="5"/>
      <w:numFmt w:val="decimal"/>
      <w:lvlText w:val="%1."/>
      <w:lvlJc w:val="left"/>
      <w:pPr>
        <w:ind w:left="185" w:hanging="317"/>
        <w:jc w:val="left"/>
      </w:pPr>
      <w:rPr>
        <w:rFonts w:hint="default" w:ascii="宋体" w:hAnsi="宋体" w:eastAsia="宋体" w:cs="宋体"/>
        <w:b/>
        <w:bCs/>
        <w:w w:val="99"/>
        <w:sz w:val="21"/>
        <w:szCs w:val="21"/>
      </w:rPr>
    </w:lvl>
    <w:lvl w:ilvl="1">
      <w:start w:val="1"/>
      <w:numFmt w:val="decimal"/>
      <w:lvlText w:val="%1.%2"/>
      <w:lvlJc w:val="left"/>
      <w:pPr>
        <w:ind w:left="711" w:hanging="420"/>
        <w:jc w:val="left"/>
      </w:pPr>
      <w:rPr>
        <w:rFonts w:hint="default" w:ascii="宋体" w:hAnsi="宋体" w:eastAsia="宋体" w:cs="宋体"/>
        <w:w w:val="100"/>
        <w:sz w:val="21"/>
        <w:szCs w:val="21"/>
      </w:rPr>
    </w:lvl>
    <w:lvl w:ilvl="2">
      <w:start w:val="0"/>
      <w:numFmt w:val="bullet"/>
      <w:lvlText w:val="•"/>
      <w:lvlJc w:val="left"/>
      <w:pPr>
        <w:ind w:left="720" w:hanging="420"/>
      </w:pPr>
      <w:rPr>
        <w:rFonts w:hint="default"/>
      </w:rPr>
    </w:lvl>
    <w:lvl w:ilvl="3">
      <w:start w:val="0"/>
      <w:numFmt w:val="bullet"/>
      <w:lvlText w:val="•"/>
      <w:lvlJc w:val="left"/>
      <w:pPr>
        <w:ind w:left="920" w:hanging="420"/>
      </w:pPr>
      <w:rPr>
        <w:rFonts w:hint="default"/>
      </w:rPr>
    </w:lvl>
    <w:lvl w:ilvl="4">
      <w:start w:val="0"/>
      <w:numFmt w:val="bullet"/>
      <w:lvlText w:val="•"/>
      <w:lvlJc w:val="left"/>
      <w:pPr>
        <w:ind w:left="1121" w:hanging="420"/>
      </w:pPr>
      <w:rPr>
        <w:rFonts w:hint="default"/>
      </w:rPr>
    </w:lvl>
    <w:lvl w:ilvl="5">
      <w:start w:val="0"/>
      <w:numFmt w:val="bullet"/>
      <w:lvlText w:val="•"/>
      <w:lvlJc w:val="left"/>
      <w:pPr>
        <w:ind w:left="1321" w:hanging="420"/>
      </w:pPr>
      <w:rPr>
        <w:rFonts w:hint="default"/>
      </w:rPr>
    </w:lvl>
    <w:lvl w:ilvl="6">
      <w:start w:val="0"/>
      <w:numFmt w:val="bullet"/>
      <w:lvlText w:val="•"/>
      <w:lvlJc w:val="left"/>
      <w:pPr>
        <w:ind w:left="1522" w:hanging="420"/>
      </w:pPr>
      <w:rPr>
        <w:rFonts w:hint="default"/>
      </w:rPr>
    </w:lvl>
    <w:lvl w:ilvl="7">
      <w:start w:val="0"/>
      <w:numFmt w:val="bullet"/>
      <w:lvlText w:val="•"/>
      <w:lvlJc w:val="left"/>
      <w:pPr>
        <w:ind w:left="1722" w:hanging="420"/>
      </w:pPr>
      <w:rPr>
        <w:rFonts w:hint="default"/>
      </w:rPr>
    </w:lvl>
    <w:lvl w:ilvl="8">
      <w:start w:val="0"/>
      <w:numFmt w:val="bullet"/>
      <w:lvlText w:val="•"/>
      <w:lvlJc w:val="left"/>
      <w:pPr>
        <w:ind w:left="1923" w:hanging="420"/>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720" w:hanging="420"/>
      </w:pPr>
      <w:rPr>
        <w:rFonts w:hint="default"/>
      </w:rPr>
    </w:lvl>
    <w:lvl w:ilvl="3">
      <w:start w:val="0"/>
      <w:numFmt w:val="bullet"/>
      <w:lvlText w:val="•"/>
      <w:lvlJc w:val="left"/>
      <w:pPr>
        <w:ind w:left="929" w:hanging="420"/>
      </w:pPr>
      <w:rPr>
        <w:rFonts w:hint="default"/>
      </w:rPr>
    </w:lvl>
    <w:lvl w:ilvl="4">
      <w:start w:val="0"/>
      <w:numFmt w:val="bullet"/>
      <w:lvlText w:val="•"/>
      <w:lvlJc w:val="left"/>
      <w:pPr>
        <w:ind w:left="1138" w:hanging="420"/>
      </w:pPr>
      <w:rPr>
        <w:rFonts w:hint="default"/>
      </w:rPr>
    </w:lvl>
    <w:lvl w:ilvl="5">
      <w:start w:val="0"/>
      <w:numFmt w:val="bullet"/>
      <w:lvlText w:val="•"/>
      <w:lvlJc w:val="left"/>
      <w:pPr>
        <w:ind w:left="1347" w:hanging="420"/>
      </w:pPr>
      <w:rPr>
        <w:rFonts w:hint="default"/>
      </w:rPr>
    </w:lvl>
    <w:lvl w:ilvl="6">
      <w:start w:val="0"/>
      <w:numFmt w:val="bullet"/>
      <w:lvlText w:val="•"/>
      <w:lvlJc w:val="left"/>
      <w:pPr>
        <w:ind w:left="1556" w:hanging="420"/>
      </w:pPr>
      <w:rPr>
        <w:rFonts w:hint="default"/>
      </w:rPr>
    </w:lvl>
    <w:lvl w:ilvl="7">
      <w:start w:val="0"/>
      <w:numFmt w:val="bullet"/>
      <w:lvlText w:val="•"/>
      <w:lvlJc w:val="left"/>
      <w:pPr>
        <w:ind w:left="1765" w:hanging="420"/>
      </w:pPr>
      <w:rPr>
        <w:rFonts w:hint="default"/>
      </w:rPr>
    </w:lvl>
    <w:lvl w:ilvl="8">
      <w:start w:val="0"/>
      <w:numFmt w:val="bullet"/>
      <w:lvlText w:val="•"/>
      <w:lvlJc w:val="left"/>
      <w:pPr>
        <w:ind w:left="1974" w:hanging="420"/>
      </w:pPr>
      <w:rPr>
        <w:rFonts w:hint="default"/>
      </w:rPr>
    </w:lvl>
  </w:abstractNum>
  <w:abstractNum w:abstractNumId="0">
    <w:multiLevelType w:val="hybridMultilevel"/>
    <w:lvl w:ilvl="0">
      <w:start w:val="0"/>
      <w:numFmt w:val="bullet"/>
      <w:lvlText w:val=""/>
      <w:lvlJc w:val="left"/>
      <w:pPr>
        <w:ind w:left="1282" w:hanging="399"/>
      </w:pPr>
      <w:rPr>
        <w:rFonts w:hint="default" w:ascii="Wingdings" w:hAnsi="Wingdings" w:eastAsia="Wingdings" w:cs="Wingdings"/>
        <w:w w:val="100"/>
        <w:sz w:val="21"/>
        <w:szCs w:val="21"/>
      </w:rPr>
    </w:lvl>
    <w:lvl w:ilvl="1">
      <w:start w:val="2"/>
      <w:numFmt w:val="decimal"/>
      <w:lvlText w:val="%2."/>
      <w:lvlJc w:val="left"/>
      <w:pPr>
        <w:ind w:left="2144" w:hanging="421"/>
        <w:jc w:val="left"/>
      </w:pPr>
      <w:rPr>
        <w:rFonts w:hint="default" w:ascii="宋体" w:hAnsi="宋体" w:eastAsia="宋体" w:cs="宋体"/>
        <w:w w:val="100"/>
        <w:sz w:val="21"/>
        <w:szCs w:val="21"/>
      </w:rPr>
    </w:lvl>
    <w:lvl w:ilvl="2">
      <w:start w:val="1"/>
      <w:numFmt w:val="lowerLetter"/>
      <w:lvlText w:val="%3)"/>
      <w:lvlJc w:val="left"/>
      <w:pPr>
        <w:ind w:left="2984" w:hanging="420"/>
        <w:jc w:val="left"/>
      </w:pPr>
      <w:rPr>
        <w:rFonts w:hint="default" w:ascii="宋体" w:hAnsi="宋体" w:eastAsia="宋体" w:cs="宋体"/>
        <w:w w:val="100"/>
        <w:sz w:val="21"/>
        <w:szCs w:val="21"/>
      </w:rPr>
    </w:lvl>
    <w:lvl w:ilvl="3">
      <w:start w:val="0"/>
      <w:numFmt w:val="bullet"/>
      <w:lvlText w:val="•"/>
      <w:lvlJc w:val="left"/>
      <w:pPr>
        <w:ind w:left="3020" w:hanging="420"/>
      </w:pPr>
      <w:rPr>
        <w:rFonts w:hint="default"/>
      </w:rPr>
    </w:lvl>
    <w:lvl w:ilvl="4">
      <w:start w:val="0"/>
      <w:numFmt w:val="bullet"/>
      <w:lvlText w:val="•"/>
      <w:lvlJc w:val="left"/>
      <w:pPr>
        <w:ind w:left="3080" w:hanging="420"/>
      </w:pPr>
      <w:rPr>
        <w:rFonts w:hint="default"/>
      </w:rPr>
    </w:lvl>
    <w:lvl w:ilvl="5">
      <w:start w:val="0"/>
      <w:numFmt w:val="bullet"/>
      <w:lvlText w:val="•"/>
      <w:lvlJc w:val="left"/>
      <w:pPr>
        <w:ind w:left="4031" w:hanging="420"/>
      </w:pPr>
      <w:rPr>
        <w:rFonts w:hint="default"/>
      </w:rPr>
    </w:lvl>
    <w:lvl w:ilvl="6">
      <w:start w:val="0"/>
      <w:numFmt w:val="bullet"/>
      <w:lvlText w:val="•"/>
      <w:lvlJc w:val="left"/>
      <w:pPr>
        <w:ind w:left="4982" w:hanging="420"/>
      </w:pPr>
      <w:rPr>
        <w:rFonts w:hint="default"/>
      </w:rPr>
    </w:lvl>
    <w:lvl w:ilvl="7">
      <w:start w:val="0"/>
      <w:numFmt w:val="bullet"/>
      <w:lvlText w:val="•"/>
      <w:lvlJc w:val="left"/>
      <w:pPr>
        <w:ind w:left="5933" w:hanging="420"/>
      </w:pPr>
      <w:rPr>
        <w:rFonts w:hint="default"/>
      </w:rPr>
    </w:lvl>
    <w:lvl w:ilvl="8">
      <w:start w:val="0"/>
      <w:numFmt w:val="bullet"/>
      <w:lvlText w:val="•"/>
      <w:lvlJc w:val="left"/>
      <w:pPr>
        <w:ind w:left="6884" w:hanging="4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44"/>
      <w:outlineLvl w:val="1"/>
    </w:pPr>
    <w:rPr>
      <w:rFonts w:ascii="宋体" w:hAnsi="宋体" w:eastAsia="宋体" w:cs="宋体"/>
      <w:b/>
      <w:bCs/>
      <w:sz w:val="21"/>
      <w:szCs w:val="21"/>
    </w:rPr>
  </w:style>
  <w:style w:styleId="ListParagraph" w:type="paragraph">
    <w:name w:val="List Paragraph"/>
    <w:basedOn w:val="Normal"/>
    <w:uiPriority w:val="1"/>
    <w:qFormat/>
    <w:pPr>
      <w:ind w:left="2144" w:hanging="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董沛涌</dc:creator>
  <dcterms:created xsi:type="dcterms:W3CDTF">2018-10-20T04:15:50Z</dcterms:created>
  <dcterms:modified xsi:type="dcterms:W3CDTF">2018-10-20T04:15:50Z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Creator">
    <vt:lpwstr>Microsoft® Office Word 2007</vt:lpwstr>
  </property>
  <property fmtid="{D5CDD505-2E9C-101B-9397-08002B2CF9AE}" pid="4" name="LastSaved">
    <vt:filetime>2018-10-19T00:00:00Z</vt:filetime>
  </property>
</Properties>
</file>