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39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华泰人寿[2014]疾病保险 003 号</w:t>
      </w:r>
    </w:p>
    <w:p>
      <w:pPr>
        <w:pStyle w:val="BodyText"/>
        <w:spacing w:before="10"/>
        <w:ind w:right="705"/>
        <w:jc w:val="right"/>
      </w:pPr>
      <w:r>
        <w:rPr/>
        <w:t>请扫描以查询验证条款</w:t>
      </w:r>
    </w:p>
    <w:p>
      <w:pPr>
        <w:pStyle w:val="Heading1"/>
        <w:spacing w:line="218" w:lineRule="auto" w:before="55"/>
        <w:ind w:left="4192" w:right="2966" w:hanging="1362"/>
      </w:pPr>
      <w:r>
        <w:rPr/>
        <w:t>百万康宁终身重大疾病保险条款阅  读  指 引</w:t>
      </w:r>
    </w:p>
    <w:p>
      <w:pPr>
        <w:pStyle w:val="BodyText"/>
        <w:spacing w:before="13"/>
        <w:rPr>
          <w:rFonts w:ascii="微软雅黑"/>
          <w:b/>
          <w:sz w:val="10"/>
        </w:rPr>
      </w:pPr>
    </w:p>
    <w:p>
      <w:pPr>
        <w:pStyle w:val="BodyText"/>
        <w:spacing w:before="36"/>
        <w:ind w:left="2025" w:right="2099"/>
        <w:jc w:val="center"/>
      </w:pPr>
      <w:r>
        <w:rPr/>
        <w:drawing>
          <wp:anchor distT="0" distB="0" distL="0" distR="0" allowOverlap="1" layoutInCell="1" locked="0" behindDoc="1" simplePos="0" relativeHeight="268401503">
            <wp:simplePos x="0" y="0"/>
            <wp:positionH relativeFrom="page">
              <wp:posOffset>624331</wp:posOffset>
            </wp:positionH>
            <wp:positionV relativeFrom="paragraph">
              <wp:posOffset>265728</wp:posOffset>
            </wp:positionV>
            <wp:extent cx="6388862" cy="62341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88862" cy="6234176"/>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3"/>
        <w:tabs>
          <w:tab w:pos="1264" w:val="left" w:leader="none"/>
        </w:tabs>
        <w:spacing w:before="89"/>
        <w:ind w:left="254"/>
      </w:pPr>
      <w:r>
        <w:rPr>
          <w:rFonts w:ascii="Arial" w:hAnsi="Arial" w:eastAsia="Arial"/>
          <w:w w:val="150"/>
          <w:position w:val="-11"/>
          <w:sz w:val="52"/>
        </w:rPr>
        <w:t>¤</w:t>
        <w:tab/>
      </w:r>
      <w:r>
        <w:rPr>
          <w:w w:val="95"/>
        </w:rPr>
        <w:t>您拥有的重要权益</w:t>
      </w:r>
    </w:p>
    <w:p>
      <w:pPr>
        <w:pStyle w:val="ListParagraph"/>
        <w:numPr>
          <w:ilvl w:val="0"/>
          <w:numId w:val="1"/>
        </w:numPr>
        <w:tabs>
          <w:tab w:pos="1280" w:val="left" w:leader="none"/>
          <w:tab w:pos="1282" w:val="left" w:leader="none"/>
          <w:tab w:pos="9573" w:val="right" w:leader="dot"/>
        </w:tabs>
        <w:spacing w:line="240" w:lineRule="auto" w:before="22" w:after="0"/>
        <w:ind w:left="1281" w:right="0" w:hanging="397"/>
        <w:jc w:val="left"/>
        <w:rPr>
          <w:sz w:val="21"/>
        </w:rPr>
      </w:pPr>
      <w:r>
        <w:rPr>
          <w:sz w:val="21"/>
        </w:rPr>
        <w:t>签收本合同之日起</w:t>
      </w:r>
      <w:r>
        <w:rPr>
          <w:spacing w:val="-55"/>
          <w:sz w:val="21"/>
        </w:rPr>
        <w:t> </w:t>
      </w:r>
      <w:r>
        <w:rPr>
          <w:sz w:val="21"/>
        </w:rPr>
        <w:t>10</w:t>
      </w:r>
      <w:r>
        <w:rPr>
          <w:spacing w:val="-54"/>
          <w:sz w:val="21"/>
        </w:rPr>
        <w:t> </w:t>
      </w:r>
      <w:r>
        <w:rPr>
          <w:sz w:val="21"/>
        </w:rPr>
        <w:t>日内（即犹豫期）您若要求退保，我们仅扣除工本费.</w:t>
        <w:tab/>
        <w:t>1.4</w:t>
      </w:r>
    </w:p>
    <w:p>
      <w:pPr>
        <w:pStyle w:val="ListParagraph"/>
        <w:numPr>
          <w:ilvl w:val="0"/>
          <w:numId w:val="1"/>
        </w:numPr>
        <w:tabs>
          <w:tab w:pos="1281" w:val="left" w:leader="none"/>
          <w:tab w:pos="1282" w:val="left" w:leader="none"/>
          <w:tab w:pos="9572" w:val="right" w:leader="dot"/>
        </w:tabs>
        <w:spacing w:line="240" w:lineRule="auto" w:before="37" w:after="0"/>
        <w:ind w:left="1281" w:right="0" w:hanging="397"/>
        <w:jc w:val="left"/>
        <w:rPr>
          <w:sz w:val="21"/>
        </w:rPr>
      </w:pPr>
      <w:r>
        <w:rPr>
          <w:sz w:val="21"/>
        </w:rPr>
        <w:t>本合同提供的保障在保险责任条款中列明.</w:t>
        <w:tab/>
        <w:t>2.3</w:t>
      </w:r>
    </w:p>
    <w:p>
      <w:pPr>
        <w:pStyle w:val="ListParagraph"/>
        <w:numPr>
          <w:ilvl w:val="0"/>
          <w:numId w:val="1"/>
        </w:numPr>
        <w:tabs>
          <w:tab w:pos="1280" w:val="left" w:leader="none"/>
          <w:tab w:pos="1282" w:val="left" w:leader="none"/>
          <w:tab w:pos="9573" w:val="right" w:leader="dot"/>
        </w:tabs>
        <w:spacing w:line="240" w:lineRule="auto" w:before="37" w:after="0"/>
        <w:ind w:left="1281" w:right="0" w:hanging="398"/>
        <w:jc w:val="left"/>
        <w:rPr>
          <w:sz w:val="21"/>
        </w:rPr>
      </w:pPr>
      <w:r>
        <w:rPr>
          <w:sz w:val="21"/>
        </w:rPr>
        <w:t>您有按本合同约定申请保单贷款的权利.</w:t>
        <w:tab/>
        <w:t>5.2</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您有退保的权利.</w:t>
        <w:tab/>
        <w:t>7.1</w:t>
      </w:r>
    </w:p>
    <w:p>
      <w:pPr>
        <w:pStyle w:val="Heading3"/>
        <w:tabs>
          <w:tab w:pos="1264" w:val="left" w:leader="none"/>
        </w:tabs>
        <w:spacing w:before="41"/>
        <w:ind w:left="254"/>
      </w:pPr>
      <w:r>
        <w:rPr>
          <w:rFonts w:ascii="Arial" w:hAnsi="Arial" w:eastAsia="Arial"/>
          <w:w w:val="150"/>
          <w:position w:val="-11"/>
          <w:sz w:val="52"/>
        </w:rPr>
        <w:t>¤</w:t>
        <w:tab/>
      </w:r>
      <w:r>
        <w:rPr>
          <w:w w:val="95"/>
        </w:rPr>
        <w:t>您应当特别注意的事项</w:t>
      </w:r>
    </w:p>
    <w:p>
      <w:pPr>
        <w:pStyle w:val="ListParagraph"/>
        <w:numPr>
          <w:ilvl w:val="0"/>
          <w:numId w:val="1"/>
        </w:numPr>
        <w:tabs>
          <w:tab w:pos="1281" w:val="left" w:leader="none"/>
          <w:tab w:pos="1282" w:val="left" w:leader="none"/>
          <w:tab w:pos="9573" w:val="right" w:leader="dot"/>
        </w:tabs>
        <w:spacing w:line="240" w:lineRule="auto" w:before="22" w:after="0"/>
        <w:ind w:left="1281" w:right="0" w:hanging="397"/>
        <w:jc w:val="left"/>
        <w:rPr>
          <w:sz w:val="21"/>
        </w:rPr>
      </w:pPr>
      <w:r>
        <w:rPr>
          <w:sz w:val="21"/>
        </w:rPr>
        <w:t>在某些情况下，我们不承担保险责任.</w:t>
        <w:tab/>
        <w:t>2.7</w:t>
      </w:r>
    </w:p>
    <w:p>
      <w:pPr>
        <w:pStyle w:val="ListParagraph"/>
        <w:numPr>
          <w:ilvl w:val="0"/>
          <w:numId w:val="1"/>
        </w:numPr>
        <w:tabs>
          <w:tab w:pos="1280" w:val="left" w:leader="none"/>
          <w:tab w:pos="1282" w:val="left" w:leader="none"/>
          <w:tab w:pos="9573" w:val="right" w:leader="dot"/>
        </w:tabs>
        <w:spacing w:line="240" w:lineRule="auto" w:before="36" w:after="0"/>
        <w:ind w:left="1281" w:right="0" w:hanging="398"/>
        <w:jc w:val="left"/>
        <w:rPr>
          <w:sz w:val="21"/>
        </w:rPr>
      </w:pPr>
      <w:r>
        <w:rPr>
          <w:sz w:val="21"/>
        </w:rPr>
        <w:t>保险事故发生后，请您及时通知我们.</w:t>
        <w:tab/>
        <w:t>3.2</w:t>
      </w:r>
    </w:p>
    <w:p>
      <w:pPr>
        <w:pStyle w:val="ListParagraph"/>
        <w:numPr>
          <w:ilvl w:val="0"/>
          <w:numId w:val="1"/>
        </w:numPr>
        <w:tabs>
          <w:tab w:pos="1280" w:val="left" w:leader="none"/>
          <w:tab w:pos="1281" w:val="left" w:leader="none"/>
          <w:tab w:pos="9571" w:val="right" w:leader="dot"/>
        </w:tabs>
        <w:spacing w:line="240" w:lineRule="auto" w:before="36" w:after="0"/>
        <w:ind w:left="1280" w:right="0" w:hanging="397"/>
        <w:jc w:val="left"/>
        <w:rPr>
          <w:sz w:val="21"/>
        </w:rPr>
      </w:pPr>
      <w:r>
        <w:rPr>
          <w:sz w:val="21"/>
        </w:rPr>
        <w:t>您应当按时交纳保险费.</w:t>
        <w:tab/>
        <w:t>4.1</w:t>
      </w:r>
    </w:p>
    <w:p>
      <w:pPr>
        <w:pStyle w:val="ListParagraph"/>
        <w:numPr>
          <w:ilvl w:val="0"/>
          <w:numId w:val="1"/>
        </w:numPr>
        <w:tabs>
          <w:tab w:pos="1280" w:val="left" w:leader="none"/>
          <w:tab w:pos="1282" w:val="left" w:leader="none"/>
          <w:tab w:pos="9572" w:val="right" w:leader="dot"/>
        </w:tabs>
        <w:spacing w:line="240" w:lineRule="auto" w:before="36" w:after="0"/>
        <w:ind w:left="1281" w:right="0" w:hanging="398"/>
        <w:jc w:val="left"/>
        <w:rPr>
          <w:sz w:val="21"/>
        </w:rPr>
      </w:pPr>
      <w:r>
        <w:rPr>
          <w:sz w:val="21"/>
        </w:rPr>
        <w:t>退保会给您造成一定的损失，请您慎重决策.</w:t>
        <w:tab/>
        <w:t>7.1</w:t>
      </w:r>
    </w:p>
    <w:p>
      <w:pPr>
        <w:pStyle w:val="ListParagraph"/>
        <w:numPr>
          <w:ilvl w:val="0"/>
          <w:numId w:val="1"/>
        </w:numPr>
        <w:tabs>
          <w:tab w:pos="1280" w:val="left" w:leader="none"/>
          <w:tab w:pos="1281" w:val="left" w:leader="none"/>
          <w:tab w:pos="9571" w:val="right" w:leader="dot"/>
        </w:tabs>
        <w:spacing w:line="240" w:lineRule="auto" w:before="36" w:after="0"/>
        <w:ind w:left="1280" w:right="0" w:hanging="397"/>
        <w:jc w:val="left"/>
        <w:rPr>
          <w:sz w:val="21"/>
        </w:rPr>
      </w:pPr>
      <w:r>
        <w:rPr>
          <w:sz w:val="21"/>
        </w:rPr>
        <w:t>您有如实告知的义务.</w:t>
        <w:tab/>
        <w:t>8.1</w:t>
      </w:r>
    </w:p>
    <w:p>
      <w:pPr>
        <w:pStyle w:val="ListParagraph"/>
        <w:numPr>
          <w:ilvl w:val="0"/>
          <w:numId w:val="1"/>
        </w:numPr>
        <w:tabs>
          <w:tab w:pos="1280" w:val="left" w:leader="none"/>
          <w:tab w:pos="1282" w:val="left" w:leader="none"/>
          <w:tab w:pos="9469" w:val="right" w:leader="dot"/>
        </w:tabs>
        <w:spacing w:line="240" w:lineRule="auto" w:before="36" w:after="0"/>
        <w:ind w:left="1281" w:right="0" w:hanging="398"/>
        <w:jc w:val="left"/>
        <w:rPr>
          <w:sz w:val="21"/>
        </w:rPr>
      </w:pPr>
      <w:r>
        <w:rPr>
          <w:sz w:val="21"/>
        </w:rPr>
        <w:t>我们对一些重要术语进行了解释，并作了显著标识，请您注意.</w:t>
        <w:tab/>
        <w:t>10</w:t>
      </w:r>
    </w:p>
    <w:p>
      <w:pPr>
        <w:tabs>
          <w:tab w:pos="1264" w:val="left" w:leader="none"/>
        </w:tabs>
        <w:spacing w:before="40"/>
        <w:ind w:left="254" w:right="0" w:firstLine="0"/>
        <w:jc w:val="left"/>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spacing w:after="0"/>
        <w:jc w:val="left"/>
        <w:rPr>
          <w:sz w:val="21"/>
        </w:rPr>
        <w:sectPr>
          <w:footerReference w:type="default" r:id="rId5"/>
          <w:type w:val="continuous"/>
          <w:pgSz w:w="11910" w:h="16840"/>
          <w:pgMar w:footer="1008" w:top="1600" w:bottom="1200" w:left="880" w:right="740"/>
          <w:pgNumType w:start="1"/>
        </w:sectPr>
      </w:pPr>
    </w:p>
    <w:p>
      <w:pPr>
        <w:pStyle w:val="BodyText"/>
        <w:rPr>
          <w:rFonts w:ascii="Times New Roman"/>
          <w:sz w:val="20"/>
        </w:rPr>
      </w:pPr>
      <w:r>
        <w:rPr/>
        <w:pict>
          <v:group style="position:absolute;margin-left:49.16pt;margin-top:70.279999pt;width:503.1pt;height:350.5pt;mso-position-horizontal-relative:page;mso-position-vertical-relative:page;z-index:-33880" coordorigin="983,1406" coordsize="10062,7010">
            <v:shape style="position:absolute;left:983;top:1405;width:10062;height:7010" type="#_x0000_t75" stroked="false">
              <v:imagedata r:id="rId8" o:title=""/>
            </v:shape>
            <v:shape style="position:absolute;left:1134;top:1516;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1654;width:864;height:210" type="#_x0000_t202" filled="false" stroked="false">
              <v:textbox inset="0,0,0,0">
                <w:txbxContent>
                  <w:p>
                    <w:pPr>
                      <w:spacing w:line="210" w:lineRule="exact" w:before="0"/>
                      <w:ind w:left="0" w:right="0" w:firstLine="0"/>
                      <w:jc w:val="left"/>
                      <w:rPr>
                        <w:b/>
                        <w:sz w:val="21"/>
                      </w:rPr>
                    </w:pPr>
                    <w:r>
                      <w:rPr>
                        <w:b/>
                        <w:w w:val="95"/>
                        <w:sz w:val="21"/>
                      </w:rPr>
                      <w:t>条款目录</w:t>
                    </w:r>
                  </w:p>
                </w:txbxContent>
              </v:textbox>
              <w10:wrap type="none"/>
            </v:shape>
            <w10:wrap type="none"/>
          </v:group>
        </w:pict>
      </w:r>
    </w:p>
    <w:p>
      <w:pPr>
        <w:pStyle w:val="BodyText"/>
        <w:rPr>
          <w:rFonts w:ascii="Times New Roman"/>
          <w:sz w:val="20"/>
        </w:rPr>
      </w:pPr>
    </w:p>
    <w:p>
      <w:pPr>
        <w:pStyle w:val="BodyText"/>
        <w:spacing w:before="4"/>
        <w:rPr>
          <w:rFonts w:ascii="Times New Roman"/>
          <w:sz w:val="25"/>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2358"/>
        <w:gridCol w:w="2557"/>
        <w:gridCol w:w="2468"/>
      </w:tblGrid>
      <w:tr>
        <w:trPr>
          <w:trHeight w:val="261" w:hRule="atLeast"/>
        </w:trPr>
        <w:tc>
          <w:tcPr>
            <w:tcW w:w="2205" w:type="dxa"/>
          </w:tcPr>
          <w:p>
            <w:pPr>
              <w:pStyle w:val="TableParagraph"/>
              <w:spacing w:line="210" w:lineRule="exact"/>
              <w:ind w:left="50"/>
              <w:rPr>
                <w:b/>
                <w:sz w:val="21"/>
              </w:rPr>
            </w:pPr>
            <w:r>
              <w:rPr>
                <w:b/>
                <w:sz w:val="21"/>
              </w:rPr>
              <w:t>1. 您与我们订立的合</w:t>
            </w:r>
          </w:p>
        </w:tc>
        <w:tc>
          <w:tcPr>
            <w:tcW w:w="2358" w:type="dxa"/>
          </w:tcPr>
          <w:p>
            <w:pPr>
              <w:pStyle w:val="TableParagraph"/>
              <w:spacing w:line="210" w:lineRule="exact"/>
              <w:ind w:left="253"/>
              <w:rPr>
                <w:sz w:val="21"/>
              </w:rPr>
            </w:pPr>
            <w:r>
              <w:rPr>
                <w:sz w:val="21"/>
              </w:rPr>
              <w:t>3.3 保险金申请</w:t>
            </w:r>
          </w:p>
        </w:tc>
        <w:tc>
          <w:tcPr>
            <w:tcW w:w="2557" w:type="dxa"/>
          </w:tcPr>
          <w:p>
            <w:pPr>
              <w:pStyle w:val="TableParagraph"/>
              <w:spacing w:line="210" w:lineRule="exact"/>
              <w:ind w:left="202"/>
              <w:rPr>
                <w:b/>
                <w:sz w:val="21"/>
              </w:rPr>
            </w:pPr>
            <w:r>
              <w:rPr>
                <w:b/>
                <w:sz w:val="21"/>
              </w:rPr>
              <w:t>8．如实告知</w:t>
            </w:r>
          </w:p>
        </w:tc>
        <w:tc>
          <w:tcPr>
            <w:tcW w:w="2468" w:type="dxa"/>
          </w:tcPr>
          <w:p>
            <w:pPr>
              <w:pStyle w:val="TableParagraph"/>
              <w:spacing w:line="210" w:lineRule="exact"/>
              <w:ind w:left="161"/>
              <w:rPr>
                <w:sz w:val="21"/>
              </w:rPr>
            </w:pPr>
            <w:r>
              <w:rPr>
                <w:sz w:val="21"/>
              </w:rPr>
              <w:t>全丧失</w:t>
            </w:r>
          </w:p>
        </w:tc>
      </w:tr>
      <w:tr>
        <w:trPr>
          <w:trHeight w:val="311" w:hRule="atLeast"/>
        </w:trPr>
        <w:tc>
          <w:tcPr>
            <w:tcW w:w="2205" w:type="dxa"/>
          </w:tcPr>
          <w:p>
            <w:pPr>
              <w:pStyle w:val="TableParagraph"/>
              <w:spacing w:line="261" w:lineRule="exact"/>
              <w:ind w:left="50"/>
              <w:rPr>
                <w:b/>
                <w:sz w:val="21"/>
              </w:rPr>
            </w:pPr>
            <w:r>
              <w:rPr>
                <w:b/>
                <w:w w:val="99"/>
                <w:sz w:val="21"/>
              </w:rPr>
              <w:t>同</w:t>
            </w:r>
          </w:p>
        </w:tc>
        <w:tc>
          <w:tcPr>
            <w:tcW w:w="2358" w:type="dxa"/>
          </w:tcPr>
          <w:p>
            <w:pPr>
              <w:pStyle w:val="TableParagraph"/>
              <w:spacing w:line="261" w:lineRule="exact"/>
              <w:ind w:left="253"/>
              <w:rPr>
                <w:sz w:val="21"/>
              </w:rPr>
            </w:pPr>
            <w:r>
              <w:rPr>
                <w:sz w:val="21"/>
              </w:rPr>
              <w:t>3.4 保险金给付</w:t>
            </w:r>
          </w:p>
        </w:tc>
        <w:tc>
          <w:tcPr>
            <w:tcW w:w="2557" w:type="dxa"/>
          </w:tcPr>
          <w:p>
            <w:pPr>
              <w:pStyle w:val="TableParagraph"/>
              <w:spacing w:line="261" w:lineRule="exact"/>
              <w:ind w:left="308"/>
              <w:rPr>
                <w:sz w:val="21"/>
              </w:rPr>
            </w:pPr>
            <w:r>
              <w:rPr>
                <w:sz w:val="21"/>
              </w:rPr>
              <w:t>8.1 明确说明与如实</w:t>
            </w:r>
          </w:p>
        </w:tc>
        <w:tc>
          <w:tcPr>
            <w:tcW w:w="2468" w:type="dxa"/>
          </w:tcPr>
          <w:p>
            <w:pPr>
              <w:pStyle w:val="TableParagraph"/>
              <w:spacing w:line="261" w:lineRule="exact"/>
              <w:ind w:left="161"/>
              <w:rPr>
                <w:sz w:val="21"/>
              </w:rPr>
            </w:pPr>
            <w:r>
              <w:rPr>
                <w:sz w:val="21"/>
              </w:rPr>
              <w:t>10.7 毒品</w:t>
            </w:r>
          </w:p>
        </w:tc>
      </w:tr>
      <w:tr>
        <w:trPr>
          <w:trHeight w:val="311" w:hRule="atLeast"/>
        </w:trPr>
        <w:tc>
          <w:tcPr>
            <w:tcW w:w="2205" w:type="dxa"/>
          </w:tcPr>
          <w:p>
            <w:pPr>
              <w:pStyle w:val="TableParagraph"/>
              <w:spacing w:line="261" w:lineRule="exact"/>
              <w:ind w:left="155"/>
              <w:rPr>
                <w:sz w:val="21"/>
              </w:rPr>
            </w:pPr>
            <w:r>
              <w:rPr>
                <w:sz w:val="21"/>
              </w:rPr>
              <w:t>1.1 合同构成</w:t>
            </w:r>
          </w:p>
        </w:tc>
        <w:tc>
          <w:tcPr>
            <w:tcW w:w="2358" w:type="dxa"/>
          </w:tcPr>
          <w:p>
            <w:pPr>
              <w:pStyle w:val="TableParagraph"/>
              <w:spacing w:line="261" w:lineRule="exact"/>
              <w:ind w:left="255"/>
              <w:rPr>
                <w:sz w:val="21"/>
              </w:rPr>
            </w:pPr>
            <w:r>
              <w:rPr>
                <w:sz w:val="21"/>
              </w:rPr>
              <w:t>3.5 宣告死亡处理</w:t>
            </w:r>
          </w:p>
        </w:tc>
        <w:tc>
          <w:tcPr>
            <w:tcW w:w="2557" w:type="dxa"/>
          </w:tcPr>
          <w:p>
            <w:pPr>
              <w:pStyle w:val="TableParagraph"/>
              <w:spacing w:line="261" w:lineRule="exact"/>
              <w:ind w:left="308"/>
              <w:rPr>
                <w:sz w:val="21"/>
              </w:rPr>
            </w:pPr>
            <w:r>
              <w:rPr>
                <w:sz w:val="21"/>
              </w:rPr>
              <w:t>告知</w:t>
            </w:r>
          </w:p>
        </w:tc>
        <w:tc>
          <w:tcPr>
            <w:tcW w:w="2468" w:type="dxa"/>
          </w:tcPr>
          <w:p>
            <w:pPr>
              <w:pStyle w:val="TableParagraph"/>
              <w:spacing w:line="261" w:lineRule="exact"/>
              <w:ind w:left="160"/>
              <w:rPr>
                <w:sz w:val="21"/>
              </w:rPr>
            </w:pPr>
            <w:r>
              <w:rPr>
                <w:sz w:val="21"/>
              </w:rPr>
              <w:t>10.8 酒后驾驶</w:t>
            </w:r>
          </w:p>
        </w:tc>
      </w:tr>
      <w:tr>
        <w:trPr>
          <w:trHeight w:val="311" w:hRule="atLeast"/>
        </w:trPr>
        <w:tc>
          <w:tcPr>
            <w:tcW w:w="2205" w:type="dxa"/>
          </w:tcPr>
          <w:p>
            <w:pPr>
              <w:pStyle w:val="TableParagraph"/>
              <w:spacing w:line="261" w:lineRule="exact"/>
              <w:ind w:right="158"/>
              <w:jc w:val="right"/>
              <w:rPr>
                <w:sz w:val="21"/>
              </w:rPr>
            </w:pPr>
            <w:r>
              <w:rPr>
                <w:sz w:val="21"/>
              </w:rPr>
              <w:t>1.2 合同成立及生效</w:t>
            </w:r>
          </w:p>
        </w:tc>
        <w:tc>
          <w:tcPr>
            <w:tcW w:w="2358" w:type="dxa"/>
          </w:tcPr>
          <w:p>
            <w:pPr>
              <w:pStyle w:val="TableParagraph"/>
              <w:spacing w:line="261" w:lineRule="exact"/>
              <w:ind w:left="255"/>
              <w:rPr>
                <w:sz w:val="21"/>
              </w:rPr>
            </w:pPr>
            <w:r>
              <w:rPr>
                <w:sz w:val="21"/>
              </w:rPr>
              <w:t>3.6 诉讼时效</w:t>
            </w:r>
          </w:p>
        </w:tc>
        <w:tc>
          <w:tcPr>
            <w:tcW w:w="2557" w:type="dxa"/>
          </w:tcPr>
          <w:p>
            <w:pPr>
              <w:pStyle w:val="TableParagraph"/>
              <w:spacing w:line="261" w:lineRule="exact"/>
              <w:ind w:left="308"/>
              <w:rPr>
                <w:sz w:val="21"/>
              </w:rPr>
            </w:pPr>
            <w:r>
              <w:rPr>
                <w:sz w:val="21"/>
              </w:rPr>
              <w:t>8.2 本公司合同解除</w:t>
            </w:r>
          </w:p>
        </w:tc>
        <w:tc>
          <w:tcPr>
            <w:tcW w:w="2468" w:type="dxa"/>
          </w:tcPr>
          <w:p>
            <w:pPr>
              <w:pStyle w:val="TableParagraph"/>
              <w:spacing w:line="261" w:lineRule="exact"/>
              <w:ind w:left="160"/>
              <w:rPr>
                <w:sz w:val="21"/>
              </w:rPr>
            </w:pPr>
            <w:r>
              <w:rPr>
                <w:sz w:val="21"/>
              </w:rPr>
              <w:t>10.9 无合法有效驾驶证</w:t>
            </w:r>
          </w:p>
        </w:tc>
      </w:tr>
      <w:tr>
        <w:trPr>
          <w:trHeight w:val="311" w:hRule="atLeast"/>
        </w:trPr>
        <w:tc>
          <w:tcPr>
            <w:tcW w:w="2205" w:type="dxa"/>
          </w:tcPr>
          <w:p>
            <w:pPr>
              <w:pStyle w:val="TableParagraph"/>
              <w:spacing w:line="261" w:lineRule="exact"/>
              <w:ind w:left="155"/>
              <w:rPr>
                <w:sz w:val="21"/>
              </w:rPr>
            </w:pPr>
            <w:r>
              <w:rPr>
                <w:sz w:val="21"/>
              </w:rPr>
              <w:t>1.3 投保年龄</w:t>
            </w:r>
          </w:p>
        </w:tc>
        <w:tc>
          <w:tcPr>
            <w:tcW w:w="2358" w:type="dxa"/>
          </w:tcPr>
          <w:p>
            <w:pPr>
              <w:pStyle w:val="TableParagraph"/>
              <w:spacing w:line="261" w:lineRule="exact"/>
              <w:ind w:left="150"/>
              <w:rPr>
                <w:b/>
                <w:sz w:val="21"/>
              </w:rPr>
            </w:pPr>
            <w:r>
              <w:rPr>
                <w:b/>
                <w:sz w:val="21"/>
              </w:rPr>
              <w:t>4. 保险费的交纳</w:t>
            </w:r>
          </w:p>
        </w:tc>
        <w:tc>
          <w:tcPr>
            <w:tcW w:w="2557" w:type="dxa"/>
          </w:tcPr>
          <w:p>
            <w:pPr>
              <w:pStyle w:val="TableParagraph"/>
              <w:spacing w:line="261" w:lineRule="exact"/>
              <w:ind w:left="308"/>
              <w:rPr>
                <w:sz w:val="21"/>
              </w:rPr>
            </w:pPr>
            <w:r>
              <w:rPr>
                <w:sz w:val="21"/>
              </w:rPr>
              <w:t>权的限制</w:t>
            </w:r>
          </w:p>
        </w:tc>
        <w:tc>
          <w:tcPr>
            <w:tcW w:w="2468" w:type="dxa"/>
          </w:tcPr>
          <w:p>
            <w:pPr>
              <w:pStyle w:val="TableParagraph"/>
              <w:spacing w:line="261" w:lineRule="exact"/>
              <w:ind w:left="161"/>
              <w:rPr>
                <w:sz w:val="21"/>
              </w:rPr>
            </w:pPr>
            <w:r>
              <w:rPr>
                <w:sz w:val="21"/>
              </w:rPr>
              <w:t>驾驶</w:t>
            </w:r>
          </w:p>
        </w:tc>
      </w:tr>
      <w:tr>
        <w:trPr>
          <w:trHeight w:val="311" w:hRule="atLeast"/>
        </w:trPr>
        <w:tc>
          <w:tcPr>
            <w:tcW w:w="2205" w:type="dxa"/>
          </w:tcPr>
          <w:p>
            <w:pPr>
              <w:pStyle w:val="TableParagraph"/>
              <w:spacing w:line="261" w:lineRule="exact"/>
              <w:ind w:left="155"/>
              <w:rPr>
                <w:sz w:val="21"/>
              </w:rPr>
            </w:pPr>
            <w:r>
              <w:rPr>
                <w:sz w:val="21"/>
              </w:rPr>
              <w:t>1.4 犹豫期</w:t>
            </w:r>
          </w:p>
        </w:tc>
        <w:tc>
          <w:tcPr>
            <w:tcW w:w="2358" w:type="dxa"/>
          </w:tcPr>
          <w:p>
            <w:pPr>
              <w:pStyle w:val="TableParagraph"/>
              <w:spacing w:line="261" w:lineRule="exact"/>
              <w:ind w:left="255"/>
              <w:rPr>
                <w:sz w:val="21"/>
              </w:rPr>
            </w:pPr>
            <w:r>
              <w:rPr>
                <w:sz w:val="21"/>
              </w:rPr>
              <w:t>4.1 保险费的交纳</w:t>
            </w:r>
          </w:p>
        </w:tc>
        <w:tc>
          <w:tcPr>
            <w:tcW w:w="2557" w:type="dxa"/>
          </w:tcPr>
          <w:p>
            <w:pPr>
              <w:pStyle w:val="TableParagraph"/>
              <w:spacing w:line="261" w:lineRule="exact"/>
              <w:ind w:left="202"/>
              <w:rPr>
                <w:b/>
                <w:sz w:val="21"/>
              </w:rPr>
            </w:pPr>
            <w:r>
              <w:rPr>
                <w:b/>
                <w:w w:val="95"/>
                <w:sz w:val="21"/>
              </w:rPr>
              <w:t>9．其他需要关注的事项</w:t>
            </w:r>
          </w:p>
        </w:tc>
        <w:tc>
          <w:tcPr>
            <w:tcW w:w="2468" w:type="dxa"/>
          </w:tcPr>
          <w:p>
            <w:pPr>
              <w:pStyle w:val="TableParagraph"/>
              <w:spacing w:line="261" w:lineRule="exact"/>
              <w:ind w:left="160"/>
              <w:rPr>
                <w:sz w:val="21"/>
              </w:rPr>
            </w:pPr>
            <w:r>
              <w:rPr>
                <w:sz w:val="21"/>
              </w:rPr>
              <w:t>10.10 无有效行驶证</w:t>
            </w:r>
          </w:p>
        </w:tc>
      </w:tr>
      <w:tr>
        <w:trPr>
          <w:trHeight w:val="311" w:hRule="atLeast"/>
        </w:trPr>
        <w:tc>
          <w:tcPr>
            <w:tcW w:w="2205" w:type="dxa"/>
          </w:tcPr>
          <w:p>
            <w:pPr>
              <w:pStyle w:val="TableParagraph"/>
              <w:spacing w:line="261" w:lineRule="exact"/>
              <w:ind w:left="50"/>
              <w:rPr>
                <w:b/>
                <w:sz w:val="21"/>
              </w:rPr>
            </w:pPr>
            <w:r>
              <w:rPr>
                <w:b/>
                <w:sz w:val="21"/>
              </w:rPr>
              <w:t>2. 我们提供的保障</w:t>
            </w:r>
          </w:p>
        </w:tc>
        <w:tc>
          <w:tcPr>
            <w:tcW w:w="2358" w:type="dxa"/>
          </w:tcPr>
          <w:p>
            <w:pPr>
              <w:pStyle w:val="TableParagraph"/>
              <w:spacing w:line="261" w:lineRule="exact"/>
              <w:ind w:left="255"/>
              <w:rPr>
                <w:sz w:val="21"/>
              </w:rPr>
            </w:pPr>
            <w:r>
              <w:rPr>
                <w:sz w:val="21"/>
              </w:rPr>
              <w:t>4.2 宽限期</w:t>
            </w:r>
          </w:p>
        </w:tc>
        <w:tc>
          <w:tcPr>
            <w:tcW w:w="2557" w:type="dxa"/>
          </w:tcPr>
          <w:p>
            <w:pPr>
              <w:pStyle w:val="TableParagraph"/>
              <w:spacing w:line="261" w:lineRule="exact"/>
              <w:ind w:left="308"/>
              <w:rPr>
                <w:sz w:val="21"/>
              </w:rPr>
            </w:pPr>
            <w:r>
              <w:rPr>
                <w:sz w:val="21"/>
              </w:rPr>
              <w:t>9.1 欠款的偿还</w:t>
            </w:r>
          </w:p>
        </w:tc>
        <w:tc>
          <w:tcPr>
            <w:tcW w:w="2468" w:type="dxa"/>
          </w:tcPr>
          <w:p>
            <w:pPr>
              <w:pStyle w:val="TableParagraph"/>
              <w:spacing w:line="261" w:lineRule="exact"/>
              <w:ind w:left="161"/>
              <w:rPr>
                <w:sz w:val="21"/>
              </w:rPr>
            </w:pPr>
            <w:r>
              <w:rPr>
                <w:sz w:val="21"/>
              </w:rPr>
              <w:t>10.11 机动车</w:t>
            </w:r>
          </w:p>
        </w:tc>
      </w:tr>
      <w:tr>
        <w:trPr>
          <w:trHeight w:val="311" w:hRule="atLeast"/>
        </w:trPr>
        <w:tc>
          <w:tcPr>
            <w:tcW w:w="2205" w:type="dxa"/>
          </w:tcPr>
          <w:p>
            <w:pPr>
              <w:pStyle w:val="TableParagraph"/>
              <w:spacing w:line="261" w:lineRule="exact"/>
              <w:ind w:left="155"/>
              <w:rPr>
                <w:sz w:val="21"/>
              </w:rPr>
            </w:pPr>
            <w:r>
              <w:rPr>
                <w:sz w:val="21"/>
              </w:rPr>
              <w:t>2.1 基本保险金额</w:t>
            </w:r>
          </w:p>
        </w:tc>
        <w:tc>
          <w:tcPr>
            <w:tcW w:w="2358" w:type="dxa"/>
          </w:tcPr>
          <w:p>
            <w:pPr>
              <w:pStyle w:val="TableParagraph"/>
              <w:spacing w:line="261" w:lineRule="exact"/>
              <w:ind w:left="150"/>
              <w:rPr>
                <w:b/>
                <w:sz w:val="21"/>
              </w:rPr>
            </w:pPr>
            <w:r>
              <w:rPr>
                <w:b/>
                <w:sz w:val="21"/>
              </w:rPr>
              <w:t>5. 现金价值权益</w:t>
            </w:r>
          </w:p>
        </w:tc>
        <w:tc>
          <w:tcPr>
            <w:tcW w:w="2557" w:type="dxa"/>
          </w:tcPr>
          <w:p>
            <w:pPr>
              <w:pStyle w:val="TableParagraph"/>
              <w:spacing w:line="261" w:lineRule="exact"/>
              <w:ind w:left="308"/>
              <w:rPr>
                <w:sz w:val="21"/>
              </w:rPr>
            </w:pPr>
            <w:r>
              <w:rPr>
                <w:sz w:val="21"/>
              </w:rPr>
              <w:t>9.2 年龄错误</w:t>
            </w:r>
          </w:p>
        </w:tc>
        <w:tc>
          <w:tcPr>
            <w:tcW w:w="2468" w:type="dxa"/>
          </w:tcPr>
          <w:p>
            <w:pPr>
              <w:pStyle w:val="TableParagraph"/>
              <w:spacing w:line="261" w:lineRule="exact"/>
              <w:ind w:left="161"/>
              <w:rPr>
                <w:sz w:val="21"/>
              </w:rPr>
            </w:pPr>
            <w:r>
              <w:rPr>
                <w:sz w:val="21"/>
              </w:rPr>
              <w:t>10.12</w:t>
            </w:r>
            <w:r>
              <w:rPr>
                <w:spacing w:val="-8"/>
                <w:sz w:val="21"/>
              </w:rPr>
              <w:t> 感染艾滋病病毒或</w:t>
            </w:r>
          </w:p>
        </w:tc>
      </w:tr>
      <w:tr>
        <w:trPr>
          <w:trHeight w:val="311" w:hRule="atLeast"/>
        </w:trPr>
        <w:tc>
          <w:tcPr>
            <w:tcW w:w="2205" w:type="dxa"/>
          </w:tcPr>
          <w:p>
            <w:pPr>
              <w:pStyle w:val="TableParagraph"/>
              <w:spacing w:line="261" w:lineRule="exact"/>
              <w:ind w:left="155"/>
              <w:rPr>
                <w:sz w:val="21"/>
              </w:rPr>
            </w:pPr>
            <w:r>
              <w:rPr>
                <w:sz w:val="21"/>
              </w:rPr>
              <w:t>2.2 保险期间</w:t>
            </w:r>
          </w:p>
        </w:tc>
        <w:tc>
          <w:tcPr>
            <w:tcW w:w="2358" w:type="dxa"/>
          </w:tcPr>
          <w:p>
            <w:pPr>
              <w:pStyle w:val="TableParagraph"/>
              <w:spacing w:line="261" w:lineRule="exact"/>
              <w:ind w:left="255"/>
              <w:rPr>
                <w:sz w:val="21"/>
              </w:rPr>
            </w:pPr>
            <w:r>
              <w:rPr>
                <w:sz w:val="21"/>
              </w:rPr>
              <w:t>5.1 现金价值</w:t>
            </w:r>
          </w:p>
        </w:tc>
        <w:tc>
          <w:tcPr>
            <w:tcW w:w="2557" w:type="dxa"/>
          </w:tcPr>
          <w:p>
            <w:pPr>
              <w:pStyle w:val="TableParagraph"/>
              <w:spacing w:line="261" w:lineRule="exact"/>
              <w:ind w:left="308"/>
              <w:rPr>
                <w:sz w:val="21"/>
              </w:rPr>
            </w:pPr>
            <w:r>
              <w:rPr>
                <w:sz w:val="21"/>
              </w:rPr>
              <w:t>9.3 合同内容变更</w:t>
            </w:r>
          </w:p>
        </w:tc>
        <w:tc>
          <w:tcPr>
            <w:tcW w:w="2468" w:type="dxa"/>
          </w:tcPr>
          <w:p>
            <w:pPr>
              <w:pStyle w:val="TableParagraph"/>
              <w:spacing w:line="261" w:lineRule="exact"/>
              <w:ind w:left="161"/>
              <w:rPr>
                <w:sz w:val="21"/>
              </w:rPr>
            </w:pPr>
            <w:r>
              <w:rPr>
                <w:sz w:val="21"/>
              </w:rPr>
              <w:t>患艾滋病</w:t>
            </w:r>
          </w:p>
        </w:tc>
      </w:tr>
      <w:tr>
        <w:trPr>
          <w:trHeight w:val="311" w:hRule="atLeast"/>
        </w:trPr>
        <w:tc>
          <w:tcPr>
            <w:tcW w:w="2205" w:type="dxa"/>
          </w:tcPr>
          <w:p>
            <w:pPr>
              <w:pStyle w:val="TableParagraph"/>
              <w:spacing w:line="261" w:lineRule="exact"/>
              <w:ind w:left="155"/>
              <w:rPr>
                <w:sz w:val="21"/>
              </w:rPr>
            </w:pPr>
            <w:r>
              <w:rPr>
                <w:sz w:val="21"/>
              </w:rPr>
              <w:t>2.3 保险责任</w:t>
            </w:r>
          </w:p>
        </w:tc>
        <w:tc>
          <w:tcPr>
            <w:tcW w:w="2358" w:type="dxa"/>
          </w:tcPr>
          <w:p>
            <w:pPr>
              <w:pStyle w:val="TableParagraph"/>
              <w:spacing w:line="261" w:lineRule="exact"/>
              <w:ind w:left="255"/>
              <w:rPr>
                <w:sz w:val="21"/>
              </w:rPr>
            </w:pPr>
            <w:r>
              <w:rPr>
                <w:sz w:val="21"/>
              </w:rPr>
              <w:t>5.2 保单贷款</w:t>
            </w:r>
          </w:p>
        </w:tc>
        <w:tc>
          <w:tcPr>
            <w:tcW w:w="2557" w:type="dxa"/>
          </w:tcPr>
          <w:p>
            <w:pPr>
              <w:pStyle w:val="TableParagraph"/>
              <w:spacing w:line="261" w:lineRule="exact"/>
              <w:ind w:left="308"/>
              <w:rPr>
                <w:sz w:val="21"/>
              </w:rPr>
            </w:pPr>
            <w:r>
              <w:rPr>
                <w:sz w:val="21"/>
              </w:rPr>
              <w:t>9.4 地址变更的通知</w:t>
            </w:r>
          </w:p>
        </w:tc>
        <w:tc>
          <w:tcPr>
            <w:tcW w:w="2468" w:type="dxa"/>
          </w:tcPr>
          <w:p>
            <w:pPr>
              <w:pStyle w:val="TableParagraph"/>
              <w:spacing w:line="261" w:lineRule="exact"/>
              <w:ind w:left="161"/>
              <w:rPr>
                <w:sz w:val="21"/>
              </w:rPr>
            </w:pPr>
            <w:r>
              <w:rPr>
                <w:sz w:val="21"/>
              </w:rPr>
              <w:t>10.13 遗传性疾病</w:t>
            </w:r>
          </w:p>
        </w:tc>
      </w:tr>
      <w:tr>
        <w:trPr>
          <w:trHeight w:val="311" w:hRule="atLeast"/>
        </w:trPr>
        <w:tc>
          <w:tcPr>
            <w:tcW w:w="2205" w:type="dxa"/>
          </w:tcPr>
          <w:p>
            <w:pPr>
              <w:pStyle w:val="TableParagraph"/>
              <w:spacing w:line="261" w:lineRule="exact"/>
              <w:ind w:right="157"/>
              <w:jc w:val="right"/>
              <w:rPr>
                <w:sz w:val="21"/>
              </w:rPr>
            </w:pPr>
            <w:r>
              <w:rPr>
                <w:sz w:val="21"/>
              </w:rPr>
              <w:t>2.4 转换万能保险选</w:t>
            </w:r>
          </w:p>
        </w:tc>
        <w:tc>
          <w:tcPr>
            <w:tcW w:w="2358" w:type="dxa"/>
          </w:tcPr>
          <w:p>
            <w:pPr>
              <w:pStyle w:val="TableParagraph"/>
              <w:spacing w:line="261" w:lineRule="exact"/>
              <w:ind w:right="210"/>
              <w:jc w:val="right"/>
              <w:rPr>
                <w:sz w:val="21"/>
              </w:rPr>
            </w:pPr>
            <w:r>
              <w:rPr>
                <w:sz w:val="21"/>
              </w:rPr>
              <w:t>5.3 保险费自动垫交</w:t>
            </w:r>
          </w:p>
        </w:tc>
        <w:tc>
          <w:tcPr>
            <w:tcW w:w="2557" w:type="dxa"/>
          </w:tcPr>
          <w:p>
            <w:pPr>
              <w:pStyle w:val="TableParagraph"/>
              <w:spacing w:line="261" w:lineRule="exact"/>
              <w:ind w:left="308"/>
              <w:rPr>
                <w:sz w:val="21"/>
              </w:rPr>
            </w:pPr>
            <w:r>
              <w:rPr>
                <w:sz w:val="21"/>
              </w:rPr>
              <w:t>9.5 争议处理</w:t>
            </w:r>
          </w:p>
        </w:tc>
        <w:tc>
          <w:tcPr>
            <w:tcW w:w="2468" w:type="dxa"/>
          </w:tcPr>
          <w:p>
            <w:pPr>
              <w:pStyle w:val="TableParagraph"/>
              <w:spacing w:line="261" w:lineRule="exact"/>
              <w:ind w:left="161"/>
              <w:rPr>
                <w:sz w:val="21"/>
              </w:rPr>
            </w:pPr>
            <w:r>
              <w:rPr>
                <w:sz w:val="21"/>
              </w:rPr>
              <w:t>10.14</w:t>
            </w:r>
            <w:r>
              <w:rPr>
                <w:spacing w:val="-8"/>
                <w:sz w:val="21"/>
              </w:rPr>
              <w:t> 先天性畸形、变形</w:t>
            </w:r>
          </w:p>
        </w:tc>
      </w:tr>
      <w:tr>
        <w:trPr>
          <w:trHeight w:val="311" w:hRule="atLeast"/>
        </w:trPr>
        <w:tc>
          <w:tcPr>
            <w:tcW w:w="2205" w:type="dxa"/>
          </w:tcPr>
          <w:p>
            <w:pPr>
              <w:pStyle w:val="TableParagraph"/>
              <w:spacing w:line="261" w:lineRule="exact"/>
              <w:ind w:left="155"/>
              <w:rPr>
                <w:sz w:val="21"/>
              </w:rPr>
            </w:pPr>
            <w:r>
              <w:rPr>
                <w:sz w:val="21"/>
              </w:rPr>
              <w:t>择权</w:t>
            </w:r>
          </w:p>
        </w:tc>
        <w:tc>
          <w:tcPr>
            <w:tcW w:w="2358" w:type="dxa"/>
          </w:tcPr>
          <w:p>
            <w:pPr>
              <w:pStyle w:val="TableParagraph"/>
              <w:spacing w:line="261" w:lineRule="exact"/>
              <w:ind w:right="210"/>
              <w:jc w:val="right"/>
              <w:rPr>
                <w:sz w:val="21"/>
              </w:rPr>
            </w:pPr>
            <w:r>
              <w:rPr>
                <w:sz w:val="21"/>
              </w:rPr>
              <w:t>5.4 减少基本保险金</w:t>
            </w:r>
          </w:p>
        </w:tc>
        <w:tc>
          <w:tcPr>
            <w:tcW w:w="2557" w:type="dxa"/>
          </w:tcPr>
          <w:p>
            <w:pPr>
              <w:pStyle w:val="TableParagraph"/>
              <w:spacing w:line="261" w:lineRule="exact"/>
              <w:ind w:left="308"/>
              <w:rPr>
                <w:sz w:val="21"/>
              </w:rPr>
            </w:pPr>
            <w:r>
              <w:rPr>
                <w:sz w:val="21"/>
              </w:rPr>
              <w:t>9.6 身体检查与司法</w:t>
            </w:r>
          </w:p>
        </w:tc>
        <w:tc>
          <w:tcPr>
            <w:tcW w:w="2468" w:type="dxa"/>
          </w:tcPr>
          <w:p>
            <w:pPr>
              <w:pStyle w:val="TableParagraph"/>
              <w:spacing w:line="261" w:lineRule="exact"/>
              <w:ind w:left="161"/>
              <w:rPr>
                <w:sz w:val="21"/>
              </w:rPr>
            </w:pPr>
            <w:r>
              <w:rPr>
                <w:sz w:val="21"/>
              </w:rPr>
              <w:t>或染色体异常</w:t>
            </w:r>
          </w:p>
        </w:tc>
      </w:tr>
      <w:tr>
        <w:trPr>
          <w:trHeight w:val="311" w:hRule="atLeast"/>
        </w:trPr>
        <w:tc>
          <w:tcPr>
            <w:tcW w:w="2205" w:type="dxa"/>
          </w:tcPr>
          <w:p>
            <w:pPr>
              <w:pStyle w:val="TableParagraph"/>
              <w:spacing w:line="261" w:lineRule="exact"/>
              <w:ind w:right="210"/>
              <w:jc w:val="right"/>
              <w:rPr>
                <w:sz w:val="21"/>
              </w:rPr>
            </w:pPr>
            <w:r>
              <w:rPr>
                <w:sz w:val="21"/>
              </w:rPr>
              <w:t>2.5 保险金转换选择</w:t>
            </w:r>
          </w:p>
        </w:tc>
        <w:tc>
          <w:tcPr>
            <w:tcW w:w="2358" w:type="dxa"/>
          </w:tcPr>
          <w:p>
            <w:pPr>
              <w:pStyle w:val="TableParagraph"/>
              <w:spacing w:line="261" w:lineRule="exact"/>
              <w:ind w:left="255"/>
              <w:rPr>
                <w:sz w:val="21"/>
              </w:rPr>
            </w:pPr>
            <w:r>
              <w:rPr>
                <w:sz w:val="21"/>
              </w:rPr>
              <w:t>额</w:t>
            </w:r>
          </w:p>
        </w:tc>
        <w:tc>
          <w:tcPr>
            <w:tcW w:w="2557" w:type="dxa"/>
          </w:tcPr>
          <w:p>
            <w:pPr>
              <w:pStyle w:val="TableParagraph"/>
              <w:spacing w:line="261" w:lineRule="exact"/>
              <w:ind w:left="308"/>
              <w:rPr>
                <w:sz w:val="21"/>
              </w:rPr>
            </w:pPr>
            <w:r>
              <w:rPr>
                <w:sz w:val="21"/>
              </w:rPr>
              <w:t>鉴定</w:t>
            </w:r>
          </w:p>
        </w:tc>
        <w:tc>
          <w:tcPr>
            <w:tcW w:w="2468" w:type="dxa"/>
          </w:tcPr>
          <w:p>
            <w:pPr>
              <w:pStyle w:val="TableParagraph"/>
              <w:spacing w:line="261" w:lineRule="exact"/>
              <w:ind w:left="161"/>
              <w:rPr>
                <w:sz w:val="21"/>
              </w:rPr>
            </w:pPr>
            <w:r>
              <w:rPr>
                <w:sz w:val="21"/>
              </w:rPr>
              <w:t>10.15 贷款利率</w:t>
            </w:r>
          </w:p>
        </w:tc>
      </w:tr>
      <w:tr>
        <w:trPr>
          <w:trHeight w:val="311" w:hRule="atLeast"/>
        </w:trPr>
        <w:tc>
          <w:tcPr>
            <w:tcW w:w="2205" w:type="dxa"/>
          </w:tcPr>
          <w:p>
            <w:pPr>
              <w:pStyle w:val="TableParagraph"/>
              <w:spacing w:line="261" w:lineRule="exact"/>
              <w:ind w:left="155"/>
              <w:rPr>
                <w:sz w:val="21"/>
              </w:rPr>
            </w:pPr>
            <w:r>
              <w:rPr>
                <w:sz w:val="21"/>
              </w:rPr>
              <w:t>权</w:t>
            </w:r>
          </w:p>
        </w:tc>
        <w:tc>
          <w:tcPr>
            <w:tcW w:w="2358" w:type="dxa"/>
          </w:tcPr>
          <w:p>
            <w:pPr>
              <w:pStyle w:val="TableParagraph"/>
              <w:spacing w:line="261" w:lineRule="exact"/>
              <w:ind w:left="150"/>
              <w:rPr>
                <w:b/>
                <w:sz w:val="21"/>
              </w:rPr>
            </w:pPr>
            <w:r>
              <w:rPr>
                <w:b/>
                <w:sz w:val="21"/>
              </w:rPr>
              <w:t>6. 合同效力的中止及</w:t>
            </w:r>
          </w:p>
        </w:tc>
        <w:tc>
          <w:tcPr>
            <w:tcW w:w="2557" w:type="dxa"/>
          </w:tcPr>
          <w:p>
            <w:pPr>
              <w:pStyle w:val="TableParagraph"/>
              <w:spacing w:line="261" w:lineRule="exact"/>
              <w:ind w:left="202"/>
              <w:rPr>
                <w:b/>
                <w:sz w:val="21"/>
              </w:rPr>
            </w:pPr>
            <w:r>
              <w:rPr>
                <w:b/>
                <w:sz w:val="21"/>
              </w:rPr>
              <w:t>10. 释义</w:t>
            </w:r>
          </w:p>
        </w:tc>
        <w:tc>
          <w:tcPr>
            <w:tcW w:w="2468" w:type="dxa"/>
          </w:tcPr>
          <w:p>
            <w:pPr>
              <w:pStyle w:val="TableParagraph"/>
              <w:spacing w:line="261" w:lineRule="exact"/>
              <w:ind w:left="161"/>
              <w:rPr>
                <w:sz w:val="21"/>
              </w:rPr>
            </w:pPr>
            <w:r>
              <w:rPr>
                <w:sz w:val="21"/>
              </w:rPr>
              <w:t>10.16 利息</w:t>
            </w:r>
          </w:p>
        </w:tc>
      </w:tr>
      <w:tr>
        <w:trPr>
          <w:trHeight w:val="311" w:hRule="atLeast"/>
        </w:trPr>
        <w:tc>
          <w:tcPr>
            <w:tcW w:w="2205" w:type="dxa"/>
          </w:tcPr>
          <w:p>
            <w:pPr>
              <w:pStyle w:val="TableParagraph"/>
              <w:spacing w:line="261" w:lineRule="exact"/>
              <w:ind w:right="157"/>
              <w:jc w:val="right"/>
              <w:rPr>
                <w:sz w:val="21"/>
              </w:rPr>
            </w:pPr>
            <w:r>
              <w:rPr>
                <w:sz w:val="21"/>
              </w:rPr>
              <w:t>2.6 未成年人身故保</w:t>
            </w:r>
          </w:p>
        </w:tc>
        <w:tc>
          <w:tcPr>
            <w:tcW w:w="2358" w:type="dxa"/>
          </w:tcPr>
          <w:p>
            <w:pPr>
              <w:pStyle w:val="TableParagraph"/>
              <w:spacing w:line="261" w:lineRule="exact"/>
              <w:ind w:left="150"/>
              <w:rPr>
                <w:b/>
                <w:sz w:val="21"/>
              </w:rPr>
            </w:pPr>
            <w:r>
              <w:rPr>
                <w:b/>
                <w:sz w:val="21"/>
              </w:rPr>
              <w:t>恢复</w:t>
            </w:r>
          </w:p>
        </w:tc>
        <w:tc>
          <w:tcPr>
            <w:tcW w:w="2557" w:type="dxa"/>
          </w:tcPr>
          <w:p>
            <w:pPr>
              <w:pStyle w:val="TableParagraph"/>
              <w:spacing w:line="261" w:lineRule="exact"/>
              <w:ind w:left="308"/>
              <w:rPr>
                <w:sz w:val="21"/>
              </w:rPr>
            </w:pPr>
            <w:r>
              <w:rPr>
                <w:sz w:val="21"/>
              </w:rPr>
              <w:t>10.1 周岁</w:t>
            </w:r>
          </w:p>
        </w:tc>
        <w:tc>
          <w:tcPr>
            <w:tcW w:w="2468" w:type="dxa"/>
          </w:tcPr>
          <w:p>
            <w:pPr>
              <w:pStyle w:val="TableParagraph"/>
              <w:spacing w:line="261" w:lineRule="exact"/>
              <w:ind w:left="161"/>
              <w:rPr>
                <w:sz w:val="21"/>
              </w:rPr>
            </w:pPr>
            <w:r>
              <w:rPr>
                <w:sz w:val="21"/>
              </w:rPr>
              <w:t>10.17</w:t>
            </w:r>
            <w:r>
              <w:rPr>
                <w:spacing w:val="-8"/>
                <w:sz w:val="21"/>
              </w:rPr>
              <w:t> 肢体机能完全丧失</w:t>
            </w:r>
          </w:p>
        </w:tc>
      </w:tr>
      <w:tr>
        <w:trPr>
          <w:trHeight w:val="311" w:hRule="atLeast"/>
        </w:trPr>
        <w:tc>
          <w:tcPr>
            <w:tcW w:w="2205" w:type="dxa"/>
          </w:tcPr>
          <w:p>
            <w:pPr>
              <w:pStyle w:val="TableParagraph"/>
              <w:spacing w:line="261" w:lineRule="exact"/>
              <w:ind w:left="155"/>
              <w:rPr>
                <w:sz w:val="21"/>
              </w:rPr>
            </w:pPr>
            <w:r>
              <w:rPr>
                <w:sz w:val="21"/>
              </w:rPr>
              <w:t>险金限制</w:t>
            </w:r>
          </w:p>
        </w:tc>
        <w:tc>
          <w:tcPr>
            <w:tcW w:w="2358" w:type="dxa"/>
          </w:tcPr>
          <w:p>
            <w:pPr>
              <w:pStyle w:val="TableParagraph"/>
              <w:spacing w:line="261" w:lineRule="exact"/>
              <w:ind w:left="255"/>
              <w:rPr>
                <w:sz w:val="21"/>
              </w:rPr>
            </w:pPr>
            <w:r>
              <w:rPr>
                <w:sz w:val="21"/>
              </w:rPr>
              <w:t>6.1 效力中止</w:t>
            </w:r>
          </w:p>
        </w:tc>
        <w:tc>
          <w:tcPr>
            <w:tcW w:w="2557" w:type="dxa"/>
          </w:tcPr>
          <w:p>
            <w:pPr>
              <w:pStyle w:val="TableParagraph"/>
              <w:spacing w:line="261" w:lineRule="exact"/>
              <w:ind w:left="308"/>
              <w:rPr>
                <w:sz w:val="21"/>
              </w:rPr>
            </w:pPr>
            <w:r>
              <w:rPr>
                <w:sz w:val="21"/>
              </w:rPr>
              <w:t>10.2 有效身份证件</w:t>
            </w:r>
          </w:p>
        </w:tc>
        <w:tc>
          <w:tcPr>
            <w:tcW w:w="2468" w:type="dxa"/>
          </w:tcPr>
          <w:p>
            <w:pPr>
              <w:pStyle w:val="TableParagraph"/>
              <w:spacing w:line="261" w:lineRule="exact"/>
              <w:ind w:left="161"/>
              <w:rPr>
                <w:sz w:val="21"/>
              </w:rPr>
            </w:pPr>
            <w:r>
              <w:rPr>
                <w:sz w:val="21"/>
              </w:rPr>
              <w:t>10.18</w:t>
            </w:r>
            <w:r>
              <w:rPr>
                <w:spacing w:val="-8"/>
                <w:sz w:val="21"/>
              </w:rPr>
              <w:t> 语言能力或咀嚼吞</w:t>
            </w:r>
          </w:p>
        </w:tc>
      </w:tr>
      <w:tr>
        <w:trPr>
          <w:trHeight w:val="311" w:hRule="atLeast"/>
        </w:trPr>
        <w:tc>
          <w:tcPr>
            <w:tcW w:w="2205" w:type="dxa"/>
          </w:tcPr>
          <w:p>
            <w:pPr>
              <w:pStyle w:val="TableParagraph"/>
              <w:spacing w:line="261" w:lineRule="exact"/>
              <w:ind w:left="155"/>
              <w:rPr>
                <w:sz w:val="21"/>
              </w:rPr>
            </w:pPr>
            <w:r>
              <w:rPr>
                <w:sz w:val="21"/>
              </w:rPr>
              <w:t>2.7 责任免除</w:t>
            </w:r>
          </w:p>
        </w:tc>
        <w:tc>
          <w:tcPr>
            <w:tcW w:w="2358" w:type="dxa"/>
          </w:tcPr>
          <w:p>
            <w:pPr>
              <w:pStyle w:val="TableParagraph"/>
              <w:spacing w:line="261" w:lineRule="exact"/>
              <w:ind w:left="255"/>
              <w:rPr>
                <w:sz w:val="21"/>
              </w:rPr>
            </w:pPr>
            <w:r>
              <w:rPr>
                <w:sz w:val="21"/>
              </w:rPr>
              <w:t>6.2 效力恢复</w:t>
            </w:r>
          </w:p>
        </w:tc>
        <w:tc>
          <w:tcPr>
            <w:tcW w:w="2557" w:type="dxa"/>
          </w:tcPr>
          <w:p>
            <w:pPr>
              <w:pStyle w:val="TableParagraph"/>
              <w:spacing w:line="261" w:lineRule="exact"/>
              <w:ind w:left="308"/>
              <w:rPr>
                <w:sz w:val="21"/>
              </w:rPr>
            </w:pPr>
            <w:r>
              <w:rPr>
                <w:sz w:val="21"/>
              </w:rPr>
              <w:t>10.3 医院</w:t>
            </w:r>
          </w:p>
        </w:tc>
        <w:tc>
          <w:tcPr>
            <w:tcW w:w="2468" w:type="dxa"/>
          </w:tcPr>
          <w:p>
            <w:pPr>
              <w:pStyle w:val="TableParagraph"/>
              <w:spacing w:line="261" w:lineRule="exact"/>
              <w:ind w:left="161"/>
              <w:rPr>
                <w:sz w:val="21"/>
              </w:rPr>
            </w:pPr>
            <w:r>
              <w:rPr>
                <w:sz w:val="21"/>
              </w:rPr>
              <w:t>咽能力完全丧失</w:t>
            </w:r>
          </w:p>
        </w:tc>
      </w:tr>
      <w:tr>
        <w:trPr>
          <w:trHeight w:val="311" w:hRule="atLeast"/>
        </w:trPr>
        <w:tc>
          <w:tcPr>
            <w:tcW w:w="2205" w:type="dxa"/>
          </w:tcPr>
          <w:p>
            <w:pPr>
              <w:pStyle w:val="TableParagraph"/>
              <w:spacing w:line="261" w:lineRule="exact"/>
              <w:ind w:left="155"/>
              <w:rPr>
                <w:b/>
                <w:sz w:val="21"/>
              </w:rPr>
            </w:pPr>
            <w:r>
              <w:rPr>
                <w:b/>
                <w:sz w:val="21"/>
              </w:rPr>
              <w:t>3. 保险金的申请</w:t>
            </w:r>
          </w:p>
        </w:tc>
        <w:tc>
          <w:tcPr>
            <w:tcW w:w="2358" w:type="dxa"/>
          </w:tcPr>
          <w:p>
            <w:pPr>
              <w:pStyle w:val="TableParagraph"/>
              <w:spacing w:line="261" w:lineRule="exact"/>
              <w:ind w:left="150"/>
              <w:rPr>
                <w:b/>
                <w:sz w:val="21"/>
              </w:rPr>
            </w:pPr>
            <w:r>
              <w:rPr>
                <w:b/>
                <w:sz w:val="21"/>
              </w:rPr>
              <w:t>7. 合同解除</w:t>
            </w:r>
          </w:p>
        </w:tc>
        <w:tc>
          <w:tcPr>
            <w:tcW w:w="2557" w:type="dxa"/>
          </w:tcPr>
          <w:p>
            <w:pPr>
              <w:pStyle w:val="TableParagraph"/>
              <w:spacing w:line="261" w:lineRule="exact"/>
              <w:ind w:left="308"/>
              <w:rPr>
                <w:sz w:val="21"/>
              </w:rPr>
            </w:pPr>
            <w:r>
              <w:rPr>
                <w:sz w:val="21"/>
              </w:rPr>
              <w:t>10.4 专科医生</w:t>
            </w:r>
          </w:p>
        </w:tc>
        <w:tc>
          <w:tcPr>
            <w:tcW w:w="2468" w:type="dxa"/>
          </w:tcPr>
          <w:p>
            <w:pPr>
              <w:pStyle w:val="TableParagraph"/>
              <w:spacing w:line="261" w:lineRule="exact"/>
              <w:ind w:left="161"/>
              <w:rPr>
                <w:sz w:val="21"/>
              </w:rPr>
            </w:pPr>
            <w:r>
              <w:rPr>
                <w:sz w:val="21"/>
              </w:rPr>
              <w:t>10.19</w:t>
            </w:r>
            <w:r>
              <w:rPr>
                <w:spacing w:val="-8"/>
                <w:sz w:val="21"/>
              </w:rPr>
              <w:t> 六项基本日常生活</w:t>
            </w:r>
          </w:p>
        </w:tc>
      </w:tr>
      <w:tr>
        <w:trPr>
          <w:trHeight w:val="312" w:hRule="atLeast"/>
        </w:trPr>
        <w:tc>
          <w:tcPr>
            <w:tcW w:w="2205" w:type="dxa"/>
          </w:tcPr>
          <w:p>
            <w:pPr>
              <w:pStyle w:val="TableParagraph"/>
              <w:spacing w:line="261" w:lineRule="exact"/>
              <w:ind w:left="155"/>
              <w:rPr>
                <w:sz w:val="21"/>
              </w:rPr>
            </w:pPr>
            <w:r>
              <w:rPr>
                <w:sz w:val="21"/>
              </w:rPr>
              <w:t>3.1 受益人</w:t>
            </w:r>
          </w:p>
        </w:tc>
        <w:tc>
          <w:tcPr>
            <w:tcW w:w="2358" w:type="dxa"/>
          </w:tcPr>
          <w:p>
            <w:pPr>
              <w:pStyle w:val="TableParagraph"/>
              <w:spacing w:line="261" w:lineRule="exact"/>
              <w:ind w:right="211"/>
              <w:jc w:val="right"/>
              <w:rPr>
                <w:sz w:val="21"/>
              </w:rPr>
            </w:pPr>
            <w:r>
              <w:rPr>
                <w:sz w:val="21"/>
              </w:rPr>
              <w:t>7.1 您解除合同的手</w:t>
            </w:r>
          </w:p>
        </w:tc>
        <w:tc>
          <w:tcPr>
            <w:tcW w:w="2557" w:type="dxa"/>
          </w:tcPr>
          <w:p>
            <w:pPr>
              <w:pStyle w:val="TableParagraph"/>
              <w:spacing w:line="261" w:lineRule="exact"/>
              <w:ind w:left="308"/>
              <w:rPr>
                <w:sz w:val="21"/>
              </w:rPr>
            </w:pPr>
            <w:r>
              <w:rPr>
                <w:sz w:val="21"/>
              </w:rPr>
              <w:t>10.5 重大疾病</w:t>
            </w:r>
          </w:p>
        </w:tc>
        <w:tc>
          <w:tcPr>
            <w:tcW w:w="2468" w:type="dxa"/>
          </w:tcPr>
          <w:p>
            <w:pPr>
              <w:pStyle w:val="TableParagraph"/>
              <w:spacing w:line="261" w:lineRule="exact"/>
              <w:ind w:left="161"/>
              <w:rPr>
                <w:sz w:val="21"/>
              </w:rPr>
            </w:pPr>
            <w:r>
              <w:rPr>
                <w:sz w:val="21"/>
              </w:rPr>
              <w:t>活动</w:t>
            </w:r>
          </w:p>
        </w:tc>
      </w:tr>
      <w:tr>
        <w:trPr>
          <w:trHeight w:val="261" w:hRule="atLeast"/>
        </w:trPr>
        <w:tc>
          <w:tcPr>
            <w:tcW w:w="2205" w:type="dxa"/>
          </w:tcPr>
          <w:p>
            <w:pPr>
              <w:pStyle w:val="TableParagraph"/>
              <w:spacing w:line="241" w:lineRule="exact"/>
              <w:ind w:left="155"/>
              <w:rPr>
                <w:sz w:val="21"/>
              </w:rPr>
            </w:pPr>
            <w:r>
              <w:rPr>
                <w:sz w:val="21"/>
              </w:rPr>
              <w:t>3.2 保险事故通知</w:t>
            </w:r>
          </w:p>
        </w:tc>
        <w:tc>
          <w:tcPr>
            <w:tcW w:w="2358" w:type="dxa"/>
          </w:tcPr>
          <w:p>
            <w:pPr>
              <w:pStyle w:val="TableParagraph"/>
              <w:spacing w:line="241" w:lineRule="exact"/>
              <w:ind w:left="255"/>
              <w:rPr>
                <w:sz w:val="21"/>
              </w:rPr>
            </w:pPr>
            <w:r>
              <w:rPr>
                <w:sz w:val="21"/>
              </w:rPr>
              <w:t>续及风险</w:t>
            </w:r>
          </w:p>
        </w:tc>
        <w:tc>
          <w:tcPr>
            <w:tcW w:w="2557" w:type="dxa"/>
          </w:tcPr>
          <w:p>
            <w:pPr>
              <w:pStyle w:val="TableParagraph"/>
              <w:spacing w:line="241" w:lineRule="exact"/>
              <w:ind w:left="308"/>
              <w:rPr>
                <w:sz w:val="21"/>
              </w:rPr>
            </w:pPr>
            <w:r>
              <w:rPr>
                <w:sz w:val="21"/>
              </w:rPr>
              <w:t>10.6 自主生活能力完</w:t>
            </w:r>
          </w:p>
        </w:tc>
        <w:tc>
          <w:tcPr>
            <w:tcW w:w="2468" w:type="dxa"/>
          </w:tcPr>
          <w:p>
            <w:pPr>
              <w:pStyle w:val="TableParagraph"/>
              <w:rPr>
                <w:rFonts w:ascii="Times New Roman"/>
                <w:sz w:val="18"/>
              </w:rPr>
            </w:pPr>
          </w:p>
        </w:tc>
      </w:tr>
    </w:tbl>
    <w:p>
      <w:pPr>
        <w:spacing w:after="0"/>
        <w:rPr>
          <w:rFonts w:ascii="Times New Roman"/>
          <w:sz w:val="18"/>
        </w:rPr>
        <w:sectPr>
          <w:pgSz w:w="11910" w:h="16840"/>
          <w:pgMar w:header="0" w:footer="1008" w:top="1400" w:bottom="1200" w:left="880" w:right="740"/>
        </w:sectPr>
      </w:pPr>
    </w:p>
    <w:p>
      <w:pPr>
        <w:spacing w:line="478" w:lineRule="exact" w:before="0"/>
        <w:ind w:left="3017" w:right="0" w:firstLine="0"/>
        <w:jc w:val="left"/>
        <w:rPr>
          <w:rFonts w:ascii="微软雅黑" w:eastAsia="微软雅黑" w:hint="eastAsia"/>
          <w:b/>
          <w:sz w:val="32"/>
        </w:rPr>
      </w:pPr>
      <w:r>
        <w:rPr>
          <w:rFonts w:ascii="微软雅黑" w:eastAsia="微软雅黑" w:hint="eastAsia"/>
          <w:b/>
          <w:sz w:val="32"/>
        </w:rPr>
        <w:t>华泰人寿保险股份有限公司</w:t>
      </w:r>
    </w:p>
    <w:p>
      <w:pPr>
        <w:spacing w:before="149"/>
        <w:ind w:left="2696" w:right="0" w:firstLine="0"/>
        <w:jc w:val="left"/>
        <w:rPr>
          <w:rFonts w:ascii="微软雅黑" w:eastAsia="微软雅黑" w:hint="eastAsia"/>
          <w:b/>
          <w:sz w:val="32"/>
        </w:rPr>
      </w:pPr>
      <w:r>
        <w:rPr>
          <w:rFonts w:ascii="微软雅黑" w:eastAsia="微软雅黑" w:hint="eastAsia"/>
          <w:b/>
          <w:sz w:val="32"/>
        </w:rPr>
        <w:t>百万康宁终身重大疾病保险条款</w:t>
      </w:r>
    </w:p>
    <w:p>
      <w:pPr>
        <w:pStyle w:val="BodyText"/>
        <w:rPr>
          <w:rFonts w:ascii="微软雅黑"/>
          <w:b/>
          <w:sz w:val="33"/>
        </w:rPr>
      </w:pPr>
    </w:p>
    <w:p>
      <w:pPr>
        <w:pStyle w:val="BodyText"/>
        <w:spacing w:line="273" w:lineRule="auto"/>
        <w:ind w:left="213" w:right="298"/>
        <w:jc w:val="both"/>
      </w:pPr>
      <w:r>
        <w:rPr/>
        <w:t>在本条款中，“您”指投保人，“我们”、“本公司”均指在保险单上签章的华泰人寿保险股份有限公司，“本合同”指您与我们之间订立的“百万康宁终身重大疾病保险保险合同”，“被保险人”指本合同的被保险人，投保人、被保险人的姓名在保险单上载明。</w:t>
      </w:r>
    </w:p>
    <w:p>
      <w:pPr>
        <w:pStyle w:val="BodyText"/>
        <w:rPr>
          <w:sz w:val="20"/>
        </w:rPr>
      </w:pPr>
    </w:p>
    <w:p>
      <w:pPr>
        <w:pStyle w:val="ListParagraph"/>
        <w:numPr>
          <w:ilvl w:val="0"/>
          <w:numId w:val="2"/>
        </w:numPr>
        <w:tabs>
          <w:tab w:pos="1007" w:val="left" w:leader="none"/>
        </w:tabs>
        <w:spacing w:line="240" w:lineRule="auto" w:before="160" w:after="0"/>
        <w:ind w:left="1006" w:right="0" w:hanging="792"/>
        <w:jc w:val="both"/>
        <w:rPr>
          <w:b/>
          <w:sz w:val="24"/>
        </w:rPr>
      </w:pPr>
      <w:r>
        <w:rPr>
          <w:b/>
          <w:sz w:val="24"/>
        </w:rPr>
        <w:t>您与我们订立的合同</w:t>
      </w:r>
    </w:p>
    <w:p>
      <w:pPr>
        <w:pStyle w:val="BodyText"/>
        <w:spacing w:before="6"/>
        <w:rPr>
          <w:b/>
          <w:sz w:val="15"/>
        </w:rPr>
      </w:pPr>
      <w:r>
        <w:rPr/>
        <w:pict>
          <v:line style="position:absolute;mso-position-horizontal-relative:page;mso-position-vertical-relative:paragraph;z-index:1144;mso-wrap-distance-left:0;mso-wrap-distance-right:0" from="51.299999pt,12.576917pt" to="538.799999pt,12.576917pt" stroked="true" strokeweight=".96002pt" strokecolor="#000000">
            <v:stroke dashstyle="solid"/>
            <w10:wrap type="topAndBottom"/>
          </v:line>
        </w:pict>
      </w:r>
    </w:p>
    <w:p>
      <w:pPr>
        <w:pStyle w:val="BodyText"/>
        <w:spacing w:before="6"/>
        <w:rPr>
          <w:b/>
          <w:sz w:val="5"/>
        </w:rPr>
      </w:pPr>
    </w:p>
    <w:p>
      <w:pPr>
        <w:pStyle w:val="ListParagraph"/>
        <w:numPr>
          <w:ilvl w:val="1"/>
          <w:numId w:val="2"/>
        </w:numPr>
        <w:tabs>
          <w:tab w:pos="1007" w:val="left" w:leader="none"/>
          <w:tab w:pos="1008" w:val="left" w:leader="none"/>
          <w:tab w:pos="2533" w:val="left" w:leader="none"/>
        </w:tabs>
        <w:spacing w:line="273" w:lineRule="auto" w:before="35" w:after="0"/>
        <w:ind w:left="2533" w:right="107" w:hanging="2319"/>
        <w:jc w:val="left"/>
        <w:rPr>
          <w:sz w:val="21"/>
        </w:rPr>
      </w:pPr>
      <w:r>
        <w:rPr>
          <w:b/>
          <w:sz w:val="21"/>
        </w:rPr>
        <w:t>合同构成</w:t>
        <w:tab/>
      </w:r>
      <w:r>
        <w:rPr>
          <w:sz w:val="21"/>
        </w:rPr>
        <w:t>本合同是您与我们约定保险权利义务关系的协议，包括本保险条款、保险单或其他保险凭证</w:t>
      </w:r>
      <w:r>
        <w:rPr>
          <w:spacing w:val="-8"/>
          <w:sz w:val="21"/>
        </w:rPr>
        <w:t>、</w:t>
      </w:r>
      <w:r>
        <w:rPr>
          <w:sz w:val="21"/>
        </w:rPr>
        <w:t>投保单</w:t>
      </w:r>
      <w:r>
        <w:rPr>
          <w:spacing w:val="-8"/>
          <w:sz w:val="21"/>
        </w:rPr>
        <w:t>、</w:t>
      </w:r>
      <w:r>
        <w:rPr>
          <w:sz w:val="21"/>
        </w:rPr>
        <w:t>与保险合同有关的投保文件</w:t>
      </w:r>
      <w:r>
        <w:rPr>
          <w:spacing w:val="-8"/>
          <w:sz w:val="21"/>
        </w:rPr>
        <w:t>、</w:t>
      </w:r>
      <w:r>
        <w:rPr>
          <w:sz w:val="21"/>
        </w:rPr>
        <w:t>合法有效的声明</w:t>
      </w:r>
      <w:r>
        <w:rPr>
          <w:spacing w:val="-8"/>
          <w:sz w:val="21"/>
        </w:rPr>
        <w:t>、</w:t>
      </w:r>
      <w:r>
        <w:rPr>
          <w:sz w:val="21"/>
        </w:rPr>
        <w:t>批注、批单及其他约定您和我们之间权利义务关系的书面文件。</w:t>
      </w:r>
    </w:p>
    <w:p>
      <w:pPr>
        <w:pStyle w:val="BodyText"/>
        <w:spacing w:before="163"/>
        <w:ind w:left="2533"/>
      </w:pPr>
      <w:r>
        <w:rPr/>
        <w:t>阅读指引和条款目录仅供辅助理解使用，不构成保险合同的组成部分。</w:t>
      </w:r>
    </w:p>
    <w:p>
      <w:pPr>
        <w:pStyle w:val="BodyText"/>
        <w:rPr>
          <w:sz w:val="25"/>
        </w:rPr>
      </w:pPr>
    </w:p>
    <w:p>
      <w:pPr>
        <w:spacing w:after="0"/>
        <w:rPr>
          <w:sz w:val="25"/>
        </w:rPr>
        <w:sectPr>
          <w:pgSz w:w="11910" w:h="16840"/>
          <w:pgMar w:header="0" w:footer="1008" w:top="1240" w:bottom="1200" w:left="920" w:right="1020"/>
        </w:sectPr>
      </w:pPr>
    </w:p>
    <w:p>
      <w:pPr>
        <w:pStyle w:val="Heading3"/>
        <w:numPr>
          <w:ilvl w:val="1"/>
          <w:numId w:val="2"/>
        </w:numPr>
        <w:tabs>
          <w:tab w:pos="1007" w:val="left" w:leader="none"/>
          <w:tab w:pos="1008" w:val="left" w:leader="none"/>
        </w:tabs>
        <w:spacing w:line="273" w:lineRule="auto" w:before="36" w:after="0"/>
        <w:ind w:left="1007" w:right="0" w:hanging="793"/>
        <w:jc w:val="left"/>
      </w:pPr>
      <w:r>
        <w:rPr>
          <w:w w:val="95"/>
        </w:rPr>
        <w:t>合同成立及生</w:t>
      </w:r>
      <w:r>
        <w:rPr/>
        <w:t>效</w:t>
      </w:r>
    </w:p>
    <w:p>
      <w:pPr>
        <w:pStyle w:val="BodyText"/>
        <w:spacing w:before="36"/>
        <w:ind w:left="213"/>
      </w:pPr>
      <w:r>
        <w:rPr/>
        <w:br w:type="column"/>
      </w:r>
      <w:r>
        <w:rPr/>
        <w:t>您向我们提出保险申请，我们同意承保，本合同成立。</w:t>
      </w:r>
    </w:p>
    <w:p>
      <w:pPr>
        <w:pStyle w:val="BodyText"/>
        <w:spacing w:before="9"/>
        <w:rPr>
          <w:sz w:val="14"/>
        </w:rPr>
      </w:pPr>
    </w:p>
    <w:p>
      <w:pPr>
        <w:pStyle w:val="BodyText"/>
        <w:spacing w:line="273" w:lineRule="auto" w:before="1"/>
        <w:ind w:left="213" w:right="58"/>
      </w:pPr>
      <w:r>
        <w:rPr/>
        <w:t>本合同的生效日期以保险单记载的日期为准。保险单年度、保险费约定交纳日、保险单满期日均以该日期计算。</w:t>
      </w:r>
    </w:p>
    <w:p>
      <w:pPr>
        <w:spacing w:after="0" w:line="273" w:lineRule="auto"/>
        <w:sectPr>
          <w:type w:val="continuous"/>
          <w:pgSz w:w="11910" w:h="16840"/>
          <w:pgMar w:top="1600" w:bottom="1200" w:left="920" w:right="1020"/>
          <w:cols w:num="2" w:equalWidth="0">
            <w:col w:w="2271" w:space="48"/>
            <w:col w:w="7651"/>
          </w:cols>
        </w:sectPr>
      </w:pPr>
    </w:p>
    <w:p>
      <w:pPr>
        <w:pStyle w:val="BodyText"/>
        <w:spacing w:before="10"/>
        <w:rPr>
          <w:sz w:val="22"/>
        </w:rPr>
      </w:pPr>
    </w:p>
    <w:p>
      <w:pPr>
        <w:pStyle w:val="ListParagraph"/>
        <w:numPr>
          <w:ilvl w:val="1"/>
          <w:numId w:val="2"/>
        </w:numPr>
        <w:tabs>
          <w:tab w:pos="1007" w:val="left" w:leader="none"/>
          <w:tab w:pos="1008" w:val="left" w:leader="none"/>
          <w:tab w:pos="2533" w:val="left" w:leader="none"/>
        </w:tabs>
        <w:spacing w:line="240" w:lineRule="auto" w:before="35" w:after="0"/>
        <w:ind w:left="2533" w:right="0" w:hanging="2319"/>
        <w:jc w:val="left"/>
        <w:rPr>
          <w:sz w:val="21"/>
        </w:rPr>
      </w:pPr>
      <w:r>
        <w:rPr>
          <w:b/>
          <w:sz w:val="21"/>
        </w:rPr>
        <w:t>投保年龄</w:t>
        <w:tab/>
      </w:r>
      <w:r>
        <w:rPr>
          <w:sz w:val="21"/>
        </w:rPr>
        <w:t>投保年龄以</w:t>
      </w:r>
      <w:r>
        <w:rPr>
          <w:b/>
          <w:sz w:val="21"/>
        </w:rPr>
        <w:t>周岁</w:t>
      </w:r>
      <w:r>
        <w:rPr>
          <w:sz w:val="21"/>
        </w:rPr>
        <w:t>（见</w:t>
      </w:r>
      <w:r>
        <w:rPr>
          <w:spacing w:val="-55"/>
          <w:sz w:val="21"/>
        </w:rPr>
        <w:t> </w:t>
      </w:r>
      <w:r>
        <w:rPr>
          <w:sz w:val="21"/>
        </w:rPr>
        <w:t>10.1）计算，投保本合同时被保险人的年龄须为：</w:t>
      </w:r>
    </w:p>
    <w:p>
      <w:pPr>
        <w:pStyle w:val="BodyText"/>
        <w:spacing w:before="11"/>
        <w:rPr>
          <w:sz w:val="15"/>
        </w:rPr>
      </w:pPr>
    </w:p>
    <w:tbl>
      <w:tblPr>
        <w:tblW w:w="0" w:type="auto"/>
        <w:jc w:val="left"/>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3714"/>
      </w:tblGrid>
      <w:tr>
        <w:trPr>
          <w:trHeight w:val="468" w:hRule="atLeast"/>
        </w:trPr>
        <w:tc>
          <w:tcPr>
            <w:tcW w:w="2321" w:type="dxa"/>
          </w:tcPr>
          <w:p>
            <w:pPr>
              <w:pStyle w:val="TableParagraph"/>
              <w:spacing w:line="266" w:lineRule="exact"/>
              <w:ind w:left="107"/>
              <w:rPr>
                <w:sz w:val="22"/>
              </w:rPr>
            </w:pPr>
            <w:r>
              <w:rPr>
                <w:w w:val="95"/>
                <w:sz w:val="22"/>
              </w:rPr>
              <w:t>交费方式</w:t>
            </w:r>
          </w:p>
        </w:tc>
        <w:tc>
          <w:tcPr>
            <w:tcW w:w="3714" w:type="dxa"/>
          </w:tcPr>
          <w:p>
            <w:pPr>
              <w:pStyle w:val="TableParagraph"/>
              <w:spacing w:line="261" w:lineRule="exact"/>
              <w:ind w:left="1416" w:right="1408"/>
              <w:jc w:val="center"/>
              <w:rPr>
                <w:sz w:val="21"/>
              </w:rPr>
            </w:pPr>
            <w:r>
              <w:rPr>
                <w:sz w:val="21"/>
              </w:rPr>
              <w:t>投保年龄</w:t>
            </w:r>
          </w:p>
        </w:tc>
      </w:tr>
      <w:tr>
        <w:trPr>
          <w:trHeight w:val="467" w:hRule="atLeast"/>
        </w:trPr>
        <w:tc>
          <w:tcPr>
            <w:tcW w:w="2321" w:type="dxa"/>
          </w:tcPr>
          <w:p>
            <w:pPr>
              <w:pStyle w:val="TableParagraph"/>
              <w:spacing w:line="265" w:lineRule="exact"/>
              <w:ind w:left="107"/>
              <w:rPr>
                <w:sz w:val="22"/>
              </w:rPr>
            </w:pPr>
            <w:r>
              <w:rPr>
                <w:w w:val="95"/>
                <w:sz w:val="22"/>
              </w:rPr>
              <w:t>一次性交清</w:t>
            </w:r>
          </w:p>
        </w:tc>
        <w:tc>
          <w:tcPr>
            <w:tcW w:w="3714" w:type="dxa"/>
          </w:tcPr>
          <w:p>
            <w:pPr>
              <w:pStyle w:val="TableParagraph"/>
              <w:spacing w:line="260" w:lineRule="exact"/>
              <w:ind w:left="107"/>
              <w:rPr>
                <w:sz w:val="21"/>
              </w:rPr>
            </w:pPr>
            <w:r>
              <w:rPr>
                <w:sz w:val="21"/>
              </w:rPr>
              <w:t>0 周岁（出生满 28 天）至 65 周岁</w:t>
            </w:r>
          </w:p>
        </w:tc>
      </w:tr>
      <w:tr>
        <w:trPr>
          <w:trHeight w:val="467" w:hRule="atLeast"/>
        </w:trPr>
        <w:tc>
          <w:tcPr>
            <w:tcW w:w="2321" w:type="dxa"/>
          </w:tcPr>
          <w:p>
            <w:pPr>
              <w:pStyle w:val="TableParagraph"/>
              <w:spacing w:line="265" w:lineRule="exact"/>
              <w:ind w:left="107"/>
              <w:rPr>
                <w:sz w:val="22"/>
              </w:rPr>
            </w:pPr>
            <w:r>
              <w:rPr>
                <w:sz w:val="22"/>
              </w:rPr>
              <w:t>3 年期交</w:t>
            </w:r>
          </w:p>
        </w:tc>
        <w:tc>
          <w:tcPr>
            <w:tcW w:w="3714" w:type="dxa"/>
          </w:tcPr>
          <w:p>
            <w:pPr>
              <w:pStyle w:val="TableParagraph"/>
              <w:spacing w:line="260" w:lineRule="exact"/>
              <w:ind w:left="107"/>
              <w:rPr>
                <w:sz w:val="21"/>
              </w:rPr>
            </w:pPr>
            <w:r>
              <w:rPr>
                <w:sz w:val="21"/>
              </w:rPr>
              <w:t>0 周岁（出生满 28 天）至 60 周岁</w:t>
            </w:r>
          </w:p>
        </w:tc>
      </w:tr>
      <w:tr>
        <w:trPr>
          <w:trHeight w:val="468" w:hRule="atLeast"/>
        </w:trPr>
        <w:tc>
          <w:tcPr>
            <w:tcW w:w="2321" w:type="dxa"/>
          </w:tcPr>
          <w:p>
            <w:pPr>
              <w:pStyle w:val="TableParagraph"/>
              <w:spacing w:line="266" w:lineRule="exact"/>
              <w:ind w:left="107"/>
              <w:rPr>
                <w:sz w:val="22"/>
              </w:rPr>
            </w:pPr>
            <w:r>
              <w:rPr>
                <w:sz w:val="22"/>
              </w:rPr>
              <w:t>5 年期交</w:t>
            </w:r>
          </w:p>
        </w:tc>
        <w:tc>
          <w:tcPr>
            <w:tcW w:w="3714" w:type="dxa"/>
          </w:tcPr>
          <w:p>
            <w:pPr>
              <w:pStyle w:val="TableParagraph"/>
              <w:spacing w:line="261" w:lineRule="exact"/>
              <w:ind w:left="107"/>
              <w:rPr>
                <w:sz w:val="21"/>
              </w:rPr>
            </w:pPr>
            <w:r>
              <w:rPr>
                <w:sz w:val="21"/>
              </w:rPr>
              <w:t>0 周岁（出生满 28 天）至 60 周岁</w:t>
            </w:r>
          </w:p>
        </w:tc>
      </w:tr>
      <w:tr>
        <w:trPr>
          <w:trHeight w:val="467" w:hRule="atLeast"/>
        </w:trPr>
        <w:tc>
          <w:tcPr>
            <w:tcW w:w="2321" w:type="dxa"/>
          </w:tcPr>
          <w:p>
            <w:pPr>
              <w:pStyle w:val="TableParagraph"/>
              <w:spacing w:line="265" w:lineRule="exact"/>
              <w:ind w:left="107"/>
              <w:rPr>
                <w:sz w:val="22"/>
              </w:rPr>
            </w:pPr>
            <w:r>
              <w:rPr>
                <w:sz w:val="22"/>
              </w:rPr>
              <w:t>10 年期交</w:t>
            </w:r>
          </w:p>
        </w:tc>
        <w:tc>
          <w:tcPr>
            <w:tcW w:w="3714" w:type="dxa"/>
          </w:tcPr>
          <w:p>
            <w:pPr>
              <w:pStyle w:val="TableParagraph"/>
              <w:spacing w:line="260" w:lineRule="exact"/>
              <w:ind w:left="107"/>
              <w:rPr>
                <w:sz w:val="21"/>
              </w:rPr>
            </w:pPr>
            <w:r>
              <w:rPr>
                <w:sz w:val="21"/>
              </w:rPr>
              <w:t>0 周岁（出生满 28 天）至 55 周岁</w:t>
            </w:r>
          </w:p>
        </w:tc>
      </w:tr>
      <w:tr>
        <w:trPr>
          <w:trHeight w:val="467" w:hRule="atLeast"/>
        </w:trPr>
        <w:tc>
          <w:tcPr>
            <w:tcW w:w="2321" w:type="dxa"/>
          </w:tcPr>
          <w:p>
            <w:pPr>
              <w:pStyle w:val="TableParagraph"/>
              <w:spacing w:line="265" w:lineRule="exact"/>
              <w:ind w:left="107"/>
              <w:rPr>
                <w:sz w:val="22"/>
              </w:rPr>
            </w:pPr>
            <w:r>
              <w:rPr>
                <w:sz w:val="22"/>
              </w:rPr>
              <w:t>15 年期交</w:t>
            </w:r>
          </w:p>
        </w:tc>
        <w:tc>
          <w:tcPr>
            <w:tcW w:w="3714" w:type="dxa"/>
          </w:tcPr>
          <w:p>
            <w:pPr>
              <w:pStyle w:val="TableParagraph"/>
              <w:spacing w:line="260" w:lineRule="exact"/>
              <w:ind w:left="107"/>
              <w:rPr>
                <w:sz w:val="21"/>
              </w:rPr>
            </w:pPr>
            <w:r>
              <w:rPr>
                <w:sz w:val="21"/>
              </w:rPr>
              <w:t>0 周岁（出生满 28 天）至 50 周岁</w:t>
            </w:r>
          </w:p>
        </w:tc>
      </w:tr>
      <w:tr>
        <w:trPr>
          <w:trHeight w:val="468" w:hRule="atLeast"/>
        </w:trPr>
        <w:tc>
          <w:tcPr>
            <w:tcW w:w="2321" w:type="dxa"/>
          </w:tcPr>
          <w:p>
            <w:pPr>
              <w:pStyle w:val="TableParagraph"/>
              <w:spacing w:line="266" w:lineRule="exact"/>
              <w:ind w:left="107"/>
              <w:rPr>
                <w:sz w:val="22"/>
              </w:rPr>
            </w:pPr>
            <w:r>
              <w:rPr>
                <w:sz w:val="22"/>
              </w:rPr>
              <w:t>20 年期交</w:t>
            </w:r>
          </w:p>
        </w:tc>
        <w:tc>
          <w:tcPr>
            <w:tcW w:w="3714" w:type="dxa"/>
          </w:tcPr>
          <w:p>
            <w:pPr>
              <w:pStyle w:val="TableParagraph"/>
              <w:spacing w:line="261" w:lineRule="exact"/>
              <w:ind w:left="107"/>
              <w:rPr>
                <w:sz w:val="21"/>
              </w:rPr>
            </w:pPr>
            <w:r>
              <w:rPr>
                <w:sz w:val="21"/>
              </w:rPr>
              <w:t>0 周岁（出生满 28 天）至 45 周岁</w:t>
            </w:r>
          </w:p>
        </w:tc>
      </w:tr>
    </w:tbl>
    <w:p>
      <w:pPr>
        <w:pStyle w:val="ListParagraph"/>
        <w:numPr>
          <w:ilvl w:val="1"/>
          <w:numId w:val="2"/>
        </w:numPr>
        <w:tabs>
          <w:tab w:pos="1008" w:val="left" w:leader="none"/>
        </w:tabs>
        <w:spacing w:line="273" w:lineRule="auto" w:before="155" w:after="0"/>
        <w:ind w:left="2533" w:right="214" w:hanging="2319"/>
        <w:jc w:val="both"/>
        <w:rPr>
          <w:sz w:val="21"/>
        </w:rPr>
      </w:pPr>
      <w:r>
        <w:rPr>
          <w:b/>
          <w:spacing w:val="3"/>
          <w:sz w:val="21"/>
        </w:rPr>
        <w:t>犹豫期       </w:t>
      </w:r>
      <w:r>
        <w:rPr>
          <w:spacing w:val="-6"/>
          <w:sz w:val="21"/>
        </w:rPr>
        <w:t>自您签收本合同之日起，有 </w:t>
      </w:r>
      <w:r>
        <w:rPr>
          <w:sz w:val="21"/>
        </w:rPr>
        <w:t>10</w:t>
      </w:r>
      <w:r>
        <w:rPr>
          <w:spacing w:val="-30"/>
          <w:sz w:val="21"/>
        </w:rPr>
        <w:t> 天</w:t>
      </w:r>
      <w:r>
        <w:rPr>
          <w:sz w:val="21"/>
        </w:rPr>
        <w:t>（含</w:t>
      </w:r>
      <w:r>
        <w:rPr>
          <w:spacing w:val="-7"/>
          <w:sz w:val="21"/>
        </w:rPr>
        <w:t>）</w:t>
      </w:r>
      <w:r>
        <w:rPr>
          <w:spacing w:val="-3"/>
          <w:sz w:val="21"/>
        </w:rPr>
        <w:t>的犹豫期。在此期间，请您认真阅读本</w:t>
      </w:r>
      <w:r>
        <w:rPr>
          <w:spacing w:val="-9"/>
          <w:sz w:val="21"/>
        </w:rPr>
        <w:t>合同，您可以在此期间提出解除本合同，我们将扣除不超过 </w:t>
      </w:r>
      <w:r>
        <w:rPr>
          <w:sz w:val="21"/>
        </w:rPr>
        <w:t>10</w:t>
      </w:r>
      <w:r>
        <w:rPr>
          <w:spacing w:val="-10"/>
          <w:sz w:val="21"/>
        </w:rPr>
        <w:t> 元的工本费后无息退还您所交纳的保险费。</w:t>
      </w:r>
    </w:p>
    <w:p>
      <w:pPr>
        <w:pStyle w:val="BodyText"/>
        <w:spacing w:line="273" w:lineRule="auto" w:before="163"/>
        <w:ind w:left="2533" w:right="288"/>
      </w:pPr>
      <w:r>
        <w:rPr/>
        <w:t>在犹豫期内解除本合同时，您需要填写申请书，并提供您的保险合同、交费凭证及</w:t>
      </w:r>
      <w:r>
        <w:rPr>
          <w:b/>
          <w:w w:val="99"/>
        </w:rPr>
        <w:t>有效身份证件</w:t>
      </w:r>
      <w:r>
        <w:rPr>
          <w:spacing w:val="-1"/>
        </w:rPr>
        <w:t>（</w:t>
      </w:r>
      <w:r>
        <w:rPr>
          <w:spacing w:val="-27"/>
        </w:rPr>
        <w:t>见 </w:t>
      </w:r>
      <w:r>
        <w:rPr>
          <w:spacing w:val="-1"/>
        </w:rPr>
        <w:t>1</w:t>
      </w:r>
      <w:r>
        <w:rPr/>
        <w:t>0</w:t>
      </w:r>
      <w:r>
        <w:rPr>
          <w:spacing w:val="-1"/>
        </w:rPr>
        <w:t>.</w:t>
      </w:r>
      <w:r>
        <w:rPr/>
        <w:t>2</w:t>
      </w:r>
      <w:r>
        <w:rPr>
          <w:spacing w:val="-105"/>
        </w:rPr>
        <w:t>）</w:t>
      </w:r>
      <w:r>
        <w:rPr/>
        <w:t>。</w:t>
      </w:r>
    </w:p>
    <w:p>
      <w:pPr>
        <w:pStyle w:val="Heading3"/>
        <w:spacing w:line="273" w:lineRule="auto" w:before="163"/>
        <w:ind w:left="2533" w:right="262"/>
      </w:pPr>
      <w:r>
        <w:rPr/>
        <w:t>自我们收到您解除合同的书面申请时起，本合同即被解除，合同解除前发生的</w:t>
      </w:r>
      <w:r>
        <w:rPr>
          <w:w w:val="95"/>
        </w:rPr>
        <w:t>保险事故我们不承担责任。</w:t>
      </w:r>
    </w:p>
    <w:p>
      <w:pPr>
        <w:spacing w:after="0" w:line="273" w:lineRule="auto"/>
        <w:sectPr>
          <w:type w:val="continuous"/>
          <w:pgSz w:w="11910" w:h="16840"/>
          <w:pgMar w:top="1600" w:bottom="1200" w:left="920" w:right="1020"/>
        </w:sectPr>
      </w:pPr>
    </w:p>
    <w:p>
      <w:pPr>
        <w:pStyle w:val="ListParagraph"/>
        <w:numPr>
          <w:ilvl w:val="0"/>
          <w:numId w:val="2"/>
        </w:numPr>
        <w:tabs>
          <w:tab w:pos="1006" w:val="left" w:leader="none"/>
          <w:tab w:pos="1007" w:val="left" w:leader="none"/>
        </w:tabs>
        <w:spacing w:line="240" w:lineRule="auto" w:before="4" w:after="0"/>
        <w:ind w:left="1006" w:right="0" w:hanging="792"/>
        <w:jc w:val="left"/>
        <w:rPr>
          <w:b/>
          <w:sz w:val="24"/>
        </w:rPr>
      </w:pPr>
      <w:r>
        <w:rPr>
          <w:b/>
          <w:sz w:val="24"/>
        </w:rPr>
        <w:t>我们提供的保障</w:t>
      </w:r>
    </w:p>
    <w:p>
      <w:pPr>
        <w:pStyle w:val="BodyText"/>
        <w:spacing w:before="7"/>
        <w:rPr>
          <w:b/>
          <w:sz w:val="15"/>
        </w:rPr>
      </w:pPr>
      <w:r>
        <w:rPr/>
        <w:pict>
          <v:line style="position:absolute;mso-position-horizontal-relative:page;mso-position-vertical-relative:paragraph;z-index:1168;mso-wrap-distance-left:0;mso-wrap-distance-right:0" from="51.299999pt,12.648692pt" to="538.799999pt,12.648692pt" stroked="true" strokeweight=".95996pt" strokecolor="#000000">
            <v:stroke dashstyle="solid"/>
            <w10:wrap type="topAndBottom"/>
          </v:line>
        </w:pict>
      </w:r>
    </w:p>
    <w:p>
      <w:pPr>
        <w:pStyle w:val="BodyText"/>
        <w:spacing w:before="5"/>
        <w:rPr>
          <w:b/>
          <w:sz w:val="5"/>
        </w:rPr>
      </w:pPr>
    </w:p>
    <w:p>
      <w:pPr>
        <w:pStyle w:val="ListParagraph"/>
        <w:numPr>
          <w:ilvl w:val="1"/>
          <w:numId w:val="2"/>
        </w:numPr>
        <w:tabs>
          <w:tab w:pos="1007" w:val="left" w:leader="none"/>
          <w:tab w:pos="1008" w:val="left" w:leader="none"/>
          <w:tab w:pos="2533" w:val="left" w:leader="none"/>
        </w:tabs>
        <w:spacing w:line="273" w:lineRule="auto" w:before="35" w:after="0"/>
        <w:ind w:left="2533" w:right="288" w:hanging="2319"/>
        <w:jc w:val="left"/>
        <w:rPr>
          <w:sz w:val="21"/>
        </w:rPr>
      </w:pPr>
      <w:r>
        <w:rPr>
          <w:b/>
          <w:sz w:val="21"/>
        </w:rPr>
        <w:t>基本保险金额</w:t>
        <w:tab/>
      </w:r>
      <w:r>
        <w:rPr>
          <w:sz w:val="21"/>
        </w:rPr>
        <w:t>本合同的基本保险金额由您在投保时与我们约定并在保险合同上载明。若金额发生变更，则以变更后的金额为基本保险金额。</w:t>
      </w:r>
    </w:p>
    <w:p>
      <w:pPr>
        <w:pStyle w:val="BodyText"/>
        <w:spacing w:before="6"/>
        <w:rPr>
          <w:sz w:val="25"/>
        </w:rPr>
      </w:pPr>
    </w:p>
    <w:p>
      <w:pPr>
        <w:pStyle w:val="ListParagraph"/>
        <w:numPr>
          <w:ilvl w:val="1"/>
          <w:numId w:val="2"/>
        </w:numPr>
        <w:tabs>
          <w:tab w:pos="1007" w:val="left" w:leader="none"/>
          <w:tab w:pos="1008" w:val="left" w:leader="none"/>
          <w:tab w:pos="2533" w:val="left" w:leader="none"/>
        </w:tabs>
        <w:spacing w:line="273" w:lineRule="auto" w:before="0" w:after="0"/>
        <w:ind w:left="2533" w:right="288" w:hanging="2319"/>
        <w:jc w:val="left"/>
        <w:rPr>
          <w:sz w:val="21"/>
        </w:rPr>
      </w:pPr>
      <w:r>
        <w:rPr>
          <w:b/>
          <w:sz w:val="21"/>
        </w:rPr>
        <w:t>保险期间</w:t>
        <w:tab/>
      </w:r>
      <w:r>
        <w:rPr>
          <w:sz w:val="21"/>
        </w:rPr>
        <w:t>本合同的保险期间为终身。除合同另有约定外，本合同的保险期间自本合同生效日起，至被保险人身故时止。</w:t>
      </w:r>
    </w:p>
    <w:p>
      <w:pPr>
        <w:pStyle w:val="BodyText"/>
        <w:spacing w:before="5"/>
        <w:rPr>
          <w:sz w:val="25"/>
        </w:rPr>
      </w:pPr>
    </w:p>
    <w:p>
      <w:pPr>
        <w:pStyle w:val="ListParagraph"/>
        <w:numPr>
          <w:ilvl w:val="1"/>
          <w:numId w:val="2"/>
        </w:numPr>
        <w:tabs>
          <w:tab w:pos="1007" w:val="left" w:leader="none"/>
          <w:tab w:pos="1008" w:val="left" w:leader="none"/>
          <w:tab w:pos="2533" w:val="left" w:leader="none"/>
        </w:tabs>
        <w:spacing w:line="240" w:lineRule="auto" w:before="0" w:after="0"/>
        <w:ind w:left="1007" w:right="0" w:hanging="793"/>
        <w:jc w:val="left"/>
        <w:rPr>
          <w:sz w:val="21"/>
        </w:rPr>
      </w:pPr>
      <w:r>
        <w:rPr>
          <w:b/>
          <w:sz w:val="21"/>
        </w:rPr>
        <w:t>保险责任</w:t>
        <w:tab/>
      </w:r>
      <w:r>
        <w:rPr>
          <w:sz w:val="21"/>
        </w:rPr>
        <w:t>在本合同保险期间内，我们按以下约定承担保险责任：</w:t>
      </w:r>
    </w:p>
    <w:p>
      <w:pPr>
        <w:pStyle w:val="BodyText"/>
        <w:spacing w:before="2"/>
        <w:rPr>
          <w:sz w:val="19"/>
        </w:rPr>
      </w:pPr>
    </w:p>
    <w:p>
      <w:pPr>
        <w:pStyle w:val="ListParagraph"/>
        <w:numPr>
          <w:ilvl w:val="0"/>
          <w:numId w:val="3"/>
        </w:numPr>
        <w:tabs>
          <w:tab w:pos="2894" w:val="left" w:leader="none"/>
        </w:tabs>
        <w:spacing w:line="240" w:lineRule="auto" w:before="0" w:after="0"/>
        <w:ind w:left="2893" w:right="0" w:hanging="360"/>
        <w:jc w:val="left"/>
        <w:rPr>
          <w:sz w:val="21"/>
        </w:rPr>
      </w:pPr>
      <w:r>
        <w:rPr>
          <w:sz w:val="21"/>
        </w:rPr>
        <w:t>身故保险金</w:t>
      </w:r>
    </w:p>
    <w:p>
      <w:pPr>
        <w:pStyle w:val="BodyText"/>
        <w:spacing w:before="8"/>
        <w:rPr>
          <w:sz w:val="15"/>
        </w:rPr>
      </w:pPr>
    </w:p>
    <w:p>
      <w:pPr>
        <w:pStyle w:val="ListParagraph"/>
        <w:numPr>
          <w:ilvl w:val="0"/>
          <w:numId w:val="4"/>
        </w:numPr>
        <w:tabs>
          <w:tab w:pos="3254" w:val="left" w:leader="none"/>
        </w:tabs>
        <w:spacing w:line="314" w:lineRule="auto" w:before="1" w:after="0"/>
        <w:ind w:left="3253" w:right="240" w:hanging="720"/>
        <w:jc w:val="left"/>
        <w:rPr>
          <w:sz w:val="21"/>
        </w:rPr>
      </w:pPr>
      <w:r>
        <w:rPr>
          <w:sz w:val="21"/>
        </w:rPr>
        <w:t>若被保险人在年满18</w:t>
      </w:r>
      <w:r>
        <w:rPr>
          <w:spacing w:val="-3"/>
          <w:sz w:val="21"/>
        </w:rPr>
        <w:t>周岁后的首个保险单周年日前身故，我们无息返还</w:t>
      </w:r>
      <w:r>
        <w:rPr>
          <w:b/>
          <w:spacing w:val="-3"/>
          <w:w w:val="95"/>
          <w:sz w:val="21"/>
        </w:rPr>
        <w:t>累计所交保险费</w:t>
      </w:r>
      <w:r>
        <w:rPr>
          <w:spacing w:val="-3"/>
          <w:w w:val="95"/>
          <w:sz w:val="21"/>
        </w:rPr>
        <w:t>，同时本合同效力终止；</w:t>
      </w:r>
    </w:p>
    <w:p>
      <w:pPr>
        <w:pStyle w:val="ListParagraph"/>
        <w:numPr>
          <w:ilvl w:val="0"/>
          <w:numId w:val="4"/>
        </w:numPr>
        <w:tabs>
          <w:tab w:pos="3254" w:val="left" w:leader="none"/>
        </w:tabs>
        <w:spacing w:line="240" w:lineRule="auto" w:before="140" w:after="0"/>
        <w:ind w:left="3253" w:right="0" w:hanging="720"/>
        <w:jc w:val="left"/>
        <w:rPr>
          <w:sz w:val="21"/>
        </w:rPr>
      </w:pPr>
      <w:r>
        <w:rPr>
          <w:sz w:val="21"/>
        </w:rPr>
        <w:t>若被保险人于本合同生效之日或最后复效之日（以较迟者为准）起1年</w:t>
      </w:r>
    </w:p>
    <w:p>
      <w:pPr>
        <w:pStyle w:val="BodyText"/>
        <w:spacing w:line="314" w:lineRule="auto" w:before="85"/>
        <w:ind w:left="3253" w:right="237"/>
        <w:jc w:val="both"/>
      </w:pPr>
      <w:r>
        <w:rPr/>
        <w:t>（含第1个保单周年日）内身故，我们无息返还</w:t>
      </w:r>
      <w:r>
        <w:rPr>
          <w:b/>
        </w:rPr>
        <w:t>累计所交保险费</w:t>
      </w:r>
      <w:r>
        <w:rPr/>
        <w:t>，同时本合同效力终止；</w:t>
      </w:r>
    </w:p>
    <w:p>
      <w:pPr>
        <w:pStyle w:val="ListParagraph"/>
        <w:numPr>
          <w:ilvl w:val="0"/>
          <w:numId w:val="4"/>
        </w:numPr>
        <w:tabs>
          <w:tab w:pos="3254" w:val="left" w:leader="none"/>
        </w:tabs>
        <w:spacing w:line="314" w:lineRule="auto" w:before="140" w:after="0"/>
        <w:ind w:left="3253" w:right="136" w:hanging="720"/>
        <w:jc w:val="left"/>
        <w:rPr>
          <w:sz w:val="21"/>
        </w:rPr>
      </w:pPr>
      <w:r>
        <w:rPr>
          <w:sz w:val="21"/>
        </w:rPr>
        <w:t>若被保险人于本合同生效之日或最后复效之日（以较迟者为准）起1年</w:t>
      </w:r>
      <w:r>
        <w:rPr>
          <w:spacing w:val="-9"/>
          <w:sz w:val="21"/>
        </w:rPr>
        <w:t>后身故，且被保险人身故时处于年满</w:t>
      </w:r>
      <w:r>
        <w:rPr>
          <w:sz w:val="21"/>
        </w:rPr>
        <w:t>18</w:t>
      </w:r>
      <w:r>
        <w:rPr>
          <w:spacing w:val="-7"/>
          <w:sz w:val="21"/>
        </w:rPr>
        <w:t>周岁后的首个保险单周年日</w:t>
      </w:r>
      <w:r>
        <w:rPr>
          <w:sz w:val="21"/>
        </w:rPr>
        <w:t>（含） 后，我们按基本保险金额给付身故保险金，同时本合同效力终止。</w:t>
      </w:r>
    </w:p>
    <w:p>
      <w:pPr>
        <w:pStyle w:val="ListParagraph"/>
        <w:numPr>
          <w:ilvl w:val="0"/>
          <w:numId w:val="3"/>
        </w:numPr>
        <w:tabs>
          <w:tab w:pos="2894" w:val="left" w:leader="none"/>
        </w:tabs>
        <w:spacing w:line="240" w:lineRule="auto" w:before="140" w:after="0"/>
        <w:ind w:left="2893" w:right="0" w:hanging="360"/>
        <w:jc w:val="left"/>
        <w:rPr>
          <w:sz w:val="21"/>
        </w:rPr>
      </w:pPr>
      <w:r>
        <w:rPr>
          <w:sz w:val="21"/>
        </w:rPr>
        <w:t>重大疾病保险金</w:t>
      </w:r>
    </w:p>
    <w:p>
      <w:pPr>
        <w:pStyle w:val="ListParagraph"/>
        <w:numPr>
          <w:ilvl w:val="0"/>
          <w:numId w:val="5"/>
        </w:numPr>
        <w:tabs>
          <w:tab w:pos="3254" w:val="left" w:leader="none"/>
        </w:tabs>
        <w:spacing w:line="240" w:lineRule="auto" w:before="147" w:after="0"/>
        <w:ind w:left="3253" w:right="0" w:hanging="720"/>
        <w:jc w:val="left"/>
        <w:rPr>
          <w:sz w:val="21"/>
        </w:rPr>
      </w:pPr>
      <w:r>
        <w:rPr>
          <w:spacing w:val="-1"/>
          <w:sz w:val="21"/>
        </w:rPr>
        <w:t>若被保险人于本合同生效之日或最后复效之日</w:t>
      </w:r>
      <w:r>
        <w:rPr>
          <w:sz w:val="21"/>
        </w:rPr>
        <w:t>（以较迟者为准</w:t>
      </w:r>
      <w:r>
        <w:rPr>
          <w:spacing w:val="-9"/>
          <w:sz w:val="21"/>
        </w:rPr>
        <w:t>）</w:t>
      </w:r>
      <w:r>
        <w:rPr>
          <w:spacing w:val="-27"/>
          <w:sz w:val="21"/>
        </w:rPr>
        <w:t>起 </w:t>
      </w:r>
      <w:r>
        <w:rPr>
          <w:sz w:val="21"/>
        </w:rPr>
        <w:t>1</w:t>
      </w:r>
      <w:r>
        <w:rPr>
          <w:spacing w:val="-27"/>
          <w:sz w:val="21"/>
        </w:rPr>
        <w:t> 年</w:t>
      </w:r>
    </w:p>
    <w:p>
      <w:pPr>
        <w:pStyle w:val="BodyText"/>
        <w:spacing w:before="36"/>
        <w:ind w:left="3253"/>
      </w:pPr>
      <w:r>
        <w:rPr/>
        <w:t>（</w:t>
      </w:r>
      <w:r>
        <w:rPr>
          <w:spacing w:val="-19"/>
        </w:rPr>
        <w:t>含第 </w:t>
      </w:r>
      <w:r>
        <w:rPr/>
        <w:t>1</w:t>
      </w:r>
      <w:r>
        <w:rPr>
          <w:spacing w:val="-9"/>
        </w:rPr>
        <w:t> 个保单周年日</w:t>
      </w:r>
      <w:r>
        <w:rPr>
          <w:spacing w:val="-71"/>
        </w:rPr>
        <w:t>）</w:t>
      </w:r>
      <w:r>
        <w:rPr/>
        <w:t>内在我们认可的</w:t>
      </w:r>
      <w:r>
        <w:rPr>
          <w:b/>
          <w:spacing w:val="-35"/>
        </w:rPr>
        <w:t>医院</w:t>
      </w:r>
      <w:r>
        <w:rPr/>
        <w:t>（</w:t>
      </w:r>
      <w:r>
        <w:rPr>
          <w:spacing w:val="-28"/>
        </w:rPr>
        <w:t>见 </w:t>
      </w:r>
      <w:r>
        <w:rPr>
          <w:spacing w:val="-15"/>
        </w:rPr>
        <w:t>10.3）</w:t>
      </w:r>
      <w:r>
        <w:rPr/>
        <w:t>由</w:t>
      </w:r>
      <w:r>
        <w:rPr>
          <w:b/>
          <w:spacing w:val="-18"/>
        </w:rPr>
        <w:t>专科医生</w:t>
      </w:r>
      <w:r>
        <w:rPr/>
        <w:t>（见</w:t>
      </w:r>
    </w:p>
    <w:p>
      <w:pPr>
        <w:pStyle w:val="BodyText"/>
        <w:spacing w:line="273" w:lineRule="auto" w:before="36"/>
        <w:ind w:left="3253" w:right="247" w:hanging="1"/>
        <w:jc w:val="both"/>
      </w:pPr>
      <w:r>
        <w:rPr/>
        <w:t>10.4）</w:t>
      </w:r>
      <w:r>
        <w:rPr>
          <w:spacing w:val="-1"/>
        </w:rPr>
        <w:t>确诊首次患本合同所列的</w:t>
      </w:r>
      <w:r>
        <w:rPr>
          <w:b/>
          <w:spacing w:val="0"/>
          <w:w w:val="99"/>
        </w:rPr>
        <w:t>重大疾病</w:t>
      </w:r>
      <w:r>
        <w:rPr>
          <w:spacing w:val="-1"/>
        </w:rPr>
        <w:t>（</w:t>
      </w:r>
      <w:r>
        <w:rPr>
          <w:spacing w:val="-27"/>
        </w:rPr>
        <w:t>见 </w:t>
      </w:r>
      <w:r>
        <w:rPr>
          <w:spacing w:val="-1"/>
        </w:rPr>
        <w:t>1</w:t>
      </w:r>
      <w:r>
        <w:rPr/>
        <w:t>0</w:t>
      </w:r>
      <w:r>
        <w:rPr>
          <w:spacing w:val="-1"/>
        </w:rPr>
        <w:t>.</w:t>
      </w:r>
      <w:r>
        <w:rPr/>
        <w:t>5</w:t>
      </w:r>
      <w:r>
        <w:rPr>
          <w:spacing w:val="-105"/>
        </w:rPr>
        <w:t>）</w:t>
      </w:r>
      <w:r>
        <w:rPr>
          <w:spacing w:val="-1"/>
        </w:rPr>
        <w:t>，并符合本合同约</w:t>
      </w:r>
      <w:r>
        <w:rPr>
          <w:spacing w:val="-3"/>
        </w:rPr>
        <w:t>定的给付重大疾病保险金条件的，且自确诊之日起 </w:t>
      </w:r>
      <w:r>
        <w:rPr/>
        <w:t>30</w:t>
      </w:r>
      <w:r>
        <w:rPr>
          <w:spacing w:val="-8"/>
        </w:rPr>
        <w:t> 天后仍生存，我</w:t>
      </w:r>
      <w:r>
        <w:rPr>
          <w:spacing w:val="-8"/>
          <w:w w:val="95"/>
        </w:rPr>
        <w:t>们将无息返还</w:t>
      </w:r>
      <w:r>
        <w:rPr>
          <w:b/>
          <w:spacing w:val="-8"/>
          <w:w w:val="95"/>
        </w:rPr>
        <w:t>累计所交保险费</w:t>
      </w:r>
      <w:r>
        <w:rPr>
          <w:spacing w:val="-8"/>
          <w:w w:val="95"/>
        </w:rPr>
        <w:t>，同时本合同效力终止。</w:t>
      </w:r>
    </w:p>
    <w:p>
      <w:pPr>
        <w:pStyle w:val="ListParagraph"/>
        <w:numPr>
          <w:ilvl w:val="0"/>
          <w:numId w:val="5"/>
        </w:numPr>
        <w:tabs>
          <w:tab w:pos="3254" w:val="left" w:leader="none"/>
        </w:tabs>
        <w:spacing w:line="273" w:lineRule="auto" w:before="163" w:after="0"/>
        <w:ind w:left="3253" w:right="198" w:hanging="720"/>
        <w:jc w:val="left"/>
        <w:rPr>
          <w:sz w:val="21"/>
        </w:rPr>
      </w:pPr>
      <w:r>
        <w:rPr>
          <w:sz w:val="21"/>
        </w:rPr>
        <w:t>若被保险人于自本合同生效之日或最后复效之日（以较迟者为准）</w:t>
      </w:r>
      <w:r>
        <w:rPr>
          <w:spacing w:val="-27"/>
          <w:sz w:val="21"/>
        </w:rPr>
        <w:t>起 </w:t>
      </w:r>
      <w:r>
        <w:rPr>
          <w:sz w:val="21"/>
        </w:rPr>
        <w:t>1 年后在我们认可的医院由专科医生确诊首次患本合同所列的重大疾病， </w:t>
      </w:r>
      <w:r>
        <w:rPr>
          <w:spacing w:val="-2"/>
          <w:sz w:val="21"/>
        </w:rPr>
        <w:t>并符合本合同约定的给付重大疾病保险金条件的，且自确诊之日起 </w:t>
      </w:r>
      <w:r>
        <w:rPr>
          <w:sz w:val="21"/>
        </w:rPr>
        <w:t>30 天后仍生存，我们将按本合同约定的基本保险金额给付重大疾病保险 金，同时本合同效力终止。</w:t>
      </w:r>
    </w:p>
    <w:p>
      <w:pPr>
        <w:pStyle w:val="ListParagraph"/>
        <w:numPr>
          <w:ilvl w:val="0"/>
          <w:numId w:val="3"/>
        </w:numPr>
        <w:tabs>
          <w:tab w:pos="2894" w:val="left" w:leader="none"/>
        </w:tabs>
        <w:spacing w:line="240" w:lineRule="auto" w:before="163" w:after="0"/>
        <w:ind w:left="2893" w:right="0" w:hanging="360"/>
        <w:jc w:val="left"/>
        <w:rPr>
          <w:sz w:val="21"/>
        </w:rPr>
      </w:pPr>
      <w:r>
        <w:rPr>
          <w:sz w:val="21"/>
        </w:rPr>
        <w:t>全面保障保险金</w:t>
      </w:r>
    </w:p>
    <w:p>
      <w:pPr>
        <w:pStyle w:val="BodyText"/>
        <w:spacing w:before="9"/>
        <w:rPr>
          <w:sz w:val="14"/>
        </w:rPr>
      </w:pPr>
    </w:p>
    <w:p>
      <w:pPr>
        <w:pStyle w:val="BodyText"/>
        <w:spacing w:line="273" w:lineRule="auto"/>
        <w:ind w:left="2533" w:right="215"/>
      </w:pPr>
      <w:r>
        <w:rPr/>
        <w:t>若被保险人于本合同生效之日或最后复效之日（以较迟者为准）</w:t>
      </w:r>
      <w:r>
        <w:rPr>
          <w:spacing w:val="-27"/>
        </w:rPr>
        <w:t>起 </w:t>
      </w:r>
      <w:r>
        <w:rPr/>
        <w:t>1</w:t>
      </w:r>
      <w:r>
        <w:rPr>
          <w:spacing w:val="-12"/>
        </w:rPr>
        <w:t> 年后被确诊因疾病或其他保险事故导致</w:t>
      </w:r>
      <w:r>
        <w:rPr>
          <w:b/>
          <w:spacing w:val="-5"/>
          <w:w w:val="99"/>
        </w:rPr>
        <w:t>自主生活能力完全丧失</w:t>
      </w:r>
      <w:r>
        <w:rPr>
          <w:spacing w:val="-1"/>
        </w:rPr>
        <w:t>（</w:t>
      </w:r>
      <w:r>
        <w:rPr>
          <w:spacing w:val="-27"/>
        </w:rPr>
        <w:t>见 </w:t>
      </w:r>
      <w:r>
        <w:rPr>
          <w:spacing w:val="-1"/>
        </w:rPr>
        <w:t>1</w:t>
      </w:r>
      <w:r>
        <w:rPr/>
        <w:t>0</w:t>
      </w:r>
      <w:r>
        <w:rPr>
          <w:spacing w:val="-1"/>
        </w:rPr>
        <w:t>.</w:t>
      </w:r>
      <w:r>
        <w:rPr/>
        <w:t>6</w:t>
      </w:r>
      <w:r>
        <w:rPr>
          <w:spacing w:val="-105"/>
        </w:rPr>
        <w:t>）</w:t>
      </w:r>
      <w:r>
        <w:rPr>
          <w:spacing w:val="-9"/>
        </w:rPr>
        <w:t>，且被保险人当</w:t>
      </w:r>
      <w:r>
        <w:rPr>
          <w:spacing w:val="-18"/>
        </w:rPr>
        <w:t>时已年满 </w:t>
      </w:r>
      <w:r>
        <w:rPr/>
        <w:t>6</w:t>
      </w:r>
      <w:r>
        <w:rPr>
          <w:spacing w:val="-8"/>
        </w:rPr>
        <w:t> 周岁，我们将按本合同约定的基本保险金额给付全面保障保险金， 同时本合同效力终止。</w:t>
      </w:r>
    </w:p>
    <w:p>
      <w:pPr>
        <w:pStyle w:val="BodyText"/>
        <w:rPr>
          <w:sz w:val="20"/>
        </w:rPr>
      </w:pPr>
    </w:p>
    <w:p>
      <w:pPr>
        <w:pStyle w:val="BodyText"/>
        <w:spacing w:before="3"/>
        <w:rPr>
          <w:sz w:val="28"/>
        </w:rPr>
      </w:pPr>
    </w:p>
    <w:p>
      <w:pPr>
        <w:pStyle w:val="Heading3"/>
        <w:spacing w:line="273" w:lineRule="auto"/>
        <w:ind w:left="2533" w:right="215"/>
      </w:pPr>
      <w:r>
        <w:rPr/>
        <w:t>若以上保险金已给付其中一项，则本合同效力终止，本公司将不再给付其他两</w:t>
      </w:r>
      <w:r>
        <w:rPr>
          <w:w w:val="95"/>
        </w:rPr>
        <w:t>项保险金中的任意一项。</w:t>
      </w:r>
    </w:p>
    <w:p>
      <w:pPr>
        <w:spacing w:after="0" w:line="273" w:lineRule="auto"/>
        <w:sectPr>
          <w:pgSz w:w="11910" w:h="16840"/>
          <w:pgMar w:header="0" w:footer="1008" w:top="1140" w:bottom="1200" w:left="920" w:right="1020"/>
        </w:sectPr>
      </w:pPr>
    </w:p>
    <w:p>
      <w:pPr>
        <w:spacing w:before="19"/>
        <w:ind w:left="2433" w:right="0" w:firstLine="0"/>
        <w:jc w:val="left"/>
        <w:rPr>
          <w:b/>
          <w:sz w:val="21"/>
        </w:rPr>
      </w:pPr>
      <w:r>
        <w:rPr>
          <w:b/>
          <w:w w:val="95"/>
          <w:sz w:val="21"/>
        </w:rPr>
        <w:t>累计所交保险费：</w:t>
      </w:r>
    </w:p>
    <w:p>
      <w:pPr>
        <w:pStyle w:val="BodyText"/>
        <w:spacing w:before="9"/>
        <w:rPr>
          <w:b/>
          <w:sz w:val="14"/>
        </w:rPr>
      </w:pPr>
    </w:p>
    <w:p>
      <w:pPr>
        <w:pStyle w:val="BodyText"/>
        <w:spacing w:before="1"/>
        <w:ind w:left="2433"/>
      </w:pPr>
      <w:r>
        <w:rPr/>
        <w:t>若在本合同保险期间内未发生减少基本保险金额：</w:t>
      </w:r>
    </w:p>
    <w:p>
      <w:pPr>
        <w:pStyle w:val="BodyText"/>
        <w:spacing w:before="10"/>
        <w:rPr>
          <w:sz w:val="14"/>
        </w:rPr>
      </w:pPr>
    </w:p>
    <w:p>
      <w:pPr>
        <w:pStyle w:val="BodyText"/>
        <w:spacing w:line="273" w:lineRule="auto"/>
        <w:ind w:left="2433" w:right="394"/>
      </w:pPr>
      <w:r>
        <w:rPr/>
        <w:t>累计所交保险费=本合同的年交保险费×已经过并实际交纳了保险费的保单年度数（交费期满后为交费年数</w:t>
      </w:r>
      <w:r>
        <w:rPr>
          <w:spacing w:val="-105"/>
        </w:rPr>
        <w:t>）</w:t>
      </w:r>
      <w:r>
        <w:rPr/>
        <w:t>；</w:t>
      </w:r>
    </w:p>
    <w:p>
      <w:pPr>
        <w:pStyle w:val="BodyText"/>
        <w:spacing w:before="163"/>
        <w:ind w:left="2433"/>
      </w:pPr>
      <w:r>
        <w:rPr/>
        <w:t>若在本合同保险期间内发生一次或多次减少基本保险金额：</w:t>
      </w:r>
    </w:p>
    <w:p>
      <w:pPr>
        <w:pStyle w:val="BodyText"/>
        <w:spacing w:before="1"/>
        <w:rPr>
          <w:sz w:val="19"/>
        </w:rPr>
      </w:pPr>
    </w:p>
    <w:p>
      <w:pPr>
        <w:pStyle w:val="BodyText"/>
        <w:spacing w:line="314" w:lineRule="auto"/>
        <w:ind w:left="2433" w:right="237"/>
        <w:jc w:val="both"/>
      </w:pPr>
      <w:r>
        <w:rPr/>
        <w:t>累计所交保险费=最近一次减少基本保险金额变更后的基本保险金额所对应本合同的年交保险费×已经过并实际交纳了保险费的保单年度数（交费期满后为交费年数</w:t>
      </w:r>
      <w:r>
        <w:rPr>
          <w:spacing w:val="-105"/>
        </w:rPr>
        <w:t>）</w:t>
      </w:r>
      <w:r>
        <w:rPr/>
        <w:t>。</w:t>
      </w:r>
    </w:p>
    <w:p>
      <w:pPr>
        <w:pStyle w:val="Heading3"/>
        <w:spacing w:line="273" w:lineRule="auto" w:before="82"/>
        <w:ind w:right="48"/>
      </w:pPr>
      <w:r>
        <w:rPr/>
        <w:t>若本合同约定附条件加费承保，上述累计所交保险费不包含本合同的加费部分， </w:t>
      </w:r>
      <w:r>
        <w:rPr>
          <w:w w:val="95"/>
        </w:rPr>
        <w:t>加费事项在保险合同上载明。</w:t>
      </w:r>
    </w:p>
    <w:p>
      <w:pPr>
        <w:pStyle w:val="BodyText"/>
        <w:rPr>
          <w:b/>
          <w:sz w:val="20"/>
        </w:rPr>
      </w:pPr>
    </w:p>
    <w:p>
      <w:pPr>
        <w:pStyle w:val="BodyText"/>
        <w:spacing w:before="7"/>
        <w:rPr>
          <w:b/>
          <w:sz w:val="14"/>
        </w:rPr>
      </w:pPr>
    </w:p>
    <w:p>
      <w:pPr>
        <w:spacing w:after="0"/>
        <w:rPr>
          <w:sz w:val="14"/>
        </w:rPr>
        <w:sectPr>
          <w:pgSz w:w="11910" w:h="16840"/>
          <w:pgMar w:header="0" w:footer="1008" w:top="1100" w:bottom="1200" w:left="1020" w:right="1020"/>
        </w:sectPr>
      </w:pPr>
    </w:p>
    <w:p>
      <w:pPr>
        <w:pStyle w:val="ListParagraph"/>
        <w:numPr>
          <w:ilvl w:val="1"/>
          <w:numId w:val="2"/>
        </w:numPr>
        <w:tabs>
          <w:tab w:pos="907" w:val="left" w:leader="none"/>
          <w:tab w:pos="908" w:val="left" w:leader="none"/>
        </w:tabs>
        <w:spacing w:line="273" w:lineRule="auto" w:before="36" w:after="0"/>
        <w:ind w:left="907" w:right="0" w:hanging="793"/>
        <w:jc w:val="left"/>
        <w:rPr>
          <w:b/>
          <w:sz w:val="21"/>
        </w:rPr>
      </w:pPr>
      <w:r>
        <w:rPr>
          <w:b/>
          <w:w w:val="95"/>
          <w:sz w:val="21"/>
        </w:rPr>
        <w:t>转换万能保险</w:t>
      </w:r>
      <w:r>
        <w:rPr>
          <w:b/>
          <w:sz w:val="21"/>
        </w:rPr>
        <w:t>选择权</w:t>
      </w:r>
    </w:p>
    <w:p>
      <w:pPr>
        <w:pStyle w:val="BodyText"/>
        <w:spacing w:line="273" w:lineRule="auto" w:before="36"/>
        <w:ind w:left="114" w:right="288"/>
        <w:jc w:val="both"/>
      </w:pPr>
      <w:r>
        <w:rPr/>
        <w:br w:type="column"/>
      </w:r>
      <w:r>
        <w:rPr/>
        <w:t>若投保本合同的同时投保《华泰人寿财富金账户年金保险（万能型</w:t>
      </w:r>
      <w:r>
        <w:rPr>
          <w:spacing w:val="-105"/>
        </w:rPr>
        <w:t>）</w:t>
      </w:r>
      <w:r>
        <w:rPr>
          <w:spacing w:val="-22"/>
        </w:rPr>
        <w:t>》，在本合同保单有效期间内，若您退保或减少基本保险金额，您可以书面申请并经我们审核同意后，将本合同退保或减少基本保险金额领取的现金价值作为保险费部分或全部转入《华泰人寿财富金账户年金保险（万能型</w:t>
      </w:r>
      <w:r>
        <w:rPr>
          <w:spacing w:val="-105"/>
        </w:rPr>
        <w:t>）</w:t>
      </w:r>
      <w:r>
        <w:rPr>
          <w:spacing w:val="-53"/>
        </w:rPr>
        <w:t>》。</w:t>
      </w:r>
    </w:p>
    <w:p>
      <w:pPr>
        <w:spacing w:after="0" w:line="273" w:lineRule="auto"/>
        <w:jc w:val="both"/>
        <w:sectPr>
          <w:type w:val="continuous"/>
          <w:pgSz w:w="11910" w:h="16840"/>
          <w:pgMar w:top="1600" w:bottom="1200" w:left="1020" w:right="1020"/>
          <w:cols w:num="2" w:equalWidth="0">
            <w:col w:w="2171" w:space="148"/>
            <w:col w:w="7551"/>
          </w:cols>
        </w:sectPr>
      </w:pPr>
    </w:p>
    <w:p>
      <w:pPr>
        <w:pStyle w:val="BodyText"/>
        <w:spacing w:before="11"/>
        <w:rPr>
          <w:sz w:val="22"/>
        </w:rPr>
      </w:pPr>
    </w:p>
    <w:p>
      <w:pPr>
        <w:spacing w:after="0"/>
        <w:rPr>
          <w:sz w:val="22"/>
        </w:rPr>
        <w:sectPr>
          <w:type w:val="continuous"/>
          <w:pgSz w:w="11910" w:h="16840"/>
          <w:pgMar w:top="1600" w:bottom="1200" w:left="1020" w:right="1020"/>
        </w:sectPr>
      </w:pPr>
    </w:p>
    <w:p>
      <w:pPr>
        <w:pStyle w:val="Heading3"/>
        <w:numPr>
          <w:ilvl w:val="1"/>
          <w:numId w:val="2"/>
        </w:numPr>
        <w:tabs>
          <w:tab w:pos="907" w:val="left" w:leader="none"/>
          <w:tab w:pos="908" w:val="left" w:leader="none"/>
        </w:tabs>
        <w:spacing w:line="273" w:lineRule="auto" w:before="35" w:after="0"/>
        <w:ind w:left="907" w:right="0" w:hanging="793"/>
        <w:jc w:val="left"/>
      </w:pPr>
      <w:r>
        <w:rPr>
          <w:w w:val="95"/>
        </w:rPr>
        <w:t>保险金转换选</w:t>
      </w:r>
      <w:r>
        <w:rPr/>
        <w:t>择权</w:t>
      </w:r>
    </w:p>
    <w:p>
      <w:pPr>
        <w:pStyle w:val="BodyText"/>
        <w:spacing w:line="273" w:lineRule="auto" w:before="35"/>
        <w:ind w:left="114" w:right="110"/>
      </w:pPr>
      <w:r>
        <w:rPr/>
        <w:br w:type="column"/>
      </w:r>
      <w:r>
        <w:rPr/>
        <w:t>若被保险人身故或患重大疾病或自主生活能力完全丧失，其身故保险金受益人或重大疾病保险金受益人或全面保障保险金受益人可以书面申请并经我们审核同意后，将本合同的身故保险金或重大疾病保险金或全面保障保险金作为保险</w:t>
      </w:r>
      <w:r>
        <w:rPr>
          <w:spacing w:val="0"/>
        </w:rPr>
        <w:t>费部分或全部用于投保一款不收取初始费用的万能型产品</w:t>
      </w:r>
      <w:r>
        <w:rPr/>
        <w:t>（</w:t>
      </w:r>
      <w:r>
        <w:rPr>
          <w:spacing w:val="-18"/>
        </w:rPr>
        <w:t>下简称为</w:t>
      </w:r>
      <w:r>
        <w:rPr>
          <w:b/>
          <w:spacing w:val="-27"/>
        </w:rPr>
        <w:t>“转换”</w:t>
      </w:r>
      <w:r>
        <w:rPr>
          <w:spacing w:val="-106"/>
        </w:rPr>
        <w:t>）</w:t>
      </w:r>
      <w:r>
        <w:rPr/>
        <w:t>。该万能型产品的具体内容以转换时所签订的保险合同为准，并应符合转换当时的保险监管法律、法规的规定 。</w:t>
      </w:r>
    </w:p>
    <w:p>
      <w:pPr>
        <w:spacing w:after="0" w:line="273" w:lineRule="auto"/>
        <w:sectPr>
          <w:type w:val="continuous"/>
          <w:pgSz w:w="11910" w:h="16840"/>
          <w:pgMar w:top="1600" w:bottom="1200" w:left="1020" w:right="1020"/>
          <w:cols w:num="2" w:equalWidth="0">
            <w:col w:w="2171" w:space="148"/>
            <w:col w:w="7551"/>
          </w:cols>
        </w:sectPr>
      </w:pPr>
    </w:p>
    <w:p>
      <w:pPr>
        <w:pStyle w:val="BodyText"/>
        <w:spacing w:before="9"/>
        <w:rPr>
          <w:sz w:val="29"/>
        </w:rPr>
      </w:pPr>
    </w:p>
    <w:p>
      <w:pPr>
        <w:spacing w:after="0"/>
        <w:rPr>
          <w:sz w:val="29"/>
        </w:rPr>
        <w:sectPr>
          <w:type w:val="continuous"/>
          <w:pgSz w:w="11910" w:h="16840"/>
          <w:pgMar w:top="1600" w:bottom="1200" w:left="1020" w:right="1020"/>
        </w:sectPr>
      </w:pPr>
    </w:p>
    <w:p>
      <w:pPr>
        <w:pStyle w:val="Heading3"/>
        <w:numPr>
          <w:ilvl w:val="1"/>
          <w:numId w:val="2"/>
        </w:numPr>
        <w:tabs>
          <w:tab w:pos="907" w:val="left" w:leader="none"/>
          <w:tab w:pos="908" w:val="left" w:leader="none"/>
        </w:tabs>
        <w:spacing w:line="273" w:lineRule="auto" w:before="35" w:after="0"/>
        <w:ind w:left="907" w:right="0" w:hanging="793"/>
        <w:jc w:val="left"/>
      </w:pPr>
      <w:r>
        <w:rPr>
          <w:w w:val="95"/>
        </w:rPr>
        <w:t>未成年人身故保险金限制</w:t>
      </w:r>
    </w:p>
    <w:p>
      <w:pPr>
        <w:pStyle w:val="BodyText"/>
        <w:spacing w:line="273" w:lineRule="auto" w:before="35"/>
        <w:ind w:left="114" w:right="288"/>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1600" w:bottom="1200" w:left="1020" w:right="1020"/>
          <w:cols w:num="2" w:equalWidth="0">
            <w:col w:w="2171" w:space="148"/>
            <w:col w:w="7551"/>
          </w:cols>
        </w:sectPr>
      </w:pPr>
    </w:p>
    <w:p>
      <w:pPr>
        <w:pStyle w:val="BodyText"/>
        <w:spacing w:before="5"/>
      </w:pPr>
    </w:p>
    <w:p>
      <w:pPr>
        <w:pStyle w:val="Heading3"/>
        <w:numPr>
          <w:ilvl w:val="1"/>
          <w:numId w:val="2"/>
        </w:numPr>
        <w:tabs>
          <w:tab w:pos="907" w:val="left" w:leader="none"/>
          <w:tab w:pos="908" w:val="left" w:leader="none"/>
          <w:tab w:pos="2433" w:val="left" w:leader="none"/>
        </w:tabs>
        <w:spacing w:line="273" w:lineRule="auto" w:before="36" w:after="0"/>
        <w:ind w:left="2433" w:right="262" w:hanging="2319"/>
        <w:jc w:val="left"/>
      </w:pPr>
      <w:r>
        <w:rPr/>
        <w:t>责任免除</w:t>
        <w:tab/>
      </w:r>
      <w:r>
        <w:rPr>
          <w:w w:val="95"/>
        </w:rPr>
        <w:t>因下列情形之一导致被保险人身故或者发生疾病、达到疾病状态或者进行手术    的，我们不承担给付身故保险金、重大疾病保险金及全面保障保险金的责任：</w:t>
      </w:r>
    </w:p>
    <w:p>
      <w:pPr>
        <w:spacing w:before="163"/>
        <w:ind w:left="2433" w:right="0" w:firstLine="0"/>
        <w:jc w:val="left"/>
        <w:rPr>
          <w:b/>
          <w:sz w:val="21"/>
        </w:rPr>
      </w:pPr>
      <w:r>
        <w:rPr>
          <w:b/>
          <w:w w:val="95"/>
          <w:sz w:val="21"/>
        </w:rPr>
        <w:t>1.投保人对被保险人的故意杀害、故意伤害；</w:t>
      </w:r>
    </w:p>
    <w:p>
      <w:pPr>
        <w:pStyle w:val="BodyText"/>
        <w:spacing w:before="9"/>
        <w:rPr>
          <w:b/>
          <w:sz w:val="14"/>
        </w:rPr>
      </w:pPr>
    </w:p>
    <w:p>
      <w:pPr>
        <w:spacing w:before="0"/>
        <w:ind w:left="2433" w:right="0" w:firstLine="0"/>
        <w:jc w:val="left"/>
        <w:rPr>
          <w:b/>
          <w:sz w:val="21"/>
        </w:rPr>
      </w:pPr>
      <w:r>
        <w:rPr>
          <w:b/>
          <w:w w:val="95"/>
          <w:sz w:val="21"/>
        </w:rPr>
        <w:t>2.被保险人故意犯罪或者抗拒依法采取的刑事强制措施；</w:t>
      </w:r>
    </w:p>
    <w:p>
      <w:pPr>
        <w:pStyle w:val="BodyText"/>
        <w:spacing w:before="9"/>
        <w:rPr>
          <w:b/>
          <w:sz w:val="14"/>
        </w:rPr>
      </w:pPr>
    </w:p>
    <w:p>
      <w:pPr>
        <w:spacing w:line="273" w:lineRule="auto" w:before="0"/>
        <w:ind w:left="2433" w:right="260" w:firstLine="0"/>
        <w:jc w:val="left"/>
        <w:rPr>
          <w:b/>
          <w:sz w:val="21"/>
        </w:rPr>
      </w:pPr>
      <w:r>
        <w:rPr>
          <w:b/>
          <w:sz w:val="21"/>
        </w:rPr>
        <w:t>3.</w:t>
      </w:r>
      <w:r>
        <w:rPr>
          <w:b/>
          <w:spacing w:val="-3"/>
          <w:sz w:val="21"/>
        </w:rPr>
        <w:t>被保险人自本合同成立或者合同效力恢复之日起 </w:t>
      </w:r>
      <w:r>
        <w:rPr>
          <w:b/>
          <w:sz w:val="21"/>
        </w:rPr>
        <w:t>2</w:t>
      </w:r>
      <w:r>
        <w:rPr>
          <w:b/>
          <w:spacing w:val="-8"/>
          <w:sz w:val="21"/>
        </w:rPr>
        <w:t> 年内自杀，但被保险人自</w:t>
      </w:r>
      <w:r>
        <w:rPr>
          <w:b/>
          <w:spacing w:val="-8"/>
          <w:w w:val="95"/>
          <w:sz w:val="21"/>
        </w:rPr>
        <w:t>杀时为无民事行为能力人的除外；</w:t>
      </w:r>
    </w:p>
    <w:p>
      <w:pPr>
        <w:spacing w:before="163"/>
        <w:ind w:left="2433" w:right="0" w:firstLine="0"/>
        <w:jc w:val="left"/>
        <w:rPr>
          <w:b/>
          <w:sz w:val="21"/>
        </w:rPr>
      </w:pPr>
      <w:r>
        <w:rPr>
          <w:b/>
          <w:w w:val="99"/>
          <w:sz w:val="21"/>
        </w:rPr>
        <w:t>4</w:t>
      </w:r>
      <w:r>
        <w:rPr>
          <w:b/>
          <w:spacing w:val="0"/>
          <w:w w:val="99"/>
          <w:sz w:val="21"/>
        </w:rPr>
        <w:t>.</w:t>
      </w:r>
      <w:r>
        <w:rPr>
          <w:b/>
          <w:w w:val="99"/>
          <w:sz w:val="21"/>
        </w:rPr>
        <w:t>被保险人主动吸食或注射毒品（见</w:t>
      </w:r>
      <w:r>
        <w:rPr>
          <w:b/>
          <w:spacing w:val="-52"/>
          <w:sz w:val="21"/>
        </w:rPr>
        <w:t> </w:t>
      </w:r>
      <w:r>
        <w:rPr>
          <w:b/>
          <w:w w:val="99"/>
          <w:sz w:val="21"/>
        </w:rPr>
        <w:t>10.</w:t>
      </w:r>
      <w:r>
        <w:rPr>
          <w:b/>
          <w:spacing w:val="0"/>
          <w:w w:val="99"/>
          <w:sz w:val="21"/>
        </w:rPr>
        <w:t>7</w:t>
      </w:r>
      <w:r>
        <w:rPr>
          <w:b/>
          <w:spacing w:val="-104"/>
          <w:w w:val="99"/>
          <w:sz w:val="21"/>
        </w:rPr>
        <w:t>）</w:t>
      </w:r>
      <w:r>
        <w:rPr>
          <w:b/>
          <w:w w:val="99"/>
          <w:sz w:val="21"/>
        </w:rPr>
        <w:t>；</w:t>
      </w:r>
    </w:p>
    <w:p>
      <w:pPr>
        <w:pStyle w:val="BodyText"/>
        <w:spacing w:before="9"/>
        <w:rPr>
          <w:b/>
          <w:sz w:val="14"/>
        </w:rPr>
      </w:pPr>
    </w:p>
    <w:p>
      <w:pPr>
        <w:spacing w:line="273" w:lineRule="auto" w:before="1"/>
        <w:ind w:left="2433" w:right="215" w:hanging="1"/>
        <w:jc w:val="left"/>
        <w:rPr>
          <w:b/>
          <w:sz w:val="21"/>
        </w:rPr>
      </w:pPr>
      <w:r>
        <w:rPr>
          <w:b/>
          <w:w w:val="99"/>
          <w:sz w:val="21"/>
        </w:rPr>
        <w:t>5.</w:t>
      </w:r>
      <w:r>
        <w:rPr>
          <w:b/>
          <w:spacing w:val="-2"/>
          <w:w w:val="99"/>
          <w:sz w:val="21"/>
        </w:rPr>
        <w:t>被保险人酒后驾驶</w:t>
      </w:r>
      <w:r>
        <w:rPr>
          <w:b/>
          <w:w w:val="99"/>
          <w:sz w:val="21"/>
        </w:rPr>
        <w:t>（见</w:t>
      </w:r>
      <w:r>
        <w:rPr>
          <w:b/>
          <w:spacing w:val="-52"/>
          <w:sz w:val="21"/>
        </w:rPr>
        <w:t> </w:t>
      </w:r>
      <w:r>
        <w:rPr>
          <w:b/>
          <w:w w:val="99"/>
          <w:sz w:val="21"/>
        </w:rPr>
        <w:t>10.8</w:t>
      </w:r>
      <w:r>
        <w:rPr>
          <w:b/>
          <w:spacing w:val="-104"/>
          <w:w w:val="99"/>
          <w:sz w:val="21"/>
        </w:rPr>
        <w:t>）</w:t>
      </w:r>
      <w:r>
        <w:rPr>
          <w:b/>
          <w:spacing w:val="-6"/>
          <w:w w:val="99"/>
          <w:sz w:val="21"/>
        </w:rPr>
        <w:t>，无合法有效驾驶证驾驶</w:t>
      </w:r>
      <w:r>
        <w:rPr>
          <w:b/>
          <w:w w:val="99"/>
          <w:sz w:val="21"/>
        </w:rPr>
        <w:t>（见</w:t>
      </w:r>
      <w:r>
        <w:rPr>
          <w:b/>
          <w:spacing w:val="-52"/>
          <w:sz w:val="21"/>
        </w:rPr>
        <w:t> </w:t>
      </w:r>
      <w:r>
        <w:rPr>
          <w:b/>
          <w:w w:val="99"/>
          <w:sz w:val="21"/>
        </w:rPr>
        <w:t>10.9</w:t>
      </w:r>
      <w:r>
        <w:rPr>
          <w:b/>
          <w:spacing w:val="-105"/>
          <w:w w:val="99"/>
          <w:sz w:val="21"/>
        </w:rPr>
        <w:t>）</w:t>
      </w:r>
      <w:r>
        <w:rPr>
          <w:b/>
          <w:spacing w:val="-4"/>
          <w:w w:val="99"/>
          <w:sz w:val="21"/>
        </w:rPr>
        <w:t>，或驾驶无有效行驶证（见</w:t>
      </w:r>
      <w:r>
        <w:rPr>
          <w:b/>
          <w:spacing w:val="-54"/>
          <w:sz w:val="21"/>
        </w:rPr>
        <w:t> </w:t>
      </w:r>
      <w:r>
        <w:rPr>
          <w:b/>
          <w:spacing w:val="0"/>
          <w:w w:val="99"/>
          <w:sz w:val="21"/>
        </w:rPr>
        <w:t>1</w:t>
      </w:r>
      <w:r>
        <w:rPr>
          <w:b/>
          <w:w w:val="99"/>
          <w:sz w:val="21"/>
        </w:rPr>
        <w:t>0.10）的机动车（见</w:t>
      </w:r>
      <w:r>
        <w:rPr>
          <w:b/>
          <w:spacing w:val="-52"/>
          <w:sz w:val="21"/>
        </w:rPr>
        <w:t> </w:t>
      </w:r>
      <w:r>
        <w:rPr>
          <w:b/>
          <w:w w:val="99"/>
          <w:sz w:val="21"/>
        </w:rPr>
        <w:t>10.11</w:t>
      </w:r>
      <w:r>
        <w:rPr>
          <w:b/>
          <w:spacing w:val="-104"/>
          <w:w w:val="99"/>
          <w:sz w:val="21"/>
        </w:rPr>
        <w:t>）</w:t>
      </w:r>
      <w:r>
        <w:rPr>
          <w:b/>
          <w:w w:val="99"/>
          <w:sz w:val="21"/>
        </w:rPr>
        <w:t>；</w:t>
      </w:r>
    </w:p>
    <w:p>
      <w:pPr>
        <w:spacing w:before="164"/>
        <w:ind w:left="2433" w:right="0" w:firstLine="0"/>
        <w:jc w:val="left"/>
        <w:rPr>
          <w:b/>
          <w:sz w:val="21"/>
        </w:rPr>
      </w:pPr>
      <w:r>
        <w:rPr>
          <w:b/>
          <w:w w:val="95"/>
          <w:sz w:val="21"/>
        </w:rPr>
        <w:t>6.战争、军事冲突、暴乱或武装叛乱；</w:t>
      </w:r>
    </w:p>
    <w:p>
      <w:pPr>
        <w:pStyle w:val="BodyText"/>
        <w:spacing w:before="10"/>
        <w:rPr>
          <w:b/>
          <w:sz w:val="14"/>
        </w:rPr>
      </w:pPr>
    </w:p>
    <w:p>
      <w:pPr>
        <w:spacing w:before="0"/>
        <w:ind w:left="2433" w:right="0" w:firstLine="0"/>
        <w:jc w:val="left"/>
        <w:rPr>
          <w:b/>
          <w:sz w:val="21"/>
        </w:rPr>
      </w:pPr>
      <w:r>
        <w:rPr>
          <w:b/>
          <w:w w:val="95"/>
          <w:sz w:val="21"/>
        </w:rPr>
        <w:t>7.核爆炸、核辐射或核污染；</w:t>
      </w:r>
    </w:p>
    <w:p>
      <w:pPr>
        <w:spacing w:after="0"/>
        <w:jc w:val="left"/>
        <w:rPr>
          <w:sz w:val="21"/>
        </w:rPr>
        <w:sectPr>
          <w:type w:val="continuous"/>
          <w:pgSz w:w="11910" w:h="16840"/>
          <w:pgMar w:top="1600" w:bottom="1200" w:left="1020" w:right="1020"/>
        </w:sectPr>
      </w:pPr>
    </w:p>
    <w:p>
      <w:pPr>
        <w:spacing w:before="19"/>
        <w:ind w:left="2533" w:right="0" w:firstLine="0"/>
        <w:jc w:val="left"/>
        <w:rPr>
          <w:b/>
          <w:sz w:val="21"/>
        </w:rPr>
      </w:pPr>
      <w:r>
        <w:rPr>
          <w:b/>
          <w:w w:val="99"/>
          <w:sz w:val="21"/>
        </w:rPr>
        <w:t>8.被保险人感染艾滋病病毒或患艾滋病（见</w:t>
      </w:r>
      <w:r>
        <w:rPr>
          <w:b/>
          <w:spacing w:val="-54"/>
          <w:sz w:val="21"/>
        </w:rPr>
        <w:t> </w:t>
      </w:r>
      <w:r>
        <w:rPr>
          <w:b/>
          <w:w w:val="99"/>
          <w:sz w:val="21"/>
        </w:rPr>
        <w:t>10.12</w:t>
      </w:r>
      <w:r>
        <w:rPr>
          <w:b/>
          <w:spacing w:val="-105"/>
          <w:w w:val="99"/>
          <w:sz w:val="21"/>
        </w:rPr>
        <w:t>）</w:t>
      </w:r>
      <w:r>
        <w:rPr>
          <w:b/>
          <w:w w:val="99"/>
          <w:sz w:val="21"/>
        </w:rPr>
        <w:t>；</w:t>
      </w:r>
    </w:p>
    <w:p>
      <w:pPr>
        <w:pStyle w:val="BodyText"/>
        <w:spacing w:before="9"/>
        <w:rPr>
          <w:b/>
          <w:sz w:val="14"/>
        </w:rPr>
      </w:pPr>
    </w:p>
    <w:p>
      <w:pPr>
        <w:spacing w:before="1"/>
        <w:ind w:left="2533" w:right="0" w:firstLine="0"/>
        <w:jc w:val="left"/>
        <w:rPr>
          <w:b/>
          <w:sz w:val="21"/>
        </w:rPr>
      </w:pPr>
      <w:r>
        <w:rPr>
          <w:b/>
          <w:w w:val="99"/>
          <w:sz w:val="21"/>
        </w:rPr>
        <w:t>9</w:t>
      </w:r>
      <w:r>
        <w:rPr>
          <w:b/>
          <w:spacing w:val="0"/>
          <w:w w:val="99"/>
          <w:sz w:val="21"/>
        </w:rPr>
        <w:t>.</w:t>
      </w:r>
      <w:r>
        <w:rPr>
          <w:b/>
          <w:w w:val="99"/>
          <w:sz w:val="21"/>
        </w:rPr>
        <w:t>遗传性疾病（见</w:t>
      </w:r>
      <w:r>
        <w:rPr>
          <w:b/>
          <w:spacing w:val="-54"/>
          <w:sz w:val="21"/>
        </w:rPr>
        <w:t> </w:t>
      </w:r>
      <w:r>
        <w:rPr>
          <w:b/>
          <w:w w:val="99"/>
          <w:sz w:val="21"/>
        </w:rPr>
        <w:t>10</w:t>
      </w:r>
      <w:r>
        <w:rPr>
          <w:b/>
          <w:spacing w:val="0"/>
          <w:w w:val="99"/>
          <w:sz w:val="21"/>
        </w:rPr>
        <w:t>.</w:t>
      </w:r>
      <w:r>
        <w:rPr>
          <w:b/>
          <w:w w:val="99"/>
          <w:sz w:val="21"/>
        </w:rPr>
        <w:t>13</w:t>
      </w:r>
      <w:r>
        <w:rPr>
          <w:b/>
          <w:spacing w:val="-105"/>
          <w:w w:val="99"/>
          <w:sz w:val="21"/>
        </w:rPr>
        <w:t>）</w:t>
      </w:r>
      <w:r>
        <w:rPr>
          <w:b/>
          <w:w w:val="99"/>
          <w:sz w:val="21"/>
        </w:rPr>
        <w:t>、先天性畸形、变形或染色体异常（见</w:t>
      </w:r>
      <w:r>
        <w:rPr>
          <w:b/>
          <w:spacing w:val="-54"/>
          <w:sz w:val="21"/>
        </w:rPr>
        <w:t> </w:t>
      </w:r>
      <w:r>
        <w:rPr>
          <w:b/>
          <w:spacing w:val="0"/>
          <w:w w:val="99"/>
          <w:sz w:val="21"/>
        </w:rPr>
        <w:t>1</w:t>
      </w:r>
      <w:r>
        <w:rPr>
          <w:b/>
          <w:w w:val="99"/>
          <w:sz w:val="21"/>
        </w:rPr>
        <w:t>0.1</w:t>
      </w:r>
      <w:r>
        <w:rPr>
          <w:b/>
          <w:spacing w:val="0"/>
          <w:w w:val="99"/>
          <w:sz w:val="21"/>
        </w:rPr>
        <w:t>4</w:t>
      </w:r>
      <w:r>
        <w:rPr>
          <w:b/>
          <w:spacing w:val="-106"/>
          <w:w w:val="99"/>
          <w:sz w:val="21"/>
        </w:rPr>
        <w:t>）</w:t>
      </w:r>
      <w:r>
        <w:rPr>
          <w:b/>
          <w:w w:val="99"/>
          <w:sz w:val="21"/>
        </w:rPr>
        <w:t>。</w:t>
      </w:r>
    </w:p>
    <w:p>
      <w:pPr>
        <w:pStyle w:val="BodyText"/>
        <w:spacing w:before="10"/>
        <w:rPr>
          <w:b/>
          <w:sz w:val="14"/>
        </w:rPr>
      </w:pPr>
    </w:p>
    <w:p>
      <w:pPr>
        <w:spacing w:line="273" w:lineRule="auto" w:before="0"/>
        <w:ind w:left="2533" w:right="261" w:firstLine="0"/>
        <w:jc w:val="left"/>
        <w:rPr>
          <w:b/>
          <w:sz w:val="21"/>
        </w:rPr>
      </w:pPr>
      <w:r>
        <w:rPr>
          <w:b/>
          <w:spacing w:val="-2"/>
          <w:sz w:val="21"/>
        </w:rPr>
        <w:t>发生上述第１项情形导致被保险人身故的，本合同终止，您已交足 </w:t>
      </w:r>
      <w:r>
        <w:rPr>
          <w:b/>
          <w:sz w:val="21"/>
        </w:rPr>
        <w:t>2</w:t>
      </w:r>
      <w:r>
        <w:rPr>
          <w:b/>
          <w:spacing w:val="-12"/>
          <w:sz w:val="21"/>
        </w:rPr>
        <w:t> 年以上保</w:t>
      </w:r>
      <w:r>
        <w:rPr>
          <w:b/>
          <w:spacing w:val="-12"/>
          <w:w w:val="95"/>
          <w:sz w:val="21"/>
        </w:rPr>
        <w:t>险费的，我们向其他权利人退还保险单的现金价值。</w:t>
      </w:r>
    </w:p>
    <w:p>
      <w:pPr>
        <w:spacing w:line="273" w:lineRule="auto" w:before="163"/>
        <w:ind w:left="2533" w:right="262" w:firstLine="0"/>
        <w:jc w:val="left"/>
        <w:rPr>
          <w:b/>
          <w:sz w:val="21"/>
        </w:rPr>
      </w:pPr>
      <w:r>
        <w:rPr>
          <w:b/>
          <w:sz w:val="21"/>
        </w:rPr>
        <w:t>发生上述其他情形导致被保险人身故的，本合同终止，我们向您退还保险单的</w:t>
      </w:r>
      <w:r>
        <w:rPr>
          <w:b/>
          <w:w w:val="95"/>
          <w:sz w:val="21"/>
        </w:rPr>
        <w:t>现金价值。</w:t>
      </w:r>
    </w:p>
    <w:p>
      <w:pPr>
        <w:pStyle w:val="BodyText"/>
        <w:rPr>
          <w:b/>
          <w:sz w:val="20"/>
        </w:rPr>
      </w:pPr>
    </w:p>
    <w:p>
      <w:pPr>
        <w:pStyle w:val="BodyText"/>
        <w:spacing w:before="5"/>
        <w:rPr>
          <w:b/>
          <w:sz w:val="18"/>
        </w:rPr>
      </w:pPr>
    </w:p>
    <w:p>
      <w:pPr>
        <w:pStyle w:val="ListParagraph"/>
        <w:numPr>
          <w:ilvl w:val="0"/>
          <w:numId w:val="2"/>
        </w:numPr>
        <w:tabs>
          <w:tab w:pos="1006" w:val="left" w:leader="none"/>
          <w:tab w:pos="1007" w:val="left" w:leader="none"/>
        </w:tabs>
        <w:spacing w:line="240" w:lineRule="auto" w:before="26" w:after="0"/>
        <w:ind w:left="1006" w:right="0" w:hanging="792"/>
        <w:jc w:val="left"/>
        <w:rPr>
          <w:b/>
          <w:sz w:val="24"/>
        </w:rPr>
      </w:pPr>
      <w:r>
        <w:rPr>
          <w:b/>
          <w:sz w:val="24"/>
        </w:rPr>
        <w:t>保险金的申请</w:t>
      </w:r>
    </w:p>
    <w:p>
      <w:pPr>
        <w:pStyle w:val="BodyText"/>
        <w:spacing w:before="5"/>
        <w:rPr>
          <w:b/>
          <w:sz w:val="15"/>
        </w:rPr>
      </w:pPr>
      <w:r>
        <w:rPr/>
        <w:pict>
          <v:line style="position:absolute;mso-position-horizontal-relative:page;mso-position-vertical-relative:paragraph;z-index:1192;mso-wrap-distance-left:0;mso-wrap-distance-right:0" from="51.299999pt,12.562793pt" to="538.799999pt,12.562793pt" stroked="true" strokeweight=".96002pt" strokecolor="#000000">
            <v:stroke dashstyle="solid"/>
            <w10:wrap type="topAndBottom"/>
          </v:line>
        </w:pict>
      </w:r>
    </w:p>
    <w:p>
      <w:pPr>
        <w:pStyle w:val="BodyText"/>
        <w:spacing w:before="5"/>
        <w:rPr>
          <w:b/>
          <w:sz w:val="5"/>
        </w:rPr>
      </w:pPr>
    </w:p>
    <w:p>
      <w:pPr>
        <w:pStyle w:val="ListParagraph"/>
        <w:numPr>
          <w:ilvl w:val="1"/>
          <w:numId w:val="2"/>
        </w:numPr>
        <w:tabs>
          <w:tab w:pos="1007" w:val="left" w:leader="none"/>
          <w:tab w:pos="1008" w:val="left" w:leader="none"/>
          <w:tab w:pos="2533" w:val="left" w:leader="none"/>
        </w:tabs>
        <w:spacing w:line="408" w:lineRule="auto" w:before="35" w:after="0"/>
        <w:ind w:left="2533" w:right="1128" w:hanging="2319"/>
        <w:jc w:val="left"/>
        <w:rPr>
          <w:sz w:val="21"/>
        </w:rPr>
      </w:pPr>
      <w:r>
        <w:rPr>
          <w:b/>
          <w:sz w:val="21"/>
        </w:rPr>
        <w:t>受益人</w:t>
        <w:tab/>
      </w:r>
      <w:r>
        <w:rPr>
          <w:sz w:val="21"/>
        </w:rPr>
        <w:t>本合同重大疾病保险金、全面保障保险金的受益人为被保险人本人。您或者被保险人可以指定一人或数人为身故保险金受益人。</w:t>
      </w:r>
    </w:p>
    <w:p>
      <w:pPr>
        <w:pStyle w:val="BodyText"/>
        <w:spacing w:line="273" w:lineRule="auto" w:before="46"/>
        <w:ind w:left="2533" w:right="215"/>
      </w:pPr>
      <w:r>
        <w:rPr/>
        <w:t>身故保险金受益人为数人时，可以确定受益顺序和受益份额；如果没有确定份额，各受益人按照相等份额享有受益权。</w:t>
      </w:r>
    </w:p>
    <w:p>
      <w:pPr>
        <w:pStyle w:val="BodyText"/>
        <w:spacing w:line="273" w:lineRule="auto" w:before="164"/>
        <w:ind w:left="2533" w:right="215"/>
      </w:pPr>
      <w:r>
        <w:rPr/>
        <w:t>被保险人为无民事行为能力人或限制民事行为能力人的，可以由其监护人指定受益人。</w:t>
      </w:r>
    </w:p>
    <w:p>
      <w:pPr>
        <w:pStyle w:val="BodyText"/>
        <w:spacing w:line="273" w:lineRule="auto" w:before="164"/>
        <w:ind w:left="2533" w:right="215"/>
      </w:pPr>
      <w:r>
        <w:rPr/>
        <w:t>您或者被保险人可以变更身故保险金受益人并书面通知我们。我们收到变更受益人的书面通知后，在保险单或其他保险凭证上批注或附贴批单。</w:t>
      </w:r>
    </w:p>
    <w:p>
      <w:pPr>
        <w:pStyle w:val="BodyText"/>
        <w:spacing w:before="164"/>
        <w:ind w:left="2533"/>
      </w:pPr>
      <w:r>
        <w:rPr/>
        <w:t>您在指定和变更身故保险金受益人时，必须经过被保险人同意。</w:t>
      </w:r>
    </w:p>
    <w:p>
      <w:pPr>
        <w:pStyle w:val="BodyText"/>
        <w:spacing w:before="10"/>
        <w:rPr>
          <w:sz w:val="14"/>
        </w:rPr>
      </w:pPr>
    </w:p>
    <w:p>
      <w:pPr>
        <w:pStyle w:val="BodyText"/>
        <w:spacing w:line="273" w:lineRule="auto"/>
        <w:ind w:left="2533" w:right="215"/>
      </w:pPr>
      <w:r>
        <w:rPr/>
        <w:t>被保险人身故后，有下列情形之一的，保险金作为被保险人的遗产，由我们依照《中华人民共和国继承法》的规定履行给付保险金的义务：</w:t>
      </w:r>
    </w:p>
    <w:p>
      <w:pPr>
        <w:pStyle w:val="BodyText"/>
        <w:spacing w:before="163"/>
        <w:ind w:left="2533"/>
      </w:pPr>
      <w:r>
        <w:rPr/>
        <w:t>1.没有指定受益人，或者受益人指定不明无法确定的；</w:t>
      </w:r>
    </w:p>
    <w:p>
      <w:pPr>
        <w:pStyle w:val="BodyText"/>
        <w:spacing w:before="9"/>
        <w:rPr>
          <w:sz w:val="14"/>
        </w:rPr>
      </w:pPr>
    </w:p>
    <w:p>
      <w:pPr>
        <w:pStyle w:val="BodyText"/>
        <w:ind w:left="2533"/>
      </w:pPr>
      <w:r>
        <w:rPr/>
        <w:t>2.受益人先于被保险人身故，没有其他受益人的；</w:t>
      </w:r>
    </w:p>
    <w:p>
      <w:pPr>
        <w:pStyle w:val="BodyText"/>
        <w:spacing w:before="9"/>
        <w:rPr>
          <w:sz w:val="14"/>
        </w:rPr>
      </w:pPr>
    </w:p>
    <w:p>
      <w:pPr>
        <w:pStyle w:val="BodyText"/>
        <w:ind w:left="2533"/>
      </w:pPr>
      <w:r>
        <w:rPr/>
        <w:t>3.受益人依法丧失受益权或者放弃受益权，没有其他受益人的。</w:t>
      </w:r>
    </w:p>
    <w:p>
      <w:pPr>
        <w:pStyle w:val="BodyText"/>
        <w:spacing w:before="9"/>
        <w:rPr>
          <w:sz w:val="14"/>
        </w:rPr>
      </w:pPr>
    </w:p>
    <w:p>
      <w:pPr>
        <w:pStyle w:val="BodyText"/>
        <w:spacing w:line="273" w:lineRule="auto"/>
        <w:ind w:left="2533" w:right="215"/>
      </w:pPr>
      <w:r>
        <w:rPr/>
        <w:t>受益人与被保险人在同一事件中身故，且不能确定身故先后顺序的，推定受益人身故在先。</w:t>
      </w:r>
    </w:p>
    <w:p>
      <w:pPr>
        <w:pStyle w:val="BodyText"/>
        <w:spacing w:line="273" w:lineRule="auto" w:before="163"/>
        <w:ind w:left="2533" w:right="57"/>
      </w:pPr>
      <w:r>
        <w:rPr/>
        <w:t>受益人故意造成被保险人身故、伤残、疾病的，或者故意杀害被保险人未遂的， 该受益人丧失受益权。</w:t>
      </w:r>
    </w:p>
    <w:p>
      <w:pPr>
        <w:pStyle w:val="BodyText"/>
        <w:spacing w:before="7"/>
        <w:rPr>
          <w:sz w:val="24"/>
        </w:rPr>
      </w:pPr>
    </w:p>
    <w:p>
      <w:pPr>
        <w:pStyle w:val="ListParagraph"/>
        <w:numPr>
          <w:ilvl w:val="1"/>
          <w:numId w:val="2"/>
        </w:numPr>
        <w:tabs>
          <w:tab w:pos="1007" w:val="left" w:leader="none"/>
          <w:tab w:pos="1008" w:val="left" w:leader="none"/>
          <w:tab w:pos="2533" w:val="left" w:leader="none"/>
        </w:tabs>
        <w:spacing w:line="240" w:lineRule="auto" w:before="1" w:after="0"/>
        <w:ind w:left="1007" w:right="0" w:hanging="793"/>
        <w:jc w:val="left"/>
        <w:rPr>
          <w:i/>
          <w:sz w:val="22"/>
        </w:rPr>
      </w:pPr>
      <w:r>
        <w:rPr>
          <w:b/>
          <w:sz w:val="21"/>
        </w:rPr>
        <w:t>保险事故通知</w:t>
        <w:tab/>
      </w:r>
      <w:r>
        <w:rPr>
          <w:sz w:val="21"/>
        </w:rPr>
        <w:t>您、被保险人或受益人知道保险事故后应当在</w:t>
      </w:r>
      <w:r>
        <w:rPr>
          <w:spacing w:val="-71"/>
          <w:sz w:val="21"/>
        </w:rPr>
        <w:t> </w:t>
      </w:r>
      <w:r>
        <w:rPr>
          <w:sz w:val="21"/>
        </w:rPr>
        <w:t>10</w:t>
      </w:r>
      <w:r>
        <w:rPr>
          <w:spacing w:val="-71"/>
          <w:sz w:val="21"/>
        </w:rPr>
        <w:t> </w:t>
      </w:r>
      <w:r>
        <w:rPr>
          <w:sz w:val="21"/>
        </w:rPr>
        <w:t>日内通知我们</w:t>
      </w:r>
      <w:r>
        <w:rPr>
          <w:i/>
          <w:sz w:val="22"/>
        </w:rPr>
        <w:t>。</w:t>
      </w:r>
    </w:p>
    <w:p>
      <w:pPr>
        <w:spacing w:line="273" w:lineRule="auto" w:before="191"/>
        <w:ind w:left="2533" w:right="262" w:firstLine="0"/>
        <w:jc w:val="both"/>
        <w:rPr>
          <w:sz w:val="21"/>
        </w:rPr>
      </w:pPr>
      <w:r>
        <w:rPr>
          <w:b/>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p>
      <w:pPr>
        <w:pStyle w:val="BodyText"/>
        <w:spacing w:before="6"/>
        <w:rPr>
          <w:sz w:val="25"/>
        </w:rPr>
      </w:pPr>
    </w:p>
    <w:p>
      <w:pPr>
        <w:pStyle w:val="ListParagraph"/>
        <w:numPr>
          <w:ilvl w:val="1"/>
          <w:numId w:val="2"/>
        </w:numPr>
        <w:tabs>
          <w:tab w:pos="1007" w:val="left" w:leader="none"/>
          <w:tab w:pos="1008" w:val="left" w:leader="none"/>
          <w:tab w:pos="2533" w:val="left" w:leader="none"/>
        </w:tabs>
        <w:spacing w:line="273" w:lineRule="auto" w:before="0" w:after="0"/>
        <w:ind w:left="2533" w:right="109" w:hanging="2319"/>
        <w:jc w:val="left"/>
        <w:rPr>
          <w:sz w:val="21"/>
        </w:rPr>
      </w:pPr>
      <w:r>
        <w:rPr>
          <w:b/>
          <w:sz w:val="21"/>
        </w:rPr>
        <w:t>保险金申请</w:t>
        <w:tab/>
      </w:r>
      <w:r>
        <w:rPr>
          <w:sz w:val="21"/>
        </w:rPr>
        <w:t>在申请重大疾病保险金或全面保障保险金时</w:t>
      </w:r>
      <w:r>
        <w:rPr>
          <w:spacing w:val="-32"/>
          <w:sz w:val="21"/>
        </w:rPr>
        <w:t>，</w:t>
      </w:r>
      <w:r>
        <w:rPr>
          <w:sz w:val="21"/>
        </w:rPr>
        <w:t>受益人须填写保险金给付申请书，并须提供下列证明和资料：</w:t>
      </w:r>
    </w:p>
    <w:p>
      <w:pPr>
        <w:spacing w:after="0" w:line="273" w:lineRule="auto"/>
        <w:jc w:val="left"/>
        <w:rPr>
          <w:sz w:val="21"/>
        </w:rPr>
        <w:sectPr>
          <w:pgSz w:w="11910" w:h="16840"/>
          <w:pgMar w:header="0" w:footer="1008" w:top="1100" w:bottom="1200" w:left="920" w:right="1020"/>
        </w:sectPr>
      </w:pPr>
    </w:p>
    <w:p>
      <w:pPr>
        <w:pStyle w:val="BodyText"/>
        <w:spacing w:before="19"/>
        <w:ind w:left="2433"/>
      </w:pPr>
      <w:r>
        <w:rPr/>
        <w:t>（1）保险合同；</w:t>
      </w:r>
    </w:p>
    <w:p>
      <w:pPr>
        <w:pStyle w:val="BodyText"/>
        <w:spacing w:before="9"/>
        <w:rPr>
          <w:sz w:val="14"/>
        </w:rPr>
      </w:pPr>
    </w:p>
    <w:p>
      <w:pPr>
        <w:pStyle w:val="BodyText"/>
        <w:spacing w:line="273" w:lineRule="auto" w:before="1"/>
        <w:ind w:left="2433" w:right="114"/>
      </w:pPr>
      <w:r>
        <w:rPr>
          <w:spacing w:val="-11"/>
        </w:rPr>
        <w:t>（2）</w:t>
      </w:r>
      <w:r>
        <w:rPr/>
        <w:t>由我们认可的医院的专科医生出具的被保险人的疾病诊断证明及相关医疗文件（包括完整的门诊及住院病历记录、出院小结、影像学、病理检查、实验室检查及其他相关检查报告</w:t>
      </w:r>
      <w:r>
        <w:rPr>
          <w:spacing w:val="-69"/>
        </w:rPr>
        <w:t>）</w:t>
      </w:r>
      <w:r>
        <w:rPr>
          <w:spacing w:val="-9"/>
        </w:rPr>
        <w:t>；其中因双耳失聪而申请保险金的还应提供理赔的听力丧失诊断及检查证据，因双眼失明而申请保险金的还应提供理赔的视力丧失诊断及检查证据，因语言能力丧失而申请保险金的还应提供理赔的语言能力丧失诊断及检查证据；</w:t>
      </w:r>
    </w:p>
    <w:p>
      <w:pPr>
        <w:pStyle w:val="BodyText"/>
        <w:spacing w:before="164"/>
        <w:ind w:left="2433"/>
      </w:pPr>
      <w:r>
        <w:rPr/>
        <w:t>（3）受益人的有效身份证件；</w:t>
      </w:r>
    </w:p>
    <w:p>
      <w:pPr>
        <w:pStyle w:val="BodyText"/>
        <w:spacing w:before="10"/>
        <w:rPr>
          <w:sz w:val="14"/>
        </w:rPr>
      </w:pPr>
    </w:p>
    <w:p>
      <w:pPr>
        <w:pStyle w:val="BodyText"/>
        <w:spacing w:line="273" w:lineRule="auto"/>
        <w:ind w:left="2433" w:right="63"/>
      </w:pPr>
      <w:r>
        <w:rPr/>
        <w:t>（4）所能提供的其他与确认保险合同、确认保险事故的性质、原因等有关的证明或材料。</w:t>
      </w:r>
    </w:p>
    <w:p>
      <w:pPr>
        <w:pStyle w:val="BodyText"/>
        <w:rPr>
          <w:sz w:val="20"/>
        </w:rPr>
      </w:pPr>
    </w:p>
    <w:p>
      <w:pPr>
        <w:pStyle w:val="BodyText"/>
        <w:spacing w:before="3"/>
        <w:rPr>
          <w:sz w:val="28"/>
        </w:rPr>
      </w:pPr>
    </w:p>
    <w:p>
      <w:pPr>
        <w:pStyle w:val="BodyText"/>
        <w:spacing w:line="273" w:lineRule="auto"/>
        <w:ind w:left="2433" w:right="188"/>
      </w:pPr>
      <w:r>
        <w:rPr/>
        <w:t>在申请身故保险金时，受益人须填写保险金给付申请书，并须提供下列证明和资料：</w:t>
      </w:r>
    </w:p>
    <w:p>
      <w:pPr>
        <w:pStyle w:val="BodyText"/>
        <w:spacing w:before="163"/>
        <w:ind w:left="2433"/>
      </w:pPr>
      <w:r>
        <w:rPr/>
        <w:t>（1）保险合同；</w:t>
      </w:r>
    </w:p>
    <w:p>
      <w:pPr>
        <w:pStyle w:val="BodyText"/>
        <w:spacing w:before="9"/>
        <w:rPr>
          <w:sz w:val="14"/>
        </w:rPr>
      </w:pPr>
    </w:p>
    <w:p>
      <w:pPr>
        <w:pStyle w:val="BodyText"/>
        <w:spacing w:before="1"/>
        <w:ind w:left="2433"/>
      </w:pPr>
      <w:r>
        <w:rPr/>
        <w:t>（2）受益人的有效身份证件；</w:t>
      </w:r>
    </w:p>
    <w:p>
      <w:pPr>
        <w:pStyle w:val="BodyText"/>
        <w:spacing w:before="10"/>
        <w:rPr>
          <w:sz w:val="14"/>
        </w:rPr>
      </w:pPr>
    </w:p>
    <w:p>
      <w:pPr>
        <w:pStyle w:val="BodyText"/>
        <w:spacing w:line="273" w:lineRule="auto"/>
        <w:ind w:left="2433" w:right="62"/>
      </w:pPr>
      <w:r>
        <w:rPr/>
        <w:t>（3）国家卫生行政部门认定的医疗机构、公安部门或其他相关机构出具的被保险人的死亡证明或人民法院出具的宣告死亡证明文件；</w:t>
      </w:r>
    </w:p>
    <w:p>
      <w:pPr>
        <w:pStyle w:val="BodyText"/>
        <w:spacing w:line="408" w:lineRule="auto" w:before="163"/>
        <w:ind w:left="2433" w:right="398"/>
      </w:pPr>
      <w:r>
        <w:rPr/>
        <w:t>（4）所能提供的与确认保险事故的性质、原因等有关的其他证明和资料。保险金作为被保险人遗产时，必须提供可证明合法继承权的相关权利文件。</w:t>
      </w:r>
    </w:p>
    <w:p>
      <w:pPr>
        <w:pStyle w:val="BodyText"/>
        <w:spacing w:before="45"/>
        <w:ind w:left="2433"/>
      </w:pPr>
      <w:r>
        <w:rPr/>
        <w:t>若委托他人办理申请保险金，还须提供授权委托书及受托人身份证件等材料。</w:t>
      </w:r>
    </w:p>
    <w:p>
      <w:pPr>
        <w:pStyle w:val="BodyText"/>
        <w:spacing w:before="9"/>
        <w:rPr>
          <w:sz w:val="14"/>
        </w:rPr>
      </w:pPr>
    </w:p>
    <w:p>
      <w:pPr>
        <w:pStyle w:val="BodyText"/>
        <w:spacing w:line="273" w:lineRule="auto"/>
        <w:ind w:left="2433" w:right="188"/>
      </w:pPr>
      <w:r>
        <w:rPr/>
        <w:t>以上证明和资料不完整的，我们将及时一次性通知受益人补充提供有关证明和资料。</w:t>
      </w:r>
    </w:p>
    <w:p>
      <w:pPr>
        <w:pStyle w:val="BodyText"/>
        <w:spacing w:before="6"/>
        <w:rPr>
          <w:sz w:val="25"/>
        </w:rPr>
      </w:pPr>
    </w:p>
    <w:p>
      <w:pPr>
        <w:pStyle w:val="ListParagraph"/>
        <w:numPr>
          <w:ilvl w:val="1"/>
          <w:numId w:val="2"/>
        </w:numPr>
        <w:tabs>
          <w:tab w:pos="907" w:val="left" w:leader="none"/>
          <w:tab w:pos="908" w:val="left" w:leader="none"/>
          <w:tab w:pos="2433" w:val="left" w:leader="none"/>
        </w:tabs>
        <w:spacing w:line="273" w:lineRule="auto" w:before="0" w:after="0"/>
        <w:ind w:left="2433" w:right="113" w:hanging="2319"/>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w:t>
      </w:r>
      <w:r>
        <w:rPr>
          <w:spacing w:val="-8"/>
          <w:sz w:val="21"/>
        </w:rPr>
        <w:t>；</w:t>
      </w:r>
      <w:r>
        <w:rPr>
          <w:sz w:val="21"/>
        </w:rPr>
        <w:t>情形复杂的</w:t>
      </w:r>
      <w:r>
        <w:rPr>
          <w:spacing w:val="-8"/>
          <w:sz w:val="21"/>
        </w:rPr>
        <w:t>，</w:t>
      </w:r>
      <w:r>
        <w:rPr>
          <w:sz w:val="21"/>
        </w:rPr>
        <w:t>在</w:t>
      </w:r>
      <w:r>
        <w:rPr>
          <w:spacing w:val="-54"/>
          <w:sz w:val="21"/>
        </w:rPr>
        <w:t> </w:t>
      </w:r>
      <w:r>
        <w:rPr>
          <w:sz w:val="21"/>
        </w:rPr>
        <w:t>30</w:t>
      </w:r>
      <w:r>
        <w:rPr>
          <w:spacing w:val="-54"/>
          <w:sz w:val="21"/>
        </w:rPr>
        <w:t> </w:t>
      </w:r>
      <w:r>
        <w:rPr>
          <w:sz w:val="21"/>
        </w:rPr>
        <w:t>日内作出核定</w:t>
      </w:r>
      <w:r>
        <w:rPr>
          <w:spacing w:val="-8"/>
          <w:sz w:val="21"/>
        </w:rPr>
        <w:t>。</w:t>
      </w:r>
      <w:r>
        <w:rPr>
          <w:sz w:val="21"/>
        </w:rPr>
        <w:t>对属于保险责任的</w:t>
      </w:r>
      <w:r>
        <w:rPr>
          <w:spacing w:val="-8"/>
          <w:sz w:val="21"/>
        </w:rPr>
        <w:t>，</w:t>
      </w:r>
      <w:r>
        <w:rPr>
          <w:sz w:val="21"/>
        </w:rPr>
        <w:t>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433" w:right="188"/>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433" w:right="188"/>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433" w:right="116"/>
      </w:pPr>
      <w:r>
        <w:rPr>
          <w:spacing w:val="-3"/>
        </w:rPr>
        <w:t>我们在收到保险金给付申请书及有关证明和资料之日起 </w:t>
      </w:r>
      <w:r>
        <w:rPr/>
        <w:t>60</w:t>
      </w:r>
      <w:r>
        <w:rPr>
          <w:spacing w:val="-12"/>
        </w:rPr>
        <w:t> 日内，对给付保险金的数额不能确定的，根据已有证明和资料可以确定的数额先予支付；我们最终确定给付保险金的数额后，将支付相应的差额。</w:t>
      </w:r>
    </w:p>
    <w:p>
      <w:pPr>
        <w:spacing w:after="0" w:line="273" w:lineRule="auto"/>
        <w:sectPr>
          <w:pgSz w:w="11910" w:h="16840"/>
          <w:pgMar w:header="0" w:footer="1008" w:top="1100" w:bottom="1200" w:left="1020" w:right="1120"/>
        </w:sectPr>
      </w:pPr>
    </w:p>
    <w:p>
      <w:pPr>
        <w:pStyle w:val="ListParagraph"/>
        <w:numPr>
          <w:ilvl w:val="1"/>
          <w:numId w:val="2"/>
        </w:numPr>
        <w:tabs>
          <w:tab w:pos="1007" w:val="left" w:leader="none"/>
          <w:tab w:pos="1008" w:val="left" w:leader="none"/>
          <w:tab w:pos="2533" w:val="left" w:leader="none"/>
        </w:tabs>
        <w:spacing w:line="273" w:lineRule="auto" w:before="19" w:after="0"/>
        <w:ind w:left="2533" w:right="288" w:hanging="2319"/>
        <w:jc w:val="left"/>
        <w:rPr>
          <w:sz w:val="21"/>
        </w:rPr>
      </w:pPr>
      <w:r>
        <w:rPr>
          <w:b/>
          <w:sz w:val="21"/>
        </w:rPr>
        <w:t>宣告死亡处理</w:t>
        <w:tab/>
      </w:r>
      <w:r>
        <w:rPr>
          <w:sz w:val="21"/>
        </w:rPr>
        <w:t>被保险人在本合同有效期间内失踪，如经法院宣告死亡，我们以判决书所确定死亡日为准，依本合同给付身故保险金。</w:t>
      </w:r>
    </w:p>
    <w:p>
      <w:pPr>
        <w:pStyle w:val="BodyText"/>
        <w:spacing w:line="273" w:lineRule="auto" w:before="163"/>
        <w:ind w:left="2533" w:right="216"/>
      </w:pPr>
      <w:r>
        <w:rPr/>
        <w:t>若被保险人在宣告死亡后重新出现或者确知其没有死亡，身故受益人应于知道</w:t>
      </w:r>
      <w:r>
        <w:rPr>
          <w:spacing w:val="-13"/>
        </w:rPr>
        <w:t>此情况后 </w:t>
      </w:r>
      <w:r>
        <w:rPr/>
        <w:t>30</w:t>
      </w:r>
      <w:r>
        <w:rPr>
          <w:spacing w:val="-11"/>
        </w:rPr>
        <w:t> 日内向我们退还已领取的保险金，在失踪期间有应给付其他保险金者，我们依约给付。</w:t>
      </w:r>
    </w:p>
    <w:p>
      <w:pPr>
        <w:pStyle w:val="BodyText"/>
        <w:spacing w:before="6"/>
        <w:rPr>
          <w:sz w:val="25"/>
        </w:rPr>
      </w:pPr>
    </w:p>
    <w:p>
      <w:pPr>
        <w:pStyle w:val="ListParagraph"/>
        <w:numPr>
          <w:ilvl w:val="1"/>
          <w:numId w:val="2"/>
        </w:numPr>
        <w:tabs>
          <w:tab w:pos="1007" w:val="left" w:leader="none"/>
          <w:tab w:pos="1008" w:val="left" w:leader="none"/>
          <w:tab w:pos="2533" w:val="left" w:leader="none"/>
        </w:tabs>
        <w:spacing w:line="273" w:lineRule="auto" w:before="0" w:after="0"/>
        <w:ind w:left="2533" w:right="288" w:hanging="2319"/>
        <w:jc w:val="left"/>
        <w:rPr>
          <w:sz w:val="21"/>
        </w:rPr>
      </w:pPr>
      <w:r>
        <w:rPr>
          <w:b/>
          <w:sz w:val="21"/>
        </w:rPr>
        <w:t>诉讼时效</w:t>
        <w:tab/>
      </w:r>
      <w:r>
        <w:rPr>
          <w:sz w:val="21"/>
        </w:rPr>
        <w:t>被保险人或受益人向我们申请给付保险金的诉讼时效期间为</w:t>
      </w:r>
      <w:r>
        <w:rPr>
          <w:spacing w:val="-54"/>
          <w:sz w:val="21"/>
        </w:rPr>
        <w:t> </w:t>
      </w:r>
      <w:r>
        <w:rPr>
          <w:sz w:val="21"/>
        </w:rPr>
        <w:t>5</w:t>
      </w:r>
      <w:r>
        <w:rPr>
          <w:spacing w:val="-53"/>
          <w:sz w:val="21"/>
        </w:rPr>
        <w:t> </w:t>
      </w:r>
      <w:r>
        <w:rPr>
          <w:sz w:val="21"/>
        </w:rPr>
        <w:t>年，自其知道或者应当知道保险事故发生之日起计算。</w:t>
      </w:r>
    </w:p>
    <w:p>
      <w:pPr>
        <w:pStyle w:val="BodyText"/>
        <w:rPr>
          <w:sz w:val="20"/>
        </w:rPr>
      </w:pPr>
    </w:p>
    <w:p>
      <w:pPr>
        <w:pStyle w:val="BodyText"/>
        <w:spacing w:before="4"/>
        <w:rPr>
          <w:sz w:val="20"/>
        </w:rPr>
      </w:pPr>
    </w:p>
    <w:p>
      <w:pPr>
        <w:pStyle w:val="Heading2"/>
        <w:numPr>
          <w:ilvl w:val="0"/>
          <w:numId w:val="2"/>
        </w:numPr>
        <w:tabs>
          <w:tab w:pos="1006" w:val="left" w:leader="none"/>
          <w:tab w:pos="1007" w:val="left" w:leader="none"/>
        </w:tabs>
        <w:spacing w:line="240" w:lineRule="auto" w:before="0" w:after="0"/>
        <w:ind w:left="1006" w:right="0" w:hanging="792"/>
        <w:jc w:val="left"/>
      </w:pPr>
      <w:r>
        <w:rPr/>
        <w:t>保险费的交纳</w:t>
      </w:r>
    </w:p>
    <w:p>
      <w:pPr>
        <w:pStyle w:val="BodyText"/>
        <w:spacing w:before="6"/>
        <w:rPr>
          <w:b/>
          <w:sz w:val="15"/>
        </w:rPr>
      </w:pPr>
      <w:r>
        <w:rPr/>
        <w:pict>
          <v:line style="position:absolute;mso-position-horizontal-relative:page;mso-position-vertical-relative:paragraph;z-index:1216;mso-wrap-distance-left:0;mso-wrap-distance-right:0" from="51.299999pt,12.564887pt" to="538.799999pt,12.564887pt" stroked="true" strokeweight=".96002pt" strokecolor="#000000">
            <v:stroke dashstyle="solid"/>
            <w10:wrap type="topAndBottom"/>
          </v:line>
        </w:pict>
      </w:r>
    </w:p>
    <w:p>
      <w:pPr>
        <w:pStyle w:val="BodyText"/>
        <w:spacing w:before="6"/>
        <w:rPr>
          <w:b/>
          <w:sz w:val="5"/>
        </w:rPr>
      </w:pPr>
    </w:p>
    <w:p>
      <w:pPr>
        <w:pStyle w:val="ListParagraph"/>
        <w:numPr>
          <w:ilvl w:val="1"/>
          <w:numId w:val="2"/>
        </w:numPr>
        <w:tabs>
          <w:tab w:pos="1007" w:val="left" w:leader="none"/>
          <w:tab w:pos="1008" w:val="left" w:leader="none"/>
          <w:tab w:pos="2533" w:val="left" w:leader="none"/>
        </w:tabs>
        <w:spacing w:line="240" w:lineRule="auto" w:before="35" w:after="0"/>
        <w:ind w:left="2533" w:right="0" w:hanging="2319"/>
        <w:jc w:val="left"/>
        <w:rPr>
          <w:sz w:val="21"/>
        </w:rPr>
      </w:pPr>
      <w:r>
        <w:rPr>
          <w:b/>
          <w:sz w:val="21"/>
        </w:rPr>
        <w:t>保险费的交纳</w:t>
        <w:tab/>
      </w:r>
      <w:r>
        <w:rPr>
          <w:sz w:val="21"/>
        </w:rPr>
        <w:t>本合同的交费方式和交费期间由您和我们约定并在保险单上载明。</w:t>
      </w:r>
    </w:p>
    <w:p>
      <w:pPr>
        <w:pStyle w:val="BodyText"/>
        <w:spacing w:before="9"/>
        <w:rPr>
          <w:sz w:val="14"/>
        </w:rPr>
      </w:pPr>
    </w:p>
    <w:p>
      <w:pPr>
        <w:pStyle w:val="BodyText"/>
        <w:spacing w:line="273" w:lineRule="auto"/>
        <w:ind w:left="2533" w:right="288"/>
      </w:pPr>
      <w:r>
        <w:rPr/>
        <w:t>分期支付保险费的，在交纳首期保险费后，您应当按照约定，在每个保险费约定交纳日交纳其余各期的保险费。</w:t>
      </w:r>
    </w:p>
    <w:p>
      <w:pPr>
        <w:pStyle w:val="BodyText"/>
        <w:spacing w:before="6"/>
        <w:rPr>
          <w:sz w:val="25"/>
        </w:rPr>
      </w:pPr>
    </w:p>
    <w:p>
      <w:pPr>
        <w:pStyle w:val="ListParagraph"/>
        <w:numPr>
          <w:ilvl w:val="1"/>
          <w:numId w:val="2"/>
        </w:numPr>
        <w:tabs>
          <w:tab w:pos="1007" w:val="left" w:leader="none"/>
          <w:tab w:pos="1008" w:val="left" w:leader="none"/>
          <w:tab w:pos="2533" w:val="left" w:leader="none"/>
        </w:tabs>
        <w:spacing w:line="273" w:lineRule="auto" w:before="0" w:after="0"/>
        <w:ind w:left="2533" w:right="216" w:hanging="2319"/>
        <w:jc w:val="left"/>
        <w:rPr>
          <w:sz w:val="21"/>
        </w:rPr>
      </w:pPr>
      <w:r>
        <w:rPr>
          <w:b/>
          <w:sz w:val="21"/>
        </w:rPr>
        <w:t>宽限期</w:t>
        <w:tab/>
      </w:r>
      <w:r>
        <w:rPr>
          <w:sz w:val="21"/>
        </w:rPr>
        <w:t>分期支付保险费的，您支付首期保险费后，除本合同另有约定外，如果您到期未支付保险费</w:t>
      </w:r>
      <w:r>
        <w:rPr>
          <w:spacing w:val="-16"/>
          <w:sz w:val="21"/>
        </w:rPr>
        <w:t>，</w:t>
      </w:r>
      <w:r>
        <w:rPr>
          <w:sz w:val="21"/>
        </w:rPr>
        <w:t>自保险费约定交纳日的次日零时起</w:t>
      </w:r>
      <w:r>
        <w:rPr>
          <w:spacing w:val="-65"/>
          <w:sz w:val="21"/>
        </w:rPr>
        <w:t> </w:t>
      </w:r>
      <w:r>
        <w:rPr>
          <w:sz w:val="21"/>
        </w:rPr>
        <w:t>60</w:t>
      </w:r>
      <w:r>
        <w:rPr>
          <w:spacing w:val="-64"/>
          <w:sz w:val="21"/>
        </w:rPr>
        <w:t> </w:t>
      </w:r>
      <w:r>
        <w:rPr>
          <w:sz w:val="21"/>
        </w:rPr>
        <w:t>日为宽限期</w:t>
      </w:r>
      <w:r>
        <w:rPr>
          <w:spacing w:val="-16"/>
          <w:sz w:val="21"/>
        </w:rPr>
        <w:t>。</w:t>
      </w:r>
      <w:r>
        <w:rPr>
          <w:sz w:val="21"/>
        </w:rPr>
        <w:t>宽限期内发生的保险事故，我们仍会承担保险责任，但在给付保险金时会扣减您欠交的保险费。</w:t>
      </w:r>
    </w:p>
    <w:p>
      <w:pPr>
        <w:pStyle w:val="BodyText"/>
        <w:spacing w:line="273" w:lineRule="auto" w:before="163"/>
        <w:ind w:left="2533" w:right="288"/>
      </w:pPr>
      <w:r>
        <w:rPr/>
        <w:t>如果您宽限期结束之后仍未支付保险费，则本合同自宽限期满的次日零时起效力中止。</w:t>
      </w:r>
    </w:p>
    <w:p>
      <w:pPr>
        <w:pStyle w:val="BodyText"/>
        <w:spacing w:before="5"/>
        <w:rPr>
          <w:sz w:val="27"/>
        </w:rPr>
      </w:pPr>
    </w:p>
    <w:p>
      <w:pPr>
        <w:pStyle w:val="Heading2"/>
        <w:numPr>
          <w:ilvl w:val="0"/>
          <w:numId w:val="2"/>
        </w:numPr>
        <w:tabs>
          <w:tab w:pos="1006" w:val="left" w:leader="none"/>
          <w:tab w:pos="1007" w:val="left" w:leader="none"/>
        </w:tabs>
        <w:spacing w:line="240" w:lineRule="auto" w:before="0" w:after="0"/>
        <w:ind w:left="1006" w:right="0" w:hanging="792"/>
        <w:jc w:val="left"/>
      </w:pPr>
      <w:r>
        <w:rPr/>
        <w:t>现金价值权益</w:t>
      </w:r>
    </w:p>
    <w:p>
      <w:pPr>
        <w:pStyle w:val="BodyText"/>
        <w:spacing w:before="5"/>
        <w:rPr>
          <w:b/>
          <w:sz w:val="15"/>
        </w:rPr>
      </w:pPr>
      <w:r>
        <w:rPr/>
        <w:pict>
          <v:line style="position:absolute;mso-position-horizontal-relative:page;mso-position-vertical-relative:paragraph;z-index:1240;mso-wrap-distance-left:0;mso-wrap-distance-right:0" from="51.299999pt,12.563817pt" to="538.799999pt,12.563817pt" stroked="true" strokeweight=".96002pt" strokecolor="#000000">
            <v:stroke dashstyle="solid"/>
            <w10:wrap type="topAndBottom"/>
          </v:line>
        </w:pict>
      </w:r>
    </w:p>
    <w:p>
      <w:pPr>
        <w:pStyle w:val="BodyText"/>
        <w:spacing w:before="6"/>
        <w:rPr>
          <w:b/>
          <w:sz w:val="5"/>
        </w:rPr>
      </w:pPr>
    </w:p>
    <w:p>
      <w:pPr>
        <w:pStyle w:val="ListParagraph"/>
        <w:numPr>
          <w:ilvl w:val="1"/>
          <w:numId w:val="2"/>
        </w:numPr>
        <w:tabs>
          <w:tab w:pos="1007" w:val="left" w:leader="none"/>
          <w:tab w:pos="1008" w:val="left" w:leader="none"/>
          <w:tab w:pos="2533" w:val="left" w:leader="none"/>
        </w:tabs>
        <w:spacing w:line="273" w:lineRule="auto" w:before="35" w:after="0"/>
        <w:ind w:left="2533" w:right="288" w:hanging="2319"/>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line="273" w:lineRule="auto" w:before="163"/>
        <w:ind w:left="2533" w:right="288"/>
      </w:pPr>
      <w:r>
        <w:rPr/>
        <w:t>我们会在保险单或批注上载明本合同保险单年度末的现金价值。如果您需要了解保险单年度内的现金价值，可向我们查询。</w:t>
      </w:r>
    </w:p>
    <w:p>
      <w:pPr>
        <w:pStyle w:val="BodyText"/>
        <w:spacing w:before="163"/>
        <w:ind w:left="2533"/>
      </w:pPr>
      <w:r>
        <w:rPr/>
        <w:t>若基本保险金额发生变更，则现金价值将按变更后的基本保险金额重新计算。</w:t>
      </w:r>
    </w:p>
    <w:p>
      <w:pPr>
        <w:pStyle w:val="BodyText"/>
        <w:rPr>
          <w:sz w:val="20"/>
        </w:rPr>
      </w:pPr>
    </w:p>
    <w:p>
      <w:pPr>
        <w:pStyle w:val="ListParagraph"/>
        <w:numPr>
          <w:ilvl w:val="1"/>
          <w:numId w:val="2"/>
        </w:numPr>
        <w:tabs>
          <w:tab w:pos="1007" w:val="left" w:leader="none"/>
          <w:tab w:pos="1008" w:val="left" w:leader="none"/>
          <w:tab w:pos="2533" w:val="left" w:leader="none"/>
        </w:tabs>
        <w:spacing w:line="273" w:lineRule="auto" w:before="165" w:after="0"/>
        <w:ind w:left="2533" w:right="213" w:hanging="2319"/>
        <w:jc w:val="left"/>
        <w:rPr>
          <w:sz w:val="21"/>
        </w:rPr>
      </w:pPr>
      <w:r>
        <w:rPr>
          <w:b/>
          <w:sz w:val="21"/>
        </w:rPr>
        <w:t>保单贷款</w:t>
        <w:tab/>
      </w:r>
      <w:r>
        <w:rPr>
          <w:sz w:val="21"/>
        </w:rPr>
        <w:t>在本合同有效期间内，您可以书面申请并经我们审核同意后办理保单贷款。贷款金额不得超过本合同现金价值扣除各项欠款及利息后余额的</w:t>
      </w:r>
      <w:r>
        <w:rPr>
          <w:spacing w:val="-53"/>
          <w:sz w:val="21"/>
        </w:rPr>
        <w:t> </w:t>
      </w:r>
      <w:r>
        <w:rPr>
          <w:sz w:val="21"/>
        </w:rPr>
        <w:t>70%</w:t>
      </w:r>
      <w:r>
        <w:rPr>
          <w:spacing w:val="-85"/>
          <w:sz w:val="21"/>
        </w:rPr>
        <w:t>，</w:t>
      </w:r>
      <w:r>
        <w:rPr>
          <w:sz w:val="21"/>
        </w:rPr>
        <w:t>每次贷款期限最长不超过</w:t>
      </w:r>
      <w:r>
        <w:rPr>
          <w:spacing w:val="-54"/>
          <w:sz w:val="21"/>
        </w:rPr>
        <w:t> </w:t>
      </w:r>
      <w:r>
        <w:rPr>
          <w:sz w:val="21"/>
        </w:rPr>
        <w:t>6</w:t>
      </w:r>
      <w:r>
        <w:rPr>
          <w:spacing w:val="-53"/>
          <w:sz w:val="21"/>
        </w:rPr>
        <w:t> </w:t>
      </w:r>
      <w:r>
        <w:rPr>
          <w:sz w:val="21"/>
        </w:rPr>
        <w:t>个月</w:t>
      </w:r>
      <w:r>
        <w:rPr>
          <w:spacing w:val="-30"/>
          <w:sz w:val="21"/>
        </w:rPr>
        <w:t>，</w:t>
      </w:r>
      <w:r>
        <w:rPr>
          <w:b/>
          <w:sz w:val="21"/>
        </w:rPr>
        <w:t>贷款利</w:t>
      </w:r>
      <w:r>
        <w:rPr>
          <w:b/>
          <w:spacing w:val="-28"/>
          <w:sz w:val="21"/>
        </w:rPr>
        <w:t>率</w:t>
      </w:r>
      <w:r>
        <w:rPr>
          <w:sz w:val="21"/>
        </w:rPr>
        <w:t>（见</w:t>
      </w:r>
      <w:r>
        <w:rPr>
          <w:spacing w:val="-54"/>
          <w:sz w:val="21"/>
        </w:rPr>
        <w:t> </w:t>
      </w:r>
      <w:r>
        <w:rPr>
          <w:spacing w:val="-5"/>
          <w:sz w:val="21"/>
        </w:rPr>
        <w:t>10.15）</w:t>
      </w:r>
      <w:r>
        <w:rPr>
          <w:sz w:val="21"/>
        </w:rPr>
        <w:t>按您与我们签订的贷款协议中约定的利率执行。贷款本息在贷款到期时一并归还。若您到期未能足额偿还贷款本息，则您所欠的贷款本金及利息将作为新的贷款本金，按下一贷款期内的贷款利率计息。</w:t>
      </w:r>
    </w:p>
    <w:p>
      <w:pPr>
        <w:pStyle w:val="BodyText"/>
        <w:spacing w:line="273" w:lineRule="auto" w:before="164"/>
        <w:ind w:left="2533" w:right="288"/>
      </w:pPr>
      <w:r>
        <w:rPr/>
        <w:t>当未还贷款本金及利息加上其他各项欠款及利息达到本合同现金价值时，保险合同的效力即行中止。</w:t>
      </w:r>
    </w:p>
    <w:p>
      <w:pPr>
        <w:spacing w:after="0" w:line="273" w:lineRule="auto"/>
        <w:sectPr>
          <w:pgSz w:w="11910" w:h="16840"/>
          <w:pgMar w:header="0" w:footer="1008" w:top="1100" w:bottom="1200" w:left="920" w:right="1020"/>
        </w:sectPr>
      </w:pPr>
    </w:p>
    <w:p>
      <w:pPr>
        <w:pStyle w:val="Heading3"/>
        <w:numPr>
          <w:ilvl w:val="1"/>
          <w:numId w:val="2"/>
        </w:numPr>
        <w:tabs>
          <w:tab w:pos="1007" w:val="left" w:leader="none"/>
          <w:tab w:pos="1008" w:val="left" w:leader="none"/>
        </w:tabs>
        <w:spacing w:line="273" w:lineRule="auto" w:before="19" w:after="0"/>
        <w:ind w:left="1007" w:right="0" w:hanging="793"/>
        <w:jc w:val="left"/>
      </w:pPr>
      <w:r>
        <w:rPr>
          <w:w w:val="95"/>
        </w:rPr>
        <w:t>保险费自动垫</w:t>
      </w:r>
      <w:r>
        <w:rPr/>
        <w:t>交</w:t>
      </w:r>
    </w:p>
    <w:p>
      <w:pPr>
        <w:pStyle w:val="BodyText"/>
        <w:spacing w:line="273" w:lineRule="auto" w:before="19"/>
        <w:ind w:left="213" w:right="236"/>
        <w:jc w:val="both"/>
      </w:pPr>
      <w:r>
        <w:rPr/>
        <w:br w:type="column"/>
      </w:r>
      <w:r>
        <w:rPr/>
        <w:t>在本合同有效期间内，您可以书面申请并经我们审核同意后办理保险费自动垫交。本合同首期后的分期保险费逾宽限期仍未交付时，且此时本合同的现金价值扣除各项欠款及利息后足以垫付当期本合同及其附加合同欠交的保险费及</w:t>
      </w:r>
      <w:r>
        <w:rPr>
          <w:b/>
        </w:rPr>
        <w:t>利</w:t>
      </w:r>
      <w:r>
        <w:rPr>
          <w:b/>
          <w:spacing w:val="0"/>
          <w:w w:val="99"/>
        </w:rPr>
        <w:t>息</w:t>
      </w:r>
      <w:r>
        <w:rPr>
          <w:spacing w:val="-1"/>
        </w:rPr>
        <w:t>（</w:t>
      </w:r>
      <w:r>
        <w:rPr>
          <w:spacing w:val="-27"/>
        </w:rPr>
        <w:t>见 </w:t>
      </w:r>
      <w:r>
        <w:rPr>
          <w:spacing w:val="-1"/>
        </w:rPr>
        <w:t>1</w:t>
      </w:r>
      <w:r>
        <w:rPr/>
        <w:t>0</w:t>
      </w:r>
      <w:r>
        <w:rPr>
          <w:spacing w:val="-1"/>
        </w:rPr>
        <w:t>.</w:t>
      </w:r>
      <w:r>
        <w:rPr/>
        <w:t>1</w:t>
      </w:r>
      <w:r>
        <w:rPr>
          <w:spacing w:val="-1"/>
        </w:rPr>
        <w:t>6</w:t>
      </w:r>
      <w:r>
        <w:rPr>
          <w:spacing w:val="-105"/>
        </w:rPr>
        <w:t>）</w:t>
      </w:r>
      <w:r>
        <w:rPr>
          <w:spacing w:val="-1"/>
        </w:rPr>
        <w:t>，则我们将以本合同的现金价值垫付当期欠交的保险费及利息；如当时现金价值扣除各项欠款及利息后不足以垫付当期本合同及其附加合同欠交的保险费及利息时，本合同及其附加合同的效力即中止。</w:t>
      </w:r>
    </w:p>
    <w:p>
      <w:pPr>
        <w:spacing w:after="0" w:line="273" w:lineRule="auto"/>
        <w:jc w:val="both"/>
        <w:sectPr>
          <w:pgSz w:w="11910" w:h="16840"/>
          <w:pgMar w:header="0" w:footer="1008" w:top="1100" w:bottom="1200" w:left="920" w:right="1020"/>
          <w:cols w:num="2" w:equalWidth="0">
            <w:col w:w="2271" w:space="48"/>
            <w:col w:w="7651"/>
          </w:cols>
        </w:sectPr>
      </w:pPr>
    </w:p>
    <w:p>
      <w:pPr>
        <w:pStyle w:val="BodyText"/>
        <w:spacing w:before="3"/>
        <w:rPr>
          <w:sz w:val="10"/>
        </w:rPr>
      </w:pPr>
    </w:p>
    <w:p>
      <w:pPr>
        <w:spacing w:after="0"/>
        <w:rPr>
          <w:sz w:val="10"/>
        </w:rPr>
        <w:sectPr>
          <w:type w:val="continuous"/>
          <w:pgSz w:w="11910" w:h="16840"/>
          <w:pgMar w:top="1600" w:bottom="1200" w:left="920" w:right="1020"/>
        </w:sectPr>
      </w:pPr>
    </w:p>
    <w:p>
      <w:pPr>
        <w:pStyle w:val="Heading3"/>
        <w:numPr>
          <w:ilvl w:val="1"/>
          <w:numId w:val="2"/>
        </w:numPr>
        <w:tabs>
          <w:tab w:pos="1007" w:val="left" w:leader="none"/>
          <w:tab w:pos="1008" w:val="left" w:leader="none"/>
        </w:tabs>
        <w:spacing w:line="273" w:lineRule="auto" w:before="36" w:after="0"/>
        <w:ind w:left="1007" w:right="0" w:hanging="793"/>
        <w:jc w:val="left"/>
      </w:pPr>
      <w:r>
        <w:rPr>
          <w:w w:val="95"/>
        </w:rPr>
        <w:t>减少基本保险</w:t>
      </w:r>
      <w:r>
        <w:rPr/>
        <w:t>金额</w:t>
      </w:r>
    </w:p>
    <w:p>
      <w:pPr>
        <w:pStyle w:val="BodyText"/>
        <w:spacing w:line="273" w:lineRule="auto" w:before="36"/>
        <w:ind w:left="214" w:right="110"/>
        <w:jc w:val="both"/>
      </w:pPr>
      <w:r>
        <w:rPr/>
        <w:br w:type="column"/>
      </w:r>
      <w:r>
        <w:rPr>
          <w:spacing w:val="-3"/>
        </w:rPr>
        <w:t>在本合同有效期间内，您可以书面申请减少基本保险金额，但减少后的基本保险</w:t>
      </w:r>
      <w:r>
        <w:rPr>
          <w:spacing w:val="-5"/>
        </w:rPr>
        <w:t>金额不得低于申请减额时我们规定的最低承保金额。我们按减保后的基本保险金额承担保险责任。</w:t>
      </w:r>
    </w:p>
    <w:p>
      <w:pPr>
        <w:pStyle w:val="BodyText"/>
        <w:spacing w:line="273" w:lineRule="auto" w:before="164"/>
        <w:ind w:left="214" w:right="111"/>
      </w:pPr>
      <w:r>
        <w:rPr>
          <w:spacing w:val="-2"/>
        </w:rPr>
        <w:t>我们按合同约定退还基本保险金额的减少部分的现金价值。同时，根据本合同条</w:t>
      </w:r>
      <w:r>
        <w:rPr>
          <w:spacing w:val="-7"/>
        </w:rPr>
        <w:t>款应给付保险金的计算依据“累计所交保险费”，需按照本次变更后的基本保险金额所对应的保险费进行调整。</w:t>
      </w:r>
    </w:p>
    <w:p>
      <w:pPr>
        <w:spacing w:after="0" w:line="273" w:lineRule="auto"/>
        <w:sectPr>
          <w:type w:val="continuous"/>
          <w:pgSz w:w="11910" w:h="16840"/>
          <w:pgMar w:top="1600" w:bottom="1200" w:left="920" w:right="1020"/>
          <w:cols w:num="2" w:equalWidth="0">
            <w:col w:w="2271" w:space="48"/>
            <w:col w:w="7651"/>
          </w:cols>
        </w:sectPr>
      </w:pPr>
    </w:p>
    <w:p>
      <w:pPr>
        <w:pStyle w:val="BodyText"/>
        <w:rPr>
          <w:sz w:val="20"/>
        </w:rPr>
      </w:pPr>
    </w:p>
    <w:p>
      <w:pPr>
        <w:pStyle w:val="BodyText"/>
        <w:rPr>
          <w:sz w:val="20"/>
        </w:rPr>
      </w:pPr>
    </w:p>
    <w:p>
      <w:pPr>
        <w:pStyle w:val="BodyText"/>
        <w:spacing w:before="3"/>
      </w:pPr>
    </w:p>
    <w:p>
      <w:pPr>
        <w:pStyle w:val="Heading2"/>
        <w:numPr>
          <w:ilvl w:val="0"/>
          <w:numId w:val="2"/>
        </w:numPr>
        <w:tabs>
          <w:tab w:pos="1006" w:val="left" w:leader="none"/>
          <w:tab w:pos="1007" w:val="left" w:leader="none"/>
        </w:tabs>
        <w:spacing w:line="240" w:lineRule="auto" w:before="26" w:after="0"/>
        <w:ind w:left="1006" w:right="0" w:hanging="792"/>
        <w:jc w:val="left"/>
      </w:pPr>
      <w:r>
        <w:rPr/>
        <w:t>合同效力的中止及恢复</w:t>
      </w:r>
    </w:p>
    <w:p>
      <w:pPr>
        <w:pStyle w:val="BodyText"/>
        <w:spacing w:before="6"/>
        <w:rPr>
          <w:b/>
          <w:sz w:val="15"/>
        </w:rPr>
      </w:pPr>
      <w:r>
        <w:rPr/>
        <w:pict>
          <v:line style="position:absolute;mso-position-horizontal-relative:page;mso-position-vertical-relative:paragraph;z-index:1264;mso-wrap-distance-left:0;mso-wrap-distance-right:0" from="51.299999pt,12.595349pt" to="538.799999pt,12.595349pt" stroked="true" strokeweight=".96002pt" strokecolor="#000000">
            <v:stroke dashstyle="solid"/>
            <w10:wrap type="topAndBottom"/>
          </v:line>
        </w:pict>
      </w:r>
    </w:p>
    <w:p>
      <w:pPr>
        <w:pStyle w:val="BodyText"/>
        <w:spacing w:before="1"/>
        <w:rPr>
          <w:b/>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3"/>
        <w:gridCol w:w="7454"/>
      </w:tblGrid>
      <w:tr>
        <w:trPr>
          <w:trHeight w:val="423" w:hRule="atLeast"/>
        </w:trPr>
        <w:tc>
          <w:tcPr>
            <w:tcW w:w="664" w:type="dxa"/>
          </w:tcPr>
          <w:p>
            <w:pPr>
              <w:pStyle w:val="TableParagraph"/>
              <w:spacing w:line="210" w:lineRule="exact"/>
              <w:ind w:left="108"/>
              <w:rPr>
                <w:b/>
                <w:sz w:val="21"/>
              </w:rPr>
            </w:pPr>
            <w:r>
              <w:rPr>
                <w:b/>
                <w:sz w:val="21"/>
              </w:rPr>
              <w:t>6.1</w:t>
            </w:r>
          </w:p>
        </w:tc>
        <w:tc>
          <w:tcPr>
            <w:tcW w:w="1633" w:type="dxa"/>
          </w:tcPr>
          <w:p>
            <w:pPr>
              <w:pStyle w:val="TableParagraph"/>
              <w:spacing w:line="210" w:lineRule="exact"/>
              <w:ind w:left="237"/>
              <w:rPr>
                <w:b/>
                <w:sz w:val="21"/>
              </w:rPr>
            </w:pPr>
            <w:r>
              <w:rPr>
                <w:b/>
                <w:sz w:val="21"/>
              </w:rPr>
              <w:t>效力中止</w:t>
            </w:r>
          </w:p>
        </w:tc>
        <w:tc>
          <w:tcPr>
            <w:tcW w:w="7454" w:type="dxa"/>
          </w:tcPr>
          <w:p>
            <w:pPr>
              <w:pStyle w:val="TableParagraph"/>
              <w:spacing w:line="210" w:lineRule="exact"/>
              <w:ind w:left="130"/>
              <w:rPr>
                <w:b/>
                <w:sz w:val="21"/>
              </w:rPr>
            </w:pPr>
            <w:r>
              <w:rPr>
                <w:w w:val="95"/>
                <w:sz w:val="21"/>
              </w:rPr>
              <w:t>在本合同效力中止期间，</w:t>
            </w:r>
            <w:r>
              <w:rPr>
                <w:b/>
                <w:w w:val="95"/>
                <w:sz w:val="21"/>
              </w:rPr>
              <w:t>我们不承担保险责任。</w:t>
            </w:r>
          </w:p>
        </w:tc>
      </w:tr>
      <w:tr>
        <w:trPr>
          <w:trHeight w:val="864" w:hRule="atLeast"/>
        </w:trPr>
        <w:tc>
          <w:tcPr>
            <w:tcW w:w="664" w:type="dxa"/>
          </w:tcPr>
          <w:p>
            <w:pPr>
              <w:pStyle w:val="TableParagraph"/>
              <w:spacing w:before="148"/>
              <w:ind w:left="107"/>
              <w:rPr>
                <w:b/>
                <w:sz w:val="21"/>
              </w:rPr>
            </w:pPr>
            <w:r>
              <w:rPr>
                <w:b/>
                <w:sz w:val="21"/>
              </w:rPr>
              <w:t>6.2</w:t>
            </w:r>
          </w:p>
        </w:tc>
        <w:tc>
          <w:tcPr>
            <w:tcW w:w="1633" w:type="dxa"/>
          </w:tcPr>
          <w:p>
            <w:pPr>
              <w:pStyle w:val="TableParagraph"/>
              <w:spacing w:before="148"/>
              <w:ind w:left="237"/>
              <w:rPr>
                <w:b/>
                <w:sz w:val="21"/>
              </w:rPr>
            </w:pPr>
            <w:r>
              <w:rPr>
                <w:b/>
                <w:sz w:val="21"/>
              </w:rPr>
              <w:t>效力恢复</w:t>
            </w:r>
          </w:p>
        </w:tc>
        <w:tc>
          <w:tcPr>
            <w:tcW w:w="7454" w:type="dxa"/>
          </w:tcPr>
          <w:p>
            <w:pPr>
              <w:pStyle w:val="TableParagraph"/>
              <w:spacing w:line="273" w:lineRule="auto" w:before="148"/>
              <w:ind w:left="130" w:right="181"/>
              <w:rPr>
                <w:sz w:val="21"/>
              </w:rPr>
            </w:pPr>
            <w:r>
              <w:rPr>
                <w:spacing w:val="-6"/>
                <w:sz w:val="21"/>
              </w:rPr>
              <w:t>本合同效力中止后 </w:t>
            </w:r>
            <w:r>
              <w:rPr>
                <w:sz w:val="21"/>
              </w:rPr>
              <w:t>2</w:t>
            </w:r>
            <w:r>
              <w:rPr>
                <w:spacing w:val="-8"/>
                <w:sz w:val="21"/>
              </w:rPr>
              <w:t> 年内，您可以申请恢复合同效力。经我们与您协商并达成协议，在您补交保险费及利息之日起，合同效力恢复。</w:t>
            </w:r>
          </w:p>
        </w:tc>
      </w:tr>
      <w:tr>
        <w:trPr>
          <w:trHeight w:val="882"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line="273" w:lineRule="auto" w:before="64"/>
              <w:ind w:left="130" w:right="181"/>
              <w:rPr>
                <w:sz w:val="21"/>
              </w:rPr>
            </w:pPr>
            <w:r>
              <w:rPr>
                <w:spacing w:val="-5"/>
                <w:sz w:val="21"/>
              </w:rPr>
              <w:t>自本合同效力中止之日起满 </w:t>
            </w:r>
            <w:r>
              <w:rPr>
                <w:sz w:val="21"/>
              </w:rPr>
              <w:t>2</w:t>
            </w:r>
            <w:r>
              <w:rPr>
                <w:spacing w:val="-8"/>
                <w:sz w:val="21"/>
              </w:rPr>
              <w:t> 年您和我们未达成协议的，我们有权解除合同。我们解除合同的，向您退还合同效力中止时保险单的现金价值。</w:t>
            </w:r>
          </w:p>
        </w:tc>
      </w:tr>
      <w:tr>
        <w:trPr>
          <w:trHeight w:val="714" w:hRule="atLeast"/>
        </w:trPr>
        <w:tc>
          <w:tcPr>
            <w:tcW w:w="664" w:type="dxa"/>
            <w:tcBorders>
              <w:bottom w:val="single" w:sz="8" w:space="0" w:color="000000"/>
            </w:tcBorders>
          </w:tcPr>
          <w:p>
            <w:pPr>
              <w:pStyle w:val="TableParagraph"/>
              <w:spacing w:before="157"/>
              <w:ind w:left="108"/>
              <w:rPr>
                <w:b/>
                <w:sz w:val="24"/>
              </w:rPr>
            </w:pPr>
            <w:r>
              <w:rPr>
                <w:b/>
                <w:sz w:val="24"/>
              </w:rPr>
              <w:t>7.</w:t>
            </w:r>
          </w:p>
        </w:tc>
        <w:tc>
          <w:tcPr>
            <w:tcW w:w="1633" w:type="dxa"/>
            <w:tcBorders>
              <w:bottom w:val="single" w:sz="8" w:space="0" w:color="000000"/>
            </w:tcBorders>
          </w:tcPr>
          <w:p>
            <w:pPr>
              <w:pStyle w:val="TableParagraph"/>
              <w:spacing w:before="157"/>
              <w:ind w:left="236"/>
              <w:rPr>
                <w:b/>
                <w:sz w:val="24"/>
              </w:rPr>
            </w:pPr>
            <w:r>
              <w:rPr>
                <w:b/>
                <w:sz w:val="24"/>
              </w:rPr>
              <w:t>合同解除</w:t>
            </w:r>
          </w:p>
        </w:tc>
        <w:tc>
          <w:tcPr>
            <w:tcW w:w="7454" w:type="dxa"/>
            <w:tcBorders>
              <w:bottom w:val="single" w:sz="8" w:space="0" w:color="000000"/>
            </w:tcBorders>
          </w:tcPr>
          <w:p>
            <w:pPr>
              <w:pStyle w:val="TableParagraph"/>
              <w:rPr>
                <w:rFonts w:ascii="Times New Roman"/>
                <w:sz w:val="20"/>
              </w:rPr>
            </w:pPr>
          </w:p>
        </w:tc>
      </w:tr>
      <w:tr>
        <w:trPr>
          <w:trHeight w:val="850" w:hRule="atLeast"/>
        </w:trPr>
        <w:tc>
          <w:tcPr>
            <w:tcW w:w="664" w:type="dxa"/>
            <w:tcBorders>
              <w:top w:val="single" w:sz="8" w:space="0" w:color="000000"/>
            </w:tcBorders>
          </w:tcPr>
          <w:p>
            <w:pPr>
              <w:pStyle w:val="TableParagraph"/>
              <w:spacing w:before="134"/>
              <w:ind w:left="108"/>
              <w:rPr>
                <w:b/>
                <w:sz w:val="21"/>
              </w:rPr>
            </w:pPr>
            <w:r>
              <w:rPr>
                <w:b/>
                <w:sz w:val="21"/>
              </w:rPr>
              <w:t>7.1</w:t>
            </w:r>
          </w:p>
        </w:tc>
        <w:tc>
          <w:tcPr>
            <w:tcW w:w="1633" w:type="dxa"/>
            <w:tcBorders>
              <w:top w:val="single" w:sz="8" w:space="0" w:color="000000"/>
            </w:tcBorders>
          </w:tcPr>
          <w:p>
            <w:pPr>
              <w:pStyle w:val="TableParagraph"/>
              <w:spacing w:line="273" w:lineRule="auto" w:before="134"/>
              <w:ind w:left="237" w:right="130"/>
              <w:rPr>
                <w:b/>
                <w:sz w:val="21"/>
              </w:rPr>
            </w:pPr>
            <w:r>
              <w:rPr>
                <w:b/>
                <w:w w:val="95"/>
                <w:sz w:val="21"/>
              </w:rPr>
              <w:t>您解除合同的手续及风险</w:t>
            </w:r>
          </w:p>
        </w:tc>
        <w:tc>
          <w:tcPr>
            <w:tcW w:w="7454" w:type="dxa"/>
            <w:tcBorders>
              <w:top w:val="single" w:sz="8" w:space="0" w:color="000000"/>
            </w:tcBorders>
          </w:tcPr>
          <w:p>
            <w:pPr>
              <w:pStyle w:val="TableParagraph"/>
              <w:spacing w:line="273" w:lineRule="auto" w:before="134"/>
              <w:ind w:left="130" w:right="181"/>
              <w:rPr>
                <w:sz w:val="21"/>
              </w:rPr>
            </w:pPr>
            <w:r>
              <w:rPr>
                <w:sz w:val="21"/>
              </w:rPr>
              <w:t>如您在犹豫期后申请解除本合同，请填写解除合同申请书并向我们提供下列资料：</w:t>
            </w:r>
          </w:p>
        </w:tc>
      </w:tr>
      <w:tr>
        <w:trPr>
          <w:trHeight w:val="468"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before="64"/>
              <w:ind w:left="130"/>
              <w:rPr>
                <w:sz w:val="21"/>
              </w:rPr>
            </w:pPr>
            <w:r>
              <w:rPr>
                <w:sz w:val="21"/>
              </w:rPr>
              <w:t>1.保险合同；</w:t>
            </w:r>
          </w:p>
        </w:tc>
      </w:tr>
      <w:tr>
        <w:trPr>
          <w:trHeight w:val="468"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before="64"/>
              <w:ind w:left="130"/>
              <w:rPr>
                <w:sz w:val="21"/>
              </w:rPr>
            </w:pPr>
            <w:r>
              <w:rPr>
                <w:sz w:val="21"/>
              </w:rPr>
              <w:t>2.您的有效身份证件。</w:t>
            </w:r>
          </w:p>
        </w:tc>
      </w:tr>
      <w:tr>
        <w:trPr>
          <w:trHeight w:val="780"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line="273" w:lineRule="auto" w:before="64"/>
              <w:ind w:left="130" w:right="181"/>
              <w:rPr>
                <w:sz w:val="21"/>
              </w:rPr>
            </w:pPr>
            <w:r>
              <w:rPr>
                <w:sz w:val="21"/>
              </w:rPr>
              <w:t>如您委托他人办理书面申请解除本合同，还须提供授权委托书及受托人身份证件。</w:t>
            </w:r>
          </w:p>
        </w:tc>
      </w:tr>
      <w:tr>
        <w:trPr>
          <w:trHeight w:val="780"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line="273" w:lineRule="auto" w:before="64"/>
              <w:ind w:left="130" w:right="181"/>
              <w:rPr>
                <w:sz w:val="21"/>
              </w:rPr>
            </w:pPr>
            <w:r>
              <w:rPr>
                <w:sz w:val="21"/>
              </w:rPr>
              <w:t>自我们收到解除合同申请书时起，本合同终止。我们自收到解除合同申请书之日起 30 日内向您退还保险单的现金价值。</w:t>
            </w:r>
          </w:p>
        </w:tc>
      </w:tr>
      <w:tr>
        <w:trPr>
          <w:trHeight w:val="566" w:hRule="atLeast"/>
        </w:trPr>
        <w:tc>
          <w:tcPr>
            <w:tcW w:w="664" w:type="dxa"/>
          </w:tcPr>
          <w:p>
            <w:pPr>
              <w:pStyle w:val="TableParagraph"/>
              <w:rPr>
                <w:rFonts w:ascii="Times New Roman"/>
                <w:sz w:val="20"/>
              </w:rPr>
            </w:pPr>
          </w:p>
        </w:tc>
        <w:tc>
          <w:tcPr>
            <w:tcW w:w="1633" w:type="dxa"/>
          </w:tcPr>
          <w:p>
            <w:pPr>
              <w:pStyle w:val="TableParagraph"/>
              <w:rPr>
                <w:rFonts w:ascii="Times New Roman"/>
                <w:sz w:val="20"/>
              </w:rPr>
            </w:pPr>
          </w:p>
        </w:tc>
        <w:tc>
          <w:tcPr>
            <w:tcW w:w="7454" w:type="dxa"/>
          </w:tcPr>
          <w:p>
            <w:pPr>
              <w:pStyle w:val="TableParagraph"/>
              <w:spacing w:before="64"/>
              <w:ind w:left="130"/>
              <w:rPr>
                <w:sz w:val="21"/>
              </w:rPr>
            </w:pPr>
            <w:r>
              <w:rPr>
                <w:sz w:val="21"/>
              </w:rPr>
              <w:t>您犹豫期后解除合同会遭受一定损失。</w:t>
            </w:r>
          </w:p>
        </w:tc>
      </w:tr>
      <w:tr>
        <w:trPr>
          <w:trHeight w:val="701" w:hRule="atLeast"/>
        </w:trPr>
        <w:tc>
          <w:tcPr>
            <w:tcW w:w="664" w:type="dxa"/>
            <w:tcBorders>
              <w:bottom w:val="single" w:sz="8" w:space="0" w:color="000000"/>
            </w:tcBorders>
          </w:tcPr>
          <w:p>
            <w:pPr>
              <w:pStyle w:val="TableParagraph"/>
              <w:spacing w:before="153"/>
              <w:ind w:left="108"/>
              <w:rPr>
                <w:b/>
                <w:sz w:val="24"/>
              </w:rPr>
            </w:pPr>
            <w:r>
              <w:rPr>
                <w:b/>
                <w:sz w:val="24"/>
              </w:rPr>
              <w:t>8.</w:t>
            </w:r>
          </w:p>
        </w:tc>
        <w:tc>
          <w:tcPr>
            <w:tcW w:w="1633" w:type="dxa"/>
            <w:tcBorders>
              <w:bottom w:val="single" w:sz="8" w:space="0" w:color="000000"/>
            </w:tcBorders>
          </w:tcPr>
          <w:p>
            <w:pPr>
              <w:pStyle w:val="TableParagraph"/>
              <w:spacing w:before="153"/>
              <w:ind w:left="236"/>
              <w:rPr>
                <w:b/>
                <w:sz w:val="24"/>
              </w:rPr>
            </w:pPr>
            <w:r>
              <w:rPr>
                <w:b/>
                <w:sz w:val="24"/>
              </w:rPr>
              <w:t>如实告知</w:t>
            </w:r>
          </w:p>
        </w:tc>
        <w:tc>
          <w:tcPr>
            <w:tcW w:w="7454" w:type="dxa"/>
            <w:tcBorders>
              <w:bottom w:val="single" w:sz="8" w:space="0" w:color="000000"/>
            </w:tcBorders>
          </w:tcPr>
          <w:p>
            <w:pPr>
              <w:pStyle w:val="TableParagraph"/>
              <w:rPr>
                <w:rFonts w:ascii="Times New Roman"/>
                <w:sz w:val="20"/>
              </w:rPr>
            </w:pPr>
          </w:p>
        </w:tc>
      </w:tr>
      <w:tr>
        <w:trPr>
          <w:trHeight w:val="410" w:hRule="atLeast"/>
        </w:trPr>
        <w:tc>
          <w:tcPr>
            <w:tcW w:w="664" w:type="dxa"/>
            <w:tcBorders>
              <w:top w:val="single" w:sz="8" w:space="0" w:color="000000"/>
            </w:tcBorders>
          </w:tcPr>
          <w:p>
            <w:pPr>
              <w:pStyle w:val="TableParagraph"/>
              <w:spacing w:line="255" w:lineRule="exact" w:before="136"/>
              <w:ind w:left="108"/>
              <w:rPr>
                <w:b/>
                <w:sz w:val="21"/>
              </w:rPr>
            </w:pPr>
            <w:r>
              <w:rPr>
                <w:b/>
                <w:sz w:val="21"/>
              </w:rPr>
              <w:t>8.1</w:t>
            </w:r>
          </w:p>
        </w:tc>
        <w:tc>
          <w:tcPr>
            <w:tcW w:w="1633" w:type="dxa"/>
            <w:tcBorders>
              <w:top w:val="single" w:sz="8" w:space="0" w:color="000000"/>
            </w:tcBorders>
          </w:tcPr>
          <w:p>
            <w:pPr>
              <w:pStyle w:val="TableParagraph"/>
              <w:spacing w:line="255" w:lineRule="exact" w:before="136"/>
              <w:ind w:left="237"/>
              <w:rPr>
                <w:b/>
                <w:sz w:val="21"/>
              </w:rPr>
            </w:pPr>
            <w:r>
              <w:rPr>
                <w:b/>
                <w:w w:val="95"/>
                <w:sz w:val="21"/>
              </w:rPr>
              <w:t>明确说明与如</w:t>
            </w:r>
          </w:p>
        </w:tc>
        <w:tc>
          <w:tcPr>
            <w:tcW w:w="7454" w:type="dxa"/>
            <w:tcBorders>
              <w:top w:val="single" w:sz="8" w:space="0" w:color="000000"/>
            </w:tcBorders>
          </w:tcPr>
          <w:p>
            <w:pPr>
              <w:pStyle w:val="TableParagraph"/>
              <w:spacing w:line="255" w:lineRule="exact" w:before="136"/>
              <w:ind w:left="130"/>
              <w:rPr>
                <w:sz w:val="21"/>
              </w:rPr>
            </w:pPr>
            <w:r>
              <w:rPr>
                <w:sz w:val="21"/>
              </w:rPr>
              <w:t>订立本合同时，我们应向您说明本合同的内容。</w:t>
            </w:r>
          </w:p>
        </w:tc>
      </w:tr>
    </w:tbl>
    <w:p>
      <w:pPr>
        <w:pStyle w:val="BodyText"/>
        <w:spacing w:before="4"/>
        <w:rPr>
          <w:b/>
          <w:sz w:val="5"/>
        </w:rPr>
      </w:pPr>
    </w:p>
    <w:p>
      <w:pPr>
        <w:spacing w:after="0"/>
        <w:rPr>
          <w:sz w:val="5"/>
        </w:rPr>
        <w:sectPr>
          <w:type w:val="continuous"/>
          <w:pgSz w:w="11910" w:h="16840"/>
          <w:pgMar w:top="1600" w:bottom="1200" w:left="920" w:right="1020"/>
        </w:sectPr>
      </w:pPr>
    </w:p>
    <w:p>
      <w:pPr>
        <w:pStyle w:val="Heading3"/>
        <w:spacing w:line="243" w:lineRule="exact"/>
        <w:ind w:left="1007"/>
      </w:pPr>
      <w:r>
        <w:rPr/>
        <w:t>实告知</w:t>
      </w:r>
    </w:p>
    <w:p>
      <w:pPr>
        <w:spacing w:line="273" w:lineRule="auto" w:before="123"/>
        <w:ind w:left="852" w:right="262" w:firstLine="0"/>
        <w:jc w:val="left"/>
        <w:rPr>
          <w:sz w:val="21"/>
        </w:rPr>
      </w:pPr>
      <w:r>
        <w:rPr/>
        <w:br w:type="column"/>
      </w:r>
      <w:r>
        <w:rPr>
          <w:b/>
          <w:sz w:val="21"/>
        </w:rPr>
        <w:t>对保险条款中免除我们责任的条款，我们在订立合同时应当在投保单、保险单</w:t>
      </w:r>
      <w:r>
        <w:rPr>
          <w:b/>
          <w:w w:val="95"/>
          <w:sz w:val="21"/>
        </w:rPr>
        <w:t>或者其他保险凭证上作出足以引起您注意的提示</w:t>
      </w:r>
      <w:r>
        <w:rPr>
          <w:w w:val="95"/>
          <w:sz w:val="21"/>
        </w:rPr>
        <w:t>，并对该条款的内容以书面或</w:t>
      </w:r>
    </w:p>
    <w:p>
      <w:pPr>
        <w:spacing w:after="0" w:line="273" w:lineRule="auto"/>
        <w:jc w:val="left"/>
        <w:rPr>
          <w:sz w:val="21"/>
        </w:rPr>
        <w:sectPr>
          <w:type w:val="continuous"/>
          <w:pgSz w:w="11910" w:h="16840"/>
          <w:pgMar w:top="1600" w:bottom="1200" w:left="920" w:right="1020"/>
          <w:cols w:num="2" w:equalWidth="0">
            <w:col w:w="1641" w:space="40"/>
            <w:col w:w="8289"/>
          </w:cols>
        </w:sectPr>
      </w:pPr>
    </w:p>
    <w:p>
      <w:pPr>
        <w:pStyle w:val="BodyText"/>
        <w:spacing w:line="408" w:lineRule="auto" w:before="19"/>
        <w:ind w:left="2533" w:right="58"/>
      </w:pPr>
      <w:r>
        <w:rPr/>
        <w:t>者口头形式向您作出明确说明，未作提示或者明确说明的，该条款不产生效力。我们就您和被保险人的有关情况提出询问，您应当如实告知。</w:t>
      </w:r>
    </w:p>
    <w:p>
      <w:pPr>
        <w:pStyle w:val="Heading3"/>
        <w:spacing w:line="273" w:lineRule="auto" w:before="46"/>
        <w:ind w:left="2533" w:right="262"/>
        <w:jc w:val="both"/>
      </w:pPr>
      <w:r>
        <w:rPr/>
        <w:t>如果您故意或者因重大过失未履行前款规定的如实告知义务，足以影响我们决</w:t>
      </w:r>
      <w:r>
        <w:rPr>
          <w:w w:val="95"/>
        </w:rPr>
        <w:t>定是否同意承保或者提高保险费率的，我们有权解除本合同。</w:t>
      </w:r>
    </w:p>
    <w:p>
      <w:pPr>
        <w:spacing w:line="273" w:lineRule="auto" w:before="163"/>
        <w:ind w:left="2533" w:right="262" w:firstLine="0"/>
        <w:jc w:val="both"/>
        <w:rPr>
          <w:b/>
          <w:sz w:val="21"/>
        </w:rPr>
      </w:pPr>
      <w:r>
        <w:rPr>
          <w:b/>
          <w:sz w:val="21"/>
        </w:rPr>
        <w:t>如果您故意不履行如实告知义务，对于本合同解除前发生的保险事故，我们不</w:t>
      </w:r>
      <w:r>
        <w:rPr>
          <w:b/>
          <w:w w:val="95"/>
          <w:sz w:val="21"/>
        </w:rPr>
        <w:t>承担给付保险金的责任，并不退还保险费。</w:t>
      </w:r>
    </w:p>
    <w:p>
      <w:pPr>
        <w:spacing w:line="273" w:lineRule="auto" w:before="163"/>
        <w:ind w:left="2533" w:right="262" w:firstLine="0"/>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163"/>
        <w:ind w:left="2533" w:right="288"/>
        <w:jc w:val="both"/>
      </w:pPr>
      <w:r>
        <w:rPr/>
        <w:t>我们在合同订立时已经知道您未如实告知的情况的，我们不得解除合同；发生保险事故的，我们承担给付保险金的责任。</w:t>
      </w:r>
    </w:p>
    <w:p>
      <w:pPr>
        <w:pStyle w:val="BodyText"/>
        <w:spacing w:before="10"/>
        <w:rPr>
          <w:sz w:val="22"/>
        </w:rPr>
      </w:pPr>
    </w:p>
    <w:p>
      <w:pPr>
        <w:spacing w:after="0"/>
        <w:rPr>
          <w:sz w:val="22"/>
        </w:rPr>
        <w:sectPr>
          <w:pgSz w:w="11910" w:h="16840"/>
          <w:pgMar w:header="0" w:footer="1008" w:top="1100" w:bottom="1200" w:left="920" w:right="1020"/>
        </w:sectPr>
      </w:pPr>
    </w:p>
    <w:p>
      <w:pPr>
        <w:pStyle w:val="Heading3"/>
        <w:tabs>
          <w:tab w:pos="1007" w:val="left" w:leader="none"/>
        </w:tabs>
        <w:spacing w:line="273" w:lineRule="auto" w:before="35"/>
        <w:ind w:left="1007" w:hanging="794"/>
      </w:pPr>
      <w:r>
        <w:rPr/>
        <w:t>8.2</w:t>
        <w:tab/>
      </w:r>
      <w:r>
        <w:rPr>
          <w:w w:val="95"/>
        </w:rPr>
        <w:t>本公司合同解 除权的限制</w:t>
      </w:r>
    </w:p>
    <w:p>
      <w:pPr>
        <w:pStyle w:val="BodyText"/>
        <w:spacing w:before="35"/>
        <w:ind w:left="214"/>
      </w:pPr>
      <w:r>
        <w:rPr/>
        <w:br w:type="column"/>
      </w:r>
      <w:r>
        <w:rPr/>
        <w:t>前条规定的合同解除权，自我们知道有解除事由之日起，超过 30 日不行使而消</w:t>
      </w:r>
    </w:p>
    <w:p>
      <w:pPr>
        <w:pStyle w:val="BodyText"/>
        <w:spacing w:line="273" w:lineRule="auto" w:before="36"/>
        <w:ind w:left="214" w:right="288"/>
      </w:pPr>
      <w:r>
        <w:rPr>
          <w:spacing w:val="-4"/>
        </w:rPr>
        <w:t>灭。自本合同成立之日起超过 </w:t>
      </w:r>
      <w:r>
        <w:rPr/>
        <w:t>2</w:t>
      </w:r>
      <w:r>
        <w:rPr>
          <w:spacing w:val="-8"/>
        </w:rPr>
        <w:t> 年的，我们不得解除合同；发生保险事故的， 我们承担给付保险金的责任。</w:t>
      </w:r>
    </w:p>
    <w:p>
      <w:pPr>
        <w:spacing w:after="0" w:line="273" w:lineRule="auto"/>
        <w:sectPr>
          <w:type w:val="continuous"/>
          <w:pgSz w:w="11910" w:h="16840"/>
          <w:pgMar w:top="1600" w:bottom="1200" w:left="920" w:right="1020"/>
          <w:cols w:num="2" w:equalWidth="0">
            <w:col w:w="2271" w:space="48"/>
            <w:col w:w="7651"/>
          </w:cols>
        </w:sectPr>
      </w:pPr>
    </w:p>
    <w:p>
      <w:pPr>
        <w:pStyle w:val="BodyText"/>
        <w:rPr>
          <w:sz w:val="20"/>
        </w:rPr>
      </w:pPr>
    </w:p>
    <w:p>
      <w:pPr>
        <w:pStyle w:val="Heading2"/>
        <w:numPr>
          <w:ilvl w:val="0"/>
          <w:numId w:val="6"/>
        </w:numPr>
        <w:tabs>
          <w:tab w:pos="1006" w:val="left" w:leader="none"/>
          <w:tab w:pos="1007" w:val="left" w:leader="none"/>
        </w:tabs>
        <w:spacing w:line="240" w:lineRule="auto" w:before="157" w:after="0"/>
        <w:ind w:left="1006" w:right="0" w:hanging="792"/>
        <w:jc w:val="left"/>
      </w:pPr>
      <w:r>
        <w:rPr/>
        <w:t>其他需要关注的事项</w:t>
      </w:r>
    </w:p>
    <w:p>
      <w:pPr>
        <w:pStyle w:val="BodyText"/>
        <w:spacing w:before="6"/>
        <w:rPr>
          <w:b/>
          <w:sz w:val="15"/>
        </w:rPr>
      </w:pPr>
      <w:r>
        <w:rPr/>
        <w:pict>
          <v:line style="position:absolute;mso-position-horizontal-relative:page;mso-position-vertical-relative:paragraph;z-index:1288;mso-wrap-distance-left:0;mso-wrap-distance-right:0" from="51.299999pt,12.601766pt" to="538.799999pt,12.601766pt" stroked="true" strokeweight=".95999pt" strokecolor="#000000">
            <v:stroke dashstyle="solid"/>
            <w10:wrap type="topAndBottom"/>
          </v:line>
        </w:pict>
      </w:r>
    </w:p>
    <w:p>
      <w:pPr>
        <w:pStyle w:val="BodyText"/>
        <w:spacing w:before="5"/>
        <w:rPr>
          <w:b/>
          <w:sz w:val="5"/>
        </w:rPr>
      </w:pPr>
    </w:p>
    <w:p>
      <w:pPr>
        <w:pStyle w:val="ListParagraph"/>
        <w:numPr>
          <w:ilvl w:val="1"/>
          <w:numId w:val="6"/>
        </w:numPr>
        <w:tabs>
          <w:tab w:pos="1007" w:val="left" w:leader="none"/>
          <w:tab w:pos="1008" w:val="left" w:leader="none"/>
          <w:tab w:pos="2533" w:val="left" w:leader="none"/>
        </w:tabs>
        <w:spacing w:line="273" w:lineRule="auto" w:before="35" w:after="0"/>
        <w:ind w:left="2533" w:right="288" w:hanging="2319"/>
        <w:jc w:val="left"/>
        <w:rPr>
          <w:sz w:val="21"/>
        </w:rPr>
      </w:pPr>
      <w:r>
        <w:rPr>
          <w:b/>
          <w:sz w:val="21"/>
        </w:rPr>
        <w:t>欠款的偿还</w:t>
        <w:tab/>
      </w:r>
      <w:r>
        <w:rPr>
          <w:sz w:val="21"/>
        </w:rPr>
        <w:t>我们在给付各项保险金、现金价值时，如果您有任何未清偿的保单贷款、欠交保险费、自动垫交的保险费，我们会在扣除上述欠款及利息后给付。</w:t>
      </w:r>
    </w:p>
    <w:p>
      <w:pPr>
        <w:pStyle w:val="BodyText"/>
        <w:spacing w:before="6"/>
        <w:rPr>
          <w:sz w:val="25"/>
        </w:rPr>
      </w:pPr>
    </w:p>
    <w:p>
      <w:pPr>
        <w:pStyle w:val="ListParagraph"/>
        <w:numPr>
          <w:ilvl w:val="1"/>
          <w:numId w:val="6"/>
        </w:numPr>
        <w:tabs>
          <w:tab w:pos="1007" w:val="left" w:leader="none"/>
          <w:tab w:pos="1008" w:val="left" w:leader="none"/>
          <w:tab w:pos="2535" w:val="left" w:leader="none"/>
        </w:tabs>
        <w:spacing w:line="273" w:lineRule="auto" w:before="0" w:after="0"/>
        <w:ind w:left="2533" w:right="286" w:hanging="2319"/>
        <w:jc w:val="left"/>
        <w:rPr>
          <w:sz w:val="21"/>
        </w:rPr>
      </w:pPr>
      <w:r>
        <w:rPr>
          <w:b/>
          <w:sz w:val="21"/>
        </w:rPr>
        <w:t>年龄错误</w:t>
        <w:tab/>
        <w:tab/>
      </w:r>
      <w:r>
        <w:rPr>
          <w:sz w:val="21"/>
        </w:rPr>
        <w:t>您在申请投保时，应将与有效身份证件相符的被保险人的出生日期在投保单上填明，如果发生错误按照下列方式办理：</w:t>
      </w:r>
    </w:p>
    <w:p>
      <w:pPr>
        <w:spacing w:line="273" w:lineRule="auto" w:before="163"/>
        <w:ind w:left="2517" w:right="110" w:firstLine="15"/>
        <w:jc w:val="left"/>
        <w:rPr>
          <w:sz w:val="21"/>
        </w:rPr>
      </w:pPr>
      <w:r>
        <w:rPr>
          <w:sz w:val="21"/>
        </w:rPr>
        <w:t>1. </w:t>
      </w:r>
      <w:r>
        <w:rPr>
          <w:b/>
          <w:spacing w:val="-5"/>
          <w:sz w:val="21"/>
        </w:rPr>
        <w:t>您申报的被保险人年龄不真实，并且其真实年龄不符合本合同约定投保年龄</w:t>
      </w:r>
      <w:r>
        <w:rPr>
          <w:b/>
          <w:spacing w:val="-8"/>
          <w:sz w:val="21"/>
        </w:rPr>
        <w:t>限制的，我们有权解除本合同。对于解除本合同的，本合同自解除之日起终止， 我们向您退还本合同终止时的现金价值。</w:t>
      </w:r>
      <w:r>
        <w:rPr>
          <w:spacing w:val="-8"/>
          <w:sz w:val="21"/>
        </w:rPr>
        <w:t>对于本合同解除前发生的保险事故， 我们不承担给付保险金的责任。我们行使合同解除权适用“本公司合同解除权的限制”的规定。</w:t>
      </w:r>
    </w:p>
    <w:p>
      <w:pPr>
        <w:spacing w:line="273" w:lineRule="auto" w:before="163"/>
        <w:ind w:left="2531" w:right="274" w:hanging="15"/>
        <w:jc w:val="both"/>
        <w:rPr>
          <w:sz w:val="21"/>
        </w:rPr>
      </w:pPr>
      <w:r>
        <w:rPr>
          <w:sz w:val="21"/>
        </w:rPr>
        <w:t>2.您申报的被保险人年龄不真实，致使您实付保险费少于应付保险费的，我们有权更正并要求您补交保险费。</w:t>
      </w:r>
      <w:r>
        <w:rPr>
          <w:b/>
          <w:sz w:val="21"/>
        </w:rPr>
        <w:t>若已经发生保险事故，在给付保险金时按实付</w:t>
      </w:r>
      <w:r>
        <w:rPr>
          <w:b/>
          <w:w w:val="95"/>
          <w:sz w:val="21"/>
        </w:rPr>
        <w:t>保险费和应付保险费的比例给付</w:t>
      </w:r>
      <w:r>
        <w:rPr>
          <w:w w:val="95"/>
          <w:sz w:val="21"/>
        </w:rPr>
        <w:t>。</w:t>
      </w:r>
    </w:p>
    <w:p>
      <w:pPr>
        <w:pStyle w:val="BodyText"/>
        <w:spacing w:line="273" w:lineRule="auto" w:before="163"/>
        <w:ind w:left="2533" w:right="288"/>
      </w:pPr>
      <w:r>
        <w:rPr/>
        <w:t>3.您申报的被保险人年龄不真实，致使您实付保险费多于应付保险费的，我们会将多收的保险费退还给您。</w:t>
      </w:r>
    </w:p>
    <w:p>
      <w:pPr>
        <w:pStyle w:val="ListParagraph"/>
        <w:numPr>
          <w:ilvl w:val="1"/>
          <w:numId w:val="6"/>
        </w:numPr>
        <w:tabs>
          <w:tab w:pos="1007" w:val="left" w:leader="none"/>
          <w:tab w:pos="1008" w:val="left" w:leader="none"/>
          <w:tab w:pos="2533" w:val="left" w:leader="none"/>
        </w:tabs>
        <w:spacing w:line="273" w:lineRule="auto" w:before="163" w:after="0"/>
        <w:ind w:left="2533" w:right="110" w:hanging="2319"/>
        <w:jc w:val="left"/>
        <w:rPr>
          <w:sz w:val="21"/>
        </w:rPr>
      </w:pPr>
      <w:r>
        <w:rPr>
          <w:b/>
          <w:sz w:val="21"/>
        </w:rPr>
        <w:t>合同内容变更</w:t>
        <w:tab/>
      </w:r>
      <w:r>
        <w:rPr>
          <w:sz w:val="21"/>
        </w:rPr>
        <w:t>在本合同有效期间内，除本合同另有约定外，经您与我们协商一致，可以变更本合同的有关内容。您提出变更申请后，应当由我们在原保险单或者其他保险凭证上批注或者附贴批单</w:t>
      </w:r>
      <w:r>
        <w:rPr>
          <w:spacing w:val="-16"/>
          <w:sz w:val="21"/>
        </w:rPr>
        <w:t>，</w:t>
      </w:r>
      <w:r>
        <w:rPr>
          <w:sz w:val="21"/>
        </w:rPr>
        <w:t>或由您与我们订立书面的变更协议后</w:t>
      </w:r>
      <w:r>
        <w:rPr>
          <w:spacing w:val="-16"/>
          <w:sz w:val="21"/>
        </w:rPr>
        <w:t>，</w:t>
      </w:r>
      <w:r>
        <w:rPr>
          <w:sz w:val="21"/>
        </w:rPr>
        <w:t>该变更生效。</w:t>
      </w:r>
    </w:p>
    <w:p>
      <w:pPr>
        <w:pStyle w:val="BodyText"/>
        <w:spacing w:before="10"/>
        <w:rPr>
          <w:sz w:val="22"/>
        </w:rPr>
      </w:pPr>
    </w:p>
    <w:p>
      <w:pPr>
        <w:spacing w:after="0"/>
        <w:rPr>
          <w:sz w:val="22"/>
        </w:rPr>
        <w:sectPr>
          <w:type w:val="continuous"/>
          <w:pgSz w:w="11910" w:h="16840"/>
          <w:pgMar w:top="1600" w:bottom="1200" w:left="920" w:right="1020"/>
        </w:sectPr>
      </w:pPr>
    </w:p>
    <w:p>
      <w:pPr>
        <w:pStyle w:val="Heading3"/>
        <w:numPr>
          <w:ilvl w:val="1"/>
          <w:numId w:val="6"/>
        </w:numPr>
        <w:tabs>
          <w:tab w:pos="1007" w:val="left" w:leader="none"/>
          <w:tab w:pos="1008" w:val="left" w:leader="none"/>
        </w:tabs>
        <w:spacing w:line="273" w:lineRule="auto" w:before="35" w:after="0"/>
        <w:ind w:left="1007" w:right="0" w:hanging="793"/>
        <w:jc w:val="left"/>
      </w:pPr>
      <w:r>
        <w:rPr>
          <w:w w:val="95"/>
        </w:rPr>
        <w:t>地址变更的通</w:t>
      </w:r>
      <w:r>
        <w:rPr/>
        <w:t>知</w:t>
      </w:r>
    </w:p>
    <w:p>
      <w:pPr>
        <w:pStyle w:val="BodyText"/>
        <w:spacing w:line="273" w:lineRule="auto" w:before="35"/>
        <w:ind w:left="214" w:right="288"/>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w:t>
      </w:r>
    </w:p>
    <w:p>
      <w:pPr>
        <w:spacing w:after="0" w:line="273" w:lineRule="auto"/>
        <w:jc w:val="both"/>
        <w:sectPr>
          <w:type w:val="continuous"/>
          <w:pgSz w:w="11910" w:h="16840"/>
          <w:pgMar w:top="1600" w:bottom="1200" w:left="920" w:right="1020"/>
          <w:cols w:num="2" w:equalWidth="0">
            <w:col w:w="2271" w:space="48"/>
            <w:col w:w="7651"/>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583"/>
        <w:gridCol w:w="7555"/>
      </w:tblGrid>
      <w:tr>
        <w:trPr>
          <w:trHeight w:val="420" w:hRule="atLeast"/>
        </w:trPr>
        <w:tc>
          <w:tcPr>
            <w:tcW w:w="2301" w:type="dxa"/>
            <w:gridSpan w:val="2"/>
          </w:tcPr>
          <w:p>
            <w:pPr>
              <w:pStyle w:val="TableParagraph"/>
              <w:rPr>
                <w:rFonts w:ascii="Times New Roman"/>
                <w:sz w:val="20"/>
              </w:rPr>
            </w:pPr>
          </w:p>
        </w:tc>
        <w:tc>
          <w:tcPr>
            <w:tcW w:w="7555" w:type="dxa"/>
          </w:tcPr>
          <w:p>
            <w:pPr>
              <w:pStyle w:val="TableParagraph"/>
              <w:spacing w:line="210" w:lineRule="exact"/>
              <w:ind w:left="130"/>
              <w:rPr>
                <w:sz w:val="21"/>
              </w:rPr>
            </w:pPr>
            <w:r>
              <w:rPr>
                <w:sz w:val="21"/>
              </w:rPr>
              <w:t>通知，均视为已送达给您。</w:t>
            </w:r>
          </w:p>
        </w:tc>
      </w:tr>
      <w:tr>
        <w:trPr>
          <w:trHeight w:val="564" w:hRule="atLeast"/>
        </w:trPr>
        <w:tc>
          <w:tcPr>
            <w:tcW w:w="718" w:type="dxa"/>
          </w:tcPr>
          <w:p>
            <w:pPr>
              <w:pStyle w:val="TableParagraph"/>
              <w:spacing w:before="152"/>
              <w:ind w:left="111"/>
              <w:rPr>
                <w:b/>
                <w:sz w:val="21"/>
              </w:rPr>
            </w:pPr>
            <w:r>
              <w:rPr>
                <w:b/>
                <w:sz w:val="21"/>
              </w:rPr>
              <w:t>9.5</w:t>
            </w:r>
          </w:p>
        </w:tc>
        <w:tc>
          <w:tcPr>
            <w:tcW w:w="1583" w:type="dxa"/>
          </w:tcPr>
          <w:p>
            <w:pPr>
              <w:pStyle w:val="TableParagraph"/>
              <w:spacing w:before="152"/>
              <w:ind w:left="186"/>
              <w:rPr>
                <w:b/>
                <w:sz w:val="21"/>
              </w:rPr>
            </w:pPr>
            <w:r>
              <w:rPr>
                <w:b/>
                <w:sz w:val="21"/>
              </w:rPr>
              <w:t>争议处理</w:t>
            </w:r>
          </w:p>
        </w:tc>
        <w:tc>
          <w:tcPr>
            <w:tcW w:w="7555" w:type="dxa"/>
          </w:tcPr>
          <w:p>
            <w:pPr>
              <w:pStyle w:val="TableParagraph"/>
              <w:tabs>
                <w:tab w:pos="5171" w:val="left" w:leader="none"/>
              </w:tabs>
              <w:spacing w:before="152"/>
              <w:ind w:left="130"/>
              <w:rPr>
                <w:sz w:val="21"/>
              </w:rPr>
            </w:pPr>
            <w:r>
              <w:rPr>
                <w:sz w:val="21"/>
              </w:rPr>
              <w:t>本合同履行过程中，双方发生争议时，选择以下第</w:t>
            </w:r>
            <w:r>
              <w:rPr>
                <w:sz w:val="21"/>
                <w:u w:val="single"/>
              </w:rPr>
              <w:t> </w:t>
              <w:tab/>
            </w:r>
            <w:r>
              <w:rPr>
                <w:spacing w:val="-1"/>
                <w:sz w:val="21"/>
              </w:rPr>
              <w:t>种争</w:t>
            </w:r>
            <w:r>
              <w:rPr>
                <w:sz w:val="21"/>
              </w:rPr>
              <w:t>议处理方式：</w:t>
            </w:r>
          </w:p>
        </w:tc>
      </w:tr>
      <w:tr>
        <w:trPr>
          <w:trHeight w:val="780"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before="56"/>
              <w:ind w:left="130"/>
              <w:rPr>
                <w:sz w:val="21"/>
              </w:rPr>
            </w:pPr>
            <w:r>
              <w:rPr>
                <w:sz w:val="21"/>
              </w:rPr>
              <w:t>1.因履行本合同发生的争议，由当事人协商解决，协商不成的，提交</w:t>
            </w:r>
          </w:p>
          <w:p>
            <w:pPr>
              <w:pStyle w:val="TableParagraph"/>
              <w:tabs>
                <w:tab w:pos="1495" w:val="left" w:leader="none"/>
              </w:tabs>
              <w:spacing w:before="37"/>
              <w:ind w:left="130"/>
              <w:rPr>
                <w:sz w:val="21"/>
              </w:rPr>
            </w:pPr>
            <w:r>
              <w:rPr>
                <w:rFonts w:ascii="Times New Roman" w:eastAsia="Times New Roman"/>
                <w:sz w:val="21"/>
                <w:u w:val="single"/>
              </w:rPr>
              <w:t> </w:t>
              <w:tab/>
            </w:r>
            <w:r>
              <w:rPr>
                <w:spacing w:val="-1"/>
                <w:sz w:val="21"/>
              </w:rPr>
              <w:t>仲裁委员会仲裁；</w:t>
            </w:r>
          </w:p>
        </w:tc>
      </w:tr>
      <w:tr>
        <w:trPr>
          <w:trHeight w:val="856"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line="273" w:lineRule="auto" w:before="56"/>
              <w:ind w:left="130" w:right="282"/>
              <w:rPr>
                <w:sz w:val="21"/>
              </w:rPr>
            </w:pPr>
            <w:r>
              <w:rPr>
                <w:sz w:val="21"/>
              </w:rPr>
              <w:t>2.因履行本合同发生的争议，由当事人协商解决，协商不成的，依法向人民法院起诉。</w:t>
            </w:r>
          </w:p>
        </w:tc>
      </w:tr>
      <w:tr>
        <w:trPr>
          <w:trHeight w:val="1254" w:hRule="atLeast"/>
        </w:trPr>
        <w:tc>
          <w:tcPr>
            <w:tcW w:w="718" w:type="dxa"/>
          </w:tcPr>
          <w:p>
            <w:pPr>
              <w:pStyle w:val="TableParagraph"/>
              <w:spacing w:before="148"/>
              <w:ind w:left="111"/>
              <w:rPr>
                <w:b/>
                <w:sz w:val="21"/>
              </w:rPr>
            </w:pPr>
            <w:r>
              <w:rPr>
                <w:b/>
                <w:sz w:val="21"/>
              </w:rPr>
              <w:t>9.6</w:t>
            </w:r>
          </w:p>
        </w:tc>
        <w:tc>
          <w:tcPr>
            <w:tcW w:w="1583" w:type="dxa"/>
          </w:tcPr>
          <w:p>
            <w:pPr>
              <w:pStyle w:val="TableParagraph"/>
              <w:spacing w:line="273" w:lineRule="auto" w:before="148"/>
              <w:ind w:left="186" w:right="130"/>
              <w:rPr>
                <w:b/>
                <w:sz w:val="21"/>
              </w:rPr>
            </w:pPr>
            <w:r>
              <w:rPr>
                <w:b/>
                <w:w w:val="95"/>
                <w:sz w:val="21"/>
              </w:rPr>
              <w:t>身体检查与司</w:t>
            </w:r>
            <w:r>
              <w:rPr>
                <w:b/>
                <w:sz w:val="21"/>
              </w:rPr>
              <w:t>法鉴定</w:t>
            </w:r>
          </w:p>
        </w:tc>
        <w:tc>
          <w:tcPr>
            <w:tcW w:w="7555" w:type="dxa"/>
          </w:tcPr>
          <w:p>
            <w:pPr>
              <w:pStyle w:val="TableParagraph"/>
              <w:spacing w:line="273" w:lineRule="auto" w:before="148"/>
              <w:ind w:left="130" w:right="282"/>
              <w:rPr>
                <w:sz w:val="21"/>
              </w:rPr>
            </w:pPr>
            <w:r>
              <w:rPr>
                <w:sz w:val="21"/>
              </w:rPr>
              <w:t>保险金受益人申请本合同保险金时，我们有权要求被保险人做身体检查或提供有关的检验报告,有权申请司法机构或者国家认可的鉴定机构对保险事故进行鉴定。</w:t>
            </w:r>
          </w:p>
        </w:tc>
      </w:tr>
      <w:tr>
        <w:trPr>
          <w:trHeight w:val="625" w:hRule="atLeast"/>
        </w:trPr>
        <w:tc>
          <w:tcPr>
            <w:tcW w:w="718" w:type="dxa"/>
            <w:tcBorders>
              <w:bottom w:val="single" w:sz="4" w:space="0" w:color="000000"/>
            </w:tcBorders>
          </w:tcPr>
          <w:p>
            <w:pPr>
              <w:pStyle w:val="TableParagraph"/>
              <w:spacing w:before="133"/>
              <w:ind w:left="108"/>
              <w:rPr>
                <w:b/>
                <w:sz w:val="24"/>
              </w:rPr>
            </w:pPr>
            <w:r>
              <w:rPr>
                <w:b/>
                <w:sz w:val="24"/>
              </w:rPr>
              <w:t>10.</w:t>
            </w:r>
          </w:p>
        </w:tc>
        <w:tc>
          <w:tcPr>
            <w:tcW w:w="1583" w:type="dxa"/>
            <w:tcBorders>
              <w:bottom w:val="single" w:sz="4" w:space="0" w:color="000000"/>
            </w:tcBorders>
          </w:tcPr>
          <w:p>
            <w:pPr>
              <w:pStyle w:val="TableParagraph"/>
              <w:spacing w:before="133"/>
              <w:ind w:left="192"/>
              <w:rPr>
                <w:b/>
                <w:sz w:val="24"/>
              </w:rPr>
            </w:pPr>
            <w:r>
              <w:rPr>
                <w:b/>
                <w:sz w:val="24"/>
              </w:rPr>
              <w:t>释义</w:t>
            </w:r>
          </w:p>
        </w:tc>
        <w:tc>
          <w:tcPr>
            <w:tcW w:w="7555" w:type="dxa"/>
            <w:tcBorders>
              <w:bottom w:val="single" w:sz="4" w:space="0" w:color="000000"/>
            </w:tcBorders>
          </w:tcPr>
          <w:p>
            <w:pPr>
              <w:pStyle w:val="TableParagraph"/>
              <w:rPr>
                <w:rFonts w:ascii="Times New Roman"/>
                <w:sz w:val="20"/>
              </w:rPr>
            </w:pPr>
          </w:p>
        </w:tc>
      </w:tr>
      <w:tr>
        <w:trPr>
          <w:trHeight w:val="863" w:hRule="atLeast"/>
        </w:trPr>
        <w:tc>
          <w:tcPr>
            <w:tcW w:w="718" w:type="dxa"/>
            <w:tcBorders>
              <w:top w:val="single" w:sz="4" w:space="0" w:color="000000"/>
            </w:tcBorders>
          </w:tcPr>
          <w:p>
            <w:pPr>
              <w:pStyle w:val="TableParagraph"/>
              <w:spacing w:before="111"/>
              <w:ind w:left="108"/>
              <w:rPr>
                <w:b/>
                <w:sz w:val="21"/>
              </w:rPr>
            </w:pPr>
            <w:r>
              <w:rPr>
                <w:b/>
                <w:sz w:val="21"/>
              </w:rPr>
              <w:t>10.1</w:t>
            </w:r>
          </w:p>
        </w:tc>
        <w:tc>
          <w:tcPr>
            <w:tcW w:w="1583" w:type="dxa"/>
            <w:tcBorders>
              <w:top w:val="single" w:sz="4" w:space="0" w:color="000000"/>
            </w:tcBorders>
          </w:tcPr>
          <w:p>
            <w:pPr>
              <w:pStyle w:val="TableParagraph"/>
              <w:spacing w:before="111"/>
              <w:ind w:left="191"/>
              <w:rPr>
                <w:b/>
                <w:sz w:val="21"/>
              </w:rPr>
            </w:pPr>
            <w:r>
              <w:rPr>
                <w:b/>
                <w:sz w:val="21"/>
              </w:rPr>
              <w:t>周岁</w:t>
            </w:r>
          </w:p>
        </w:tc>
        <w:tc>
          <w:tcPr>
            <w:tcW w:w="7555" w:type="dxa"/>
            <w:tcBorders>
              <w:top w:val="single" w:sz="4" w:space="0" w:color="000000"/>
            </w:tcBorders>
          </w:tcPr>
          <w:p>
            <w:pPr>
              <w:pStyle w:val="TableParagraph"/>
              <w:spacing w:line="273" w:lineRule="auto" w:before="111"/>
              <w:ind w:left="155" w:right="104"/>
              <w:rPr>
                <w:sz w:val="21"/>
              </w:rPr>
            </w:pPr>
            <w:r>
              <w:rPr>
                <w:spacing w:val="-2"/>
                <w:sz w:val="21"/>
              </w:rPr>
              <w:t>以户籍证明或其他法定的身份证件中记载的出生日期为标准计算年龄</w:t>
            </w:r>
            <w:r>
              <w:rPr>
                <w:sz w:val="21"/>
              </w:rPr>
              <w:t>（</w:t>
            </w:r>
            <w:r>
              <w:rPr>
                <w:spacing w:val="-18"/>
                <w:sz w:val="21"/>
              </w:rPr>
              <w:t>不足 </w:t>
            </w:r>
            <w:r>
              <w:rPr>
                <w:sz w:val="21"/>
              </w:rPr>
              <w:t>1</w:t>
            </w:r>
            <w:r>
              <w:rPr>
                <w:spacing w:val="-27"/>
                <w:sz w:val="21"/>
              </w:rPr>
              <w:t> 年不计</w:t>
            </w:r>
            <w:r>
              <w:rPr>
                <w:spacing w:val="-105"/>
                <w:sz w:val="21"/>
              </w:rPr>
              <w:t>）</w:t>
            </w:r>
            <w:r>
              <w:rPr>
                <w:sz w:val="21"/>
              </w:rPr>
              <w:t>。</w:t>
            </w:r>
          </w:p>
        </w:tc>
      </w:tr>
      <w:tr>
        <w:trPr>
          <w:trHeight w:val="824" w:hRule="atLeast"/>
        </w:trPr>
        <w:tc>
          <w:tcPr>
            <w:tcW w:w="718" w:type="dxa"/>
          </w:tcPr>
          <w:p>
            <w:pPr>
              <w:pStyle w:val="TableParagraph"/>
              <w:spacing w:before="100"/>
              <w:ind w:left="107"/>
              <w:rPr>
                <w:b/>
                <w:sz w:val="21"/>
              </w:rPr>
            </w:pPr>
            <w:r>
              <w:rPr>
                <w:b/>
                <w:sz w:val="21"/>
              </w:rPr>
              <w:t>10.2</w:t>
            </w:r>
          </w:p>
        </w:tc>
        <w:tc>
          <w:tcPr>
            <w:tcW w:w="1583" w:type="dxa"/>
          </w:tcPr>
          <w:p>
            <w:pPr>
              <w:pStyle w:val="TableParagraph"/>
              <w:spacing w:before="100"/>
              <w:ind w:left="191"/>
              <w:rPr>
                <w:b/>
                <w:sz w:val="21"/>
              </w:rPr>
            </w:pPr>
            <w:r>
              <w:rPr>
                <w:b/>
                <w:w w:val="95"/>
                <w:sz w:val="21"/>
              </w:rPr>
              <w:t>有效身份证件</w:t>
            </w:r>
          </w:p>
        </w:tc>
        <w:tc>
          <w:tcPr>
            <w:tcW w:w="7555" w:type="dxa"/>
          </w:tcPr>
          <w:p>
            <w:pPr>
              <w:pStyle w:val="TableParagraph"/>
              <w:spacing w:line="271" w:lineRule="auto" w:before="100"/>
              <w:ind w:left="155" w:right="37"/>
              <w:rPr>
                <w:sz w:val="21"/>
              </w:rPr>
            </w:pPr>
            <w:r>
              <w:rPr>
                <w:sz w:val="21"/>
              </w:rPr>
              <w:t>指由政府主管部门规定的证明其身份的证件，如：居民身份证、按规定可使用的有效护照、军官证、警官证、士兵证、户口簿等证件。</w:t>
            </w:r>
          </w:p>
        </w:tc>
      </w:tr>
      <w:tr>
        <w:trPr>
          <w:trHeight w:val="2087" w:hRule="atLeast"/>
        </w:trPr>
        <w:tc>
          <w:tcPr>
            <w:tcW w:w="718" w:type="dxa"/>
          </w:tcPr>
          <w:p>
            <w:pPr>
              <w:pStyle w:val="TableParagraph"/>
              <w:spacing w:before="73"/>
              <w:ind w:left="107"/>
              <w:rPr>
                <w:b/>
                <w:sz w:val="21"/>
              </w:rPr>
            </w:pPr>
            <w:r>
              <w:rPr>
                <w:b/>
                <w:sz w:val="21"/>
              </w:rPr>
              <w:t>10.3</w:t>
            </w:r>
          </w:p>
        </w:tc>
        <w:tc>
          <w:tcPr>
            <w:tcW w:w="1583" w:type="dxa"/>
          </w:tcPr>
          <w:p>
            <w:pPr>
              <w:pStyle w:val="TableParagraph"/>
              <w:spacing w:before="73"/>
              <w:ind w:left="191"/>
              <w:rPr>
                <w:b/>
                <w:sz w:val="21"/>
              </w:rPr>
            </w:pPr>
            <w:r>
              <w:rPr>
                <w:b/>
                <w:w w:val="95"/>
                <w:sz w:val="21"/>
              </w:rPr>
              <w:t>医院</w:t>
            </w:r>
          </w:p>
        </w:tc>
        <w:tc>
          <w:tcPr>
            <w:tcW w:w="7555" w:type="dxa"/>
          </w:tcPr>
          <w:p>
            <w:pPr>
              <w:pStyle w:val="TableParagraph"/>
              <w:spacing w:line="273" w:lineRule="auto" w:before="73"/>
              <w:ind w:left="155" w:right="47"/>
              <w:rPr>
                <w:sz w:val="21"/>
              </w:rPr>
            </w:pPr>
            <w:r>
              <w:rPr>
                <w:sz w:val="21"/>
              </w:rPr>
              <w:t>本合同所称医院指我们指定医院或经中华人民共和国二级或以上之社保定点医 </w:t>
            </w:r>
            <w:r>
              <w:rPr>
                <w:spacing w:val="-8"/>
                <w:sz w:val="21"/>
              </w:rPr>
              <w:t>院，但不包括精神病院及专供康复、护理、疗养、戒酒、戒毒、养老等非以直接</w:t>
            </w:r>
            <w:r>
              <w:rPr>
                <w:spacing w:val="-12"/>
                <w:sz w:val="21"/>
              </w:rPr>
              <w:t>诊治病人为目的之医疗机构。该医院必须具有符合国家有关医院管理规则设置标</w:t>
            </w:r>
            <w:r>
              <w:rPr>
                <w:spacing w:val="-17"/>
                <w:sz w:val="21"/>
              </w:rPr>
              <w:t>准的医疗设备，且全天 </w:t>
            </w:r>
            <w:r>
              <w:rPr>
                <w:sz w:val="21"/>
              </w:rPr>
              <w:t>24</w:t>
            </w:r>
            <w:r>
              <w:rPr>
                <w:spacing w:val="-8"/>
                <w:sz w:val="21"/>
              </w:rPr>
              <w:t> 小时有合格的医生和护士驻院提供医疗和护理服务。当被保险人因遭受意外伤害事故须急救时不受此限，但经急救处理伤情稳定后， 必须转入本附加合同所指医院治疗（急救情况不适用于私人诊所</w:t>
            </w:r>
            <w:r>
              <w:rPr>
                <w:spacing w:val="-105"/>
                <w:sz w:val="21"/>
              </w:rPr>
              <w:t>）</w:t>
            </w:r>
            <w:r>
              <w:rPr>
                <w:sz w:val="21"/>
              </w:rPr>
              <w:t>。</w:t>
            </w:r>
          </w:p>
        </w:tc>
      </w:tr>
      <w:tr>
        <w:trPr>
          <w:trHeight w:val="518" w:hRule="atLeast"/>
        </w:trPr>
        <w:tc>
          <w:tcPr>
            <w:tcW w:w="718" w:type="dxa"/>
          </w:tcPr>
          <w:p>
            <w:pPr>
              <w:pStyle w:val="TableParagraph"/>
              <w:spacing w:before="114"/>
              <w:ind w:left="108"/>
              <w:rPr>
                <w:b/>
                <w:sz w:val="21"/>
              </w:rPr>
            </w:pPr>
            <w:r>
              <w:rPr>
                <w:b/>
                <w:sz w:val="21"/>
              </w:rPr>
              <w:t>10.4</w:t>
            </w:r>
          </w:p>
        </w:tc>
        <w:tc>
          <w:tcPr>
            <w:tcW w:w="1583" w:type="dxa"/>
          </w:tcPr>
          <w:p>
            <w:pPr>
              <w:pStyle w:val="TableParagraph"/>
              <w:spacing w:before="114"/>
              <w:ind w:left="192"/>
              <w:rPr>
                <w:b/>
                <w:sz w:val="21"/>
              </w:rPr>
            </w:pPr>
            <w:r>
              <w:rPr>
                <w:b/>
                <w:sz w:val="21"/>
              </w:rPr>
              <w:t>专科医生</w:t>
            </w:r>
          </w:p>
        </w:tc>
        <w:tc>
          <w:tcPr>
            <w:tcW w:w="7555" w:type="dxa"/>
          </w:tcPr>
          <w:p>
            <w:pPr>
              <w:pStyle w:val="TableParagraph"/>
              <w:spacing w:before="114"/>
              <w:ind w:left="155"/>
              <w:rPr>
                <w:sz w:val="21"/>
              </w:rPr>
            </w:pPr>
            <w:r>
              <w:rPr>
                <w:sz w:val="21"/>
              </w:rPr>
              <w:t>专科医生应当同时满足以下四项资格条件：</w:t>
            </w:r>
          </w:p>
        </w:tc>
      </w:tr>
      <w:tr>
        <w:trPr>
          <w:trHeight w:val="468"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before="64"/>
              <w:ind w:left="155"/>
              <w:rPr>
                <w:sz w:val="21"/>
              </w:rPr>
            </w:pPr>
            <w:r>
              <w:rPr>
                <w:sz w:val="21"/>
              </w:rPr>
              <w:t>1.具有有效的中华人民共和国《医师资格证书》；</w:t>
            </w:r>
          </w:p>
        </w:tc>
      </w:tr>
      <w:tr>
        <w:trPr>
          <w:trHeight w:val="468"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before="64"/>
              <w:ind w:left="155"/>
              <w:rPr>
                <w:sz w:val="21"/>
              </w:rPr>
            </w:pPr>
            <w:r>
              <w:rPr>
                <w:sz w:val="21"/>
              </w:rPr>
              <w:t>2.具有有效的中华人民共和国《医师执业证书》，并按期到相关部门登记注册；</w:t>
            </w:r>
          </w:p>
        </w:tc>
      </w:tr>
      <w:tr>
        <w:trPr>
          <w:trHeight w:val="468"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before="64"/>
              <w:ind w:left="155"/>
              <w:rPr>
                <w:sz w:val="21"/>
              </w:rPr>
            </w:pPr>
            <w:r>
              <w:rPr>
                <w:spacing w:val="-1"/>
                <w:sz w:val="21"/>
              </w:rPr>
              <w:t>3.</w:t>
            </w:r>
            <w:r>
              <w:rPr>
                <w:spacing w:val="-7"/>
                <w:sz w:val="21"/>
              </w:rPr>
              <w:t>具有有效的中华人民共和国主治医师或主治医师以上职称的《医师职称证书》；</w:t>
            </w:r>
          </w:p>
        </w:tc>
      </w:tr>
      <w:tr>
        <w:trPr>
          <w:trHeight w:val="540"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before="64"/>
              <w:ind w:left="155"/>
              <w:rPr>
                <w:sz w:val="21"/>
              </w:rPr>
            </w:pPr>
            <w:r>
              <w:rPr>
                <w:sz w:val="21"/>
              </w:rPr>
              <w:t>4.在二级或二级以上医院的相应科室从事临床工作 3 年以上。</w:t>
            </w:r>
          </w:p>
        </w:tc>
      </w:tr>
      <w:tr>
        <w:trPr>
          <w:trHeight w:val="1476" w:hRule="atLeast"/>
        </w:trPr>
        <w:tc>
          <w:tcPr>
            <w:tcW w:w="718" w:type="dxa"/>
          </w:tcPr>
          <w:p>
            <w:pPr>
              <w:pStyle w:val="TableParagraph"/>
              <w:spacing w:before="136"/>
              <w:ind w:left="108"/>
              <w:rPr>
                <w:b/>
                <w:sz w:val="21"/>
              </w:rPr>
            </w:pPr>
            <w:r>
              <w:rPr>
                <w:b/>
                <w:sz w:val="21"/>
              </w:rPr>
              <w:t>10.5</w:t>
            </w:r>
          </w:p>
        </w:tc>
        <w:tc>
          <w:tcPr>
            <w:tcW w:w="1583" w:type="dxa"/>
          </w:tcPr>
          <w:p>
            <w:pPr>
              <w:pStyle w:val="TableParagraph"/>
              <w:spacing w:before="136"/>
              <w:ind w:left="191"/>
              <w:rPr>
                <w:b/>
                <w:sz w:val="21"/>
              </w:rPr>
            </w:pPr>
            <w:r>
              <w:rPr>
                <w:b/>
                <w:sz w:val="21"/>
              </w:rPr>
              <w:t>重大疾病</w:t>
            </w:r>
          </w:p>
        </w:tc>
        <w:tc>
          <w:tcPr>
            <w:tcW w:w="7555" w:type="dxa"/>
          </w:tcPr>
          <w:p>
            <w:pPr>
              <w:pStyle w:val="TableParagraph"/>
              <w:spacing w:line="273" w:lineRule="auto" w:before="136"/>
              <w:ind w:left="155" w:right="104"/>
              <w:jc w:val="both"/>
              <w:rPr>
                <w:sz w:val="21"/>
              </w:rPr>
            </w:pPr>
            <w:r>
              <w:rPr>
                <w:spacing w:val="-7"/>
                <w:sz w:val="21"/>
              </w:rPr>
              <w:t>本合同所列的 </w:t>
            </w:r>
            <w:r>
              <w:rPr>
                <w:sz w:val="21"/>
              </w:rPr>
              <w:t>40</w:t>
            </w:r>
            <w:r>
              <w:rPr>
                <w:spacing w:val="-11"/>
                <w:sz w:val="21"/>
              </w:rPr>
              <w:t> 种重大疾病，其中本款 </w:t>
            </w:r>
            <w:r>
              <w:rPr>
                <w:sz w:val="21"/>
              </w:rPr>
              <w:t>1)</w:t>
            </w:r>
            <w:r>
              <w:rPr>
                <w:spacing w:val="-25"/>
                <w:sz w:val="21"/>
              </w:rPr>
              <w:t>至 </w:t>
            </w:r>
            <w:r>
              <w:rPr>
                <w:sz w:val="21"/>
              </w:rPr>
              <w:t>25)项的重大疾病定义采用中国保</w:t>
            </w:r>
            <w:r>
              <w:rPr>
                <w:spacing w:val="-17"/>
                <w:sz w:val="21"/>
              </w:rPr>
              <w:t>险行业协会颁布的《重大疾病保险的疾病定义使用规范》中的疾病定义。“疾病” </w:t>
            </w:r>
            <w:r>
              <w:rPr>
                <w:spacing w:val="-14"/>
                <w:sz w:val="21"/>
              </w:rPr>
              <w:t>指约定的疾病、疾病状态或手术。您投保本附加合同即表明认可并遵从本合同中对重大疾病的定义。</w:t>
            </w:r>
          </w:p>
        </w:tc>
      </w:tr>
      <w:tr>
        <w:trPr>
          <w:trHeight w:val="339" w:hRule="atLeast"/>
        </w:trPr>
        <w:tc>
          <w:tcPr>
            <w:tcW w:w="718" w:type="dxa"/>
          </w:tcPr>
          <w:p>
            <w:pPr>
              <w:pStyle w:val="TableParagraph"/>
              <w:rPr>
                <w:rFonts w:ascii="Times New Roman"/>
                <w:sz w:val="20"/>
              </w:rPr>
            </w:pPr>
          </w:p>
        </w:tc>
        <w:tc>
          <w:tcPr>
            <w:tcW w:w="1583" w:type="dxa"/>
          </w:tcPr>
          <w:p>
            <w:pPr>
              <w:pStyle w:val="TableParagraph"/>
              <w:rPr>
                <w:rFonts w:ascii="Times New Roman"/>
                <w:sz w:val="20"/>
              </w:rPr>
            </w:pPr>
          </w:p>
        </w:tc>
        <w:tc>
          <w:tcPr>
            <w:tcW w:w="7555" w:type="dxa"/>
          </w:tcPr>
          <w:p>
            <w:pPr>
              <w:pStyle w:val="TableParagraph"/>
              <w:spacing w:line="255" w:lineRule="exact" w:before="64"/>
              <w:ind w:left="155"/>
              <w:rPr>
                <w:sz w:val="21"/>
              </w:rPr>
            </w:pPr>
            <w:r>
              <w:rPr>
                <w:sz w:val="21"/>
              </w:rPr>
              <w:t>1) 恶性肿瘤：指恶性细胞不受控制的进行性增长和扩散，浸润和破坏周围正常</w:t>
            </w:r>
          </w:p>
        </w:tc>
      </w:tr>
    </w:tbl>
    <w:p>
      <w:pPr>
        <w:pStyle w:val="BodyText"/>
        <w:spacing w:line="273" w:lineRule="auto" w:before="41"/>
        <w:ind w:left="3012" w:right="210"/>
        <w:jc w:val="both"/>
      </w:pPr>
      <w:r>
        <w:rPr>
          <w:spacing w:val="-10"/>
        </w:rPr>
        <w:t>组织，可以经血管、淋巴管和体腔扩散转移到身体其它部位的疾病。经病理</w:t>
      </w:r>
      <w:r>
        <w:rPr>
          <w:spacing w:val="-14"/>
        </w:rPr>
        <w:t>学检查结果明确诊断，临床诊断属于世界卫生组织《疾病和有关健康问题的</w:t>
      </w:r>
      <w:r>
        <w:rPr>
          <w:spacing w:val="-16"/>
        </w:rPr>
        <w:t>国际统计分类》</w:t>
      </w:r>
      <w:r>
        <w:rPr>
          <w:spacing w:val="-1"/>
        </w:rPr>
        <w:t>（ICD-10）的恶性肿瘤范畴。</w:t>
      </w:r>
    </w:p>
    <w:p>
      <w:pPr>
        <w:pStyle w:val="Heading3"/>
        <w:spacing w:before="163"/>
        <w:ind w:left="3349"/>
      </w:pPr>
      <w:r>
        <w:rPr>
          <w:w w:val="95"/>
        </w:rPr>
        <w:t>下列疾病不在保障范围内：</w:t>
      </w:r>
    </w:p>
    <w:p>
      <w:pPr>
        <w:spacing w:after="0"/>
        <w:sectPr>
          <w:pgSz w:w="11910" w:h="16840"/>
          <w:pgMar w:header="0" w:footer="1008" w:top="1180" w:bottom="1200" w:left="920" w:right="920"/>
        </w:sectPr>
      </w:pPr>
    </w:p>
    <w:p>
      <w:pPr>
        <w:pStyle w:val="ListParagraph"/>
        <w:numPr>
          <w:ilvl w:val="2"/>
          <w:numId w:val="6"/>
        </w:numPr>
        <w:tabs>
          <w:tab w:pos="3093" w:val="left" w:leader="none"/>
        </w:tabs>
        <w:spacing w:line="240" w:lineRule="auto" w:before="19" w:after="0"/>
        <w:ind w:left="3092" w:right="0" w:hanging="394"/>
        <w:jc w:val="left"/>
        <w:rPr>
          <w:sz w:val="21"/>
        </w:rPr>
      </w:pPr>
      <w:r>
        <w:rPr>
          <w:sz w:val="21"/>
        </w:rPr>
        <w:t>原位癌；</w:t>
      </w:r>
    </w:p>
    <w:p>
      <w:pPr>
        <w:pStyle w:val="BodyText"/>
        <w:spacing w:before="9"/>
        <w:rPr>
          <w:sz w:val="14"/>
        </w:rPr>
      </w:pPr>
    </w:p>
    <w:p>
      <w:pPr>
        <w:pStyle w:val="ListParagraph"/>
        <w:numPr>
          <w:ilvl w:val="2"/>
          <w:numId w:val="6"/>
        </w:numPr>
        <w:tabs>
          <w:tab w:pos="3093" w:val="left" w:leader="none"/>
        </w:tabs>
        <w:spacing w:line="240" w:lineRule="auto" w:before="1" w:after="0"/>
        <w:ind w:left="3092" w:right="0" w:hanging="394"/>
        <w:jc w:val="left"/>
        <w:rPr>
          <w:sz w:val="21"/>
        </w:rPr>
      </w:pPr>
      <w:r>
        <w:rPr>
          <w:spacing w:val="-1"/>
          <w:sz w:val="21"/>
        </w:rPr>
        <w:t>相当于</w:t>
      </w:r>
      <w:r>
        <w:rPr>
          <w:sz w:val="21"/>
        </w:rPr>
        <w:t>Binet分期方案A期程度的慢性淋巴细胞白血病；</w:t>
      </w:r>
    </w:p>
    <w:p>
      <w:pPr>
        <w:pStyle w:val="BodyText"/>
        <w:spacing w:before="10"/>
        <w:rPr>
          <w:sz w:val="14"/>
        </w:rPr>
      </w:pPr>
    </w:p>
    <w:p>
      <w:pPr>
        <w:pStyle w:val="ListParagraph"/>
        <w:numPr>
          <w:ilvl w:val="2"/>
          <w:numId w:val="6"/>
        </w:numPr>
        <w:tabs>
          <w:tab w:pos="3093" w:val="left" w:leader="none"/>
        </w:tabs>
        <w:spacing w:line="240" w:lineRule="auto" w:before="0" w:after="0"/>
        <w:ind w:left="3092" w:right="0" w:hanging="394"/>
        <w:jc w:val="left"/>
        <w:rPr>
          <w:sz w:val="21"/>
        </w:rPr>
      </w:pPr>
      <w:r>
        <w:rPr>
          <w:sz w:val="21"/>
        </w:rPr>
        <w:t>相当于Ann</w:t>
      </w:r>
      <w:r>
        <w:rPr>
          <w:spacing w:val="-4"/>
          <w:sz w:val="21"/>
        </w:rPr>
        <w:t> </w:t>
      </w:r>
      <w:r>
        <w:rPr>
          <w:sz w:val="21"/>
        </w:rPr>
        <w:t>Arbor分期方案I期程度的何杰金氏病；</w:t>
      </w:r>
    </w:p>
    <w:p>
      <w:pPr>
        <w:pStyle w:val="BodyText"/>
        <w:spacing w:before="9"/>
        <w:rPr>
          <w:sz w:val="14"/>
        </w:rPr>
      </w:pPr>
    </w:p>
    <w:p>
      <w:pPr>
        <w:pStyle w:val="ListParagraph"/>
        <w:numPr>
          <w:ilvl w:val="2"/>
          <w:numId w:val="6"/>
        </w:numPr>
        <w:tabs>
          <w:tab w:pos="3093" w:val="left" w:leader="none"/>
        </w:tabs>
        <w:spacing w:line="240" w:lineRule="auto" w:before="1" w:after="0"/>
        <w:ind w:left="3092" w:right="0" w:hanging="394"/>
        <w:jc w:val="left"/>
        <w:rPr>
          <w:sz w:val="21"/>
        </w:rPr>
      </w:pPr>
      <w:r>
        <w:rPr>
          <w:sz w:val="21"/>
        </w:rPr>
        <w:t>皮肤癌（不包括恶性黑色素瘤及已发生转移的皮肤癌</w:t>
      </w:r>
      <w:r>
        <w:rPr>
          <w:spacing w:val="-105"/>
          <w:sz w:val="21"/>
        </w:rPr>
        <w:t>）</w:t>
      </w:r>
      <w:r>
        <w:rPr>
          <w:sz w:val="21"/>
        </w:rPr>
        <w:t>；</w:t>
      </w:r>
    </w:p>
    <w:p>
      <w:pPr>
        <w:pStyle w:val="BodyText"/>
        <w:spacing w:before="9"/>
        <w:rPr>
          <w:sz w:val="14"/>
        </w:rPr>
      </w:pPr>
    </w:p>
    <w:p>
      <w:pPr>
        <w:pStyle w:val="ListParagraph"/>
        <w:numPr>
          <w:ilvl w:val="2"/>
          <w:numId w:val="6"/>
        </w:numPr>
        <w:tabs>
          <w:tab w:pos="3093" w:val="left" w:leader="none"/>
        </w:tabs>
        <w:spacing w:line="240" w:lineRule="auto" w:before="0" w:after="0"/>
        <w:ind w:left="3092" w:right="0" w:hanging="394"/>
        <w:jc w:val="left"/>
        <w:rPr>
          <w:sz w:val="21"/>
        </w:rPr>
      </w:pPr>
      <w:r>
        <w:rPr>
          <w:spacing w:val="-1"/>
          <w:position w:val="1"/>
          <w:sz w:val="21"/>
        </w:rPr>
        <w:t>TNM分期为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before="9"/>
        <w:rPr>
          <w:sz w:val="14"/>
        </w:rPr>
      </w:pPr>
    </w:p>
    <w:p>
      <w:pPr>
        <w:pStyle w:val="ListParagraph"/>
        <w:numPr>
          <w:ilvl w:val="2"/>
          <w:numId w:val="6"/>
        </w:numPr>
        <w:tabs>
          <w:tab w:pos="3093" w:val="left" w:leader="none"/>
        </w:tabs>
        <w:spacing w:line="240" w:lineRule="auto" w:before="0" w:after="0"/>
        <w:ind w:left="3092" w:right="0" w:hanging="394"/>
        <w:jc w:val="left"/>
        <w:rPr>
          <w:sz w:val="21"/>
        </w:rPr>
      </w:pPr>
      <w:r>
        <w:rPr>
          <w:sz w:val="21"/>
        </w:rPr>
        <w:t>感染艾滋病病毒或患艾滋病期间所患恶性肿瘤。</w:t>
      </w:r>
    </w:p>
    <w:p>
      <w:pPr>
        <w:pStyle w:val="BodyText"/>
        <w:rPr>
          <w:sz w:val="20"/>
        </w:rPr>
      </w:pPr>
    </w:p>
    <w:p>
      <w:pPr>
        <w:pStyle w:val="BodyText"/>
        <w:rPr>
          <w:sz w:val="20"/>
        </w:rPr>
      </w:pPr>
    </w:p>
    <w:p>
      <w:pPr>
        <w:pStyle w:val="ListParagraph"/>
        <w:numPr>
          <w:ilvl w:val="0"/>
          <w:numId w:val="7"/>
        </w:numPr>
        <w:tabs>
          <w:tab w:pos="2131" w:val="left" w:leader="none"/>
        </w:tabs>
        <w:spacing w:line="273" w:lineRule="auto" w:before="137" w:after="0"/>
        <w:ind w:left="2252" w:right="242" w:hanging="454"/>
        <w:jc w:val="both"/>
        <w:rPr>
          <w:b/>
          <w:sz w:val="21"/>
        </w:rPr>
      </w:pPr>
      <w:r>
        <w:rPr>
          <w:sz w:val="21"/>
        </w:rPr>
        <w:t>急性心肌梗塞：指因冠状动脉阻塞导致的相应区域供血不足造成部分心肌坏</w:t>
      </w:r>
      <w:r>
        <w:rPr>
          <w:w w:val="95"/>
          <w:sz w:val="21"/>
        </w:rPr>
        <w:t>死。</w:t>
      </w:r>
      <w:r>
        <w:rPr>
          <w:b/>
          <w:w w:val="95"/>
          <w:sz w:val="21"/>
        </w:rPr>
        <w:t>须满足下列至少三项条件：</w:t>
      </w:r>
    </w:p>
    <w:p>
      <w:pPr>
        <w:pStyle w:val="BodyText"/>
        <w:rPr>
          <w:b/>
          <w:sz w:val="20"/>
        </w:rPr>
      </w:pPr>
    </w:p>
    <w:p>
      <w:pPr>
        <w:pStyle w:val="BodyText"/>
        <w:spacing w:before="3"/>
        <w:rPr>
          <w:b/>
          <w:sz w:val="28"/>
        </w:rPr>
      </w:pPr>
    </w:p>
    <w:p>
      <w:pPr>
        <w:pStyle w:val="ListParagraph"/>
        <w:numPr>
          <w:ilvl w:val="1"/>
          <w:numId w:val="7"/>
        </w:numPr>
        <w:tabs>
          <w:tab w:pos="3093" w:val="left" w:leader="none"/>
        </w:tabs>
        <w:spacing w:line="240" w:lineRule="auto" w:before="0" w:after="0"/>
        <w:ind w:left="3092" w:right="0" w:hanging="394"/>
        <w:jc w:val="left"/>
        <w:rPr>
          <w:sz w:val="21"/>
        </w:rPr>
      </w:pPr>
      <w:r>
        <w:rPr>
          <w:sz w:val="21"/>
        </w:rPr>
        <w:t>典型临床表现，例如急性胸痛等；</w:t>
      </w:r>
    </w:p>
    <w:p>
      <w:pPr>
        <w:pStyle w:val="BodyText"/>
        <w:spacing w:before="9"/>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z w:val="21"/>
        </w:rPr>
        <w:t>新近的心电图改变提示急性心肌梗塞；</w:t>
      </w:r>
    </w:p>
    <w:p>
      <w:pPr>
        <w:pStyle w:val="BodyText"/>
        <w:spacing w:before="9"/>
        <w:rPr>
          <w:sz w:val="14"/>
        </w:rPr>
      </w:pPr>
    </w:p>
    <w:p>
      <w:pPr>
        <w:pStyle w:val="ListParagraph"/>
        <w:numPr>
          <w:ilvl w:val="1"/>
          <w:numId w:val="7"/>
        </w:numPr>
        <w:tabs>
          <w:tab w:pos="3093" w:val="left" w:leader="none"/>
        </w:tabs>
        <w:spacing w:line="273" w:lineRule="auto" w:before="0" w:after="0"/>
        <w:ind w:left="3092" w:right="211" w:hanging="394"/>
        <w:jc w:val="left"/>
        <w:rPr>
          <w:sz w:val="21"/>
        </w:rPr>
      </w:pPr>
      <w:r>
        <w:rPr>
          <w:spacing w:val="-6"/>
          <w:sz w:val="21"/>
        </w:rPr>
        <w:t>心肌酶或肌钙蛋白有诊断意义的升高，或呈符合急性心肌梗塞的动态性变化；</w:t>
      </w:r>
    </w:p>
    <w:p>
      <w:pPr>
        <w:pStyle w:val="ListParagraph"/>
        <w:numPr>
          <w:ilvl w:val="1"/>
          <w:numId w:val="7"/>
        </w:numPr>
        <w:tabs>
          <w:tab w:pos="3093" w:val="left" w:leader="none"/>
        </w:tabs>
        <w:spacing w:line="273" w:lineRule="auto" w:before="163" w:after="0"/>
        <w:ind w:left="3092" w:right="211" w:hanging="394"/>
        <w:jc w:val="left"/>
        <w:rPr>
          <w:sz w:val="21"/>
        </w:rPr>
      </w:pPr>
      <w:r>
        <w:rPr>
          <w:sz w:val="21"/>
        </w:rPr>
        <w:t>发病90</w:t>
      </w:r>
      <w:r>
        <w:rPr>
          <w:spacing w:val="-10"/>
          <w:sz w:val="21"/>
        </w:rPr>
        <w:t>天后，经检查证实左心室功能降低，如左心室射血分数低于</w:t>
      </w:r>
      <w:r>
        <w:rPr>
          <w:spacing w:val="-1"/>
          <w:sz w:val="21"/>
        </w:rPr>
        <w:t>50%。</w:t>
      </w:r>
    </w:p>
    <w:p>
      <w:pPr>
        <w:pStyle w:val="BodyText"/>
        <w:rPr>
          <w:sz w:val="20"/>
        </w:rPr>
      </w:pPr>
    </w:p>
    <w:p>
      <w:pPr>
        <w:pStyle w:val="BodyText"/>
        <w:spacing w:before="3"/>
        <w:rPr>
          <w:sz w:val="28"/>
        </w:rPr>
      </w:pPr>
    </w:p>
    <w:p>
      <w:pPr>
        <w:pStyle w:val="ListParagraph"/>
        <w:numPr>
          <w:ilvl w:val="0"/>
          <w:numId w:val="7"/>
        </w:numPr>
        <w:tabs>
          <w:tab w:pos="2132" w:val="left" w:leader="none"/>
        </w:tabs>
        <w:spacing w:line="273" w:lineRule="auto" w:before="0" w:after="0"/>
        <w:ind w:left="2252" w:right="208" w:hanging="454"/>
        <w:jc w:val="both"/>
        <w:rPr>
          <w:b/>
          <w:sz w:val="21"/>
        </w:rPr>
      </w:pPr>
      <w:r>
        <w:rPr>
          <w:sz w:val="21"/>
        </w:rPr>
        <w:t>脑中风后遗症：指因脑血管的突发病变引起脑血管出血、栓塞或梗塞，并导</w:t>
      </w:r>
      <w:r>
        <w:rPr>
          <w:spacing w:val="-12"/>
          <w:sz w:val="21"/>
        </w:rPr>
        <w:t>致神经系统永久性的功能障碍。神经系统永久性的功能障碍，指疾病确诊</w:t>
      </w:r>
      <w:r>
        <w:rPr>
          <w:sz w:val="21"/>
        </w:rPr>
        <w:t>180 </w:t>
      </w:r>
      <w:r>
        <w:rPr>
          <w:w w:val="95"/>
          <w:sz w:val="21"/>
        </w:rPr>
        <w:t>天后，</w:t>
      </w:r>
      <w:r>
        <w:rPr>
          <w:b/>
          <w:w w:val="95"/>
          <w:sz w:val="21"/>
        </w:rPr>
        <w:t>仍遗留下列一种或一种以上障碍：</w:t>
      </w:r>
    </w:p>
    <w:p>
      <w:pPr>
        <w:pStyle w:val="BodyText"/>
        <w:rPr>
          <w:b/>
          <w:sz w:val="20"/>
        </w:rPr>
      </w:pPr>
    </w:p>
    <w:p>
      <w:pPr>
        <w:pStyle w:val="BodyText"/>
        <w:spacing w:before="3"/>
        <w:rPr>
          <w:b/>
          <w:sz w:val="28"/>
        </w:rPr>
      </w:pPr>
    </w:p>
    <w:p>
      <w:pPr>
        <w:pStyle w:val="ListParagraph"/>
        <w:numPr>
          <w:ilvl w:val="1"/>
          <w:numId w:val="7"/>
        </w:numPr>
        <w:tabs>
          <w:tab w:pos="3093" w:val="left" w:leader="none"/>
        </w:tabs>
        <w:spacing w:line="240" w:lineRule="auto" w:before="0" w:after="0"/>
        <w:ind w:left="3092" w:right="0" w:hanging="394"/>
        <w:jc w:val="left"/>
        <w:rPr>
          <w:sz w:val="21"/>
        </w:rPr>
      </w:pPr>
      <w:r>
        <w:rPr>
          <w:sz w:val="21"/>
        </w:rPr>
        <w:t>一肢或一肢以上</w:t>
      </w:r>
      <w:r>
        <w:rPr>
          <w:b/>
          <w:w w:val="99"/>
          <w:sz w:val="21"/>
        </w:rPr>
        <w:t>肢体机能完全丧失</w:t>
      </w:r>
      <w:r>
        <w:rPr>
          <w:spacing w:val="-1"/>
          <w:sz w:val="21"/>
        </w:rPr>
        <w:t>（见</w:t>
      </w:r>
      <w:r>
        <w:rPr>
          <w:sz w:val="21"/>
        </w:rPr>
        <w:t>1</w:t>
      </w:r>
      <w:r>
        <w:rPr>
          <w:spacing w:val="-1"/>
          <w:sz w:val="21"/>
        </w:rPr>
        <w:t>0</w:t>
      </w:r>
      <w:r>
        <w:rPr>
          <w:sz w:val="21"/>
        </w:rPr>
        <w:t>.</w:t>
      </w:r>
      <w:r>
        <w:rPr>
          <w:spacing w:val="-1"/>
          <w:sz w:val="21"/>
        </w:rPr>
        <w:t>1</w:t>
      </w:r>
      <w:r>
        <w:rPr>
          <w:sz w:val="21"/>
        </w:rPr>
        <w:t>7</w:t>
      </w:r>
      <w:r>
        <w:rPr>
          <w:spacing w:val="-106"/>
          <w:sz w:val="21"/>
        </w:rPr>
        <w:t>）</w:t>
      </w:r>
      <w:r>
        <w:rPr>
          <w:sz w:val="21"/>
        </w:rPr>
        <w:t>；</w:t>
      </w:r>
    </w:p>
    <w:p>
      <w:pPr>
        <w:pStyle w:val="BodyText"/>
        <w:spacing w:before="9"/>
        <w:rPr>
          <w:sz w:val="14"/>
        </w:rPr>
      </w:pPr>
    </w:p>
    <w:p>
      <w:pPr>
        <w:pStyle w:val="ListParagraph"/>
        <w:numPr>
          <w:ilvl w:val="1"/>
          <w:numId w:val="7"/>
        </w:numPr>
        <w:tabs>
          <w:tab w:pos="3093" w:val="left" w:leader="none"/>
        </w:tabs>
        <w:spacing w:line="240" w:lineRule="auto" w:before="1" w:after="0"/>
        <w:ind w:left="3092" w:right="0" w:hanging="394"/>
        <w:jc w:val="left"/>
        <w:rPr>
          <w:sz w:val="21"/>
        </w:rPr>
      </w:pPr>
      <w:r>
        <w:rPr>
          <w:b/>
          <w:w w:val="95"/>
          <w:sz w:val="21"/>
        </w:rPr>
        <w:t>语言能力或咀嚼吞咽能力完全丧失</w:t>
      </w:r>
      <w:r>
        <w:rPr>
          <w:w w:val="95"/>
          <w:sz w:val="21"/>
        </w:rPr>
        <w:t>（见10.18）；</w:t>
      </w:r>
    </w:p>
    <w:p>
      <w:pPr>
        <w:pStyle w:val="BodyText"/>
        <w:spacing w:before="10"/>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pacing w:val="-5"/>
          <w:w w:val="95"/>
          <w:sz w:val="21"/>
        </w:rPr>
        <w:t>自主生活能力完全丧失，无法独立完成</w:t>
      </w:r>
      <w:r>
        <w:rPr>
          <w:b/>
          <w:spacing w:val="-5"/>
          <w:w w:val="95"/>
          <w:sz w:val="21"/>
        </w:rPr>
        <w:t>六项基本日常生活活动</w:t>
      </w:r>
      <w:r>
        <w:rPr>
          <w:w w:val="95"/>
          <w:sz w:val="21"/>
        </w:rPr>
        <w:t>（见</w:t>
      </w:r>
    </w:p>
    <w:p>
      <w:pPr>
        <w:pStyle w:val="BodyText"/>
        <w:spacing w:before="37"/>
        <w:ind w:left="3092"/>
      </w:pPr>
      <w:r>
        <w:rPr/>
        <w:t>10.19）中的三项或三项以上。</w:t>
      </w:r>
    </w:p>
    <w:p>
      <w:pPr>
        <w:pStyle w:val="BodyText"/>
        <w:rPr>
          <w:sz w:val="20"/>
        </w:rPr>
      </w:pPr>
    </w:p>
    <w:p>
      <w:pPr>
        <w:pStyle w:val="BodyText"/>
        <w:rPr>
          <w:sz w:val="20"/>
        </w:rPr>
      </w:pPr>
    </w:p>
    <w:p>
      <w:pPr>
        <w:pStyle w:val="ListParagraph"/>
        <w:numPr>
          <w:ilvl w:val="0"/>
          <w:numId w:val="7"/>
        </w:numPr>
        <w:tabs>
          <w:tab w:pos="2131" w:val="left" w:leader="none"/>
        </w:tabs>
        <w:spacing w:line="273" w:lineRule="auto" w:before="137" w:after="0"/>
        <w:ind w:left="2252" w:right="106" w:hanging="454"/>
        <w:jc w:val="both"/>
        <w:rPr>
          <w:sz w:val="21"/>
        </w:rPr>
      </w:pPr>
      <w:r>
        <w:rPr>
          <w:sz w:val="21"/>
        </w:rPr>
        <w:t>重大器官移植术或造血干细胞移植术：重大器官移植术，指因相应器官功能</w:t>
      </w:r>
      <w:r>
        <w:rPr>
          <w:spacing w:val="-10"/>
          <w:sz w:val="21"/>
        </w:rPr>
        <w:t>衰竭，已经实施了肾脏、肝脏、心脏或肺脏的异体移植手术。造血干细胞移</w:t>
      </w:r>
      <w:r>
        <w:rPr>
          <w:spacing w:val="-11"/>
          <w:sz w:val="21"/>
        </w:rPr>
        <w:t>植术，指因造血功能损害或造血系统恶性肿瘤，已经实施了造血干细胞</w:t>
      </w:r>
      <w:r>
        <w:rPr>
          <w:sz w:val="21"/>
        </w:rPr>
        <w:t>（包</w:t>
      </w:r>
      <w:r>
        <w:rPr>
          <w:spacing w:val="-10"/>
          <w:sz w:val="21"/>
        </w:rPr>
        <w:t>括骨髓造血干细胞、外周血造血干细胞和脐血造血干细胞</w:t>
      </w:r>
      <w:r>
        <w:rPr>
          <w:spacing w:val="-99"/>
          <w:sz w:val="21"/>
        </w:rPr>
        <w:t>）</w:t>
      </w:r>
      <w:r>
        <w:rPr>
          <w:sz w:val="21"/>
        </w:rPr>
        <w:t>的异体移植手术。</w:t>
      </w:r>
    </w:p>
    <w:p>
      <w:pPr>
        <w:pStyle w:val="BodyText"/>
        <w:rPr>
          <w:sz w:val="20"/>
        </w:rPr>
      </w:pPr>
    </w:p>
    <w:p>
      <w:pPr>
        <w:pStyle w:val="BodyText"/>
        <w:spacing w:before="2"/>
        <w:rPr>
          <w:sz w:val="28"/>
        </w:rPr>
      </w:pPr>
    </w:p>
    <w:p>
      <w:pPr>
        <w:pStyle w:val="ListParagraph"/>
        <w:numPr>
          <w:ilvl w:val="0"/>
          <w:numId w:val="7"/>
        </w:numPr>
        <w:tabs>
          <w:tab w:pos="2131" w:val="left" w:leader="none"/>
        </w:tabs>
        <w:spacing w:line="273" w:lineRule="auto" w:before="1" w:after="0"/>
        <w:ind w:left="2252" w:right="212" w:hanging="454"/>
        <w:jc w:val="both"/>
        <w:rPr>
          <w:b/>
          <w:sz w:val="21"/>
        </w:rPr>
      </w:pPr>
      <w:r>
        <w:rPr>
          <w:spacing w:val="-4"/>
          <w:sz w:val="21"/>
        </w:rPr>
        <w:t>冠状动脉搭桥术</w:t>
      </w:r>
      <w:r>
        <w:rPr>
          <w:sz w:val="21"/>
        </w:rPr>
        <w:t>（或称冠状动脉旁路移植术</w:t>
      </w:r>
      <w:r>
        <w:rPr>
          <w:spacing w:val="-66"/>
          <w:sz w:val="21"/>
        </w:rPr>
        <w:t>）</w:t>
      </w:r>
      <w:r>
        <w:rPr>
          <w:spacing w:val="-11"/>
          <w:sz w:val="21"/>
        </w:rPr>
        <w:t>：指为治疗严重的冠心病，实际</w:t>
      </w:r>
      <w:r>
        <w:rPr>
          <w:spacing w:val="-13"/>
          <w:sz w:val="21"/>
        </w:rPr>
        <w:t>实施了开胸进行的冠状动脉血管旁路移植的手术。</w:t>
      </w:r>
      <w:r>
        <w:rPr>
          <w:b/>
          <w:spacing w:val="-6"/>
          <w:sz w:val="21"/>
        </w:rPr>
        <w:t>冠状动脉支架植入术、心</w:t>
      </w:r>
      <w:r>
        <w:rPr>
          <w:b/>
          <w:spacing w:val="-6"/>
          <w:w w:val="95"/>
          <w:sz w:val="21"/>
        </w:rPr>
        <w:t>导管球囊扩张术、激光射频技术及其它非开胸的介入手术、腔镜手术不在</w:t>
      </w:r>
    </w:p>
    <w:p>
      <w:pPr>
        <w:spacing w:after="0" w:line="273" w:lineRule="auto"/>
        <w:jc w:val="both"/>
        <w:rPr>
          <w:sz w:val="21"/>
        </w:rPr>
        <w:sectPr>
          <w:pgSz w:w="11910" w:h="16840"/>
          <w:pgMar w:header="0" w:footer="1008" w:top="1100" w:bottom="1200" w:left="1680" w:right="920"/>
        </w:sectPr>
      </w:pPr>
    </w:p>
    <w:p>
      <w:pPr>
        <w:pStyle w:val="Heading3"/>
        <w:spacing w:before="19"/>
        <w:ind w:left="2252"/>
      </w:pPr>
      <w:r>
        <w:rPr>
          <w:w w:val="95"/>
        </w:rPr>
        <w:t>保障范围内。</w:t>
      </w:r>
    </w:p>
    <w:p>
      <w:pPr>
        <w:pStyle w:val="BodyText"/>
        <w:rPr>
          <w:b/>
          <w:sz w:val="20"/>
        </w:rPr>
      </w:pPr>
    </w:p>
    <w:p>
      <w:pPr>
        <w:pStyle w:val="BodyText"/>
        <w:rPr>
          <w:b/>
          <w:sz w:val="20"/>
        </w:rPr>
      </w:pPr>
    </w:p>
    <w:p>
      <w:pPr>
        <w:pStyle w:val="ListParagraph"/>
        <w:numPr>
          <w:ilvl w:val="0"/>
          <w:numId w:val="7"/>
        </w:numPr>
        <w:tabs>
          <w:tab w:pos="2131" w:val="left" w:leader="none"/>
        </w:tabs>
        <w:spacing w:line="273" w:lineRule="auto" w:before="137" w:after="0"/>
        <w:ind w:left="2252" w:right="106" w:hanging="454"/>
        <w:jc w:val="left"/>
        <w:rPr>
          <w:sz w:val="21"/>
        </w:rPr>
      </w:pPr>
      <w:r>
        <w:rPr>
          <w:spacing w:val="-19"/>
          <w:sz w:val="21"/>
        </w:rPr>
        <w:t>终末期肾病</w:t>
      </w:r>
      <w:r>
        <w:rPr>
          <w:sz w:val="21"/>
        </w:rPr>
        <w:t>（或称慢性肾功能衰竭尿毒症期</w:t>
      </w:r>
      <w:r>
        <w:rPr>
          <w:spacing w:val="-98"/>
          <w:sz w:val="21"/>
        </w:rPr>
        <w:t>）</w:t>
      </w:r>
      <w:r>
        <w:rPr>
          <w:spacing w:val="-11"/>
          <w:sz w:val="21"/>
        </w:rPr>
        <w:t>：指双肾功能慢性不可逆性衰竭， </w:t>
      </w:r>
      <w:r>
        <w:rPr>
          <w:spacing w:val="-14"/>
          <w:sz w:val="21"/>
        </w:rPr>
        <w:t>达到尿毒症期，经诊断后已经进行了至少</w:t>
      </w:r>
      <w:r>
        <w:rPr>
          <w:sz w:val="21"/>
        </w:rPr>
        <w:t>90天的规律性透析治疗或实施了肾脏移植手术。</w:t>
      </w:r>
    </w:p>
    <w:p>
      <w:pPr>
        <w:pStyle w:val="BodyText"/>
        <w:rPr>
          <w:sz w:val="20"/>
        </w:rPr>
      </w:pPr>
    </w:p>
    <w:p>
      <w:pPr>
        <w:pStyle w:val="BodyText"/>
        <w:spacing w:before="3"/>
        <w:rPr>
          <w:sz w:val="28"/>
        </w:rPr>
      </w:pPr>
    </w:p>
    <w:p>
      <w:pPr>
        <w:pStyle w:val="ListParagraph"/>
        <w:numPr>
          <w:ilvl w:val="0"/>
          <w:numId w:val="7"/>
        </w:numPr>
        <w:tabs>
          <w:tab w:pos="2132" w:val="left" w:leader="none"/>
        </w:tabs>
        <w:spacing w:line="273" w:lineRule="auto" w:before="0" w:after="0"/>
        <w:ind w:left="2252" w:right="209" w:hanging="454"/>
        <w:jc w:val="left"/>
        <w:rPr>
          <w:sz w:val="21"/>
        </w:rPr>
      </w:pPr>
      <w:r>
        <w:rPr>
          <w:sz w:val="21"/>
        </w:rPr>
        <w:t>多个肢体缺失:指因疾病或意外伤害导致两个或两个以上肢体自腕关节或踝关节近端（靠近躯干端）以上完全性断离。</w:t>
      </w:r>
    </w:p>
    <w:p>
      <w:pPr>
        <w:pStyle w:val="BodyText"/>
        <w:rPr>
          <w:sz w:val="20"/>
        </w:rPr>
      </w:pPr>
    </w:p>
    <w:p>
      <w:pPr>
        <w:pStyle w:val="BodyText"/>
        <w:spacing w:before="3"/>
        <w:rPr>
          <w:sz w:val="28"/>
        </w:rPr>
      </w:pPr>
    </w:p>
    <w:p>
      <w:pPr>
        <w:pStyle w:val="ListParagraph"/>
        <w:numPr>
          <w:ilvl w:val="0"/>
          <w:numId w:val="7"/>
        </w:numPr>
        <w:tabs>
          <w:tab w:pos="2132" w:val="left" w:leader="none"/>
        </w:tabs>
        <w:spacing w:line="273" w:lineRule="auto" w:before="0" w:after="0"/>
        <w:ind w:left="2252" w:right="110" w:hanging="454"/>
        <w:jc w:val="left"/>
        <w:rPr>
          <w:b/>
          <w:sz w:val="21"/>
        </w:rPr>
      </w:pPr>
      <w:r>
        <w:rPr>
          <w:sz w:val="21"/>
        </w:rPr>
        <w:t>急性或亚急性重症肝炎：指因肝炎病毒感染引起肝脏组织弥漫性坏死，导致</w:t>
      </w:r>
      <w:r>
        <w:rPr>
          <w:w w:val="95"/>
          <w:sz w:val="21"/>
        </w:rPr>
        <w:t>急性肝功能衰竭，且经血清学或病毒学检查证实，</w:t>
      </w:r>
      <w:r>
        <w:rPr>
          <w:b/>
          <w:w w:val="95"/>
          <w:sz w:val="21"/>
        </w:rPr>
        <w:t>并须满足下列全部条件：</w:t>
      </w:r>
    </w:p>
    <w:p>
      <w:pPr>
        <w:pStyle w:val="BodyText"/>
        <w:rPr>
          <w:b/>
          <w:sz w:val="20"/>
        </w:rPr>
      </w:pPr>
    </w:p>
    <w:p>
      <w:pPr>
        <w:pStyle w:val="BodyText"/>
        <w:spacing w:before="3"/>
        <w:rPr>
          <w:b/>
          <w:sz w:val="28"/>
        </w:rPr>
      </w:pPr>
    </w:p>
    <w:p>
      <w:pPr>
        <w:pStyle w:val="ListParagraph"/>
        <w:numPr>
          <w:ilvl w:val="1"/>
          <w:numId w:val="7"/>
        </w:numPr>
        <w:tabs>
          <w:tab w:pos="3093" w:val="left" w:leader="none"/>
        </w:tabs>
        <w:spacing w:line="240" w:lineRule="auto" w:before="0" w:after="0"/>
        <w:ind w:left="3092" w:right="0" w:hanging="394"/>
        <w:jc w:val="left"/>
        <w:rPr>
          <w:sz w:val="21"/>
        </w:rPr>
      </w:pPr>
      <w:r>
        <w:rPr>
          <w:spacing w:val="-1"/>
          <w:sz w:val="21"/>
        </w:rPr>
        <w:t>重度黄疸或黄疸迅速加重；</w:t>
      </w:r>
    </w:p>
    <w:p>
      <w:pPr>
        <w:pStyle w:val="BodyText"/>
        <w:spacing w:before="9"/>
        <w:rPr>
          <w:sz w:val="14"/>
        </w:rPr>
      </w:pPr>
    </w:p>
    <w:p>
      <w:pPr>
        <w:pStyle w:val="ListParagraph"/>
        <w:numPr>
          <w:ilvl w:val="1"/>
          <w:numId w:val="7"/>
        </w:numPr>
        <w:tabs>
          <w:tab w:pos="3093" w:val="left" w:leader="none"/>
        </w:tabs>
        <w:spacing w:line="240" w:lineRule="auto" w:before="1" w:after="0"/>
        <w:ind w:left="3092" w:right="0" w:hanging="394"/>
        <w:jc w:val="left"/>
        <w:rPr>
          <w:sz w:val="21"/>
        </w:rPr>
      </w:pPr>
      <w:r>
        <w:rPr>
          <w:spacing w:val="-1"/>
          <w:sz w:val="21"/>
        </w:rPr>
        <w:t>肝性脑病；</w:t>
      </w:r>
    </w:p>
    <w:p>
      <w:pPr>
        <w:pStyle w:val="BodyText"/>
        <w:spacing w:before="10"/>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pacing w:val="-1"/>
          <w:sz w:val="21"/>
        </w:rPr>
        <w:t>B超或其它影像学检查显示肝脏体积急速萎缩；</w:t>
      </w:r>
    </w:p>
    <w:p>
      <w:pPr>
        <w:pStyle w:val="BodyText"/>
        <w:spacing w:before="9"/>
        <w:rPr>
          <w:sz w:val="14"/>
        </w:rPr>
      </w:pPr>
    </w:p>
    <w:p>
      <w:pPr>
        <w:pStyle w:val="ListParagraph"/>
        <w:numPr>
          <w:ilvl w:val="1"/>
          <w:numId w:val="7"/>
        </w:numPr>
        <w:tabs>
          <w:tab w:pos="3093" w:val="left" w:leader="none"/>
        </w:tabs>
        <w:spacing w:line="240" w:lineRule="auto" w:before="1" w:after="0"/>
        <w:ind w:left="3092" w:right="0" w:hanging="394"/>
        <w:jc w:val="left"/>
        <w:rPr>
          <w:sz w:val="21"/>
        </w:rPr>
      </w:pPr>
      <w:r>
        <w:rPr>
          <w:sz w:val="21"/>
        </w:rPr>
        <w:t>肝功能指标进行性恶化。</w:t>
      </w:r>
    </w:p>
    <w:p>
      <w:pPr>
        <w:pStyle w:val="BodyText"/>
        <w:rPr>
          <w:sz w:val="20"/>
        </w:rPr>
      </w:pPr>
    </w:p>
    <w:p>
      <w:pPr>
        <w:pStyle w:val="BodyText"/>
        <w:rPr>
          <w:sz w:val="20"/>
        </w:rPr>
      </w:pPr>
    </w:p>
    <w:p>
      <w:pPr>
        <w:pStyle w:val="ListParagraph"/>
        <w:numPr>
          <w:ilvl w:val="0"/>
          <w:numId w:val="7"/>
        </w:numPr>
        <w:tabs>
          <w:tab w:pos="2132" w:val="left" w:leader="none"/>
        </w:tabs>
        <w:spacing w:line="273" w:lineRule="auto" w:before="138" w:after="0"/>
        <w:ind w:left="2252" w:right="208" w:hanging="454"/>
        <w:jc w:val="both"/>
        <w:rPr>
          <w:b/>
          <w:sz w:val="21"/>
        </w:rPr>
      </w:pPr>
      <w:r>
        <w:rPr>
          <w:sz w:val="21"/>
        </w:rPr>
        <w:t>良性脑肿瘤：指脑的良性肿瘤，已经引起颅内压增高，临床表现为视神经乳</w:t>
      </w:r>
      <w:r>
        <w:rPr>
          <w:spacing w:val="-9"/>
          <w:sz w:val="21"/>
        </w:rPr>
        <w:t>头水肿、精神症状、癫痫及运动感觉障碍等，并危及生命。须由头颅断层扫描（CT</w:t>
      </w:r>
      <w:r>
        <w:rPr>
          <w:spacing w:val="-105"/>
          <w:sz w:val="21"/>
        </w:rPr>
        <w:t>）</w:t>
      </w:r>
      <w:r>
        <w:rPr>
          <w:sz w:val="21"/>
        </w:rPr>
        <w:t>、核磁共振检查（MRI）或正电子发射断层扫描（PET）等影像学检</w:t>
      </w:r>
      <w:r>
        <w:rPr>
          <w:w w:val="95"/>
          <w:sz w:val="21"/>
        </w:rPr>
        <w:t>查证实，</w:t>
      </w:r>
      <w:r>
        <w:rPr>
          <w:b/>
          <w:w w:val="95"/>
          <w:sz w:val="21"/>
        </w:rPr>
        <w:t>并须满足下列至少一项条件：</w:t>
      </w:r>
    </w:p>
    <w:p>
      <w:pPr>
        <w:pStyle w:val="BodyText"/>
        <w:rPr>
          <w:b/>
          <w:sz w:val="20"/>
        </w:rPr>
      </w:pPr>
    </w:p>
    <w:p>
      <w:pPr>
        <w:pStyle w:val="BodyText"/>
        <w:spacing w:before="3"/>
        <w:rPr>
          <w:b/>
          <w:sz w:val="28"/>
        </w:rPr>
      </w:pPr>
    </w:p>
    <w:p>
      <w:pPr>
        <w:pStyle w:val="ListParagraph"/>
        <w:numPr>
          <w:ilvl w:val="1"/>
          <w:numId w:val="7"/>
        </w:numPr>
        <w:tabs>
          <w:tab w:pos="3059" w:val="left" w:leader="none"/>
        </w:tabs>
        <w:spacing w:line="240" w:lineRule="auto" w:before="1" w:after="0"/>
        <w:ind w:left="3058" w:right="0" w:hanging="360"/>
        <w:jc w:val="left"/>
        <w:rPr>
          <w:sz w:val="21"/>
        </w:rPr>
      </w:pPr>
      <w:r>
        <w:rPr>
          <w:spacing w:val="-1"/>
          <w:sz w:val="21"/>
        </w:rPr>
        <w:t>实际实施了开颅进行的脑肿瘤完全切除或部分切除的手术；</w:t>
      </w:r>
    </w:p>
    <w:p>
      <w:pPr>
        <w:pStyle w:val="BodyText"/>
        <w:spacing w:before="10"/>
        <w:rPr>
          <w:sz w:val="14"/>
        </w:rPr>
      </w:pPr>
    </w:p>
    <w:p>
      <w:pPr>
        <w:pStyle w:val="ListParagraph"/>
        <w:numPr>
          <w:ilvl w:val="1"/>
          <w:numId w:val="7"/>
        </w:numPr>
        <w:tabs>
          <w:tab w:pos="3059" w:val="left" w:leader="none"/>
        </w:tabs>
        <w:spacing w:line="240" w:lineRule="auto" w:before="0" w:after="0"/>
        <w:ind w:left="3058" w:right="0" w:hanging="360"/>
        <w:jc w:val="left"/>
        <w:rPr>
          <w:sz w:val="21"/>
        </w:rPr>
      </w:pPr>
      <w:r>
        <w:rPr>
          <w:spacing w:val="-1"/>
          <w:sz w:val="21"/>
        </w:rPr>
        <w:t>实际实施了对脑肿瘤进行的放射治疗。</w:t>
      </w:r>
    </w:p>
    <w:p>
      <w:pPr>
        <w:pStyle w:val="BodyText"/>
        <w:rPr>
          <w:sz w:val="20"/>
        </w:rPr>
      </w:pPr>
    </w:p>
    <w:p>
      <w:pPr>
        <w:pStyle w:val="BodyText"/>
        <w:rPr>
          <w:sz w:val="20"/>
        </w:rPr>
      </w:pPr>
    </w:p>
    <w:p>
      <w:pPr>
        <w:pStyle w:val="Heading3"/>
        <w:spacing w:before="137"/>
        <w:ind w:left="2272"/>
      </w:pPr>
      <w:r>
        <w:rPr>
          <w:w w:val="95"/>
        </w:rPr>
        <w:t>脑垂体瘤、脑囊肿、脑血管性疾病不在保障范围内。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211" w:hanging="454"/>
        <w:jc w:val="left"/>
        <w:rPr>
          <w:sz w:val="21"/>
        </w:rPr>
      </w:pPr>
      <w:r>
        <w:rPr>
          <w:spacing w:val="-4"/>
          <w:sz w:val="21"/>
        </w:rPr>
        <w:t>慢性肝功能衰竭失代偿期：指因慢性肝脏疾病导致肝功能衰竭。须满足下列全部条件：</w:t>
      </w:r>
    </w:p>
    <w:p>
      <w:pPr>
        <w:pStyle w:val="ListParagraph"/>
        <w:numPr>
          <w:ilvl w:val="1"/>
          <w:numId w:val="7"/>
        </w:numPr>
        <w:tabs>
          <w:tab w:pos="3093" w:val="left" w:leader="none"/>
        </w:tabs>
        <w:spacing w:line="240" w:lineRule="auto" w:before="163" w:after="0"/>
        <w:ind w:left="3092" w:right="0" w:hanging="394"/>
        <w:jc w:val="left"/>
        <w:rPr>
          <w:sz w:val="21"/>
        </w:rPr>
      </w:pPr>
      <w:r>
        <w:rPr>
          <w:spacing w:val="-1"/>
          <w:sz w:val="21"/>
        </w:rPr>
        <w:t>持续性黄疸；</w:t>
      </w:r>
    </w:p>
    <w:p>
      <w:pPr>
        <w:pStyle w:val="BodyText"/>
        <w:spacing w:before="9"/>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pacing w:val="-1"/>
          <w:sz w:val="21"/>
        </w:rPr>
        <w:t>腹水；</w:t>
      </w:r>
    </w:p>
    <w:p>
      <w:pPr>
        <w:pStyle w:val="BodyText"/>
        <w:spacing w:before="9"/>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pacing w:val="-1"/>
          <w:sz w:val="21"/>
        </w:rPr>
        <w:t>肝性脑病；</w:t>
      </w:r>
    </w:p>
    <w:p>
      <w:pPr>
        <w:pStyle w:val="BodyText"/>
        <w:spacing w:before="9"/>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pacing w:val="-1"/>
          <w:sz w:val="21"/>
        </w:rPr>
        <w:t>充血性脾肿大伴脾功能亢进或食管胃底静脉曲张。</w:t>
      </w:r>
    </w:p>
    <w:p>
      <w:pPr>
        <w:spacing w:after="0" w:line="240" w:lineRule="auto"/>
        <w:jc w:val="left"/>
        <w:rPr>
          <w:sz w:val="21"/>
        </w:rPr>
        <w:sectPr>
          <w:pgSz w:w="11910" w:h="16840"/>
          <w:pgMar w:header="0" w:footer="1008" w:top="1100" w:bottom="1200" w:left="1680" w:right="920"/>
        </w:sectPr>
      </w:pPr>
    </w:p>
    <w:p>
      <w:pPr>
        <w:pStyle w:val="Heading3"/>
        <w:spacing w:before="7"/>
        <w:ind w:left="2221"/>
      </w:pPr>
      <w:r>
        <w:rPr>
          <w:w w:val="95"/>
        </w:rPr>
        <w:t>因酗酒或药物滥用导致的肝功能衰竭不在保障范围内。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111" w:hanging="454"/>
        <w:jc w:val="both"/>
        <w:rPr>
          <w:b/>
          <w:sz w:val="21"/>
        </w:rPr>
      </w:pPr>
      <w:r>
        <w:rPr>
          <w:spacing w:val="-5"/>
          <w:sz w:val="21"/>
        </w:rPr>
        <w:t>脑炎后遗症或脑膜炎后遗症：指因患脑炎或脑膜炎导致的神经系统永久性的功能障碍。神经系统永久性的功能障碍，指疾病确诊180天后，</w:t>
      </w:r>
      <w:r>
        <w:rPr>
          <w:b/>
          <w:spacing w:val="-5"/>
          <w:sz w:val="21"/>
        </w:rPr>
        <w:t>仍遗留下列</w:t>
      </w:r>
      <w:r>
        <w:rPr>
          <w:b/>
          <w:spacing w:val="-5"/>
          <w:w w:val="95"/>
          <w:sz w:val="21"/>
        </w:rPr>
        <w:t>一种或一种以上障碍：</w:t>
      </w:r>
    </w:p>
    <w:p>
      <w:pPr>
        <w:pStyle w:val="ListParagraph"/>
        <w:numPr>
          <w:ilvl w:val="1"/>
          <w:numId w:val="7"/>
        </w:numPr>
        <w:tabs>
          <w:tab w:pos="3059" w:val="left" w:leader="none"/>
        </w:tabs>
        <w:spacing w:line="240" w:lineRule="auto" w:before="163" w:after="0"/>
        <w:ind w:left="3058" w:right="0" w:hanging="360"/>
        <w:jc w:val="left"/>
        <w:rPr>
          <w:sz w:val="21"/>
        </w:rPr>
      </w:pPr>
      <w:r>
        <w:rPr>
          <w:sz w:val="21"/>
        </w:rPr>
        <w:t>一肢或一肢以上肢体机能完全丧失；</w:t>
      </w:r>
    </w:p>
    <w:p>
      <w:pPr>
        <w:pStyle w:val="BodyText"/>
        <w:spacing w:before="9"/>
        <w:rPr>
          <w:sz w:val="14"/>
        </w:rPr>
      </w:pPr>
    </w:p>
    <w:p>
      <w:pPr>
        <w:pStyle w:val="ListParagraph"/>
        <w:numPr>
          <w:ilvl w:val="1"/>
          <w:numId w:val="7"/>
        </w:numPr>
        <w:tabs>
          <w:tab w:pos="3059" w:val="left" w:leader="none"/>
        </w:tabs>
        <w:spacing w:line="240" w:lineRule="auto" w:before="1" w:after="0"/>
        <w:ind w:left="3058" w:right="0" w:hanging="360"/>
        <w:jc w:val="left"/>
        <w:rPr>
          <w:sz w:val="21"/>
        </w:rPr>
      </w:pPr>
      <w:r>
        <w:rPr>
          <w:sz w:val="21"/>
        </w:rPr>
        <w:t>语言能力或咀嚼吞咽能力完全丧失；</w:t>
      </w:r>
    </w:p>
    <w:p>
      <w:pPr>
        <w:pStyle w:val="BodyText"/>
        <w:spacing w:before="10"/>
        <w:rPr>
          <w:sz w:val="14"/>
        </w:rPr>
      </w:pPr>
    </w:p>
    <w:p>
      <w:pPr>
        <w:pStyle w:val="ListParagraph"/>
        <w:numPr>
          <w:ilvl w:val="1"/>
          <w:numId w:val="7"/>
        </w:numPr>
        <w:tabs>
          <w:tab w:pos="3059" w:val="left" w:leader="none"/>
        </w:tabs>
        <w:spacing w:line="273" w:lineRule="auto" w:before="0" w:after="0"/>
        <w:ind w:left="3058" w:right="111" w:hanging="360"/>
        <w:jc w:val="left"/>
        <w:rPr>
          <w:sz w:val="21"/>
        </w:rPr>
      </w:pPr>
      <w:r>
        <w:rPr>
          <w:spacing w:val="-6"/>
          <w:sz w:val="21"/>
        </w:rPr>
        <w:t>自主生活能力完全丧失，无法独立完成六项基本日常生活活动中的三项或三项以上。</w:t>
      </w:r>
    </w:p>
    <w:p>
      <w:pPr>
        <w:pStyle w:val="BodyText"/>
        <w:rPr>
          <w:sz w:val="20"/>
        </w:rPr>
      </w:pPr>
    </w:p>
    <w:p>
      <w:pPr>
        <w:pStyle w:val="BodyText"/>
        <w:spacing w:before="4"/>
        <w:rPr>
          <w:sz w:val="16"/>
        </w:rPr>
      </w:pPr>
    </w:p>
    <w:p>
      <w:pPr>
        <w:pStyle w:val="ListParagraph"/>
        <w:numPr>
          <w:ilvl w:val="0"/>
          <w:numId w:val="7"/>
        </w:numPr>
        <w:tabs>
          <w:tab w:pos="2219" w:val="left" w:leader="none"/>
        </w:tabs>
        <w:spacing w:line="273" w:lineRule="auto" w:before="0" w:after="0"/>
        <w:ind w:left="2252" w:right="110" w:hanging="454"/>
        <w:jc w:val="both"/>
        <w:rPr>
          <w:sz w:val="21"/>
        </w:rPr>
      </w:pPr>
      <w:r>
        <w:rPr>
          <w:sz w:val="21"/>
        </w:rPr>
        <w:t>深度昏迷：指因疾病或意外伤害导致意识丧失,对外界刺激和体内需求均无反应,昏迷程度按照格拉斯哥昏迷分级（Glasgow</w:t>
      </w:r>
      <w:r>
        <w:rPr>
          <w:spacing w:val="-49"/>
          <w:sz w:val="21"/>
        </w:rPr>
        <w:t> </w:t>
      </w:r>
      <w:r>
        <w:rPr>
          <w:sz w:val="21"/>
        </w:rPr>
        <w:t>coma</w:t>
      </w:r>
      <w:r>
        <w:rPr>
          <w:spacing w:val="-49"/>
          <w:sz w:val="21"/>
        </w:rPr>
        <w:t> </w:t>
      </w:r>
      <w:r>
        <w:rPr>
          <w:sz w:val="21"/>
        </w:rPr>
        <w:t>scale）结果为5分或</w:t>
      </w:r>
    </w:p>
    <w:p>
      <w:pPr>
        <w:pStyle w:val="BodyText"/>
        <w:spacing w:before="7"/>
        <w:ind w:left="2252"/>
      </w:pPr>
      <w:r>
        <w:rPr/>
        <w:t>5分以下，且已经持续使用呼吸机及其它生命维持系统96小时以上。</w:t>
      </w:r>
    </w:p>
    <w:p>
      <w:pPr>
        <w:pStyle w:val="BodyText"/>
        <w:rPr>
          <w:sz w:val="20"/>
        </w:rPr>
      </w:pPr>
    </w:p>
    <w:p>
      <w:pPr>
        <w:pStyle w:val="BodyText"/>
        <w:rPr>
          <w:sz w:val="20"/>
        </w:rPr>
      </w:pPr>
    </w:p>
    <w:p>
      <w:pPr>
        <w:pStyle w:val="Heading3"/>
        <w:spacing w:before="137"/>
        <w:ind w:left="2221"/>
      </w:pPr>
      <w:r>
        <w:rPr>
          <w:w w:val="95"/>
        </w:rPr>
        <w:t>因酗酒或药物滥用导致的深度昏迷不在保障范围内。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111" w:hanging="454"/>
        <w:jc w:val="both"/>
        <w:rPr>
          <w:sz w:val="21"/>
        </w:rPr>
      </w:pPr>
      <w:r>
        <w:rPr>
          <w:sz w:val="21"/>
        </w:rPr>
        <w:t>双耳失聪：指因疾病或意外伤害导致双耳听力</w:t>
      </w:r>
      <w:r>
        <w:rPr>
          <w:b/>
          <w:sz w:val="21"/>
        </w:rPr>
        <w:t>永久不可逆</w:t>
      </w:r>
      <w:r>
        <w:rPr>
          <w:sz w:val="21"/>
        </w:rPr>
        <w:t>（见10.20）性丧失，在500赫兹、1000赫兹和2000赫兹语音频率下，平均听阈大于90分贝， 且经纯音听力测试、声导抗检测或听觉诱发电位检测等证实。</w:t>
      </w:r>
    </w:p>
    <w:p>
      <w:pPr>
        <w:pStyle w:val="BodyText"/>
        <w:rPr>
          <w:sz w:val="20"/>
        </w:rPr>
      </w:pPr>
    </w:p>
    <w:p>
      <w:pPr>
        <w:pStyle w:val="BodyText"/>
        <w:spacing w:before="3"/>
        <w:rPr>
          <w:sz w:val="28"/>
        </w:rPr>
      </w:pPr>
    </w:p>
    <w:p>
      <w:pPr>
        <w:pStyle w:val="Heading3"/>
        <w:ind w:left="2252"/>
      </w:pPr>
      <w:r>
        <w:rPr>
          <w:w w:val="95"/>
        </w:rPr>
        <w:t>被保险人申请理赔时年龄必须在3周岁以上。</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111" w:hanging="454"/>
        <w:jc w:val="both"/>
        <w:rPr>
          <w:sz w:val="21"/>
        </w:rPr>
      </w:pPr>
      <w:r>
        <w:rPr>
          <w:spacing w:val="-6"/>
          <w:sz w:val="21"/>
        </w:rPr>
        <w:t>双目失明：指因疾病或意外伤害导致双眼视力永久不可逆性丧失，双眼中较好眼须满足下列至少一项条件：</w:t>
      </w:r>
    </w:p>
    <w:p>
      <w:pPr>
        <w:pStyle w:val="BodyText"/>
        <w:rPr>
          <w:sz w:val="20"/>
        </w:rPr>
      </w:pPr>
    </w:p>
    <w:p>
      <w:pPr>
        <w:pStyle w:val="BodyText"/>
        <w:spacing w:before="3"/>
        <w:rPr>
          <w:sz w:val="28"/>
        </w:rPr>
      </w:pPr>
    </w:p>
    <w:p>
      <w:pPr>
        <w:pStyle w:val="ListParagraph"/>
        <w:numPr>
          <w:ilvl w:val="1"/>
          <w:numId w:val="7"/>
        </w:numPr>
        <w:tabs>
          <w:tab w:pos="3059" w:val="left" w:leader="none"/>
        </w:tabs>
        <w:spacing w:line="240" w:lineRule="auto" w:before="0" w:after="0"/>
        <w:ind w:left="3058" w:right="0" w:hanging="360"/>
        <w:jc w:val="left"/>
        <w:rPr>
          <w:sz w:val="21"/>
        </w:rPr>
      </w:pPr>
      <w:r>
        <w:rPr>
          <w:sz w:val="21"/>
        </w:rPr>
        <w:t>眼球缺失或摘除；</w:t>
      </w:r>
    </w:p>
    <w:p>
      <w:pPr>
        <w:pStyle w:val="BodyText"/>
        <w:spacing w:before="9"/>
        <w:rPr>
          <w:sz w:val="14"/>
        </w:rPr>
      </w:pPr>
    </w:p>
    <w:p>
      <w:pPr>
        <w:pStyle w:val="ListParagraph"/>
        <w:numPr>
          <w:ilvl w:val="1"/>
          <w:numId w:val="7"/>
        </w:numPr>
        <w:tabs>
          <w:tab w:pos="3059" w:val="left" w:leader="none"/>
        </w:tabs>
        <w:spacing w:line="273" w:lineRule="auto" w:before="0" w:after="0"/>
        <w:ind w:left="3058" w:right="111" w:hanging="360"/>
        <w:jc w:val="left"/>
        <w:rPr>
          <w:sz w:val="21"/>
        </w:rPr>
      </w:pPr>
      <w:r>
        <w:rPr>
          <w:sz w:val="21"/>
        </w:rPr>
        <w:t>矫正视力低于</w:t>
      </w:r>
      <w:r>
        <w:rPr>
          <w:spacing w:val="-6"/>
          <w:sz w:val="21"/>
        </w:rPr>
        <w:t>0.02（</w:t>
      </w:r>
      <w:r>
        <w:rPr>
          <w:spacing w:val="-3"/>
          <w:sz w:val="21"/>
        </w:rPr>
        <w:t>采用国际标准视力表，如果使用其它视力表应进行 换算</w:t>
      </w:r>
      <w:r>
        <w:rPr>
          <w:spacing w:val="-106"/>
          <w:sz w:val="21"/>
        </w:rPr>
        <w:t>）</w:t>
      </w:r>
      <w:r>
        <w:rPr>
          <w:sz w:val="21"/>
        </w:rPr>
        <w:t>；</w:t>
      </w:r>
    </w:p>
    <w:p>
      <w:pPr>
        <w:pStyle w:val="ListParagraph"/>
        <w:numPr>
          <w:ilvl w:val="1"/>
          <w:numId w:val="7"/>
        </w:numPr>
        <w:tabs>
          <w:tab w:pos="3059" w:val="left" w:leader="none"/>
        </w:tabs>
        <w:spacing w:line="240" w:lineRule="auto" w:before="163" w:after="0"/>
        <w:ind w:left="3058" w:right="0" w:hanging="360"/>
        <w:jc w:val="left"/>
        <w:rPr>
          <w:sz w:val="21"/>
        </w:rPr>
      </w:pPr>
      <w:r>
        <w:rPr>
          <w:sz w:val="21"/>
        </w:rPr>
        <w:t>视野半径小于5度。</w:t>
      </w:r>
    </w:p>
    <w:p>
      <w:pPr>
        <w:pStyle w:val="BodyText"/>
        <w:rPr>
          <w:sz w:val="20"/>
        </w:rPr>
      </w:pPr>
    </w:p>
    <w:p>
      <w:pPr>
        <w:pStyle w:val="BodyText"/>
        <w:rPr>
          <w:sz w:val="20"/>
        </w:rPr>
      </w:pPr>
    </w:p>
    <w:p>
      <w:pPr>
        <w:pStyle w:val="Heading3"/>
        <w:spacing w:before="137"/>
        <w:ind w:left="2221"/>
      </w:pPr>
      <w:r>
        <w:rPr>
          <w:w w:val="95"/>
        </w:rPr>
        <w:t>被保险人申请理赔时年龄必须在3周岁以上。</w:t>
      </w:r>
    </w:p>
    <w:p>
      <w:pPr>
        <w:pStyle w:val="BodyText"/>
        <w:rPr>
          <w:b/>
          <w:sz w:val="20"/>
        </w:rPr>
      </w:pPr>
    </w:p>
    <w:p>
      <w:pPr>
        <w:pStyle w:val="BodyText"/>
        <w:rPr>
          <w:b/>
          <w:sz w:val="20"/>
        </w:rPr>
      </w:pPr>
    </w:p>
    <w:p>
      <w:pPr>
        <w:pStyle w:val="ListParagraph"/>
        <w:numPr>
          <w:ilvl w:val="0"/>
          <w:numId w:val="7"/>
        </w:numPr>
        <w:tabs>
          <w:tab w:pos="2219" w:val="left" w:leader="none"/>
        </w:tabs>
        <w:spacing w:line="240" w:lineRule="auto" w:before="137" w:after="0"/>
        <w:ind w:left="2218" w:right="0" w:hanging="420"/>
        <w:jc w:val="left"/>
        <w:rPr>
          <w:sz w:val="21"/>
        </w:rPr>
      </w:pPr>
      <w:r>
        <w:rPr>
          <w:spacing w:val="-7"/>
          <w:sz w:val="21"/>
        </w:rPr>
        <w:t>瘫痪：指因疾病或意外伤害导致两肢或两肢以上肢体机能永久完全丧失。肢</w:t>
      </w:r>
    </w:p>
    <w:p>
      <w:pPr>
        <w:spacing w:after="0" w:line="240" w:lineRule="auto"/>
        <w:jc w:val="left"/>
        <w:rPr>
          <w:sz w:val="21"/>
        </w:rPr>
        <w:sectPr>
          <w:pgSz w:w="11910" w:h="16840"/>
          <w:pgMar w:header="0" w:footer="1008" w:top="1580" w:bottom="1200" w:left="1680" w:right="1020"/>
        </w:sectPr>
      </w:pPr>
    </w:p>
    <w:p>
      <w:pPr>
        <w:pStyle w:val="BodyText"/>
        <w:spacing w:line="273" w:lineRule="auto" w:before="19"/>
        <w:ind w:left="2252" w:right="212"/>
      </w:pPr>
      <w:r>
        <w:rPr>
          <w:spacing w:val="-6"/>
        </w:rPr>
        <w:t>体机能永久完全丧失，指疾病确诊</w:t>
      </w:r>
      <w:r>
        <w:rPr/>
        <w:t>180天后或意外伤害发生180</w:t>
      </w:r>
      <w:r>
        <w:rPr>
          <w:spacing w:val="-9"/>
        </w:rPr>
        <w:t>天后，每肢三大关节中的两大关节仍然完全僵硬，或不能随意识活动。</w:t>
      </w:r>
    </w:p>
    <w:p>
      <w:pPr>
        <w:pStyle w:val="BodyText"/>
        <w:rPr>
          <w:sz w:val="20"/>
        </w:rPr>
      </w:pPr>
    </w:p>
    <w:p>
      <w:pPr>
        <w:pStyle w:val="BodyText"/>
        <w:spacing w:before="3"/>
        <w:rPr>
          <w:sz w:val="28"/>
        </w:rPr>
      </w:pPr>
    </w:p>
    <w:p>
      <w:pPr>
        <w:pStyle w:val="ListParagraph"/>
        <w:numPr>
          <w:ilvl w:val="0"/>
          <w:numId w:val="7"/>
        </w:numPr>
        <w:tabs>
          <w:tab w:pos="2219" w:val="left" w:leader="none"/>
        </w:tabs>
        <w:spacing w:line="273" w:lineRule="auto" w:before="0" w:after="0"/>
        <w:ind w:left="2252" w:right="211" w:hanging="454"/>
        <w:jc w:val="left"/>
        <w:rPr>
          <w:sz w:val="21"/>
        </w:rPr>
      </w:pPr>
      <w:r>
        <w:rPr>
          <w:spacing w:val="-7"/>
          <w:sz w:val="21"/>
        </w:rPr>
        <w:t>心脏瓣膜手术：指为治疗心脏瓣膜疾病，实际实施了开胸进行的心脏瓣膜置换或修复的手术。</w:t>
      </w:r>
    </w:p>
    <w:p>
      <w:pPr>
        <w:pStyle w:val="BodyText"/>
        <w:rPr>
          <w:sz w:val="20"/>
        </w:rPr>
      </w:pPr>
    </w:p>
    <w:p>
      <w:pPr>
        <w:pStyle w:val="BodyText"/>
        <w:spacing w:before="3"/>
        <w:rPr>
          <w:sz w:val="28"/>
        </w:rPr>
      </w:pPr>
    </w:p>
    <w:p>
      <w:pPr>
        <w:pStyle w:val="ListParagraph"/>
        <w:numPr>
          <w:ilvl w:val="0"/>
          <w:numId w:val="7"/>
        </w:numPr>
        <w:tabs>
          <w:tab w:pos="2219" w:val="left" w:leader="none"/>
        </w:tabs>
        <w:spacing w:line="273" w:lineRule="auto" w:before="0" w:after="0"/>
        <w:ind w:left="2252" w:right="119" w:hanging="454"/>
        <w:jc w:val="left"/>
        <w:rPr>
          <w:sz w:val="21"/>
        </w:rPr>
      </w:pPr>
      <w:r>
        <w:rPr>
          <w:spacing w:val="-6"/>
          <w:sz w:val="21"/>
        </w:rPr>
        <w:t>严重阿尔茨海默病：指因大脑进行性、不可逆性改变导致智能严重衰退或丧</w:t>
      </w:r>
      <w:r>
        <w:rPr>
          <w:spacing w:val="-9"/>
          <w:sz w:val="21"/>
        </w:rPr>
        <w:t>失，临床表现为明显的认知能力障碍、行为异常和社交能力减退，其日常生</w:t>
      </w:r>
      <w:r>
        <w:rPr>
          <w:spacing w:val="-1"/>
          <w:sz w:val="21"/>
        </w:rPr>
        <w:t>活必须持续受到他人监护。须由头颅断层扫描（CT</w:t>
      </w:r>
      <w:r>
        <w:rPr>
          <w:spacing w:val="-104"/>
          <w:sz w:val="21"/>
        </w:rPr>
        <w:t>）</w:t>
      </w:r>
      <w:r>
        <w:rPr>
          <w:spacing w:val="-1"/>
          <w:sz w:val="21"/>
        </w:rPr>
        <w:t>、核磁共振检查</w:t>
      </w:r>
      <w:r>
        <w:rPr>
          <w:sz w:val="21"/>
        </w:rPr>
        <w:t>（MRI）或正电子发射断层扫描（PET）等影像学检查证实，且自主生活能力完全丧</w:t>
      </w:r>
      <w:r>
        <w:rPr>
          <w:spacing w:val="-1"/>
          <w:sz w:val="21"/>
        </w:rPr>
        <w:t>失，无法独立完成六项基本日常生活活动中的三项或三项以上。</w:t>
      </w:r>
    </w:p>
    <w:p>
      <w:pPr>
        <w:pStyle w:val="BodyText"/>
        <w:rPr>
          <w:sz w:val="20"/>
        </w:rPr>
      </w:pPr>
    </w:p>
    <w:p>
      <w:pPr>
        <w:pStyle w:val="BodyText"/>
        <w:spacing w:before="3"/>
        <w:rPr>
          <w:sz w:val="28"/>
        </w:rPr>
      </w:pPr>
    </w:p>
    <w:p>
      <w:pPr>
        <w:pStyle w:val="Heading3"/>
        <w:ind w:left="2221"/>
      </w:pPr>
      <w:r>
        <w:rPr>
          <w:w w:val="95"/>
        </w:rPr>
        <w:t>神经官能症和精神疾病不在保障范围内。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106" w:hanging="454"/>
        <w:jc w:val="left"/>
        <w:rPr>
          <w:b/>
          <w:sz w:val="21"/>
        </w:rPr>
      </w:pPr>
      <w:r>
        <w:rPr>
          <w:spacing w:val="-6"/>
          <w:sz w:val="21"/>
        </w:rPr>
        <w:t>严重脑损伤：指因头部遭受机械性外力，引起脑重要部位损伤，导致神经系</w:t>
      </w:r>
      <w:r>
        <w:rPr>
          <w:spacing w:val="-4"/>
          <w:sz w:val="21"/>
        </w:rPr>
        <w:t>统永久性的功能障碍。须由头颅断层扫描</w:t>
      </w:r>
      <w:r>
        <w:rPr>
          <w:spacing w:val="-1"/>
          <w:sz w:val="21"/>
        </w:rPr>
        <w:t>（CT</w:t>
      </w:r>
      <w:r>
        <w:rPr>
          <w:spacing w:val="-106"/>
          <w:sz w:val="21"/>
        </w:rPr>
        <w:t>）</w:t>
      </w:r>
      <w:r>
        <w:rPr>
          <w:spacing w:val="-6"/>
          <w:sz w:val="21"/>
        </w:rPr>
        <w:t>、核磁共振检查</w:t>
      </w:r>
      <w:r>
        <w:rPr>
          <w:sz w:val="21"/>
        </w:rPr>
        <w:t>（MRI</w:t>
      </w:r>
      <w:r>
        <w:rPr>
          <w:spacing w:val="-20"/>
          <w:sz w:val="21"/>
        </w:rPr>
        <w:t>）</w:t>
      </w:r>
      <w:r>
        <w:rPr>
          <w:sz w:val="21"/>
        </w:rPr>
        <w:t>或正</w:t>
      </w:r>
      <w:r>
        <w:rPr>
          <w:spacing w:val="-5"/>
          <w:sz w:val="21"/>
        </w:rPr>
        <w:t>电子发射断层扫描</w:t>
      </w:r>
      <w:r>
        <w:rPr>
          <w:spacing w:val="-7"/>
          <w:sz w:val="21"/>
        </w:rPr>
        <w:t>（PET）</w:t>
      </w:r>
      <w:r>
        <w:rPr>
          <w:spacing w:val="-4"/>
          <w:sz w:val="21"/>
        </w:rPr>
        <w:t>等影像学检查证实。神经系统永久性的功能障碍， </w:t>
      </w:r>
      <w:r>
        <w:rPr>
          <w:spacing w:val="-4"/>
          <w:w w:val="95"/>
          <w:sz w:val="21"/>
        </w:rPr>
        <w:t>指脑损伤180天后，</w:t>
      </w:r>
      <w:r>
        <w:rPr>
          <w:b/>
          <w:spacing w:val="-4"/>
          <w:w w:val="95"/>
          <w:sz w:val="21"/>
        </w:rPr>
        <w:t>仍遗留下列一种或一种以上障碍：</w:t>
      </w:r>
    </w:p>
    <w:p>
      <w:pPr>
        <w:pStyle w:val="ListParagraph"/>
        <w:numPr>
          <w:ilvl w:val="1"/>
          <w:numId w:val="7"/>
        </w:numPr>
        <w:tabs>
          <w:tab w:pos="3093" w:val="left" w:leader="none"/>
        </w:tabs>
        <w:spacing w:line="240" w:lineRule="auto" w:before="163" w:after="0"/>
        <w:ind w:left="3092" w:right="0" w:hanging="394"/>
        <w:jc w:val="left"/>
        <w:rPr>
          <w:sz w:val="21"/>
        </w:rPr>
      </w:pPr>
      <w:r>
        <w:rPr>
          <w:spacing w:val="-1"/>
          <w:sz w:val="21"/>
        </w:rPr>
        <w:t>一肢或一肢以上肢体机能完全丧失；</w:t>
      </w:r>
    </w:p>
    <w:p>
      <w:pPr>
        <w:pStyle w:val="BodyText"/>
        <w:spacing w:before="9"/>
        <w:rPr>
          <w:sz w:val="14"/>
        </w:rPr>
      </w:pPr>
    </w:p>
    <w:p>
      <w:pPr>
        <w:pStyle w:val="ListParagraph"/>
        <w:numPr>
          <w:ilvl w:val="1"/>
          <w:numId w:val="7"/>
        </w:numPr>
        <w:tabs>
          <w:tab w:pos="3093" w:val="left" w:leader="none"/>
        </w:tabs>
        <w:spacing w:line="240" w:lineRule="auto" w:before="0" w:after="0"/>
        <w:ind w:left="3092" w:right="0" w:hanging="394"/>
        <w:jc w:val="left"/>
        <w:rPr>
          <w:sz w:val="21"/>
        </w:rPr>
      </w:pPr>
      <w:r>
        <w:rPr>
          <w:sz w:val="21"/>
        </w:rPr>
        <w:t>语言能力或咀嚼吞咽能力完全丧失；</w:t>
      </w:r>
    </w:p>
    <w:p>
      <w:pPr>
        <w:pStyle w:val="BodyText"/>
        <w:spacing w:before="9"/>
        <w:rPr>
          <w:sz w:val="14"/>
        </w:rPr>
      </w:pPr>
    </w:p>
    <w:p>
      <w:pPr>
        <w:pStyle w:val="ListParagraph"/>
        <w:numPr>
          <w:ilvl w:val="1"/>
          <w:numId w:val="7"/>
        </w:numPr>
        <w:tabs>
          <w:tab w:pos="3093" w:val="left" w:leader="none"/>
        </w:tabs>
        <w:spacing w:line="273" w:lineRule="auto" w:before="0" w:after="0"/>
        <w:ind w:left="3092" w:right="211" w:hanging="394"/>
        <w:jc w:val="left"/>
        <w:rPr>
          <w:sz w:val="21"/>
        </w:rPr>
      </w:pPr>
      <w:r>
        <w:rPr>
          <w:spacing w:val="-9"/>
          <w:sz w:val="21"/>
        </w:rPr>
        <w:t>自主生活能力完全丧失，无法独立完成六项基本日常生活活动中的三项或三项以上。</w:t>
      </w:r>
    </w:p>
    <w:p>
      <w:pPr>
        <w:pStyle w:val="BodyText"/>
        <w:rPr>
          <w:sz w:val="20"/>
        </w:rPr>
      </w:pPr>
    </w:p>
    <w:p>
      <w:pPr>
        <w:pStyle w:val="BodyText"/>
        <w:spacing w:before="3"/>
        <w:rPr>
          <w:sz w:val="28"/>
        </w:rPr>
      </w:pPr>
    </w:p>
    <w:p>
      <w:pPr>
        <w:pStyle w:val="ListParagraph"/>
        <w:numPr>
          <w:ilvl w:val="0"/>
          <w:numId w:val="7"/>
        </w:numPr>
        <w:tabs>
          <w:tab w:pos="2219" w:val="left" w:leader="none"/>
        </w:tabs>
        <w:spacing w:line="273" w:lineRule="auto" w:before="0" w:after="0"/>
        <w:ind w:left="2252" w:right="153" w:hanging="454"/>
        <w:jc w:val="left"/>
        <w:rPr>
          <w:b/>
          <w:sz w:val="21"/>
        </w:rPr>
      </w:pPr>
      <w:r>
        <w:rPr>
          <w:sz w:val="21"/>
        </w:rPr>
        <w:t>严重帕金森病：是一种中枢神经系统的退行性疾病，临床表现为震颤麻痹、</w:t>
      </w:r>
      <w:r>
        <w:rPr>
          <w:w w:val="95"/>
          <w:sz w:val="21"/>
        </w:rPr>
        <w:t>共济失调等。</w:t>
      </w:r>
      <w:r>
        <w:rPr>
          <w:b/>
          <w:w w:val="95"/>
          <w:sz w:val="21"/>
        </w:rPr>
        <w:t>须满足下列全部条件：</w:t>
      </w:r>
    </w:p>
    <w:p>
      <w:pPr>
        <w:pStyle w:val="BodyText"/>
        <w:rPr>
          <w:b/>
          <w:sz w:val="20"/>
        </w:rPr>
      </w:pPr>
    </w:p>
    <w:p>
      <w:pPr>
        <w:pStyle w:val="BodyText"/>
        <w:spacing w:before="3"/>
        <w:rPr>
          <w:b/>
          <w:sz w:val="28"/>
        </w:rPr>
      </w:pPr>
    </w:p>
    <w:p>
      <w:pPr>
        <w:pStyle w:val="ListParagraph"/>
        <w:numPr>
          <w:ilvl w:val="1"/>
          <w:numId w:val="7"/>
        </w:numPr>
        <w:tabs>
          <w:tab w:pos="3092" w:val="left" w:leader="none"/>
          <w:tab w:pos="3093" w:val="left" w:leader="none"/>
        </w:tabs>
        <w:spacing w:line="240" w:lineRule="auto" w:before="0" w:after="0"/>
        <w:ind w:left="3092" w:right="0" w:hanging="454"/>
        <w:jc w:val="left"/>
        <w:rPr>
          <w:sz w:val="21"/>
        </w:rPr>
      </w:pPr>
      <w:r>
        <w:rPr>
          <w:spacing w:val="-1"/>
          <w:sz w:val="21"/>
        </w:rPr>
        <w:t>药物治疗无法控制病情；</w:t>
      </w:r>
    </w:p>
    <w:p>
      <w:pPr>
        <w:pStyle w:val="BodyText"/>
        <w:spacing w:before="9"/>
        <w:rPr>
          <w:sz w:val="14"/>
        </w:rPr>
      </w:pPr>
    </w:p>
    <w:p>
      <w:pPr>
        <w:pStyle w:val="ListParagraph"/>
        <w:numPr>
          <w:ilvl w:val="1"/>
          <w:numId w:val="7"/>
        </w:numPr>
        <w:tabs>
          <w:tab w:pos="3092" w:val="left" w:leader="none"/>
          <w:tab w:pos="3093" w:val="left" w:leader="none"/>
        </w:tabs>
        <w:spacing w:line="273" w:lineRule="auto" w:before="0" w:after="0"/>
        <w:ind w:left="3092" w:right="211" w:hanging="454"/>
        <w:jc w:val="left"/>
        <w:rPr>
          <w:sz w:val="21"/>
        </w:rPr>
      </w:pPr>
      <w:r>
        <w:rPr>
          <w:spacing w:val="-9"/>
          <w:sz w:val="21"/>
        </w:rPr>
        <w:t>自主生活能力完全丧失，无法独立完成六项基本日常生活活动中的</w:t>
      </w:r>
      <w:r>
        <w:rPr>
          <w:spacing w:val="-1"/>
          <w:sz w:val="21"/>
        </w:rPr>
        <w:t>三项或三项以上。</w:t>
      </w:r>
    </w:p>
    <w:p>
      <w:pPr>
        <w:pStyle w:val="BodyText"/>
        <w:rPr>
          <w:sz w:val="20"/>
        </w:rPr>
      </w:pPr>
    </w:p>
    <w:p>
      <w:pPr>
        <w:pStyle w:val="BodyText"/>
        <w:spacing w:before="3"/>
        <w:rPr>
          <w:sz w:val="28"/>
        </w:rPr>
      </w:pPr>
    </w:p>
    <w:p>
      <w:pPr>
        <w:pStyle w:val="Heading3"/>
        <w:ind w:left="2221"/>
      </w:pPr>
      <w:r>
        <w:rPr>
          <w:w w:val="95"/>
        </w:rPr>
        <w:t>继发性帕金森综合征不在保障范围内。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40" w:lineRule="auto" w:before="137" w:after="0"/>
        <w:ind w:left="2218" w:right="0" w:hanging="420"/>
        <w:jc w:val="left"/>
        <w:rPr>
          <w:sz w:val="21"/>
        </w:rPr>
      </w:pPr>
      <w:r>
        <w:rPr>
          <w:spacing w:val="-7"/>
          <w:sz w:val="21"/>
        </w:rPr>
        <w:t>严重Ⅲ度烧伤：指烧伤程度为Ⅲ度，且Ⅲ度烧伤的面积达到全身体表面积的</w:t>
      </w:r>
    </w:p>
    <w:p>
      <w:pPr>
        <w:pStyle w:val="BodyText"/>
        <w:spacing w:before="36"/>
        <w:ind w:left="2252"/>
      </w:pPr>
      <w:r>
        <w:rPr/>
        <w:t>20％或20％以上。体表面积根据《中国新九分法》计算。</w:t>
      </w:r>
    </w:p>
    <w:p>
      <w:pPr>
        <w:spacing w:after="0"/>
        <w:sectPr>
          <w:pgSz w:w="11910" w:h="16840"/>
          <w:pgMar w:header="0" w:footer="1008" w:top="1100" w:bottom="1200" w:left="1680" w:right="920"/>
        </w:sectPr>
      </w:pPr>
    </w:p>
    <w:p>
      <w:pPr>
        <w:pStyle w:val="ListParagraph"/>
        <w:numPr>
          <w:ilvl w:val="0"/>
          <w:numId w:val="7"/>
        </w:numPr>
        <w:tabs>
          <w:tab w:pos="2219" w:val="left" w:leader="none"/>
        </w:tabs>
        <w:spacing w:line="273" w:lineRule="auto" w:before="19" w:after="0"/>
        <w:ind w:left="2252" w:right="99" w:hanging="454"/>
        <w:jc w:val="both"/>
        <w:rPr>
          <w:sz w:val="21"/>
        </w:rPr>
      </w:pPr>
      <w:r>
        <w:rPr>
          <w:spacing w:val="-4"/>
          <w:sz w:val="21"/>
        </w:rPr>
        <w:t>严重原发性肺动脉高压：指不明原因的肺动脉压力持续性增高，进行性发展</w:t>
      </w:r>
      <w:r>
        <w:rPr>
          <w:spacing w:val="-11"/>
          <w:sz w:val="21"/>
        </w:rPr>
        <w:t>而导致的慢性疾病，已经造成永久不可逆性的体力活动能力受限，达到美国</w:t>
      </w:r>
      <w:r>
        <w:rPr>
          <w:spacing w:val="10"/>
          <w:sz w:val="21"/>
        </w:rPr>
        <w:t>纽约心脏病学会心功能状态分级</w:t>
      </w:r>
      <w:r>
        <w:rPr>
          <w:spacing w:val="5"/>
          <w:sz w:val="21"/>
        </w:rPr>
        <w:t>IV</w:t>
      </w:r>
      <w:r>
        <w:rPr>
          <w:spacing w:val="10"/>
          <w:sz w:val="21"/>
        </w:rPr>
        <w:t>级，且静息状态下肺动脉平均压超过</w:t>
      </w:r>
      <w:r>
        <w:rPr>
          <w:spacing w:val="-1"/>
          <w:sz w:val="21"/>
        </w:rPr>
        <w:t>30mmHg</w:t>
      </w:r>
      <w:r>
        <w:rPr>
          <w:sz w:val="21"/>
        </w:rPr>
        <w:t>。</w:t>
      </w:r>
    </w:p>
    <w:p>
      <w:pPr>
        <w:pStyle w:val="BodyText"/>
        <w:rPr>
          <w:sz w:val="20"/>
        </w:rPr>
      </w:pPr>
    </w:p>
    <w:p>
      <w:pPr>
        <w:pStyle w:val="BodyText"/>
        <w:spacing w:before="3"/>
        <w:rPr>
          <w:sz w:val="28"/>
        </w:rPr>
      </w:pPr>
    </w:p>
    <w:p>
      <w:pPr>
        <w:pStyle w:val="ListParagraph"/>
        <w:numPr>
          <w:ilvl w:val="0"/>
          <w:numId w:val="7"/>
        </w:numPr>
        <w:tabs>
          <w:tab w:pos="2219" w:val="left" w:leader="none"/>
        </w:tabs>
        <w:spacing w:line="273" w:lineRule="auto" w:before="0" w:after="0"/>
        <w:ind w:left="2252" w:right="110" w:hanging="454"/>
        <w:jc w:val="both"/>
        <w:rPr>
          <w:sz w:val="21"/>
        </w:rPr>
      </w:pPr>
      <w:r>
        <w:rPr>
          <w:spacing w:val="-5"/>
          <w:sz w:val="21"/>
        </w:rPr>
        <w:t>严重运动神经元病：是一组中枢神经系统运动神经元的进行性变性疾病，包</w:t>
      </w:r>
      <w:r>
        <w:rPr>
          <w:spacing w:val="-11"/>
          <w:sz w:val="21"/>
        </w:rPr>
        <w:t>括进行性脊肌萎缩症、进行性延髓麻痹症、原发性侧索硬化症、肌萎缩性侧</w:t>
      </w:r>
      <w:r>
        <w:rPr>
          <w:spacing w:val="-12"/>
          <w:sz w:val="21"/>
        </w:rPr>
        <w:t>索硬化症。须满足自主生活能力完全丧失，无法独立完成六项基本日常生活活动中的三项或三项以上的条件。</w:t>
      </w:r>
    </w:p>
    <w:p>
      <w:pPr>
        <w:pStyle w:val="BodyText"/>
        <w:rPr>
          <w:sz w:val="20"/>
        </w:rPr>
      </w:pPr>
    </w:p>
    <w:p>
      <w:pPr>
        <w:pStyle w:val="BodyText"/>
        <w:spacing w:before="3"/>
        <w:rPr>
          <w:sz w:val="28"/>
        </w:rPr>
      </w:pPr>
    </w:p>
    <w:p>
      <w:pPr>
        <w:pStyle w:val="ListParagraph"/>
        <w:numPr>
          <w:ilvl w:val="0"/>
          <w:numId w:val="7"/>
        </w:numPr>
        <w:tabs>
          <w:tab w:pos="2219" w:val="left" w:leader="none"/>
        </w:tabs>
        <w:spacing w:line="273" w:lineRule="auto" w:before="0" w:after="0"/>
        <w:ind w:left="2252" w:right="110" w:hanging="454"/>
        <w:jc w:val="both"/>
        <w:rPr>
          <w:sz w:val="21"/>
        </w:rPr>
      </w:pPr>
      <w:r>
        <w:rPr>
          <w:spacing w:val="-6"/>
          <w:sz w:val="21"/>
        </w:rPr>
        <w:t>语言能力丧失：指因疾病或意外伤害导致完全丧失语言能力，经过积极治疗至少12</w:t>
      </w:r>
      <w:r>
        <w:rPr>
          <w:spacing w:val="-3"/>
          <w:sz w:val="21"/>
        </w:rPr>
        <w:t>个月</w:t>
      </w:r>
      <w:r>
        <w:rPr>
          <w:sz w:val="21"/>
        </w:rPr>
        <w:t>（声带完全切除不受此时间限制</w:t>
      </w:r>
      <w:r>
        <w:rPr>
          <w:spacing w:val="-104"/>
          <w:sz w:val="21"/>
        </w:rPr>
        <w:t>）</w:t>
      </w:r>
      <w:r>
        <w:rPr>
          <w:sz w:val="21"/>
        </w:rPr>
        <w:t>，仍无法通过现有医疗手段恢</w:t>
      </w:r>
      <w:r>
        <w:rPr>
          <w:spacing w:val="-1"/>
          <w:sz w:val="21"/>
        </w:rPr>
        <w:t>复。</w:t>
      </w:r>
    </w:p>
    <w:p>
      <w:pPr>
        <w:pStyle w:val="Heading3"/>
        <w:spacing w:line="408" w:lineRule="auto" w:before="163"/>
        <w:ind w:left="2221" w:right="2133"/>
      </w:pPr>
      <w:r>
        <w:rPr/>
        <w:t>精神心理因素所致的语言能力丧失不在保障范围内。</w:t>
      </w:r>
      <w:r>
        <w:rPr>
          <w:w w:val="95"/>
        </w:rPr>
        <w:t>被保险人申请理赔时年龄必须在3周岁以上。</w:t>
      </w:r>
    </w:p>
    <w:p>
      <w:pPr>
        <w:pStyle w:val="BodyText"/>
        <w:rPr>
          <w:b/>
          <w:sz w:val="20"/>
        </w:rPr>
      </w:pPr>
    </w:p>
    <w:p>
      <w:pPr>
        <w:pStyle w:val="BodyText"/>
        <w:spacing w:before="3"/>
        <w:rPr>
          <w:b/>
          <w:sz w:val="19"/>
        </w:rPr>
      </w:pPr>
    </w:p>
    <w:p>
      <w:pPr>
        <w:pStyle w:val="ListParagraph"/>
        <w:numPr>
          <w:ilvl w:val="0"/>
          <w:numId w:val="7"/>
        </w:numPr>
        <w:tabs>
          <w:tab w:pos="2219" w:val="left" w:leader="none"/>
        </w:tabs>
        <w:spacing w:line="273" w:lineRule="auto" w:before="0" w:after="0"/>
        <w:ind w:left="2252" w:right="111" w:hanging="454"/>
        <w:jc w:val="both"/>
        <w:rPr>
          <w:sz w:val="21"/>
        </w:rPr>
      </w:pPr>
      <w:r>
        <w:rPr>
          <w:spacing w:val="-4"/>
          <w:sz w:val="21"/>
        </w:rPr>
        <w:t>重型再生障碍性贫血：指因骨髓造血功能慢性持续性衰竭导致的贫血、中性粒细胞减少及血小板减少。须满足下列全部条件：</w:t>
      </w:r>
    </w:p>
    <w:p>
      <w:pPr>
        <w:pStyle w:val="BodyText"/>
        <w:rPr>
          <w:sz w:val="20"/>
        </w:rPr>
      </w:pPr>
    </w:p>
    <w:p>
      <w:pPr>
        <w:pStyle w:val="BodyText"/>
        <w:spacing w:before="3"/>
        <w:rPr>
          <w:sz w:val="28"/>
        </w:rPr>
      </w:pPr>
    </w:p>
    <w:p>
      <w:pPr>
        <w:pStyle w:val="ListParagraph"/>
        <w:numPr>
          <w:ilvl w:val="1"/>
          <w:numId w:val="7"/>
        </w:numPr>
        <w:tabs>
          <w:tab w:pos="3092" w:val="left" w:leader="none"/>
          <w:tab w:pos="3093" w:val="left" w:leader="none"/>
        </w:tabs>
        <w:spacing w:line="240" w:lineRule="auto" w:before="0" w:after="0"/>
        <w:ind w:left="3092" w:right="0" w:hanging="454"/>
        <w:jc w:val="left"/>
        <w:rPr>
          <w:sz w:val="21"/>
        </w:rPr>
      </w:pPr>
      <w:r>
        <w:rPr>
          <w:sz w:val="21"/>
        </w:rPr>
        <w:t>骨髓穿刺检查或骨髓活检结果支持诊断；</w:t>
      </w:r>
    </w:p>
    <w:p>
      <w:pPr>
        <w:pStyle w:val="BodyText"/>
        <w:spacing w:before="9"/>
        <w:rPr>
          <w:sz w:val="14"/>
        </w:rPr>
      </w:pPr>
    </w:p>
    <w:p>
      <w:pPr>
        <w:pStyle w:val="ListParagraph"/>
        <w:numPr>
          <w:ilvl w:val="1"/>
          <w:numId w:val="7"/>
        </w:numPr>
        <w:tabs>
          <w:tab w:pos="3092" w:val="left" w:leader="none"/>
          <w:tab w:pos="3093" w:val="left" w:leader="none"/>
        </w:tabs>
        <w:spacing w:line="240" w:lineRule="auto" w:before="0" w:after="0"/>
        <w:ind w:left="3092" w:right="0" w:hanging="454"/>
        <w:jc w:val="left"/>
        <w:rPr>
          <w:sz w:val="21"/>
        </w:rPr>
      </w:pPr>
      <w:r>
        <w:rPr>
          <w:sz w:val="21"/>
        </w:rPr>
        <w:t>外周血象须具备以下三项条件：</w:t>
      </w:r>
    </w:p>
    <w:p>
      <w:pPr>
        <w:pStyle w:val="BodyText"/>
        <w:spacing w:before="9"/>
        <w:rPr>
          <w:sz w:val="14"/>
        </w:rPr>
      </w:pPr>
    </w:p>
    <w:p>
      <w:pPr>
        <w:pStyle w:val="BodyText"/>
        <w:ind w:left="3020"/>
      </w:pPr>
      <w:r>
        <w:rPr/>
        <w:t>① 中性粒细胞绝对值≤0.5×10</w:t>
      </w:r>
      <w:r>
        <w:rPr>
          <w:position w:val="11"/>
          <w:sz w:val="11"/>
        </w:rPr>
        <w:t>9</w:t>
      </w:r>
      <w:r>
        <w:rPr/>
        <w:t>/L ；</w:t>
      </w:r>
    </w:p>
    <w:p>
      <w:pPr>
        <w:pStyle w:val="BodyText"/>
        <w:spacing w:before="192"/>
        <w:ind w:left="3020"/>
      </w:pPr>
      <w:r>
        <w:rPr/>
        <w:t>② 网织红细胞＜1%；</w:t>
      </w:r>
    </w:p>
    <w:p>
      <w:pPr>
        <w:pStyle w:val="BodyText"/>
        <w:spacing w:before="9"/>
        <w:rPr>
          <w:sz w:val="14"/>
        </w:rPr>
      </w:pPr>
    </w:p>
    <w:p>
      <w:pPr>
        <w:pStyle w:val="BodyText"/>
        <w:ind w:left="3007"/>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7"/>
        </w:numPr>
        <w:tabs>
          <w:tab w:pos="2219" w:val="left" w:leader="none"/>
        </w:tabs>
        <w:spacing w:line="273" w:lineRule="auto" w:before="0" w:after="0"/>
        <w:ind w:left="2252" w:right="110" w:hanging="454"/>
        <w:jc w:val="both"/>
        <w:rPr>
          <w:sz w:val="21"/>
        </w:rPr>
      </w:pPr>
      <w:r>
        <w:rPr>
          <w:spacing w:val="-6"/>
          <w:sz w:val="21"/>
        </w:rPr>
        <w:t>主动脉手术：指为治疗主动脉疾病，实际实施了开胸或开腹进行的切除、置</w:t>
      </w:r>
      <w:r>
        <w:rPr>
          <w:spacing w:val="-9"/>
          <w:sz w:val="21"/>
        </w:rPr>
        <w:t>换、修补病损主动脉血管的手术。主动脉指胸主动脉和腹主动脉，不包括胸主动脉和腹主动脉的分支血管。</w:t>
      </w:r>
    </w:p>
    <w:p>
      <w:pPr>
        <w:pStyle w:val="BodyText"/>
        <w:rPr>
          <w:sz w:val="20"/>
        </w:rPr>
      </w:pPr>
    </w:p>
    <w:p>
      <w:pPr>
        <w:pStyle w:val="BodyText"/>
        <w:spacing w:before="3"/>
        <w:rPr>
          <w:sz w:val="28"/>
        </w:rPr>
      </w:pPr>
    </w:p>
    <w:p>
      <w:pPr>
        <w:pStyle w:val="Heading3"/>
        <w:ind w:left="2321"/>
      </w:pPr>
      <w:r>
        <w:rPr>
          <w:w w:val="95"/>
        </w:rPr>
        <w:t>动脉内血管成形术不在保障范围内。</w:t>
      </w:r>
    </w:p>
    <w:p>
      <w:pPr>
        <w:pStyle w:val="BodyText"/>
        <w:rPr>
          <w:b/>
          <w:sz w:val="20"/>
        </w:rPr>
      </w:pPr>
    </w:p>
    <w:p>
      <w:pPr>
        <w:pStyle w:val="BodyText"/>
        <w:rPr>
          <w:b/>
          <w:sz w:val="20"/>
        </w:rPr>
      </w:pPr>
    </w:p>
    <w:p>
      <w:pPr>
        <w:pStyle w:val="ListParagraph"/>
        <w:numPr>
          <w:ilvl w:val="0"/>
          <w:numId w:val="7"/>
        </w:numPr>
        <w:tabs>
          <w:tab w:pos="2219" w:val="left" w:leader="none"/>
        </w:tabs>
        <w:spacing w:line="273" w:lineRule="auto" w:before="137" w:after="0"/>
        <w:ind w:left="2252" w:right="111" w:hanging="454"/>
        <w:jc w:val="both"/>
        <w:rPr>
          <w:sz w:val="21"/>
        </w:rPr>
      </w:pPr>
      <w:r>
        <w:rPr>
          <w:spacing w:val="-5"/>
          <w:sz w:val="21"/>
        </w:rPr>
        <w:t>严重多发性硬化：多发性硬化为中枢神经系统白质多灶性脱髓鞘病变，病变有时累及灰质。多发性硬化必须明确诊断并由核磁共振(MRI)等影像学检验证实，而且已经造成永久的神经系统功能损害，导致被保险人持续180天无法独立完成下列基本日常生活活动：</w:t>
      </w:r>
    </w:p>
    <w:p>
      <w:pPr>
        <w:spacing w:after="0" w:line="273" w:lineRule="auto"/>
        <w:jc w:val="both"/>
        <w:rPr>
          <w:sz w:val="21"/>
        </w:rPr>
        <w:sectPr>
          <w:pgSz w:w="11910" w:h="16840"/>
          <w:pgMar w:header="0" w:footer="1008" w:top="1100" w:bottom="1200" w:left="1680" w:right="1020"/>
        </w:sectPr>
      </w:pPr>
    </w:p>
    <w:p>
      <w:pPr>
        <w:pStyle w:val="ListParagraph"/>
        <w:numPr>
          <w:ilvl w:val="1"/>
          <w:numId w:val="7"/>
        </w:numPr>
        <w:tabs>
          <w:tab w:pos="3408" w:val="left" w:leader="none"/>
        </w:tabs>
        <w:spacing w:line="240" w:lineRule="auto" w:before="19" w:after="0"/>
        <w:ind w:left="3407" w:right="0" w:hanging="315"/>
        <w:jc w:val="left"/>
        <w:rPr>
          <w:sz w:val="21"/>
        </w:rPr>
      </w:pPr>
      <w:r>
        <w:rPr>
          <w:spacing w:val="-1"/>
          <w:sz w:val="21"/>
        </w:rPr>
        <w:t>移动：自己从一个房间到另一个房间；或者</w:t>
      </w:r>
    </w:p>
    <w:p>
      <w:pPr>
        <w:pStyle w:val="BodyText"/>
        <w:spacing w:before="9"/>
        <w:rPr>
          <w:sz w:val="14"/>
        </w:rPr>
      </w:pPr>
    </w:p>
    <w:p>
      <w:pPr>
        <w:pStyle w:val="ListParagraph"/>
        <w:numPr>
          <w:ilvl w:val="1"/>
          <w:numId w:val="7"/>
        </w:numPr>
        <w:tabs>
          <w:tab w:pos="3408" w:val="left" w:leader="none"/>
        </w:tabs>
        <w:spacing w:line="240" w:lineRule="auto" w:before="1" w:after="0"/>
        <w:ind w:left="3407" w:right="0" w:hanging="315"/>
        <w:jc w:val="left"/>
        <w:rPr>
          <w:sz w:val="21"/>
        </w:rPr>
      </w:pPr>
      <w:r>
        <w:rPr>
          <w:spacing w:val="-1"/>
          <w:sz w:val="21"/>
        </w:rPr>
        <w:t>进食：自己从已准备好的碗或碟中取食物放入口中。</w:t>
      </w:r>
    </w:p>
    <w:p>
      <w:pPr>
        <w:pStyle w:val="BodyText"/>
        <w:rPr>
          <w:sz w:val="20"/>
        </w:rPr>
      </w:pPr>
    </w:p>
    <w:p>
      <w:pPr>
        <w:pStyle w:val="BodyText"/>
        <w:spacing w:before="8"/>
        <w:rPr>
          <w:sz w:val="18"/>
        </w:rPr>
      </w:pPr>
    </w:p>
    <w:p>
      <w:pPr>
        <w:pStyle w:val="ListParagraph"/>
        <w:numPr>
          <w:ilvl w:val="0"/>
          <w:numId w:val="7"/>
        </w:numPr>
        <w:tabs>
          <w:tab w:pos="2219" w:val="left" w:leader="none"/>
        </w:tabs>
        <w:spacing w:line="273" w:lineRule="auto" w:before="0" w:after="0"/>
        <w:ind w:left="2252" w:right="121" w:hanging="454"/>
        <w:jc w:val="both"/>
        <w:rPr>
          <w:sz w:val="21"/>
        </w:rPr>
      </w:pPr>
      <w:r>
        <w:rPr>
          <w:spacing w:val="-1"/>
          <w:sz w:val="21"/>
        </w:rPr>
        <w:t>严重冠心病: 指根据冠状动脉造影检查结果确诊的三支主要血管(左冠状动</w:t>
      </w:r>
      <w:r>
        <w:rPr>
          <w:spacing w:val="-9"/>
          <w:sz w:val="21"/>
        </w:rPr>
        <w:t>脉主干和右冠状动脉，或前降支、左旋支和右冠状动脉)严重狭窄性病变(至少一支血管管腔直径减少75%以上和其他两支血管管腔直径减少60%以上)。前降支、左旋支及右冠状动脉的分支血管的狭窄不作为本保障的衡量指标。</w:t>
      </w:r>
    </w:p>
    <w:p>
      <w:pPr>
        <w:pStyle w:val="BodyText"/>
        <w:spacing w:before="5"/>
        <w:rPr>
          <w:sz w:val="24"/>
        </w:rPr>
      </w:pPr>
    </w:p>
    <w:p>
      <w:pPr>
        <w:pStyle w:val="ListParagraph"/>
        <w:numPr>
          <w:ilvl w:val="0"/>
          <w:numId w:val="7"/>
        </w:numPr>
        <w:tabs>
          <w:tab w:pos="2219" w:val="left" w:leader="none"/>
        </w:tabs>
        <w:spacing w:line="273" w:lineRule="auto" w:before="0" w:after="0"/>
        <w:ind w:left="2252" w:right="209" w:hanging="454"/>
        <w:jc w:val="both"/>
        <w:rPr>
          <w:sz w:val="21"/>
        </w:rPr>
      </w:pPr>
      <w:r>
        <w:rPr>
          <w:spacing w:val="0"/>
          <w:sz w:val="21"/>
        </w:rPr>
        <w:t>严重类风湿性关节炎: 类风湿性关节炎为广泛分布的慢性进行性多关节病</w:t>
      </w:r>
      <w:r>
        <w:rPr>
          <w:spacing w:val="-7"/>
          <w:sz w:val="21"/>
        </w:rPr>
        <w:t>变，表现为关节严重变形，侵犯至少三个主要关节或关节组</w:t>
      </w:r>
      <w:r>
        <w:rPr>
          <w:sz w:val="21"/>
        </w:rPr>
        <w:t>（</w:t>
      </w:r>
      <w:r>
        <w:rPr>
          <w:spacing w:val="-9"/>
          <w:sz w:val="21"/>
        </w:rPr>
        <w:t>如：双手</w:t>
      </w:r>
      <w:r>
        <w:rPr>
          <w:sz w:val="21"/>
        </w:rPr>
        <w:t>（多手指）关节、双足（多足趾）关节、双腕关节、双膝关节和双髋关节</w:t>
      </w:r>
      <w:r>
        <w:rPr>
          <w:spacing w:val="-104"/>
          <w:sz w:val="21"/>
        </w:rPr>
        <w:t>）</w:t>
      </w:r>
      <w:r>
        <w:rPr>
          <w:sz w:val="21"/>
        </w:rPr>
        <w:t>。类风湿性关节炎必须明确诊断并且已经达到类风湿性关节炎功能分级III级以</w:t>
      </w:r>
      <w:r>
        <w:rPr>
          <w:spacing w:val="-6"/>
          <w:sz w:val="21"/>
        </w:rPr>
        <w:t>上的功能障碍</w:t>
      </w:r>
      <w:r>
        <w:rPr>
          <w:sz w:val="21"/>
        </w:rPr>
        <w:t>（</w:t>
      </w:r>
      <w:r>
        <w:rPr>
          <w:spacing w:val="-4"/>
          <w:sz w:val="21"/>
        </w:rPr>
        <w:t>关节活动严重限制，不能完成大部分的日常工作和活动</w:t>
      </w:r>
      <w:r>
        <w:rPr>
          <w:spacing w:val="-31"/>
          <w:sz w:val="21"/>
        </w:rPr>
        <w:t>）</w:t>
      </w:r>
      <w:r>
        <w:rPr>
          <w:sz w:val="21"/>
        </w:rPr>
        <w:t>并</w:t>
      </w:r>
      <w:r>
        <w:rPr>
          <w:spacing w:val="-1"/>
          <w:sz w:val="21"/>
        </w:rPr>
        <w:t>且满足下列全部条件：</w:t>
      </w:r>
    </w:p>
    <w:p>
      <w:pPr>
        <w:pStyle w:val="ListParagraph"/>
        <w:numPr>
          <w:ilvl w:val="1"/>
          <w:numId w:val="7"/>
        </w:numPr>
        <w:tabs>
          <w:tab w:pos="3408" w:val="left" w:leader="none"/>
        </w:tabs>
        <w:spacing w:line="240" w:lineRule="auto" w:before="163" w:after="0"/>
        <w:ind w:left="3407" w:right="0" w:hanging="315"/>
        <w:jc w:val="left"/>
        <w:rPr>
          <w:sz w:val="21"/>
        </w:rPr>
      </w:pPr>
      <w:r>
        <w:rPr>
          <w:sz w:val="21"/>
        </w:rPr>
        <w:t>晨僵；</w:t>
      </w:r>
    </w:p>
    <w:p>
      <w:pPr>
        <w:pStyle w:val="BodyText"/>
        <w:spacing w:before="9"/>
        <w:rPr>
          <w:sz w:val="14"/>
        </w:rPr>
      </w:pPr>
    </w:p>
    <w:p>
      <w:pPr>
        <w:pStyle w:val="ListParagraph"/>
        <w:numPr>
          <w:ilvl w:val="1"/>
          <w:numId w:val="7"/>
        </w:numPr>
        <w:tabs>
          <w:tab w:pos="3408" w:val="left" w:leader="none"/>
        </w:tabs>
        <w:spacing w:line="240" w:lineRule="auto" w:before="1" w:after="0"/>
        <w:ind w:left="3407" w:right="0" w:hanging="315"/>
        <w:jc w:val="left"/>
        <w:rPr>
          <w:sz w:val="21"/>
        </w:rPr>
      </w:pPr>
      <w:r>
        <w:rPr>
          <w:spacing w:val="-1"/>
          <w:sz w:val="21"/>
        </w:rPr>
        <w:t>对称性关节炎；</w:t>
      </w:r>
    </w:p>
    <w:p>
      <w:pPr>
        <w:pStyle w:val="BodyText"/>
        <w:spacing w:before="10"/>
        <w:rPr>
          <w:sz w:val="14"/>
        </w:rPr>
      </w:pPr>
    </w:p>
    <w:p>
      <w:pPr>
        <w:pStyle w:val="ListParagraph"/>
        <w:numPr>
          <w:ilvl w:val="1"/>
          <w:numId w:val="7"/>
        </w:numPr>
        <w:tabs>
          <w:tab w:pos="3408" w:val="left" w:leader="none"/>
        </w:tabs>
        <w:spacing w:line="240" w:lineRule="auto" w:before="0" w:after="0"/>
        <w:ind w:left="3407" w:right="0" w:hanging="315"/>
        <w:jc w:val="left"/>
        <w:rPr>
          <w:sz w:val="21"/>
        </w:rPr>
      </w:pPr>
      <w:r>
        <w:rPr>
          <w:spacing w:val="-1"/>
          <w:sz w:val="21"/>
        </w:rPr>
        <w:t>类风湿性皮下结节；</w:t>
      </w:r>
    </w:p>
    <w:p>
      <w:pPr>
        <w:pStyle w:val="BodyText"/>
        <w:spacing w:before="9"/>
        <w:rPr>
          <w:sz w:val="14"/>
        </w:rPr>
      </w:pPr>
    </w:p>
    <w:p>
      <w:pPr>
        <w:pStyle w:val="ListParagraph"/>
        <w:numPr>
          <w:ilvl w:val="1"/>
          <w:numId w:val="7"/>
        </w:numPr>
        <w:tabs>
          <w:tab w:pos="3408" w:val="left" w:leader="none"/>
        </w:tabs>
        <w:spacing w:line="240" w:lineRule="auto" w:before="1" w:after="0"/>
        <w:ind w:left="3407" w:right="0" w:hanging="315"/>
        <w:jc w:val="left"/>
        <w:rPr>
          <w:sz w:val="21"/>
        </w:rPr>
      </w:pPr>
      <w:r>
        <w:rPr>
          <w:spacing w:val="-1"/>
          <w:sz w:val="21"/>
        </w:rPr>
        <w:t>类风湿因子滴度升高。</w:t>
      </w:r>
    </w:p>
    <w:p>
      <w:pPr>
        <w:pStyle w:val="BodyText"/>
        <w:rPr>
          <w:sz w:val="20"/>
        </w:rPr>
      </w:pPr>
    </w:p>
    <w:p>
      <w:pPr>
        <w:pStyle w:val="BodyText"/>
        <w:spacing w:before="8"/>
        <w:rPr>
          <w:sz w:val="18"/>
        </w:rPr>
      </w:pPr>
    </w:p>
    <w:p>
      <w:pPr>
        <w:pStyle w:val="ListParagraph"/>
        <w:numPr>
          <w:ilvl w:val="0"/>
          <w:numId w:val="7"/>
        </w:numPr>
        <w:tabs>
          <w:tab w:pos="2219" w:val="left" w:leader="none"/>
        </w:tabs>
        <w:spacing w:line="273" w:lineRule="auto" w:before="0" w:after="0"/>
        <w:ind w:left="2252" w:right="211" w:hanging="454"/>
        <w:jc w:val="both"/>
        <w:rPr>
          <w:sz w:val="21"/>
        </w:rPr>
      </w:pPr>
      <w:r>
        <w:rPr>
          <w:spacing w:val="-5"/>
          <w:sz w:val="21"/>
        </w:rPr>
        <w:t>系统性红斑狼疮：是由多种因素引起，累及多系统的自身免疫性疾病。多侵</w:t>
      </w:r>
      <w:r>
        <w:rPr>
          <w:spacing w:val="-11"/>
          <w:sz w:val="21"/>
        </w:rPr>
        <w:t>犯育龄女性。其特点是生成自身抗体对抗多种自身抗原。本合同所指的系统</w:t>
      </w:r>
      <w:r>
        <w:rPr>
          <w:spacing w:val="-14"/>
          <w:sz w:val="21"/>
        </w:rPr>
        <w:t>性红斑狼疮仅限于累及肾脏</w:t>
      </w:r>
      <w:r>
        <w:rPr>
          <w:sz w:val="21"/>
        </w:rPr>
        <w:t>（</w:t>
      </w:r>
      <w:r>
        <w:rPr>
          <w:spacing w:val="-4"/>
          <w:sz w:val="21"/>
        </w:rPr>
        <w:t>经肾脏病理检查或临床确诊，并符合下列世界卫生组织(WHO)诊断标准定义Ⅲ型至Ⅴ型狼疮性肾炎）的系统性红斑狼疮。</w:t>
      </w:r>
      <w:r>
        <w:rPr>
          <w:spacing w:val="-11"/>
          <w:sz w:val="21"/>
        </w:rPr>
        <w:t>其他类型的红斑性狼疮，如盘状狼疮，仅累及血液及关节等其他系统的系统性红斑狼疮不在保障范围。</w:t>
      </w:r>
    </w:p>
    <w:p>
      <w:pPr>
        <w:pStyle w:val="BodyText"/>
        <w:spacing w:before="5"/>
        <w:rPr>
          <w:sz w:val="24"/>
        </w:rPr>
      </w:pPr>
    </w:p>
    <w:p>
      <w:pPr>
        <w:pStyle w:val="BodyText"/>
        <w:ind w:left="2252"/>
      </w:pPr>
      <w:r>
        <w:rPr/>
        <w:t>世界卫生组织(WHO)狼疮性肾炎分型：</w:t>
      </w:r>
    </w:p>
    <w:p>
      <w:pPr>
        <w:pStyle w:val="BodyText"/>
        <w:spacing w:before="8"/>
        <w:rPr>
          <w:sz w:val="26"/>
        </w:rPr>
      </w:pPr>
    </w:p>
    <w:p>
      <w:pPr>
        <w:pStyle w:val="BodyText"/>
        <w:ind w:left="3092"/>
      </w:pPr>
      <w:r>
        <w:rPr/>
        <w:t>Ⅰ型(微小病变型)镜下阴性，尿液正常；</w:t>
      </w:r>
    </w:p>
    <w:p>
      <w:pPr>
        <w:pStyle w:val="BodyText"/>
        <w:spacing w:before="9"/>
        <w:rPr>
          <w:sz w:val="14"/>
        </w:rPr>
      </w:pPr>
    </w:p>
    <w:p>
      <w:pPr>
        <w:pStyle w:val="BodyText"/>
        <w:ind w:left="3092"/>
      </w:pPr>
      <w:r>
        <w:rPr/>
        <w:t>Ⅱ型(系膜病变型)中度蛋白尿，偶有尿沉渣改变；</w:t>
      </w:r>
    </w:p>
    <w:p>
      <w:pPr>
        <w:pStyle w:val="BodyText"/>
        <w:spacing w:before="9"/>
        <w:rPr>
          <w:sz w:val="14"/>
        </w:rPr>
      </w:pPr>
    </w:p>
    <w:p>
      <w:pPr>
        <w:pStyle w:val="BodyText"/>
        <w:ind w:left="3092"/>
      </w:pPr>
      <w:r>
        <w:rPr/>
        <w:t>Ⅲ型(局灶及节段增生型)蛋白尿，尿沉渣改变；</w:t>
      </w:r>
    </w:p>
    <w:p>
      <w:pPr>
        <w:pStyle w:val="BodyText"/>
        <w:spacing w:before="9"/>
        <w:rPr>
          <w:sz w:val="14"/>
        </w:rPr>
      </w:pPr>
    </w:p>
    <w:p>
      <w:pPr>
        <w:pStyle w:val="BodyText"/>
        <w:spacing w:line="408" w:lineRule="auto"/>
        <w:ind w:left="3092" w:right="436"/>
      </w:pPr>
      <w:r>
        <w:rPr/>
        <w:t>Ⅳ型(弥漫增生型)急性肾炎伴有尿沉渣改变及/或肾病综合征； Ⅴ型(膜型)肾病综合征或重度蛋白尿。</w:t>
      </w:r>
    </w:p>
    <w:p>
      <w:pPr>
        <w:pStyle w:val="BodyText"/>
        <w:spacing w:before="4"/>
        <w:rPr>
          <w:sz w:val="27"/>
        </w:rPr>
      </w:pPr>
    </w:p>
    <w:p>
      <w:pPr>
        <w:pStyle w:val="ListParagraph"/>
        <w:numPr>
          <w:ilvl w:val="0"/>
          <w:numId w:val="7"/>
        </w:numPr>
        <w:tabs>
          <w:tab w:pos="2219" w:val="left" w:leader="none"/>
        </w:tabs>
        <w:spacing w:line="273" w:lineRule="auto" w:before="0" w:after="0"/>
        <w:ind w:left="2252" w:right="105" w:hanging="454"/>
        <w:jc w:val="both"/>
        <w:rPr>
          <w:sz w:val="21"/>
        </w:rPr>
      </w:pPr>
      <w:r>
        <w:rPr>
          <w:spacing w:val="-6"/>
          <w:sz w:val="21"/>
        </w:rPr>
        <w:t>严重慢性呼吸衰竭： 慢性肺部疾病导致永久不可逆性的慢性呼吸功能衰竭， 必须由呼吸专科医师确认并符合下列所有条件：</w:t>
      </w:r>
    </w:p>
    <w:p>
      <w:pPr>
        <w:pStyle w:val="ListParagraph"/>
        <w:numPr>
          <w:ilvl w:val="1"/>
          <w:numId w:val="7"/>
        </w:numPr>
        <w:tabs>
          <w:tab w:pos="3408" w:val="left" w:leader="none"/>
        </w:tabs>
        <w:spacing w:line="240" w:lineRule="auto" w:before="7" w:after="0"/>
        <w:ind w:left="3407" w:right="0" w:hanging="315"/>
        <w:jc w:val="left"/>
        <w:rPr>
          <w:sz w:val="21"/>
        </w:rPr>
      </w:pPr>
      <w:r>
        <w:rPr>
          <w:spacing w:val="-1"/>
          <w:sz w:val="21"/>
        </w:rPr>
        <w:t>肺功能测试其</w:t>
      </w:r>
      <w:r>
        <w:rPr>
          <w:sz w:val="21"/>
        </w:rPr>
        <w:t>FEV1持续低于0.75升；</w:t>
      </w:r>
    </w:p>
    <w:p>
      <w:pPr>
        <w:pStyle w:val="BodyText"/>
        <w:spacing w:before="9"/>
        <w:rPr>
          <w:sz w:val="14"/>
        </w:rPr>
      </w:pPr>
    </w:p>
    <w:p>
      <w:pPr>
        <w:pStyle w:val="ListParagraph"/>
        <w:numPr>
          <w:ilvl w:val="1"/>
          <w:numId w:val="7"/>
        </w:numPr>
        <w:tabs>
          <w:tab w:pos="3408" w:val="left" w:leader="none"/>
        </w:tabs>
        <w:spacing w:line="240" w:lineRule="auto" w:before="0" w:after="0"/>
        <w:ind w:left="3407" w:right="0" w:hanging="315"/>
        <w:jc w:val="left"/>
        <w:rPr>
          <w:sz w:val="21"/>
        </w:rPr>
      </w:pPr>
      <w:r>
        <w:rPr>
          <w:spacing w:val="-1"/>
          <w:sz w:val="21"/>
        </w:rPr>
        <w:t>病人缺氧必须广泛而持续地进行输氧治疗；</w:t>
      </w:r>
    </w:p>
    <w:p>
      <w:pPr>
        <w:spacing w:after="0" w:line="240" w:lineRule="auto"/>
        <w:jc w:val="left"/>
        <w:rPr>
          <w:sz w:val="21"/>
        </w:rPr>
        <w:sectPr>
          <w:pgSz w:w="11910" w:h="16840"/>
          <w:pgMar w:header="0" w:footer="1008" w:top="1100" w:bottom="1200" w:left="1680" w:right="920"/>
        </w:sectPr>
      </w:pPr>
    </w:p>
    <w:p>
      <w:pPr>
        <w:pStyle w:val="ListParagraph"/>
        <w:numPr>
          <w:ilvl w:val="1"/>
          <w:numId w:val="7"/>
        </w:numPr>
        <w:tabs>
          <w:tab w:pos="3408" w:val="left" w:leader="none"/>
        </w:tabs>
        <w:spacing w:line="240" w:lineRule="auto" w:before="19" w:after="0"/>
        <w:ind w:left="3407" w:right="0" w:hanging="315"/>
        <w:jc w:val="left"/>
        <w:rPr>
          <w:sz w:val="21"/>
        </w:rPr>
      </w:pPr>
      <w:r>
        <w:rPr>
          <w:spacing w:val="-1"/>
          <w:sz w:val="21"/>
        </w:rPr>
        <w:t>动脉血气分析氧分压低于</w:t>
      </w:r>
      <w:r>
        <w:rPr>
          <w:sz w:val="21"/>
        </w:rPr>
        <w:t>55mmHg。</w:t>
      </w:r>
    </w:p>
    <w:p>
      <w:pPr>
        <w:pStyle w:val="BodyText"/>
        <w:rPr>
          <w:sz w:val="20"/>
        </w:rPr>
      </w:pPr>
    </w:p>
    <w:p>
      <w:pPr>
        <w:pStyle w:val="BodyText"/>
        <w:spacing w:before="7"/>
        <w:rPr>
          <w:sz w:val="18"/>
        </w:rPr>
      </w:pPr>
    </w:p>
    <w:p>
      <w:pPr>
        <w:pStyle w:val="Heading3"/>
        <w:spacing w:before="1"/>
        <w:ind w:left="2252"/>
      </w:pPr>
      <w:r>
        <w:rPr>
          <w:w w:val="95"/>
        </w:rPr>
        <w:t>理赔时必须提供以上三项相应的证明文件或检查报告。</w:t>
      </w:r>
    </w:p>
    <w:p>
      <w:pPr>
        <w:pStyle w:val="BodyText"/>
        <w:spacing w:before="9"/>
        <w:rPr>
          <w:b/>
          <w:sz w:val="26"/>
        </w:rPr>
      </w:pPr>
    </w:p>
    <w:p>
      <w:pPr>
        <w:pStyle w:val="ListParagraph"/>
        <w:numPr>
          <w:ilvl w:val="0"/>
          <w:numId w:val="7"/>
        </w:numPr>
        <w:tabs>
          <w:tab w:pos="2219" w:val="left" w:leader="none"/>
        </w:tabs>
        <w:spacing w:line="273" w:lineRule="auto" w:before="0" w:after="0"/>
        <w:ind w:left="2252" w:right="104" w:hanging="454"/>
        <w:jc w:val="both"/>
        <w:rPr>
          <w:sz w:val="21"/>
        </w:rPr>
      </w:pPr>
      <w:r>
        <w:rPr>
          <w:spacing w:val="-6"/>
          <w:sz w:val="21"/>
        </w:rPr>
        <w:t>全身性重症肌无力： 重症肌无力是一种神经肌肉接头传递障碍所致的疾病， </w:t>
      </w:r>
      <w:r>
        <w:rPr>
          <w:spacing w:val="-12"/>
          <w:sz w:val="21"/>
        </w:rPr>
        <w:t>表现为局部或全身骨骼肌</w:t>
      </w:r>
      <w:r>
        <w:rPr>
          <w:sz w:val="21"/>
        </w:rPr>
        <w:t>（特别是眼外肌</w:t>
      </w:r>
      <w:r>
        <w:rPr>
          <w:spacing w:val="-65"/>
          <w:sz w:val="21"/>
        </w:rPr>
        <w:t>）</w:t>
      </w:r>
      <w:r>
        <w:rPr>
          <w:spacing w:val="-8"/>
          <w:sz w:val="21"/>
        </w:rPr>
        <w:t>极易疲劳。疾病可以累及呼吸肌、上肢或下肢的近端肌群或全身肌肉，必须满足下列全部条件：</w:t>
      </w:r>
    </w:p>
    <w:p>
      <w:pPr>
        <w:pStyle w:val="BodyText"/>
        <w:spacing w:before="5"/>
        <w:rPr>
          <w:sz w:val="24"/>
        </w:rPr>
      </w:pPr>
    </w:p>
    <w:p>
      <w:pPr>
        <w:pStyle w:val="ListParagraph"/>
        <w:numPr>
          <w:ilvl w:val="1"/>
          <w:numId w:val="7"/>
        </w:numPr>
        <w:tabs>
          <w:tab w:pos="3408" w:val="left" w:leader="none"/>
        </w:tabs>
        <w:spacing w:line="240" w:lineRule="auto" w:before="0" w:after="0"/>
        <w:ind w:left="3092" w:right="0" w:firstLine="0"/>
        <w:jc w:val="left"/>
        <w:rPr>
          <w:sz w:val="21"/>
        </w:rPr>
      </w:pPr>
      <w:r>
        <w:rPr>
          <w:spacing w:val="-1"/>
          <w:sz w:val="21"/>
        </w:rPr>
        <w:t>经药物治疗和胸腺切除治疗一年以上仍无法控制病情；</w:t>
      </w:r>
    </w:p>
    <w:p>
      <w:pPr>
        <w:pStyle w:val="BodyText"/>
        <w:spacing w:before="9"/>
        <w:rPr>
          <w:sz w:val="14"/>
        </w:rPr>
      </w:pPr>
    </w:p>
    <w:p>
      <w:pPr>
        <w:pStyle w:val="ListParagraph"/>
        <w:numPr>
          <w:ilvl w:val="1"/>
          <w:numId w:val="7"/>
        </w:numPr>
        <w:tabs>
          <w:tab w:pos="3408" w:val="left" w:leader="none"/>
        </w:tabs>
        <w:spacing w:line="273" w:lineRule="auto" w:before="0" w:after="0"/>
        <w:ind w:left="3092" w:right="212" w:firstLine="0"/>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4"/>
        <w:rPr>
          <w:sz w:val="16"/>
        </w:rPr>
      </w:pPr>
    </w:p>
    <w:p>
      <w:pPr>
        <w:pStyle w:val="ListParagraph"/>
        <w:numPr>
          <w:ilvl w:val="0"/>
          <w:numId w:val="7"/>
        </w:numPr>
        <w:tabs>
          <w:tab w:pos="2219" w:val="left" w:leader="none"/>
        </w:tabs>
        <w:spacing w:line="273" w:lineRule="auto" w:before="0" w:after="0"/>
        <w:ind w:left="2252" w:right="120" w:hanging="454"/>
        <w:jc w:val="both"/>
        <w:rPr>
          <w:sz w:val="21"/>
        </w:rPr>
      </w:pPr>
      <w:r>
        <w:rPr>
          <w:spacing w:val="-7"/>
          <w:sz w:val="21"/>
        </w:rPr>
        <w:t>严重原发性心肌病：指因原发性心肌病导致心室功能损害造成永久不可逆性</w:t>
      </w:r>
      <w:r>
        <w:rPr>
          <w:spacing w:val="-12"/>
          <w:sz w:val="21"/>
        </w:rPr>
        <w:t>的心功能衰竭，心功能衰竭程度达到美国纽约心脏病学会心功能状态分级</w:t>
      </w:r>
      <w:r>
        <w:rPr>
          <w:sz w:val="21"/>
        </w:rPr>
        <w:t>IV 级。必须由心脏专科医生确诊，并有包括超声心动图在内的相关检查证实。</w:t>
      </w:r>
    </w:p>
    <w:p>
      <w:pPr>
        <w:pStyle w:val="BodyText"/>
        <w:spacing w:before="5"/>
        <w:rPr>
          <w:sz w:val="24"/>
        </w:rPr>
      </w:pPr>
    </w:p>
    <w:p>
      <w:pPr>
        <w:pStyle w:val="Heading3"/>
        <w:ind w:left="2252"/>
      </w:pPr>
      <w:r>
        <w:rPr>
          <w:w w:val="95"/>
        </w:rPr>
        <w:t>酗酒或滥用药物引起的心肌病不在保险责任范围内。</w:t>
      </w:r>
    </w:p>
    <w:p>
      <w:pPr>
        <w:pStyle w:val="BodyText"/>
        <w:spacing w:before="8"/>
        <w:rPr>
          <w:b/>
          <w:sz w:val="26"/>
        </w:rPr>
      </w:pPr>
    </w:p>
    <w:p>
      <w:pPr>
        <w:pStyle w:val="ListParagraph"/>
        <w:numPr>
          <w:ilvl w:val="0"/>
          <w:numId w:val="7"/>
        </w:numPr>
        <w:tabs>
          <w:tab w:pos="2219" w:val="left" w:leader="none"/>
        </w:tabs>
        <w:spacing w:line="240" w:lineRule="auto" w:before="0" w:after="0"/>
        <w:ind w:left="2218" w:right="0" w:hanging="420"/>
        <w:jc w:val="left"/>
        <w:rPr>
          <w:sz w:val="21"/>
        </w:rPr>
      </w:pPr>
      <w:r>
        <w:rPr>
          <w:spacing w:val="-1"/>
          <w:sz w:val="21"/>
        </w:rPr>
        <w:t>坏死性筋膜炎： 坏死性筋膜炎的诊断须同时符合下列要求：</w:t>
      </w:r>
    </w:p>
    <w:p>
      <w:pPr>
        <w:pStyle w:val="BodyText"/>
        <w:spacing w:before="8"/>
        <w:rPr>
          <w:sz w:val="26"/>
        </w:rPr>
      </w:pPr>
    </w:p>
    <w:p>
      <w:pPr>
        <w:pStyle w:val="ListParagraph"/>
        <w:numPr>
          <w:ilvl w:val="1"/>
          <w:numId w:val="7"/>
        </w:numPr>
        <w:tabs>
          <w:tab w:pos="3408" w:val="left" w:leader="none"/>
        </w:tabs>
        <w:spacing w:line="240" w:lineRule="auto" w:before="0" w:after="0"/>
        <w:ind w:left="3092" w:right="0" w:firstLine="0"/>
        <w:jc w:val="left"/>
        <w:rPr>
          <w:sz w:val="21"/>
        </w:rPr>
      </w:pPr>
      <w:r>
        <w:rPr>
          <w:spacing w:val="-1"/>
          <w:sz w:val="21"/>
        </w:rPr>
        <w:t>符合坏死性筋膜炎的一般临床表现；</w:t>
      </w:r>
    </w:p>
    <w:p>
      <w:pPr>
        <w:pStyle w:val="BodyText"/>
        <w:spacing w:before="9"/>
        <w:rPr>
          <w:sz w:val="14"/>
        </w:rPr>
      </w:pPr>
    </w:p>
    <w:p>
      <w:pPr>
        <w:pStyle w:val="ListParagraph"/>
        <w:numPr>
          <w:ilvl w:val="1"/>
          <w:numId w:val="7"/>
        </w:numPr>
        <w:tabs>
          <w:tab w:pos="3408" w:val="left" w:leader="none"/>
        </w:tabs>
        <w:spacing w:line="240" w:lineRule="auto" w:before="0" w:after="0"/>
        <w:ind w:left="3407" w:right="0" w:hanging="315"/>
        <w:jc w:val="left"/>
        <w:rPr>
          <w:sz w:val="21"/>
        </w:rPr>
      </w:pPr>
      <w:r>
        <w:rPr>
          <w:spacing w:val="-1"/>
          <w:sz w:val="21"/>
        </w:rPr>
        <w:t>细菌培养检出致病菌；</w:t>
      </w:r>
    </w:p>
    <w:p>
      <w:pPr>
        <w:pStyle w:val="BodyText"/>
        <w:spacing w:before="9"/>
        <w:rPr>
          <w:sz w:val="14"/>
        </w:rPr>
      </w:pPr>
    </w:p>
    <w:p>
      <w:pPr>
        <w:pStyle w:val="ListParagraph"/>
        <w:numPr>
          <w:ilvl w:val="1"/>
          <w:numId w:val="7"/>
        </w:numPr>
        <w:tabs>
          <w:tab w:pos="3408" w:val="left" w:leader="none"/>
        </w:tabs>
        <w:spacing w:line="273" w:lineRule="auto" w:before="0" w:after="0"/>
        <w:ind w:left="3092" w:right="212" w:firstLine="0"/>
        <w:jc w:val="left"/>
        <w:rPr>
          <w:sz w:val="21"/>
        </w:rPr>
      </w:pPr>
      <w:r>
        <w:rPr>
          <w:sz w:val="21"/>
        </w:rPr>
        <w:t>出现广泛性肌肉及组织坏死，并确实实施了坏死组织和筋膜以及肌肉的切除手术。</w:t>
      </w:r>
    </w:p>
    <w:p>
      <w:pPr>
        <w:pStyle w:val="BodyText"/>
        <w:rPr>
          <w:sz w:val="20"/>
        </w:rPr>
      </w:pPr>
    </w:p>
    <w:p>
      <w:pPr>
        <w:pStyle w:val="BodyText"/>
        <w:spacing w:before="4"/>
        <w:rPr>
          <w:sz w:val="16"/>
        </w:rPr>
      </w:pPr>
    </w:p>
    <w:p>
      <w:pPr>
        <w:pStyle w:val="Heading3"/>
        <w:ind w:left="2252"/>
      </w:pPr>
      <w:r>
        <w:rPr>
          <w:w w:val="95"/>
        </w:rPr>
        <w:t>清创术不属于保险责任范围</w:t>
      </w:r>
    </w:p>
    <w:p>
      <w:pPr>
        <w:pStyle w:val="BodyText"/>
        <w:spacing w:before="8"/>
        <w:rPr>
          <w:b/>
          <w:sz w:val="26"/>
        </w:rPr>
      </w:pPr>
    </w:p>
    <w:p>
      <w:pPr>
        <w:pStyle w:val="ListParagraph"/>
        <w:numPr>
          <w:ilvl w:val="0"/>
          <w:numId w:val="7"/>
        </w:numPr>
        <w:tabs>
          <w:tab w:pos="2219" w:val="left" w:leader="none"/>
        </w:tabs>
        <w:spacing w:line="273" w:lineRule="auto" w:before="0" w:after="0"/>
        <w:ind w:left="2252" w:right="211" w:hanging="454"/>
        <w:jc w:val="both"/>
        <w:rPr>
          <w:sz w:val="21"/>
        </w:rPr>
      </w:pPr>
      <w:r>
        <w:rPr>
          <w:spacing w:val="-7"/>
          <w:sz w:val="21"/>
        </w:rPr>
        <w:t>慢性复发性胰腺炎：胰腺炎反复发作超过三次以上并导致胰腺功能紊乱和营</w:t>
      </w:r>
      <w:r>
        <w:rPr>
          <w:spacing w:val="-12"/>
          <w:sz w:val="21"/>
        </w:rPr>
        <w:t>养不良，需要接受酶替代治疗。诊断必须有消化科专科医生确认并且有内窥镜逆行胰胆管造影所证实。</w:t>
      </w:r>
    </w:p>
    <w:p>
      <w:pPr>
        <w:pStyle w:val="BodyText"/>
        <w:spacing w:before="5"/>
        <w:rPr>
          <w:sz w:val="24"/>
        </w:rPr>
      </w:pPr>
    </w:p>
    <w:p>
      <w:pPr>
        <w:pStyle w:val="Heading3"/>
        <w:ind w:left="2252"/>
      </w:pPr>
      <w:r>
        <w:rPr>
          <w:w w:val="95"/>
        </w:rPr>
        <w:t>因酒精所致的慢性复发性胰腺炎除外。</w:t>
      </w:r>
    </w:p>
    <w:p>
      <w:pPr>
        <w:pStyle w:val="BodyText"/>
        <w:spacing w:before="8"/>
        <w:rPr>
          <w:b/>
          <w:sz w:val="26"/>
        </w:rPr>
      </w:pPr>
    </w:p>
    <w:p>
      <w:pPr>
        <w:pStyle w:val="ListParagraph"/>
        <w:numPr>
          <w:ilvl w:val="0"/>
          <w:numId w:val="7"/>
        </w:numPr>
        <w:tabs>
          <w:tab w:pos="2219" w:val="left" w:leader="none"/>
        </w:tabs>
        <w:spacing w:line="273" w:lineRule="auto" w:before="1" w:after="0"/>
        <w:ind w:left="2252" w:right="211" w:hanging="454"/>
        <w:jc w:val="both"/>
        <w:rPr>
          <w:sz w:val="21"/>
        </w:rPr>
      </w:pPr>
      <w:r>
        <w:rPr>
          <w:spacing w:val="-1"/>
          <w:sz w:val="21"/>
        </w:rPr>
        <w:t>象皮病： 指末期丝虫病，按国际淋巴学会分级为三度淋巴液肿，其临床表</w:t>
      </w:r>
      <w:r>
        <w:rPr>
          <w:spacing w:val="-6"/>
          <w:sz w:val="21"/>
        </w:rPr>
        <w:t>现为肢体非凹陷性水肿伴畸形增大、硬皮症和疣状增生。此病症须经专科医生根据临床表现和微丝蚴的化验结果确诊。</w:t>
      </w:r>
    </w:p>
    <w:p>
      <w:pPr>
        <w:pStyle w:val="BodyText"/>
        <w:spacing w:before="5"/>
        <w:rPr>
          <w:sz w:val="24"/>
        </w:rPr>
      </w:pPr>
    </w:p>
    <w:p>
      <w:pPr>
        <w:pStyle w:val="ListParagraph"/>
        <w:numPr>
          <w:ilvl w:val="0"/>
          <w:numId w:val="7"/>
        </w:numPr>
        <w:tabs>
          <w:tab w:pos="2219" w:val="left" w:leader="none"/>
        </w:tabs>
        <w:spacing w:line="273" w:lineRule="auto" w:before="1" w:after="0"/>
        <w:ind w:left="2252" w:right="211" w:hanging="454"/>
        <w:jc w:val="both"/>
        <w:rPr>
          <w:sz w:val="21"/>
        </w:rPr>
      </w:pPr>
      <w:r>
        <w:rPr>
          <w:spacing w:val="-7"/>
          <w:sz w:val="21"/>
        </w:rPr>
        <w:t>严重克隆病：克隆病是一种慢性肉芽肿性肠炎，具有特征性的克隆病病理组</w:t>
      </w:r>
      <w:r>
        <w:rPr>
          <w:spacing w:val="-11"/>
          <w:sz w:val="21"/>
        </w:rPr>
        <w:t>织学变化。诊断必须由病理检查结果证实。被保险人所患的克隆病必须已经造成瘘管形成并伴有肠梗阻或肠穿孔。</w:t>
      </w:r>
    </w:p>
    <w:p>
      <w:pPr>
        <w:pStyle w:val="BodyText"/>
        <w:rPr>
          <w:sz w:val="20"/>
        </w:rPr>
      </w:pPr>
    </w:p>
    <w:p>
      <w:pPr>
        <w:pStyle w:val="BodyText"/>
        <w:spacing w:before="13"/>
        <w:rPr>
          <w:sz w:val="14"/>
        </w:rPr>
      </w:pPr>
    </w:p>
    <w:p>
      <w:pPr>
        <w:pStyle w:val="ListParagraph"/>
        <w:numPr>
          <w:ilvl w:val="0"/>
          <w:numId w:val="7"/>
        </w:numPr>
        <w:tabs>
          <w:tab w:pos="2219" w:val="left" w:leader="none"/>
        </w:tabs>
        <w:spacing w:line="240" w:lineRule="auto" w:before="0" w:after="0"/>
        <w:ind w:left="2218" w:right="0" w:hanging="420"/>
        <w:jc w:val="left"/>
        <w:rPr>
          <w:sz w:val="21"/>
        </w:rPr>
      </w:pPr>
      <w:r>
        <w:rPr>
          <w:sz w:val="21"/>
        </w:rPr>
        <w:t>肾髓质囊性病：肾髓质囊性病的诊断须同时符合下列要求：</w:t>
      </w:r>
    </w:p>
    <w:p>
      <w:pPr>
        <w:spacing w:after="0" w:line="240" w:lineRule="auto"/>
        <w:jc w:val="left"/>
        <w:rPr>
          <w:sz w:val="21"/>
        </w:rPr>
        <w:sectPr>
          <w:pgSz w:w="11910" w:h="16840"/>
          <w:pgMar w:header="0" w:footer="1008" w:top="1100" w:bottom="1200" w:left="1680" w:right="920"/>
        </w:sectPr>
      </w:pPr>
    </w:p>
    <w:p>
      <w:pPr>
        <w:pStyle w:val="ListParagraph"/>
        <w:numPr>
          <w:ilvl w:val="1"/>
          <w:numId w:val="7"/>
        </w:numPr>
        <w:tabs>
          <w:tab w:pos="4068" w:val="left" w:leader="none"/>
        </w:tabs>
        <w:spacing w:line="240" w:lineRule="auto" w:before="19" w:after="0"/>
        <w:ind w:left="4067" w:right="0" w:hanging="315"/>
        <w:jc w:val="left"/>
        <w:rPr>
          <w:sz w:val="21"/>
        </w:rPr>
      </w:pPr>
      <w:r>
        <w:rPr>
          <w:spacing w:val="-1"/>
          <w:sz w:val="21"/>
        </w:rPr>
        <w:t>肾髓质有囊肿、肾小管萎缩及间质纤维化等病理改变；</w:t>
      </w:r>
    </w:p>
    <w:p>
      <w:pPr>
        <w:pStyle w:val="BodyText"/>
        <w:spacing w:before="9"/>
        <w:rPr>
          <w:sz w:val="14"/>
        </w:rPr>
      </w:pPr>
    </w:p>
    <w:p>
      <w:pPr>
        <w:pStyle w:val="ListParagraph"/>
        <w:numPr>
          <w:ilvl w:val="1"/>
          <w:numId w:val="7"/>
        </w:numPr>
        <w:tabs>
          <w:tab w:pos="4068" w:val="left" w:leader="none"/>
        </w:tabs>
        <w:spacing w:line="240" w:lineRule="auto" w:before="1" w:after="0"/>
        <w:ind w:left="4067" w:right="0" w:hanging="315"/>
        <w:jc w:val="left"/>
        <w:rPr>
          <w:sz w:val="21"/>
        </w:rPr>
      </w:pPr>
      <w:r>
        <w:rPr>
          <w:spacing w:val="-1"/>
          <w:sz w:val="21"/>
        </w:rPr>
        <w:t>贫血、多尿及肾功能衰竭等临床表现；</w:t>
      </w:r>
    </w:p>
    <w:p>
      <w:pPr>
        <w:pStyle w:val="BodyText"/>
        <w:spacing w:before="10"/>
        <w:rPr>
          <w:sz w:val="14"/>
        </w:rPr>
      </w:pPr>
    </w:p>
    <w:p>
      <w:pPr>
        <w:pStyle w:val="ListParagraph"/>
        <w:numPr>
          <w:ilvl w:val="1"/>
          <w:numId w:val="7"/>
        </w:numPr>
        <w:tabs>
          <w:tab w:pos="4068" w:val="left" w:leader="none"/>
        </w:tabs>
        <w:spacing w:line="240" w:lineRule="auto" w:before="0" w:after="0"/>
        <w:ind w:left="4067" w:right="0" w:hanging="315"/>
        <w:jc w:val="left"/>
        <w:rPr>
          <w:sz w:val="21"/>
        </w:rPr>
      </w:pPr>
      <w:r>
        <w:rPr>
          <w:spacing w:val="-1"/>
          <w:sz w:val="21"/>
        </w:rPr>
        <w:t>诊断须由肾组织活检确定。</w:t>
      </w:r>
    </w:p>
    <w:p>
      <w:pPr>
        <w:pStyle w:val="BodyText"/>
        <w:rPr>
          <w:sz w:val="20"/>
        </w:rPr>
      </w:pPr>
    </w:p>
    <w:p>
      <w:pPr>
        <w:pStyle w:val="BodyText"/>
        <w:spacing w:before="7"/>
        <w:rPr>
          <w:sz w:val="18"/>
        </w:rPr>
      </w:pPr>
    </w:p>
    <w:p>
      <w:pPr>
        <w:pStyle w:val="ListParagraph"/>
        <w:numPr>
          <w:ilvl w:val="0"/>
          <w:numId w:val="7"/>
        </w:numPr>
        <w:tabs>
          <w:tab w:pos="2879" w:val="left" w:leader="none"/>
        </w:tabs>
        <w:spacing w:line="273" w:lineRule="auto" w:before="1" w:after="0"/>
        <w:ind w:left="2912" w:right="210" w:hanging="454"/>
        <w:jc w:val="left"/>
        <w:rPr>
          <w:sz w:val="21"/>
        </w:rPr>
      </w:pPr>
      <w:r>
        <w:rPr>
          <w:spacing w:val="-8"/>
          <w:sz w:val="21"/>
        </w:rPr>
        <w:t>肌营养不良症：指一组遗传性肌肉变性病变, 临床特征为与神经系统无关的</w:t>
      </w:r>
      <w:r>
        <w:rPr>
          <w:spacing w:val="-1"/>
          <w:sz w:val="21"/>
        </w:rPr>
        <w:t>骨骼肌肉对称地进行性无力和萎缩。其诊断需满足下列全部条件：</w:t>
      </w:r>
    </w:p>
    <w:p>
      <w:pPr>
        <w:pStyle w:val="BodyText"/>
        <w:spacing w:before="5"/>
        <w:rPr>
          <w:sz w:val="24"/>
        </w:rPr>
      </w:pPr>
    </w:p>
    <w:p>
      <w:pPr>
        <w:pStyle w:val="ListParagraph"/>
        <w:numPr>
          <w:ilvl w:val="1"/>
          <w:numId w:val="7"/>
        </w:numPr>
        <w:tabs>
          <w:tab w:pos="4068" w:val="left" w:leader="none"/>
        </w:tabs>
        <w:spacing w:line="240" w:lineRule="auto" w:before="1" w:after="0"/>
        <w:ind w:left="3752" w:right="0" w:firstLine="0"/>
        <w:jc w:val="left"/>
        <w:rPr>
          <w:sz w:val="21"/>
        </w:rPr>
      </w:pPr>
      <w:r>
        <w:rPr>
          <w:spacing w:val="-1"/>
          <w:sz w:val="21"/>
        </w:rPr>
        <w:t>肌电图显示典型肌营养不良症的阳性改变；</w:t>
      </w:r>
    </w:p>
    <w:p>
      <w:pPr>
        <w:pStyle w:val="BodyText"/>
        <w:spacing w:before="10"/>
        <w:rPr>
          <w:sz w:val="14"/>
        </w:rPr>
      </w:pPr>
    </w:p>
    <w:p>
      <w:pPr>
        <w:pStyle w:val="ListParagraph"/>
        <w:numPr>
          <w:ilvl w:val="1"/>
          <w:numId w:val="7"/>
        </w:numPr>
        <w:tabs>
          <w:tab w:pos="4073" w:val="left" w:leader="none"/>
        </w:tabs>
        <w:spacing w:line="273" w:lineRule="auto" w:before="0" w:after="0"/>
        <w:ind w:left="3752" w:right="205" w:firstLine="0"/>
        <w:jc w:val="left"/>
        <w:rPr>
          <w:sz w:val="21"/>
        </w:rPr>
      </w:pPr>
      <w:r>
        <w:rPr>
          <w:sz w:val="21"/>
        </w:rPr>
        <w:t>肌肉活检的病理学诊断符合肌营养不良症的肌肉细胞变性</w:t>
      </w:r>
      <w:r>
        <w:rPr>
          <w:spacing w:val="2"/>
          <w:sz w:val="21"/>
        </w:rPr>
        <w:t>\坏</w:t>
      </w:r>
      <w:r>
        <w:rPr>
          <w:spacing w:val="-1"/>
          <w:sz w:val="21"/>
        </w:rPr>
        <w:t>死等阳性改变;</w:t>
      </w:r>
    </w:p>
    <w:p>
      <w:pPr>
        <w:pStyle w:val="ListParagraph"/>
        <w:numPr>
          <w:ilvl w:val="1"/>
          <w:numId w:val="7"/>
        </w:numPr>
        <w:tabs>
          <w:tab w:pos="4068" w:val="left" w:leader="none"/>
        </w:tabs>
        <w:spacing w:line="273" w:lineRule="auto" w:before="163" w:after="0"/>
        <w:ind w:left="3752" w:right="212" w:firstLine="0"/>
        <w:jc w:val="left"/>
        <w:rPr>
          <w:sz w:val="21"/>
        </w:rPr>
      </w:pPr>
      <w:r>
        <w:rPr>
          <w:sz w:val="21"/>
        </w:rPr>
        <w:t>已导致被保险人持续超过三个月无法独立完成六项基本日常生活活动中的三项获三项以上。</w:t>
      </w:r>
    </w:p>
    <w:p>
      <w:pPr>
        <w:pStyle w:val="BodyText"/>
        <w:rPr>
          <w:sz w:val="20"/>
        </w:rPr>
      </w:pPr>
    </w:p>
    <w:p>
      <w:pPr>
        <w:pStyle w:val="BodyText"/>
        <w:spacing w:before="3"/>
        <w:rPr>
          <w:sz w:val="16"/>
        </w:rPr>
      </w:pPr>
    </w:p>
    <w:p>
      <w:pPr>
        <w:pStyle w:val="ListParagraph"/>
        <w:numPr>
          <w:ilvl w:val="0"/>
          <w:numId w:val="7"/>
        </w:numPr>
        <w:tabs>
          <w:tab w:pos="2879" w:val="left" w:leader="none"/>
        </w:tabs>
        <w:spacing w:line="273" w:lineRule="auto" w:before="1" w:after="0"/>
        <w:ind w:left="2912" w:right="211" w:hanging="454"/>
        <w:jc w:val="left"/>
        <w:rPr>
          <w:sz w:val="21"/>
        </w:rPr>
      </w:pPr>
      <w:r>
        <w:rPr>
          <w:spacing w:val="-6"/>
          <w:sz w:val="21"/>
        </w:rPr>
        <w:t>严重哮喘：被保险人必须在过去两年内曾发生哮喘持续状态，并满足以下标准中的两项或两项以上标准：</w:t>
      </w:r>
    </w:p>
    <w:p>
      <w:pPr>
        <w:pStyle w:val="BodyText"/>
        <w:spacing w:before="5"/>
        <w:rPr>
          <w:sz w:val="24"/>
        </w:rPr>
      </w:pPr>
    </w:p>
    <w:p>
      <w:pPr>
        <w:pStyle w:val="ListParagraph"/>
        <w:numPr>
          <w:ilvl w:val="1"/>
          <w:numId w:val="7"/>
        </w:numPr>
        <w:tabs>
          <w:tab w:pos="4068" w:val="left" w:leader="none"/>
        </w:tabs>
        <w:spacing w:line="240" w:lineRule="auto" w:before="0" w:after="0"/>
        <w:ind w:left="4067" w:right="0" w:hanging="315"/>
        <w:jc w:val="left"/>
        <w:rPr>
          <w:sz w:val="21"/>
        </w:rPr>
      </w:pPr>
      <w:r>
        <w:rPr>
          <w:spacing w:val="-1"/>
          <w:sz w:val="21"/>
        </w:rPr>
        <w:t>运动耐受力永久并持续地减少并且轻微的运动能引起气促；</w:t>
      </w:r>
    </w:p>
    <w:p>
      <w:pPr>
        <w:pStyle w:val="BodyText"/>
        <w:spacing w:before="9"/>
        <w:rPr>
          <w:sz w:val="14"/>
        </w:rPr>
      </w:pPr>
    </w:p>
    <w:p>
      <w:pPr>
        <w:pStyle w:val="ListParagraph"/>
        <w:numPr>
          <w:ilvl w:val="1"/>
          <w:numId w:val="7"/>
        </w:numPr>
        <w:tabs>
          <w:tab w:pos="4068" w:val="left" w:leader="none"/>
        </w:tabs>
        <w:spacing w:line="240" w:lineRule="auto" w:before="0" w:after="0"/>
        <w:ind w:left="4067" w:right="0" w:hanging="315"/>
        <w:jc w:val="left"/>
        <w:rPr>
          <w:sz w:val="21"/>
        </w:rPr>
      </w:pPr>
      <w:r>
        <w:rPr>
          <w:spacing w:val="-1"/>
          <w:sz w:val="21"/>
        </w:rPr>
        <w:t>长期胸腔过渡膨胀而导致胸腔畸形；</w:t>
      </w:r>
    </w:p>
    <w:p>
      <w:pPr>
        <w:pStyle w:val="BodyText"/>
        <w:spacing w:before="9"/>
        <w:rPr>
          <w:sz w:val="14"/>
        </w:rPr>
      </w:pPr>
    </w:p>
    <w:p>
      <w:pPr>
        <w:pStyle w:val="ListParagraph"/>
        <w:numPr>
          <w:ilvl w:val="1"/>
          <w:numId w:val="7"/>
        </w:numPr>
        <w:tabs>
          <w:tab w:pos="4068" w:val="left" w:leader="none"/>
        </w:tabs>
        <w:spacing w:line="240" w:lineRule="auto" w:before="0" w:after="0"/>
        <w:ind w:left="4067" w:right="0" w:hanging="315"/>
        <w:jc w:val="left"/>
        <w:rPr>
          <w:sz w:val="21"/>
        </w:rPr>
      </w:pPr>
      <w:r>
        <w:rPr>
          <w:spacing w:val="-1"/>
          <w:sz w:val="21"/>
        </w:rPr>
        <w:t>在家及在静息状态下需要吸氧；</w:t>
      </w:r>
    </w:p>
    <w:p>
      <w:pPr>
        <w:pStyle w:val="BodyText"/>
        <w:spacing w:before="9"/>
        <w:rPr>
          <w:sz w:val="14"/>
        </w:rPr>
      </w:pPr>
    </w:p>
    <w:p>
      <w:pPr>
        <w:pStyle w:val="ListParagraph"/>
        <w:numPr>
          <w:ilvl w:val="1"/>
          <w:numId w:val="7"/>
        </w:numPr>
        <w:tabs>
          <w:tab w:pos="4068" w:val="left" w:leader="none"/>
        </w:tabs>
        <w:spacing w:line="240" w:lineRule="auto" w:before="0" w:after="0"/>
        <w:ind w:left="4067" w:right="0" w:hanging="315"/>
        <w:jc w:val="left"/>
        <w:rPr>
          <w:sz w:val="21"/>
        </w:rPr>
      </w:pPr>
      <w:r>
        <w:rPr>
          <w:spacing w:val="-1"/>
          <w:sz w:val="21"/>
        </w:rPr>
        <w:t>持续的每天服用类固醇药物(至少持续</w:t>
      </w:r>
      <w:r>
        <w:rPr>
          <w:sz w:val="21"/>
        </w:rPr>
        <w:t>6个月以上)。</w:t>
      </w:r>
    </w:p>
    <w:p>
      <w:pPr>
        <w:pStyle w:val="BodyText"/>
        <w:rPr>
          <w:sz w:val="20"/>
        </w:rPr>
      </w:pPr>
    </w:p>
    <w:p>
      <w:pPr>
        <w:pStyle w:val="BodyText"/>
        <w:spacing w:before="7"/>
        <w:rPr>
          <w:sz w:val="18"/>
        </w:rPr>
      </w:pPr>
    </w:p>
    <w:p>
      <w:pPr>
        <w:pStyle w:val="ListParagraph"/>
        <w:numPr>
          <w:ilvl w:val="0"/>
          <w:numId w:val="7"/>
        </w:numPr>
        <w:tabs>
          <w:tab w:pos="2879" w:val="left" w:leader="none"/>
        </w:tabs>
        <w:spacing w:line="273" w:lineRule="auto" w:before="0" w:after="0"/>
        <w:ind w:left="2912" w:right="105" w:hanging="454"/>
        <w:jc w:val="left"/>
        <w:rPr>
          <w:sz w:val="21"/>
        </w:rPr>
      </w:pPr>
      <w:r>
        <w:rPr>
          <w:spacing w:val="-6"/>
          <w:sz w:val="21"/>
        </w:rPr>
        <w:t>严重溃疡性结肠炎： 指伴有致命性电解质紊乱的急性暴发性溃疡性结肠炎， </w:t>
      </w:r>
      <w:r>
        <w:rPr>
          <w:spacing w:val="-11"/>
          <w:sz w:val="21"/>
        </w:rPr>
        <w:t>病变累及全结肠，表现为严重的血便和系统性症状体征，治疗通常采取全结</w:t>
      </w:r>
      <w:r>
        <w:rPr>
          <w:spacing w:val="-14"/>
          <w:sz w:val="21"/>
        </w:rPr>
        <w:t>肠切除和回肠造瘘术。溃疡性结肠炎必须根据组织病理学特点诊断，并且被保险人已经接受了结肠切除和回肠造瘘术。</w:t>
      </w:r>
    </w:p>
    <w:p>
      <w:pPr>
        <w:pStyle w:val="BodyText"/>
        <w:rPr>
          <w:sz w:val="20"/>
        </w:rPr>
      </w:pPr>
    </w:p>
    <w:p>
      <w:pPr>
        <w:pStyle w:val="BodyText"/>
        <w:rPr>
          <w:sz w:val="20"/>
        </w:rPr>
      </w:pPr>
    </w:p>
    <w:p>
      <w:pPr>
        <w:spacing w:after="0"/>
        <w:rPr>
          <w:sz w:val="20"/>
        </w:rPr>
        <w:sectPr>
          <w:pgSz w:w="11910" w:h="16840"/>
          <w:pgMar w:header="0" w:footer="1008" w:top="1100" w:bottom="1200" w:left="1020" w:right="920"/>
        </w:sectPr>
      </w:pPr>
    </w:p>
    <w:p>
      <w:pPr>
        <w:pStyle w:val="BodyText"/>
        <w:spacing w:before="4"/>
        <w:rPr>
          <w:sz w:val="14"/>
        </w:rPr>
      </w:pPr>
    </w:p>
    <w:p>
      <w:pPr>
        <w:pStyle w:val="Heading3"/>
        <w:numPr>
          <w:ilvl w:val="1"/>
          <w:numId w:val="8"/>
        </w:numPr>
        <w:tabs>
          <w:tab w:pos="911" w:val="left" w:leader="none"/>
          <w:tab w:pos="913" w:val="left" w:leader="none"/>
        </w:tabs>
        <w:spacing w:line="240" w:lineRule="auto" w:before="1" w:after="0"/>
        <w:ind w:left="2458" w:right="0" w:hanging="2348"/>
        <w:jc w:val="left"/>
      </w:pPr>
      <w:r>
        <w:rPr>
          <w:w w:val="95"/>
        </w:rPr>
        <w:t>自主生活能力</w:t>
      </w:r>
    </w:p>
    <w:p>
      <w:pPr>
        <w:spacing w:before="37"/>
        <w:ind w:left="911" w:right="0" w:firstLine="0"/>
        <w:jc w:val="left"/>
        <w:rPr>
          <w:b/>
          <w:sz w:val="21"/>
        </w:rPr>
      </w:pPr>
      <w:r>
        <w:rPr>
          <w:b/>
          <w:sz w:val="21"/>
        </w:rPr>
        <w:t>完全丧失</w:t>
      </w:r>
    </w:p>
    <w:p>
      <w:pPr>
        <w:pStyle w:val="BodyText"/>
        <w:spacing w:before="4"/>
        <w:rPr>
          <w:b/>
          <w:sz w:val="14"/>
        </w:rPr>
      </w:pPr>
      <w:r>
        <w:rPr/>
        <w:br w:type="column"/>
      </w:r>
      <w:r>
        <w:rPr>
          <w:b/>
          <w:sz w:val="14"/>
        </w:rPr>
      </w:r>
    </w:p>
    <w:p>
      <w:pPr>
        <w:pStyle w:val="BodyText"/>
        <w:spacing w:line="273" w:lineRule="auto" w:before="1"/>
        <w:ind w:left="110" w:right="211"/>
      </w:pPr>
      <w:r>
        <w:rPr>
          <w:spacing w:val="-5"/>
        </w:rPr>
        <w:t>被保险人被确诊为自主生活能力完全丧失状态，即被保险人至少持续 </w:t>
      </w:r>
      <w:r>
        <w:rPr/>
        <w:t>6</w:t>
      </w:r>
      <w:r>
        <w:rPr>
          <w:spacing w:val="-12"/>
        </w:rPr>
        <w:t> 个月以上完全无法独立完成</w:t>
      </w:r>
      <w:r>
        <w:rPr>
          <w:b/>
          <w:spacing w:val="-12"/>
        </w:rPr>
        <w:t>六项基本日常生活活动</w:t>
      </w:r>
      <w:r>
        <w:rPr>
          <w:spacing w:val="-12"/>
        </w:rPr>
        <w:t>（</w:t>
      </w:r>
      <w:r>
        <w:rPr>
          <w:spacing w:val="-35"/>
        </w:rPr>
        <w:t>见 </w:t>
      </w:r>
      <w:r>
        <w:rPr/>
        <w:t>10.19）中的三项或三项以上。</w:t>
      </w:r>
    </w:p>
    <w:p>
      <w:pPr>
        <w:spacing w:after="0" w:line="273" w:lineRule="auto"/>
        <w:sectPr>
          <w:type w:val="continuous"/>
          <w:pgSz w:w="11910" w:h="16840"/>
          <w:pgMar w:top="1600" w:bottom="1200" w:left="1020" w:right="920"/>
          <w:cols w:num="2" w:equalWidth="0">
            <w:col w:w="2176" w:space="172"/>
            <w:col w:w="7622"/>
          </w:cols>
        </w:sectPr>
      </w:pPr>
    </w:p>
    <w:p>
      <w:pPr>
        <w:pStyle w:val="BodyText"/>
        <w:rPr>
          <w:sz w:val="20"/>
        </w:rPr>
      </w:pPr>
    </w:p>
    <w:p>
      <w:pPr>
        <w:pStyle w:val="ListParagraph"/>
        <w:numPr>
          <w:ilvl w:val="1"/>
          <w:numId w:val="8"/>
        </w:numPr>
        <w:tabs>
          <w:tab w:pos="911" w:val="left" w:leader="none"/>
          <w:tab w:pos="912" w:val="left" w:leader="none"/>
          <w:tab w:pos="2458" w:val="left" w:leader="none"/>
        </w:tabs>
        <w:spacing w:line="273" w:lineRule="auto" w:before="173" w:after="0"/>
        <w:ind w:left="2458" w:right="211" w:hanging="2348"/>
        <w:jc w:val="left"/>
        <w:rPr>
          <w:sz w:val="21"/>
        </w:rPr>
      </w:pPr>
      <w:r>
        <w:rPr>
          <w:b/>
          <w:sz w:val="21"/>
        </w:rPr>
        <w:t>毒品</w:t>
        <w:tab/>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w:t>
      </w:r>
      <w:r>
        <w:rPr>
          <w:spacing w:val="-57"/>
          <w:sz w:val="21"/>
        </w:rPr>
        <w:t>，</w:t>
      </w:r>
      <w:r>
        <w:rPr>
          <w:sz w:val="21"/>
        </w:rPr>
        <w:t>但不包括由医生开具并遵医嘱使用的用于治疗疾病但含有毒品成分的处方药品。</w:t>
      </w:r>
    </w:p>
    <w:p>
      <w:pPr>
        <w:pStyle w:val="BodyText"/>
        <w:spacing w:before="2"/>
        <w:rPr>
          <w:sz w:val="20"/>
        </w:rPr>
      </w:pPr>
    </w:p>
    <w:p>
      <w:pPr>
        <w:pStyle w:val="ListParagraph"/>
        <w:numPr>
          <w:ilvl w:val="1"/>
          <w:numId w:val="8"/>
        </w:numPr>
        <w:tabs>
          <w:tab w:pos="912" w:val="left" w:leader="none"/>
        </w:tabs>
        <w:spacing w:line="273" w:lineRule="auto" w:before="0" w:after="0"/>
        <w:ind w:left="2458" w:right="153" w:hanging="2348"/>
        <w:jc w:val="both"/>
        <w:rPr>
          <w:sz w:val="21"/>
        </w:rPr>
      </w:pPr>
      <w:r>
        <w:rPr>
          <w:b/>
          <w:spacing w:val="6"/>
          <w:sz w:val="21"/>
        </w:rPr>
        <w:t>酒后驾驶     </w:t>
      </w:r>
      <w:r>
        <w:rPr>
          <w:spacing w:val="-8"/>
          <w:sz w:val="21"/>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after="0" w:line="273" w:lineRule="auto"/>
        <w:jc w:val="both"/>
        <w:rPr>
          <w:sz w:val="21"/>
        </w:rPr>
        <w:sectPr>
          <w:type w:val="continuous"/>
          <w:pgSz w:w="11910" w:h="16840"/>
          <w:pgMar w:top="1600" w:bottom="1200" w:left="1020" w:right="920"/>
        </w:sectPr>
      </w:pPr>
    </w:p>
    <w:p>
      <w:pPr>
        <w:pStyle w:val="Heading3"/>
        <w:numPr>
          <w:ilvl w:val="1"/>
          <w:numId w:val="8"/>
        </w:numPr>
        <w:tabs>
          <w:tab w:pos="911" w:val="left" w:leader="none"/>
          <w:tab w:pos="912" w:val="left" w:leader="none"/>
        </w:tabs>
        <w:spacing w:line="240" w:lineRule="auto" w:before="129" w:after="0"/>
        <w:ind w:left="911" w:right="0" w:hanging="801"/>
        <w:jc w:val="left"/>
      </w:pPr>
      <w:r>
        <w:rPr>
          <w:w w:val="95"/>
        </w:rPr>
        <w:t>无合法有效驾</w:t>
      </w:r>
    </w:p>
    <w:p>
      <w:pPr>
        <w:spacing w:before="36"/>
        <w:ind w:left="911" w:right="0" w:firstLine="0"/>
        <w:jc w:val="left"/>
        <w:rPr>
          <w:b/>
          <w:sz w:val="21"/>
        </w:rPr>
      </w:pPr>
      <w:r>
        <w:rPr>
          <w:b/>
          <w:sz w:val="21"/>
        </w:rPr>
        <w:t>驶证驾驶</w:t>
      </w:r>
    </w:p>
    <w:p>
      <w:pPr>
        <w:pStyle w:val="BodyText"/>
        <w:spacing w:before="129"/>
        <w:ind w:left="110"/>
      </w:pPr>
      <w:r>
        <w:rPr/>
        <w:br w:type="column"/>
      </w:r>
      <w:r>
        <w:rPr/>
        <w:t>指下列情形之一：</w:t>
      </w:r>
    </w:p>
    <w:p>
      <w:pPr>
        <w:spacing w:after="0"/>
        <w:sectPr>
          <w:type w:val="continuous"/>
          <w:pgSz w:w="11910" w:h="16840"/>
          <w:pgMar w:top="1600" w:bottom="1200" w:left="1020" w:right="920"/>
          <w:cols w:num="2" w:equalWidth="0">
            <w:col w:w="2176" w:space="172"/>
            <w:col w:w="7622"/>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42"/>
        <w:gridCol w:w="7589"/>
      </w:tblGrid>
      <w:tr>
        <w:trPr>
          <w:trHeight w:val="339" w:hRule="atLeast"/>
        </w:trPr>
        <w:tc>
          <w:tcPr>
            <w:tcW w:w="2257" w:type="dxa"/>
            <w:gridSpan w:val="2"/>
            <w:vMerge w:val="restart"/>
          </w:tcPr>
          <w:p>
            <w:pPr>
              <w:pStyle w:val="TableParagraph"/>
              <w:rPr>
                <w:rFonts w:ascii="Times New Roman"/>
                <w:sz w:val="20"/>
              </w:rPr>
            </w:pPr>
          </w:p>
        </w:tc>
        <w:tc>
          <w:tcPr>
            <w:tcW w:w="7589" w:type="dxa"/>
          </w:tcPr>
          <w:p>
            <w:pPr>
              <w:pStyle w:val="TableParagraph"/>
              <w:spacing w:line="210" w:lineRule="exact"/>
              <w:ind w:left="141"/>
              <w:rPr>
                <w:sz w:val="21"/>
              </w:rPr>
            </w:pPr>
            <w:r>
              <w:rPr>
                <w:sz w:val="21"/>
              </w:rPr>
              <w:t>1.没有取得驾驶资格；</w:t>
            </w:r>
          </w:p>
        </w:tc>
      </w:tr>
      <w:tr>
        <w:trPr>
          <w:trHeight w:val="468" w:hRule="atLeast"/>
        </w:trPr>
        <w:tc>
          <w:tcPr>
            <w:tcW w:w="2257" w:type="dxa"/>
            <w:gridSpan w:val="2"/>
            <w:vMerge/>
            <w:tcBorders>
              <w:top w:val="nil"/>
            </w:tcBorders>
          </w:tcPr>
          <w:p>
            <w:pPr>
              <w:rPr>
                <w:sz w:val="2"/>
                <w:szCs w:val="2"/>
              </w:rPr>
            </w:pPr>
          </w:p>
        </w:tc>
        <w:tc>
          <w:tcPr>
            <w:tcW w:w="7589" w:type="dxa"/>
          </w:tcPr>
          <w:p>
            <w:pPr>
              <w:pStyle w:val="TableParagraph"/>
              <w:spacing w:before="64"/>
              <w:ind w:left="141"/>
              <w:rPr>
                <w:sz w:val="21"/>
              </w:rPr>
            </w:pPr>
            <w:r>
              <w:rPr>
                <w:sz w:val="21"/>
              </w:rPr>
              <w:t>2.驾驶与驾驶证准驾车型不相符合的车辆；</w:t>
            </w:r>
          </w:p>
        </w:tc>
      </w:tr>
      <w:tr>
        <w:trPr>
          <w:trHeight w:val="468" w:hRule="atLeast"/>
        </w:trPr>
        <w:tc>
          <w:tcPr>
            <w:tcW w:w="2257" w:type="dxa"/>
            <w:gridSpan w:val="2"/>
            <w:vMerge/>
            <w:tcBorders>
              <w:top w:val="nil"/>
            </w:tcBorders>
          </w:tcPr>
          <w:p>
            <w:pPr>
              <w:rPr>
                <w:sz w:val="2"/>
                <w:szCs w:val="2"/>
              </w:rPr>
            </w:pPr>
          </w:p>
        </w:tc>
        <w:tc>
          <w:tcPr>
            <w:tcW w:w="7589" w:type="dxa"/>
          </w:tcPr>
          <w:p>
            <w:pPr>
              <w:pStyle w:val="TableParagraph"/>
              <w:spacing w:before="64"/>
              <w:ind w:left="141"/>
              <w:rPr>
                <w:sz w:val="21"/>
              </w:rPr>
            </w:pPr>
            <w:r>
              <w:rPr>
                <w:sz w:val="21"/>
              </w:rPr>
              <w:t>3.持审验不合格的驾驶证驾驶；</w:t>
            </w:r>
          </w:p>
        </w:tc>
      </w:tr>
      <w:tr>
        <w:trPr>
          <w:trHeight w:val="820" w:hRule="atLeast"/>
        </w:trPr>
        <w:tc>
          <w:tcPr>
            <w:tcW w:w="2257" w:type="dxa"/>
            <w:gridSpan w:val="2"/>
            <w:vMerge/>
            <w:tcBorders>
              <w:top w:val="nil"/>
            </w:tcBorders>
          </w:tcPr>
          <w:p>
            <w:pPr>
              <w:rPr>
                <w:sz w:val="2"/>
                <w:szCs w:val="2"/>
              </w:rPr>
            </w:pPr>
          </w:p>
        </w:tc>
        <w:tc>
          <w:tcPr>
            <w:tcW w:w="7589" w:type="dxa"/>
          </w:tcPr>
          <w:p>
            <w:pPr>
              <w:pStyle w:val="TableParagraph"/>
              <w:spacing w:line="273" w:lineRule="auto" w:before="64"/>
              <w:ind w:left="141" w:right="85"/>
              <w:rPr>
                <w:sz w:val="21"/>
              </w:rPr>
            </w:pPr>
            <w:r>
              <w:rPr>
                <w:sz w:val="21"/>
              </w:rPr>
              <w:t>4.持学习驾驶证学习驾车时，无教练员随车指导，或不按指定时间、路线学习驾车。</w:t>
            </w:r>
          </w:p>
        </w:tc>
      </w:tr>
      <w:tr>
        <w:trPr>
          <w:trHeight w:val="508" w:hRule="atLeast"/>
        </w:trPr>
        <w:tc>
          <w:tcPr>
            <w:tcW w:w="715" w:type="dxa"/>
          </w:tcPr>
          <w:p>
            <w:pPr>
              <w:pStyle w:val="TableParagraph"/>
              <w:spacing w:before="104"/>
              <w:ind w:left="50"/>
              <w:rPr>
                <w:b/>
                <w:sz w:val="21"/>
              </w:rPr>
            </w:pPr>
            <w:r>
              <w:rPr>
                <w:b/>
                <w:sz w:val="21"/>
              </w:rPr>
              <w:t>10.10</w:t>
            </w:r>
          </w:p>
        </w:tc>
        <w:tc>
          <w:tcPr>
            <w:tcW w:w="1542" w:type="dxa"/>
          </w:tcPr>
          <w:p>
            <w:pPr>
              <w:pStyle w:val="TableParagraph"/>
              <w:spacing w:before="104"/>
              <w:ind w:left="136"/>
              <w:rPr>
                <w:b/>
                <w:sz w:val="21"/>
              </w:rPr>
            </w:pPr>
            <w:r>
              <w:rPr>
                <w:b/>
                <w:w w:val="95"/>
                <w:sz w:val="21"/>
              </w:rPr>
              <w:t>无有效行驶证</w:t>
            </w:r>
          </w:p>
        </w:tc>
        <w:tc>
          <w:tcPr>
            <w:tcW w:w="7589" w:type="dxa"/>
          </w:tcPr>
          <w:p>
            <w:pPr>
              <w:pStyle w:val="TableParagraph"/>
              <w:spacing w:before="104"/>
              <w:ind w:left="141"/>
              <w:rPr>
                <w:sz w:val="21"/>
              </w:rPr>
            </w:pPr>
            <w:r>
              <w:rPr>
                <w:sz w:val="21"/>
              </w:rPr>
              <w:t>指下列情形之一：</w:t>
            </w:r>
          </w:p>
        </w:tc>
      </w:tr>
      <w:tr>
        <w:trPr>
          <w:trHeight w:val="467" w:hRule="atLeast"/>
        </w:trPr>
        <w:tc>
          <w:tcPr>
            <w:tcW w:w="715" w:type="dxa"/>
          </w:tcPr>
          <w:p>
            <w:pPr>
              <w:pStyle w:val="TableParagraph"/>
              <w:rPr>
                <w:rFonts w:ascii="Times New Roman"/>
                <w:sz w:val="20"/>
              </w:rPr>
            </w:pPr>
          </w:p>
        </w:tc>
        <w:tc>
          <w:tcPr>
            <w:tcW w:w="1542" w:type="dxa"/>
          </w:tcPr>
          <w:p>
            <w:pPr>
              <w:pStyle w:val="TableParagraph"/>
              <w:rPr>
                <w:rFonts w:ascii="Times New Roman"/>
                <w:sz w:val="20"/>
              </w:rPr>
            </w:pPr>
          </w:p>
        </w:tc>
        <w:tc>
          <w:tcPr>
            <w:tcW w:w="7589" w:type="dxa"/>
          </w:tcPr>
          <w:p>
            <w:pPr>
              <w:pStyle w:val="TableParagraph"/>
              <w:spacing w:before="64"/>
              <w:ind w:left="141"/>
              <w:rPr>
                <w:sz w:val="21"/>
              </w:rPr>
            </w:pPr>
            <w:r>
              <w:rPr>
                <w:sz w:val="21"/>
              </w:rPr>
              <w:t>1.机动车被依法注销登记的；</w:t>
            </w:r>
          </w:p>
        </w:tc>
      </w:tr>
      <w:tr>
        <w:trPr>
          <w:trHeight w:val="535" w:hRule="atLeast"/>
        </w:trPr>
        <w:tc>
          <w:tcPr>
            <w:tcW w:w="715" w:type="dxa"/>
          </w:tcPr>
          <w:p>
            <w:pPr>
              <w:pStyle w:val="TableParagraph"/>
              <w:rPr>
                <w:rFonts w:ascii="Times New Roman"/>
                <w:sz w:val="20"/>
              </w:rPr>
            </w:pPr>
          </w:p>
        </w:tc>
        <w:tc>
          <w:tcPr>
            <w:tcW w:w="1542" w:type="dxa"/>
          </w:tcPr>
          <w:p>
            <w:pPr>
              <w:pStyle w:val="TableParagraph"/>
              <w:rPr>
                <w:rFonts w:ascii="Times New Roman"/>
                <w:sz w:val="20"/>
              </w:rPr>
            </w:pPr>
          </w:p>
        </w:tc>
        <w:tc>
          <w:tcPr>
            <w:tcW w:w="7589" w:type="dxa"/>
          </w:tcPr>
          <w:p>
            <w:pPr>
              <w:pStyle w:val="TableParagraph"/>
              <w:spacing w:before="64"/>
              <w:ind w:left="141"/>
              <w:rPr>
                <w:sz w:val="21"/>
              </w:rPr>
            </w:pPr>
            <w:r>
              <w:rPr>
                <w:sz w:val="21"/>
              </w:rPr>
              <w:t>2.未依法按时进行或通过机动车安全技术检验。</w:t>
            </w:r>
          </w:p>
        </w:tc>
      </w:tr>
      <w:tr>
        <w:trPr>
          <w:trHeight w:val="938" w:hRule="atLeast"/>
        </w:trPr>
        <w:tc>
          <w:tcPr>
            <w:tcW w:w="715" w:type="dxa"/>
          </w:tcPr>
          <w:p>
            <w:pPr>
              <w:pStyle w:val="TableParagraph"/>
              <w:spacing w:before="132"/>
              <w:ind w:left="50"/>
              <w:rPr>
                <w:b/>
                <w:sz w:val="21"/>
              </w:rPr>
            </w:pPr>
            <w:r>
              <w:rPr>
                <w:b/>
                <w:sz w:val="21"/>
              </w:rPr>
              <w:t>10.11</w:t>
            </w:r>
          </w:p>
        </w:tc>
        <w:tc>
          <w:tcPr>
            <w:tcW w:w="1542" w:type="dxa"/>
          </w:tcPr>
          <w:p>
            <w:pPr>
              <w:pStyle w:val="TableParagraph"/>
              <w:spacing w:before="132"/>
              <w:ind w:left="136"/>
              <w:rPr>
                <w:b/>
                <w:sz w:val="21"/>
              </w:rPr>
            </w:pPr>
            <w:r>
              <w:rPr>
                <w:b/>
                <w:sz w:val="21"/>
              </w:rPr>
              <w:t>机动车</w:t>
            </w:r>
          </w:p>
        </w:tc>
        <w:tc>
          <w:tcPr>
            <w:tcW w:w="7589" w:type="dxa"/>
          </w:tcPr>
          <w:p>
            <w:pPr>
              <w:pStyle w:val="TableParagraph"/>
              <w:spacing w:line="273" w:lineRule="auto" w:before="132"/>
              <w:ind w:left="141" w:right="85"/>
              <w:rPr>
                <w:sz w:val="21"/>
              </w:rPr>
            </w:pPr>
            <w:r>
              <w:rPr>
                <w:sz w:val="21"/>
              </w:rPr>
              <w:t>指以动力装置驱动或者牵引，上道路行驶的供人员乘用或者用于运送物品以及进行工程专项作业的轮式车辆。</w:t>
            </w:r>
          </w:p>
        </w:tc>
      </w:tr>
      <w:tr>
        <w:trPr>
          <w:trHeight w:val="871" w:hRule="atLeast"/>
        </w:trPr>
        <w:tc>
          <w:tcPr>
            <w:tcW w:w="715" w:type="dxa"/>
          </w:tcPr>
          <w:p>
            <w:pPr>
              <w:pStyle w:val="TableParagraph"/>
              <w:spacing w:before="155"/>
              <w:ind w:left="50"/>
              <w:rPr>
                <w:b/>
                <w:sz w:val="21"/>
              </w:rPr>
            </w:pPr>
            <w:r>
              <w:rPr>
                <w:b/>
                <w:sz w:val="21"/>
              </w:rPr>
              <w:t>10.12</w:t>
            </w:r>
          </w:p>
        </w:tc>
        <w:tc>
          <w:tcPr>
            <w:tcW w:w="1542" w:type="dxa"/>
          </w:tcPr>
          <w:p>
            <w:pPr>
              <w:pStyle w:val="TableParagraph"/>
              <w:spacing w:line="273" w:lineRule="auto" w:before="155"/>
              <w:ind w:left="136" w:right="139"/>
              <w:rPr>
                <w:b/>
                <w:sz w:val="21"/>
              </w:rPr>
            </w:pPr>
            <w:r>
              <w:rPr>
                <w:b/>
                <w:sz w:val="21"/>
              </w:rPr>
              <w:t>感染艾滋病病</w:t>
            </w:r>
            <w:r>
              <w:rPr>
                <w:b/>
                <w:w w:val="95"/>
                <w:sz w:val="21"/>
              </w:rPr>
              <w:t>毒或患艾滋病</w:t>
            </w:r>
          </w:p>
        </w:tc>
        <w:tc>
          <w:tcPr>
            <w:tcW w:w="7589" w:type="dxa"/>
          </w:tcPr>
          <w:p>
            <w:pPr>
              <w:pStyle w:val="TableParagraph"/>
              <w:spacing w:line="273" w:lineRule="auto" w:before="155"/>
              <w:ind w:left="141" w:right="84"/>
              <w:rPr>
                <w:sz w:val="21"/>
              </w:rPr>
            </w:pPr>
            <w:r>
              <w:rPr>
                <w:sz w:val="21"/>
              </w:rPr>
              <w:t>艾滋病病毒指人类免疫缺陷病毒，英文缩写为 HIV。艾滋病指人类免疫缺陷病毒引起的获得性免疫缺陷综合征，英文缩写为 AIDS。</w:t>
            </w:r>
          </w:p>
        </w:tc>
      </w:tr>
      <w:tr>
        <w:trPr>
          <w:trHeight w:val="1157" w:hRule="atLeast"/>
        </w:trPr>
        <w:tc>
          <w:tcPr>
            <w:tcW w:w="715" w:type="dxa"/>
          </w:tcPr>
          <w:p>
            <w:pPr>
              <w:pStyle w:val="TableParagraph"/>
              <w:rPr>
                <w:rFonts w:ascii="Times New Roman"/>
                <w:sz w:val="20"/>
              </w:rPr>
            </w:pPr>
          </w:p>
        </w:tc>
        <w:tc>
          <w:tcPr>
            <w:tcW w:w="1542" w:type="dxa"/>
          </w:tcPr>
          <w:p>
            <w:pPr>
              <w:pStyle w:val="TableParagraph"/>
              <w:rPr>
                <w:rFonts w:ascii="Times New Roman"/>
                <w:sz w:val="20"/>
              </w:rPr>
            </w:pPr>
          </w:p>
        </w:tc>
        <w:tc>
          <w:tcPr>
            <w:tcW w:w="7589" w:type="dxa"/>
          </w:tcPr>
          <w:p>
            <w:pPr>
              <w:pStyle w:val="TableParagraph"/>
              <w:spacing w:line="273" w:lineRule="auto" w:before="64"/>
              <w:ind w:left="141" w:right="153"/>
              <w:jc w:val="both"/>
              <w:rPr>
                <w:sz w:val="21"/>
              </w:rPr>
            </w:pPr>
            <w:r>
              <w:rPr>
                <w:spacing w:val="-3"/>
                <w:sz w:val="21"/>
              </w:rPr>
              <w:t>在人体血液或其他样本中检测到艾滋病病毒或其抗体呈阳性，没有出现临床症状</w:t>
            </w:r>
            <w:r>
              <w:rPr>
                <w:spacing w:val="-8"/>
                <w:sz w:val="21"/>
              </w:rPr>
              <w:t>或体征的，为感染艾滋病病毒；如果同时出现了明显临床症状或体征的，为患艾滋病。</w:t>
            </w:r>
          </w:p>
        </w:tc>
      </w:tr>
      <w:tr>
        <w:trPr>
          <w:trHeight w:val="869" w:hRule="atLeast"/>
        </w:trPr>
        <w:tc>
          <w:tcPr>
            <w:tcW w:w="715" w:type="dxa"/>
          </w:tcPr>
          <w:p>
            <w:pPr>
              <w:pStyle w:val="TableParagraph"/>
              <w:spacing w:before="130"/>
              <w:ind w:left="50"/>
              <w:rPr>
                <w:b/>
                <w:sz w:val="21"/>
              </w:rPr>
            </w:pPr>
            <w:r>
              <w:rPr>
                <w:b/>
                <w:sz w:val="21"/>
              </w:rPr>
              <w:t>10.13</w:t>
            </w:r>
          </w:p>
        </w:tc>
        <w:tc>
          <w:tcPr>
            <w:tcW w:w="1542" w:type="dxa"/>
          </w:tcPr>
          <w:p>
            <w:pPr>
              <w:pStyle w:val="TableParagraph"/>
              <w:spacing w:before="130"/>
              <w:ind w:left="136"/>
              <w:rPr>
                <w:b/>
                <w:sz w:val="21"/>
              </w:rPr>
            </w:pPr>
            <w:r>
              <w:rPr>
                <w:b/>
                <w:w w:val="95"/>
                <w:sz w:val="21"/>
              </w:rPr>
              <w:t>遗传性疾病</w:t>
            </w:r>
          </w:p>
        </w:tc>
        <w:tc>
          <w:tcPr>
            <w:tcW w:w="7589" w:type="dxa"/>
          </w:tcPr>
          <w:p>
            <w:pPr>
              <w:pStyle w:val="TableParagraph"/>
              <w:spacing w:line="273" w:lineRule="auto" w:before="130"/>
              <w:ind w:left="141" w:right="48"/>
              <w:rPr>
                <w:sz w:val="21"/>
              </w:rPr>
            </w:pPr>
            <w:r>
              <w:rPr>
                <w:spacing w:val="-6"/>
                <w:sz w:val="21"/>
              </w:rPr>
              <w:t>指生殖细胞或受精卵的遗传物质</w:t>
            </w:r>
            <w:r>
              <w:rPr>
                <w:sz w:val="21"/>
              </w:rPr>
              <w:t>（染色体和基因</w:t>
            </w:r>
            <w:r>
              <w:rPr>
                <w:spacing w:val="-82"/>
                <w:sz w:val="21"/>
              </w:rPr>
              <w:t>）</w:t>
            </w:r>
            <w:r>
              <w:rPr>
                <w:sz w:val="21"/>
              </w:rPr>
              <w:t>发生突变或畸变所引起的疾病， 通常具有由亲代传至后代的垂直传递的特征。</w:t>
            </w:r>
          </w:p>
        </w:tc>
      </w:tr>
      <w:tr>
        <w:trPr>
          <w:trHeight w:val="1208" w:hRule="atLeast"/>
        </w:trPr>
        <w:tc>
          <w:tcPr>
            <w:tcW w:w="715" w:type="dxa"/>
          </w:tcPr>
          <w:p>
            <w:pPr>
              <w:pStyle w:val="TableParagraph"/>
              <w:spacing w:before="87"/>
              <w:ind w:left="50"/>
              <w:rPr>
                <w:b/>
                <w:sz w:val="21"/>
              </w:rPr>
            </w:pPr>
            <w:r>
              <w:rPr>
                <w:b/>
                <w:sz w:val="21"/>
              </w:rPr>
              <w:t>10.14</w:t>
            </w:r>
          </w:p>
        </w:tc>
        <w:tc>
          <w:tcPr>
            <w:tcW w:w="1542" w:type="dxa"/>
          </w:tcPr>
          <w:p>
            <w:pPr>
              <w:pStyle w:val="TableParagraph"/>
              <w:spacing w:line="273" w:lineRule="auto" w:before="87"/>
              <w:ind w:left="136" w:right="139" w:hanging="1"/>
              <w:jc w:val="both"/>
              <w:rPr>
                <w:b/>
                <w:sz w:val="21"/>
              </w:rPr>
            </w:pPr>
            <w:r>
              <w:rPr>
                <w:b/>
                <w:sz w:val="21"/>
              </w:rPr>
              <w:t>先天性畸形、变形或染色体异常</w:t>
            </w:r>
          </w:p>
        </w:tc>
        <w:tc>
          <w:tcPr>
            <w:tcW w:w="7589" w:type="dxa"/>
          </w:tcPr>
          <w:p>
            <w:pPr>
              <w:pStyle w:val="TableParagraph"/>
              <w:spacing w:line="273" w:lineRule="auto" w:before="87"/>
              <w:ind w:left="141" w:right="153"/>
              <w:rPr>
                <w:sz w:val="21"/>
              </w:rPr>
            </w:pPr>
            <w:r>
              <w:rPr>
                <w:spacing w:val="-7"/>
                <w:sz w:val="21"/>
              </w:rPr>
              <w:t>先天性畸形、变形和染色体异常依照世界卫生组织《疾病和有关健康问题的国际</w:t>
            </w:r>
            <w:r>
              <w:rPr>
                <w:spacing w:val="-22"/>
                <w:sz w:val="21"/>
              </w:rPr>
              <w:t>统计分类》</w:t>
            </w:r>
            <w:r>
              <w:rPr>
                <w:spacing w:val="-1"/>
                <w:sz w:val="21"/>
              </w:rPr>
              <w:t>（ICD-10）</w:t>
            </w:r>
            <w:r>
              <w:rPr>
                <w:sz w:val="21"/>
              </w:rPr>
              <w:t>确定。</w:t>
            </w:r>
          </w:p>
        </w:tc>
      </w:tr>
      <w:tr>
        <w:trPr>
          <w:trHeight w:val="873" w:hRule="atLeast"/>
        </w:trPr>
        <w:tc>
          <w:tcPr>
            <w:tcW w:w="715" w:type="dxa"/>
          </w:tcPr>
          <w:p>
            <w:pPr>
              <w:pStyle w:val="TableParagraph"/>
              <w:spacing w:before="157"/>
              <w:ind w:left="50"/>
              <w:rPr>
                <w:b/>
                <w:sz w:val="21"/>
              </w:rPr>
            </w:pPr>
            <w:r>
              <w:rPr>
                <w:b/>
                <w:sz w:val="21"/>
              </w:rPr>
              <w:t>10.15</w:t>
            </w:r>
          </w:p>
        </w:tc>
        <w:tc>
          <w:tcPr>
            <w:tcW w:w="1542" w:type="dxa"/>
          </w:tcPr>
          <w:p>
            <w:pPr>
              <w:pStyle w:val="TableParagraph"/>
              <w:spacing w:before="157"/>
              <w:ind w:left="136"/>
              <w:rPr>
                <w:b/>
                <w:sz w:val="21"/>
              </w:rPr>
            </w:pPr>
            <w:r>
              <w:rPr>
                <w:b/>
                <w:w w:val="95"/>
                <w:sz w:val="21"/>
              </w:rPr>
              <w:t>贷款利率</w:t>
            </w:r>
          </w:p>
        </w:tc>
        <w:tc>
          <w:tcPr>
            <w:tcW w:w="7589" w:type="dxa"/>
          </w:tcPr>
          <w:p>
            <w:pPr>
              <w:pStyle w:val="TableParagraph"/>
              <w:spacing w:line="273" w:lineRule="auto" w:before="157"/>
              <w:ind w:left="141" w:right="200"/>
              <w:rPr>
                <w:sz w:val="21"/>
              </w:rPr>
            </w:pPr>
            <w:r>
              <w:rPr>
                <w:spacing w:val="-6"/>
                <w:sz w:val="21"/>
              </w:rPr>
              <w:t>贷款利率以同期银行 </w:t>
            </w:r>
            <w:r>
              <w:rPr>
                <w:sz w:val="21"/>
              </w:rPr>
              <w:t>6</w:t>
            </w:r>
            <w:r>
              <w:rPr>
                <w:spacing w:val="-12"/>
                <w:sz w:val="21"/>
              </w:rPr>
              <w:t> 个月以内短期贷款利率上浮 </w:t>
            </w:r>
            <w:r>
              <w:rPr>
                <w:sz w:val="21"/>
              </w:rPr>
              <w:t>20%</w:t>
            </w:r>
            <w:r>
              <w:rPr>
                <w:spacing w:val="-5"/>
                <w:sz w:val="21"/>
              </w:rPr>
              <w:t>为限，由我们于每月第 </w:t>
            </w:r>
            <w:r>
              <w:rPr>
                <w:sz w:val="21"/>
              </w:rPr>
              <w:t>1 个工作日确定。</w:t>
            </w:r>
          </w:p>
        </w:tc>
      </w:tr>
      <w:tr>
        <w:trPr>
          <w:trHeight w:val="1148" w:hRule="atLeast"/>
        </w:trPr>
        <w:tc>
          <w:tcPr>
            <w:tcW w:w="715" w:type="dxa"/>
          </w:tcPr>
          <w:p>
            <w:pPr>
              <w:pStyle w:val="TableParagraph"/>
              <w:rPr>
                <w:rFonts w:ascii="Times New Roman"/>
                <w:sz w:val="20"/>
              </w:rPr>
            </w:pPr>
          </w:p>
        </w:tc>
        <w:tc>
          <w:tcPr>
            <w:tcW w:w="1542" w:type="dxa"/>
          </w:tcPr>
          <w:p>
            <w:pPr>
              <w:pStyle w:val="TableParagraph"/>
              <w:rPr>
                <w:rFonts w:ascii="Times New Roman"/>
                <w:sz w:val="20"/>
              </w:rPr>
            </w:pPr>
          </w:p>
        </w:tc>
        <w:tc>
          <w:tcPr>
            <w:tcW w:w="7589" w:type="dxa"/>
          </w:tcPr>
          <w:p>
            <w:pPr>
              <w:pStyle w:val="TableParagraph"/>
              <w:spacing w:line="273" w:lineRule="auto" w:before="64"/>
              <w:ind w:left="141" w:right="95"/>
              <w:jc w:val="both"/>
              <w:rPr>
                <w:sz w:val="21"/>
              </w:rPr>
            </w:pPr>
            <w:r>
              <w:rPr>
                <w:sz w:val="21"/>
              </w:rPr>
              <w:t>欠交保险费（包括自动垫交的保险费）的利息也按当时我们已确定的贷款利率， 按与保单贷款相同的方式进行计算。欠交保费的利息从欠交保费的对应保险费到期日次日零时开始计算。</w:t>
            </w:r>
          </w:p>
        </w:tc>
      </w:tr>
      <w:tr>
        <w:trPr>
          <w:trHeight w:val="1908" w:hRule="atLeast"/>
        </w:trPr>
        <w:tc>
          <w:tcPr>
            <w:tcW w:w="715" w:type="dxa"/>
          </w:tcPr>
          <w:p>
            <w:pPr>
              <w:pStyle w:val="TableParagraph"/>
              <w:spacing w:before="121"/>
              <w:ind w:left="50"/>
              <w:rPr>
                <w:b/>
                <w:sz w:val="21"/>
              </w:rPr>
            </w:pPr>
            <w:r>
              <w:rPr>
                <w:b/>
                <w:sz w:val="21"/>
              </w:rPr>
              <w:t>10.16</w:t>
            </w:r>
          </w:p>
        </w:tc>
        <w:tc>
          <w:tcPr>
            <w:tcW w:w="1542" w:type="dxa"/>
          </w:tcPr>
          <w:p>
            <w:pPr>
              <w:pStyle w:val="TableParagraph"/>
              <w:spacing w:before="121"/>
              <w:ind w:left="136"/>
              <w:rPr>
                <w:b/>
                <w:sz w:val="21"/>
              </w:rPr>
            </w:pPr>
            <w:r>
              <w:rPr>
                <w:b/>
                <w:sz w:val="21"/>
              </w:rPr>
              <w:t>利息</w:t>
            </w:r>
          </w:p>
        </w:tc>
        <w:tc>
          <w:tcPr>
            <w:tcW w:w="7589" w:type="dxa"/>
          </w:tcPr>
          <w:p>
            <w:pPr>
              <w:pStyle w:val="TableParagraph"/>
              <w:spacing w:line="273" w:lineRule="auto" w:before="121"/>
              <w:ind w:left="141" w:right="152"/>
              <w:jc w:val="both"/>
              <w:rPr>
                <w:sz w:val="21"/>
              </w:rPr>
            </w:pPr>
            <w:r>
              <w:rPr>
                <w:spacing w:val="-5"/>
                <w:sz w:val="21"/>
              </w:rPr>
              <w:t>该欠交保险费利息按当时我们已确定的利率计算。此利率以同期银行 </w:t>
            </w:r>
            <w:r>
              <w:rPr>
                <w:sz w:val="21"/>
              </w:rPr>
              <w:t>6</w:t>
            </w:r>
            <w:r>
              <w:rPr>
                <w:spacing w:val="-12"/>
                <w:sz w:val="21"/>
              </w:rPr>
              <w:t> 个月以内</w:t>
            </w:r>
            <w:r>
              <w:rPr>
                <w:spacing w:val="-17"/>
                <w:sz w:val="21"/>
              </w:rPr>
              <w:t>短期贷款利率上浮 </w:t>
            </w:r>
            <w:r>
              <w:rPr>
                <w:sz w:val="21"/>
              </w:rPr>
              <w:t>20%</w:t>
            </w:r>
            <w:r>
              <w:rPr>
                <w:spacing w:val="-6"/>
                <w:sz w:val="21"/>
              </w:rPr>
              <w:t>为限，由我们于每月第 </w:t>
            </w:r>
            <w:r>
              <w:rPr>
                <w:sz w:val="21"/>
              </w:rPr>
              <w:t>1</w:t>
            </w:r>
            <w:r>
              <w:rPr>
                <w:spacing w:val="-8"/>
                <w:sz w:val="21"/>
              </w:rPr>
              <w:t> 个工作日确定。欠交保费的利息</w:t>
            </w:r>
            <w:r>
              <w:rPr>
                <w:spacing w:val="-10"/>
                <w:sz w:val="21"/>
              </w:rPr>
              <w:t>从欠交保费的对应保险费到期日次日零时开始计算，每次计息周期不超过 </w:t>
            </w:r>
            <w:r>
              <w:rPr>
                <w:sz w:val="21"/>
              </w:rPr>
              <w:t>6</w:t>
            </w:r>
            <w:r>
              <w:rPr>
                <w:spacing w:val="-26"/>
                <w:sz w:val="21"/>
              </w:rPr>
              <w:t> 个</w:t>
            </w:r>
          </w:p>
          <w:p>
            <w:pPr>
              <w:pStyle w:val="TableParagraph"/>
              <w:spacing w:line="273" w:lineRule="auto" w:before="7"/>
              <w:ind w:left="141" w:right="153"/>
              <w:jc w:val="both"/>
              <w:rPr>
                <w:sz w:val="21"/>
              </w:rPr>
            </w:pPr>
            <w:r>
              <w:rPr>
                <w:spacing w:val="-17"/>
                <w:sz w:val="21"/>
              </w:rPr>
              <w:t>月，若您 </w:t>
            </w:r>
            <w:r>
              <w:rPr>
                <w:sz w:val="21"/>
              </w:rPr>
              <w:t>6</w:t>
            </w:r>
            <w:r>
              <w:rPr>
                <w:spacing w:val="-9"/>
                <w:sz w:val="21"/>
              </w:rPr>
              <w:t> 个月未能足额偿还您所欠交的保险费本金及利息之和，则该本金及利息之和将作为新的本金，按当时我们确定的利率进行下一周期计息。</w:t>
            </w:r>
          </w:p>
        </w:tc>
      </w:tr>
      <w:tr>
        <w:trPr>
          <w:trHeight w:val="525" w:hRule="atLeast"/>
        </w:trPr>
        <w:tc>
          <w:tcPr>
            <w:tcW w:w="715" w:type="dxa"/>
          </w:tcPr>
          <w:p>
            <w:pPr>
              <w:pStyle w:val="TableParagraph"/>
              <w:spacing w:before="3"/>
              <w:rPr>
                <w:sz w:val="15"/>
              </w:rPr>
            </w:pPr>
          </w:p>
          <w:p>
            <w:pPr>
              <w:pStyle w:val="TableParagraph"/>
              <w:ind w:left="50"/>
              <w:rPr>
                <w:b/>
                <w:sz w:val="21"/>
              </w:rPr>
            </w:pPr>
            <w:r>
              <w:rPr>
                <w:b/>
                <w:sz w:val="21"/>
              </w:rPr>
              <w:t>10.17</w:t>
            </w:r>
          </w:p>
        </w:tc>
        <w:tc>
          <w:tcPr>
            <w:tcW w:w="1542" w:type="dxa"/>
          </w:tcPr>
          <w:p>
            <w:pPr>
              <w:pStyle w:val="TableParagraph"/>
              <w:spacing w:before="3"/>
              <w:rPr>
                <w:sz w:val="15"/>
              </w:rPr>
            </w:pPr>
          </w:p>
          <w:p>
            <w:pPr>
              <w:pStyle w:val="TableParagraph"/>
              <w:ind w:left="136"/>
              <w:rPr>
                <w:b/>
                <w:sz w:val="21"/>
              </w:rPr>
            </w:pPr>
            <w:r>
              <w:rPr>
                <w:b/>
                <w:w w:val="95"/>
                <w:sz w:val="21"/>
              </w:rPr>
              <w:t>肢体机能完全</w:t>
            </w:r>
          </w:p>
        </w:tc>
        <w:tc>
          <w:tcPr>
            <w:tcW w:w="7589" w:type="dxa"/>
          </w:tcPr>
          <w:p>
            <w:pPr>
              <w:pStyle w:val="TableParagraph"/>
              <w:spacing w:before="3"/>
              <w:rPr>
                <w:sz w:val="15"/>
              </w:rPr>
            </w:pPr>
          </w:p>
          <w:p>
            <w:pPr>
              <w:pStyle w:val="TableParagraph"/>
              <w:ind w:left="141"/>
              <w:rPr>
                <w:sz w:val="21"/>
              </w:rPr>
            </w:pPr>
            <w:r>
              <w:rPr>
                <w:sz w:val="21"/>
              </w:rPr>
              <w:t>指肢体的三大关节中的两大关节僵硬，或不能随意识活动。肢体是指包括肩关节</w:t>
            </w:r>
          </w:p>
        </w:tc>
      </w:tr>
      <w:tr>
        <w:trPr>
          <w:trHeight w:val="260" w:hRule="atLeast"/>
        </w:trPr>
        <w:tc>
          <w:tcPr>
            <w:tcW w:w="715" w:type="dxa"/>
          </w:tcPr>
          <w:p>
            <w:pPr>
              <w:pStyle w:val="TableParagraph"/>
              <w:rPr>
                <w:rFonts w:ascii="Times New Roman"/>
                <w:sz w:val="18"/>
              </w:rPr>
            </w:pPr>
          </w:p>
        </w:tc>
        <w:tc>
          <w:tcPr>
            <w:tcW w:w="1542" w:type="dxa"/>
          </w:tcPr>
          <w:p>
            <w:pPr>
              <w:pStyle w:val="TableParagraph"/>
              <w:spacing w:line="241" w:lineRule="exact"/>
              <w:ind w:left="136"/>
              <w:rPr>
                <w:b/>
                <w:sz w:val="21"/>
              </w:rPr>
            </w:pPr>
            <w:r>
              <w:rPr>
                <w:b/>
                <w:sz w:val="21"/>
              </w:rPr>
              <w:t>丧失</w:t>
            </w:r>
          </w:p>
        </w:tc>
        <w:tc>
          <w:tcPr>
            <w:tcW w:w="7589" w:type="dxa"/>
          </w:tcPr>
          <w:p>
            <w:pPr>
              <w:pStyle w:val="TableParagraph"/>
              <w:spacing w:line="241" w:lineRule="exact"/>
              <w:ind w:left="141"/>
              <w:rPr>
                <w:sz w:val="21"/>
              </w:rPr>
            </w:pPr>
            <w:r>
              <w:rPr>
                <w:sz w:val="21"/>
              </w:rPr>
              <w:t>的整个上肢或包括髋关节的整个下肢。</w:t>
            </w:r>
          </w:p>
        </w:tc>
      </w:tr>
    </w:tbl>
    <w:p>
      <w:pPr>
        <w:spacing w:after="0" w:line="241" w:lineRule="exact"/>
        <w:rPr>
          <w:sz w:val="21"/>
        </w:rPr>
        <w:sectPr>
          <w:pgSz w:w="11910" w:h="16840"/>
          <w:pgMar w:header="0" w:footer="1008" w:top="1180" w:bottom="1200" w:left="980" w:right="860"/>
        </w:sectPr>
      </w:pPr>
    </w:p>
    <w:p>
      <w:pPr>
        <w:pStyle w:val="Heading3"/>
        <w:numPr>
          <w:ilvl w:val="1"/>
          <w:numId w:val="9"/>
        </w:numPr>
        <w:tabs>
          <w:tab w:pos="911" w:val="left" w:leader="none"/>
          <w:tab w:pos="912" w:val="left" w:leader="none"/>
        </w:tabs>
        <w:spacing w:line="240" w:lineRule="auto" w:before="19" w:after="0"/>
        <w:ind w:left="2438" w:right="0" w:hanging="2328"/>
        <w:jc w:val="left"/>
      </w:pPr>
      <w:r>
        <w:rPr>
          <w:w w:val="95"/>
        </w:rPr>
        <w:t>语言能力或咀</w:t>
      </w:r>
    </w:p>
    <w:p>
      <w:pPr>
        <w:spacing w:line="273" w:lineRule="auto" w:before="37"/>
        <w:ind w:left="912" w:right="0" w:firstLine="0"/>
        <w:jc w:val="left"/>
        <w:rPr>
          <w:b/>
          <w:sz w:val="21"/>
        </w:rPr>
      </w:pPr>
      <w:r>
        <w:rPr>
          <w:b/>
          <w:w w:val="95"/>
          <w:sz w:val="21"/>
        </w:rPr>
        <w:t>嚼吞咽能力完</w:t>
      </w:r>
      <w:r>
        <w:rPr>
          <w:b/>
          <w:sz w:val="21"/>
        </w:rPr>
        <w:t>全丧失</w:t>
      </w:r>
    </w:p>
    <w:p>
      <w:pPr>
        <w:pStyle w:val="BodyText"/>
        <w:spacing w:line="273" w:lineRule="auto" w:before="19"/>
        <w:ind w:left="110" w:right="111"/>
        <w:jc w:val="both"/>
      </w:pPr>
      <w:r>
        <w:rPr/>
        <w:br w:type="column"/>
      </w:r>
      <w:r>
        <w:rPr>
          <w:spacing w:val="-3"/>
        </w:rPr>
        <w:t>语言能力完全丧失，指无法发出四种语音</w:t>
      </w:r>
      <w:r>
        <w:rPr/>
        <w:t>（</w:t>
      </w:r>
      <w:r>
        <w:rPr>
          <w:spacing w:val="-5"/>
        </w:rPr>
        <w:t>包括口唇音、齿舌音、口盖音和喉头音</w:t>
      </w:r>
      <w:r>
        <w:rPr>
          <w:spacing w:val="-15"/>
        </w:rPr>
        <w:t>）</w:t>
      </w:r>
      <w:r>
        <w:rPr>
          <w:spacing w:val="-5"/>
        </w:rPr>
        <w:t>中的任何三种、或声带全部切除，或因大脑语言中枢受伤害而患失语症。咀</w:t>
      </w:r>
      <w:r>
        <w:rPr>
          <w:spacing w:val="-9"/>
        </w:rPr>
        <w:t>嚼吞咽能力完全丧失，指因牙齿以外的原因导致器质障碍或机能障碍，以致不能作咀嚼吞咽运动，除流质食物外不能摄取或吞咽的状态。</w:t>
      </w:r>
    </w:p>
    <w:p>
      <w:pPr>
        <w:spacing w:after="0" w:line="273" w:lineRule="auto"/>
        <w:jc w:val="both"/>
        <w:sectPr>
          <w:pgSz w:w="11910" w:h="16840"/>
          <w:pgMar w:header="0" w:footer="1008" w:top="1100" w:bottom="1200" w:left="1020" w:right="1020"/>
          <w:cols w:num="2" w:equalWidth="0">
            <w:col w:w="2176" w:space="172"/>
            <w:col w:w="7522"/>
          </w:cols>
        </w:sectPr>
      </w:pPr>
    </w:p>
    <w:p>
      <w:pPr>
        <w:pStyle w:val="BodyText"/>
        <w:spacing w:before="6"/>
        <w:rPr>
          <w:sz w:val="16"/>
        </w:rPr>
      </w:pPr>
    </w:p>
    <w:p>
      <w:pPr>
        <w:spacing w:after="0"/>
        <w:rPr>
          <w:sz w:val="16"/>
        </w:rPr>
        <w:sectPr>
          <w:type w:val="continuous"/>
          <w:pgSz w:w="11910" w:h="16840"/>
          <w:pgMar w:top="1600" w:bottom="1200" w:left="1020" w:right="1020"/>
        </w:sectPr>
      </w:pPr>
    </w:p>
    <w:p>
      <w:pPr>
        <w:pStyle w:val="Heading3"/>
        <w:numPr>
          <w:ilvl w:val="1"/>
          <w:numId w:val="9"/>
        </w:numPr>
        <w:tabs>
          <w:tab w:pos="911" w:val="left" w:leader="none"/>
          <w:tab w:pos="912" w:val="left" w:leader="none"/>
        </w:tabs>
        <w:spacing w:line="240" w:lineRule="auto" w:before="36" w:after="0"/>
        <w:ind w:left="911" w:right="0" w:hanging="801"/>
        <w:jc w:val="left"/>
      </w:pPr>
      <w:r>
        <w:rPr>
          <w:w w:val="95"/>
        </w:rPr>
        <w:t>六项基本日常</w:t>
      </w:r>
    </w:p>
    <w:p>
      <w:pPr>
        <w:spacing w:before="37"/>
        <w:ind w:left="911" w:right="0" w:firstLine="0"/>
        <w:jc w:val="left"/>
        <w:rPr>
          <w:b/>
          <w:sz w:val="21"/>
        </w:rPr>
      </w:pPr>
      <w:r>
        <w:rPr>
          <w:b/>
          <w:sz w:val="21"/>
        </w:rPr>
        <w:t>生活活动</w:t>
      </w:r>
    </w:p>
    <w:p>
      <w:pPr>
        <w:pStyle w:val="BodyText"/>
        <w:spacing w:before="36"/>
        <w:ind w:left="110"/>
      </w:pPr>
      <w:r>
        <w:rPr/>
        <w:br w:type="column"/>
      </w:r>
      <w:r>
        <w:rPr/>
        <w:t>（1）</w:t>
      </w:r>
      <w:r>
        <w:rPr>
          <w:spacing w:val="-9"/>
        </w:rPr>
        <w:t>穿衣：自己能够穿衣及脱衣；</w:t>
      </w:r>
      <w:r>
        <w:rPr>
          <w:spacing w:val="-2"/>
        </w:rPr>
        <w:t>（</w:t>
      </w:r>
      <w:r>
        <w:rPr/>
        <w:t>2）</w:t>
      </w:r>
      <w:r>
        <w:rPr>
          <w:spacing w:val="-1"/>
        </w:rPr>
        <w:t>移动：自己从一个房间到另一个房间；</w:t>
      </w:r>
    </w:p>
    <w:p>
      <w:pPr>
        <w:pStyle w:val="BodyText"/>
        <w:spacing w:line="273" w:lineRule="auto" w:before="37"/>
        <w:ind w:left="110" w:right="111"/>
        <w:jc w:val="both"/>
      </w:pPr>
      <w:r>
        <w:rPr/>
        <w:t>（3）</w:t>
      </w:r>
      <w:r>
        <w:rPr>
          <w:spacing w:val="-9"/>
        </w:rPr>
        <w:t>行动：自己上下床或上下轮椅；</w:t>
      </w:r>
      <w:r>
        <w:rPr/>
        <w:t>（4）</w:t>
      </w:r>
      <w:r>
        <w:rPr>
          <w:spacing w:val="-9"/>
        </w:rPr>
        <w:t>如厕：自己控制进行大小便；</w:t>
      </w:r>
      <w:r>
        <w:rPr>
          <w:spacing w:val="-2"/>
        </w:rPr>
        <w:t>（</w:t>
      </w:r>
      <w:r>
        <w:rPr/>
        <w:t>5）进</w:t>
      </w:r>
      <w:r>
        <w:rPr>
          <w:spacing w:val="-4"/>
        </w:rPr>
        <w:t>食：自己从已准备好的碗或碟中取食物放入口中</w:t>
      </w:r>
      <w:r>
        <w:rPr>
          <w:spacing w:val="-119"/>
        </w:rPr>
        <w:t>；</w:t>
      </w:r>
      <w:r>
        <w:rPr/>
        <w:t>（6</w:t>
      </w:r>
      <w:r>
        <w:rPr>
          <w:spacing w:val="-15"/>
        </w:rPr>
        <w:t>）</w:t>
      </w:r>
      <w:r>
        <w:rPr>
          <w:spacing w:val="-4"/>
        </w:rPr>
        <w:t>洗澡：自己进行淋浴或盆浴。</w:t>
      </w:r>
    </w:p>
    <w:p>
      <w:pPr>
        <w:spacing w:after="0" w:line="273" w:lineRule="auto"/>
        <w:jc w:val="both"/>
        <w:sectPr>
          <w:type w:val="continuous"/>
          <w:pgSz w:w="11910" w:h="16840"/>
          <w:pgMar w:top="1600" w:bottom="1200" w:left="1020" w:right="1020"/>
          <w:cols w:num="2" w:equalWidth="0">
            <w:col w:w="2176" w:space="172"/>
            <w:col w:w="7522"/>
          </w:cols>
        </w:sectPr>
      </w:pPr>
    </w:p>
    <w:p>
      <w:pPr>
        <w:pStyle w:val="BodyText"/>
        <w:rPr>
          <w:sz w:val="22"/>
        </w:rPr>
      </w:pPr>
    </w:p>
    <w:p>
      <w:pPr>
        <w:pStyle w:val="ListParagraph"/>
        <w:numPr>
          <w:ilvl w:val="1"/>
          <w:numId w:val="9"/>
        </w:numPr>
        <w:tabs>
          <w:tab w:pos="908" w:val="left" w:leader="none"/>
          <w:tab w:pos="909" w:val="left" w:leader="none"/>
          <w:tab w:pos="2438" w:val="left" w:leader="none"/>
        </w:tabs>
        <w:spacing w:line="273" w:lineRule="auto" w:before="35" w:after="0"/>
        <w:ind w:left="2438" w:right="283" w:hanging="2324"/>
        <w:jc w:val="left"/>
        <w:rPr>
          <w:sz w:val="21"/>
        </w:rPr>
      </w:pPr>
      <w:r>
        <w:rPr>
          <w:b/>
          <w:sz w:val="21"/>
        </w:rPr>
        <w:t>永久不可逆</w:t>
        <w:tab/>
      </w:r>
      <w:r>
        <w:rPr>
          <w:sz w:val="21"/>
        </w:rPr>
        <w:t>指自疾病确诊或意外伤害发生之日起，经过积极治疗</w:t>
      </w:r>
      <w:r>
        <w:rPr>
          <w:spacing w:val="-53"/>
          <w:sz w:val="21"/>
        </w:rPr>
        <w:t> </w:t>
      </w:r>
      <w:r>
        <w:rPr>
          <w:sz w:val="21"/>
        </w:rPr>
        <w:t>180</w:t>
      </w:r>
      <w:r>
        <w:rPr>
          <w:spacing w:val="-53"/>
          <w:sz w:val="21"/>
        </w:rPr>
        <w:t> </w:t>
      </w:r>
      <w:r>
        <w:rPr>
          <w:sz w:val="21"/>
        </w:rPr>
        <w:t>天后，仍无法通过现有医疗手段恢复。</w:t>
      </w:r>
    </w:p>
    <w:p>
      <w:pPr>
        <w:pStyle w:val="BodyText"/>
        <w:rPr>
          <w:sz w:val="20"/>
        </w:rPr>
      </w:pPr>
    </w:p>
    <w:p>
      <w:pPr>
        <w:pStyle w:val="BodyText"/>
        <w:spacing w:before="11"/>
        <w:rPr>
          <w:sz w:val="14"/>
        </w:rPr>
      </w:pPr>
    </w:p>
    <w:p>
      <w:pPr>
        <w:pStyle w:val="BodyText"/>
        <w:ind w:left="3773" w:right="3956"/>
        <w:jc w:val="center"/>
      </w:pPr>
      <w:r>
        <w:rPr/>
        <w:t>（保险条款内容结束）</w:t>
      </w:r>
    </w:p>
    <w:sectPr>
      <w:type w:val="continuous"/>
      <w:pgSz w:w="11910" w:h="16840"/>
      <w:pgMar w:top="160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3397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0"/>
      <w:numFmt w:val="decimal"/>
      <w:lvlText w:val="%1"/>
      <w:lvlJc w:val="left"/>
      <w:pPr>
        <w:ind w:left="912" w:hanging="802"/>
        <w:jc w:val="left"/>
      </w:pPr>
      <w:rPr>
        <w:rFonts w:hint="default"/>
      </w:rPr>
    </w:lvl>
    <w:lvl w:ilvl="1">
      <w:start w:val="18"/>
      <w:numFmt w:val="decimal"/>
      <w:lvlText w:val="%1.%2"/>
      <w:lvlJc w:val="left"/>
      <w:pPr>
        <w:ind w:left="2438" w:hanging="802"/>
        <w:jc w:val="left"/>
      </w:pPr>
      <w:rPr>
        <w:rFonts w:hint="default" w:ascii="宋体" w:hAnsi="宋体" w:eastAsia="宋体" w:cs="宋体"/>
        <w:b/>
        <w:bCs/>
        <w:w w:val="99"/>
        <w:sz w:val="21"/>
        <w:szCs w:val="21"/>
      </w:rPr>
    </w:lvl>
    <w:lvl w:ilvl="2">
      <w:start w:val="0"/>
      <w:numFmt w:val="bullet"/>
      <w:lvlText w:val="•"/>
      <w:lvlJc w:val="left"/>
      <w:pPr>
        <w:ind w:left="2410" w:hanging="802"/>
      </w:pPr>
      <w:rPr>
        <w:rFonts w:hint="default"/>
      </w:rPr>
    </w:lvl>
    <w:lvl w:ilvl="3">
      <w:start w:val="0"/>
      <w:numFmt w:val="bullet"/>
      <w:lvlText w:val="•"/>
      <w:lvlJc w:val="left"/>
      <w:pPr>
        <w:ind w:left="2381" w:hanging="802"/>
      </w:pPr>
      <w:rPr>
        <w:rFonts w:hint="default"/>
      </w:rPr>
    </w:lvl>
    <w:lvl w:ilvl="4">
      <w:start w:val="0"/>
      <w:numFmt w:val="bullet"/>
      <w:lvlText w:val="•"/>
      <w:lvlJc w:val="left"/>
      <w:pPr>
        <w:ind w:left="2351" w:hanging="802"/>
      </w:pPr>
      <w:rPr>
        <w:rFonts w:hint="default"/>
      </w:rPr>
    </w:lvl>
    <w:lvl w:ilvl="5">
      <w:start w:val="0"/>
      <w:numFmt w:val="bullet"/>
      <w:lvlText w:val="•"/>
      <w:lvlJc w:val="left"/>
      <w:pPr>
        <w:ind w:left="2322" w:hanging="802"/>
      </w:pPr>
      <w:rPr>
        <w:rFonts w:hint="default"/>
      </w:rPr>
    </w:lvl>
    <w:lvl w:ilvl="6">
      <w:start w:val="0"/>
      <w:numFmt w:val="bullet"/>
      <w:lvlText w:val="•"/>
      <w:lvlJc w:val="left"/>
      <w:pPr>
        <w:ind w:left="2293" w:hanging="802"/>
      </w:pPr>
      <w:rPr>
        <w:rFonts w:hint="default"/>
      </w:rPr>
    </w:lvl>
    <w:lvl w:ilvl="7">
      <w:start w:val="0"/>
      <w:numFmt w:val="bullet"/>
      <w:lvlText w:val="•"/>
      <w:lvlJc w:val="left"/>
      <w:pPr>
        <w:ind w:left="2263" w:hanging="802"/>
      </w:pPr>
      <w:rPr>
        <w:rFonts w:hint="default"/>
      </w:rPr>
    </w:lvl>
    <w:lvl w:ilvl="8">
      <w:start w:val="0"/>
      <w:numFmt w:val="bullet"/>
      <w:lvlText w:val="•"/>
      <w:lvlJc w:val="left"/>
      <w:pPr>
        <w:ind w:left="2234" w:hanging="802"/>
      </w:pPr>
      <w:rPr>
        <w:rFonts w:hint="default"/>
      </w:rPr>
    </w:lvl>
  </w:abstractNum>
  <w:abstractNum w:abstractNumId="7">
    <w:multiLevelType w:val="hybridMultilevel"/>
    <w:lvl w:ilvl="0">
      <w:start w:val="10"/>
      <w:numFmt w:val="decimal"/>
      <w:lvlText w:val="%1"/>
      <w:lvlJc w:val="left"/>
      <w:pPr>
        <w:ind w:left="2458" w:hanging="802"/>
        <w:jc w:val="left"/>
      </w:pPr>
      <w:rPr>
        <w:rFonts w:hint="default"/>
      </w:rPr>
    </w:lvl>
    <w:lvl w:ilvl="1">
      <w:start w:val="6"/>
      <w:numFmt w:val="decimal"/>
      <w:lvlText w:val="%1.%2"/>
      <w:lvlJc w:val="left"/>
      <w:pPr>
        <w:ind w:left="2458" w:hanging="802"/>
        <w:jc w:val="left"/>
      </w:pPr>
      <w:rPr>
        <w:rFonts w:hint="default" w:ascii="宋体" w:hAnsi="宋体" w:eastAsia="宋体" w:cs="宋体"/>
        <w:b/>
        <w:bCs/>
        <w:w w:val="99"/>
        <w:sz w:val="21"/>
        <w:szCs w:val="21"/>
      </w:rPr>
    </w:lvl>
    <w:lvl w:ilvl="2">
      <w:start w:val="0"/>
      <w:numFmt w:val="bullet"/>
      <w:lvlText w:val="•"/>
      <w:lvlJc w:val="left"/>
      <w:pPr>
        <w:ind w:left="2403" w:hanging="802"/>
      </w:pPr>
      <w:rPr>
        <w:rFonts w:hint="default"/>
      </w:rPr>
    </w:lvl>
    <w:lvl w:ilvl="3">
      <w:start w:val="0"/>
      <w:numFmt w:val="bullet"/>
      <w:lvlText w:val="•"/>
      <w:lvlJc w:val="left"/>
      <w:pPr>
        <w:ind w:left="2374" w:hanging="802"/>
      </w:pPr>
      <w:rPr>
        <w:rFonts w:hint="default"/>
      </w:rPr>
    </w:lvl>
    <w:lvl w:ilvl="4">
      <w:start w:val="0"/>
      <w:numFmt w:val="bullet"/>
      <w:lvlText w:val="•"/>
      <w:lvlJc w:val="left"/>
      <w:pPr>
        <w:ind w:left="2346" w:hanging="802"/>
      </w:pPr>
      <w:rPr>
        <w:rFonts w:hint="default"/>
      </w:rPr>
    </w:lvl>
    <w:lvl w:ilvl="5">
      <w:start w:val="0"/>
      <w:numFmt w:val="bullet"/>
      <w:lvlText w:val="•"/>
      <w:lvlJc w:val="left"/>
      <w:pPr>
        <w:ind w:left="2317" w:hanging="802"/>
      </w:pPr>
      <w:rPr>
        <w:rFonts w:hint="default"/>
      </w:rPr>
    </w:lvl>
    <w:lvl w:ilvl="6">
      <w:start w:val="0"/>
      <w:numFmt w:val="bullet"/>
      <w:lvlText w:val="•"/>
      <w:lvlJc w:val="left"/>
      <w:pPr>
        <w:ind w:left="2289" w:hanging="802"/>
      </w:pPr>
      <w:rPr>
        <w:rFonts w:hint="default"/>
      </w:rPr>
    </w:lvl>
    <w:lvl w:ilvl="7">
      <w:start w:val="0"/>
      <w:numFmt w:val="bullet"/>
      <w:lvlText w:val="•"/>
      <w:lvlJc w:val="left"/>
      <w:pPr>
        <w:ind w:left="2260" w:hanging="802"/>
      </w:pPr>
      <w:rPr>
        <w:rFonts w:hint="default"/>
      </w:rPr>
    </w:lvl>
    <w:lvl w:ilvl="8">
      <w:start w:val="0"/>
      <w:numFmt w:val="bullet"/>
      <w:lvlText w:val="•"/>
      <w:lvlJc w:val="left"/>
      <w:pPr>
        <w:ind w:left="2232" w:hanging="802"/>
      </w:pPr>
      <w:rPr>
        <w:rFonts w:hint="default"/>
      </w:rPr>
    </w:lvl>
  </w:abstractNum>
  <w:abstractNum w:abstractNumId="6">
    <w:multiLevelType w:val="hybridMultilevel"/>
    <w:lvl w:ilvl="0">
      <w:start w:val="2"/>
      <w:numFmt w:val="decimal"/>
      <w:lvlText w:val="%1)"/>
      <w:lvlJc w:val="left"/>
      <w:pPr>
        <w:ind w:left="2252" w:hanging="332"/>
        <w:jc w:val="right"/>
      </w:pPr>
      <w:rPr>
        <w:rFonts w:hint="default" w:ascii="宋体" w:hAnsi="宋体" w:eastAsia="宋体" w:cs="宋体"/>
        <w:w w:val="100"/>
        <w:sz w:val="21"/>
        <w:szCs w:val="21"/>
      </w:rPr>
    </w:lvl>
    <w:lvl w:ilvl="1">
      <w:start w:val="1"/>
      <w:numFmt w:val="lowerLetter"/>
      <w:lvlText w:val="%2)"/>
      <w:lvlJc w:val="left"/>
      <w:pPr>
        <w:ind w:left="3092" w:hanging="394"/>
        <w:jc w:val="left"/>
      </w:pPr>
      <w:rPr>
        <w:rFonts w:hint="default" w:ascii="宋体" w:hAnsi="宋体" w:eastAsia="宋体" w:cs="宋体"/>
        <w:spacing w:val="-28"/>
        <w:w w:val="100"/>
        <w:sz w:val="21"/>
        <w:szCs w:val="21"/>
      </w:rPr>
    </w:lvl>
    <w:lvl w:ilvl="2">
      <w:start w:val="0"/>
      <w:numFmt w:val="bullet"/>
      <w:lvlText w:val="•"/>
      <w:lvlJc w:val="left"/>
      <w:pPr>
        <w:ind w:left="3100" w:hanging="394"/>
      </w:pPr>
      <w:rPr>
        <w:rFonts w:hint="default"/>
      </w:rPr>
    </w:lvl>
    <w:lvl w:ilvl="3">
      <w:start w:val="0"/>
      <w:numFmt w:val="bullet"/>
      <w:lvlText w:val="•"/>
      <w:lvlJc w:val="left"/>
      <w:pPr>
        <w:ind w:left="3400" w:hanging="394"/>
      </w:pPr>
      <w:rPr>
        <w:rFonts w:hint="default"/>
      </w:rPr>
    </w:lvl>
    <w:lvl w:ilvl="4">
      <w:start w:val="0"/>
      <w:numFmt w:val="bullet"/>
      <w:lvlText w:val="•"/>
      <w:lvlJc w:val="left"/>
      <w:pPr>
        <w:ind w:left="3760" w:hanging="394"/>
      </w:pPr>
      <w:rPr>
        <w:rFonts w:hint="default"/>
      </w:rPr>
    </w:lvl>
    <w:lvl w:ilvl="5">
      <w:start w:val="0"/>
      <w:numFmt w:val="bullet"/>
      <w:lvlText w:val="•"/>
      <w:lvlJc w:val="left"/>
      <w:pPr>
        <w:ind w:left="4060" w:hanging="394"/>
      </w:pPr>
      <w:rPr>
        <w:rFonts w:hint="default"/>
      </w:rPr>
    </w:lvl>
    <w:lvl w:ilvl="6">
      <w:start w:val="0"/>
      <w:numFmt w:val="bullet"/>
      <w:lvlText w:val="•"/>
      <w:lvlJc w:val="left"/>
      <w:pPr>
        <w:ind w:left="5088" w:hanging="394"/>
      </w:pPr>
      <w:rPr>
        <w:rFonts w:hint="default"/>
      </w:rPr>
    </w:lvl>
    <w:lvl w:ilvl="7">
      <w:start w:val="0"/>
      <w:numFmt w:val="bullet"/>
      <w:lvlText w:val="•"/>
      <w:lvlJc w:val="left"/>
      <w:pPr>
        <w:ind w:left="6117" w:hanging="394"/>
      </w:pPr>
      <w:rPr>
        <w:rFonts w:hint="default"/>
      </w:rPr>
    </w:lvl>
    <w:lvl w:ilvl="8">
      <w:start w:val="0"/>
      <w:numFmt w:val="bullet"/>
      <w:lvlText w:val="•"/>
      <w:lvlJc w:val="left"/>
      <w:pPr>
        <w:ind w:left="7146" w:hanging="394"/>
      </w:pPr>
      <w:rPr>
        <w:rFonts w:hint="default"/>
      </w:rPr>
    </w:lvl>
  </w:abstractNum>
  <w:abstractNum w:abstractNumId="5">
    <w:multiLevelType w:val="hybridMultilevel"/>
    <w:lvl w:ilvl="0">
      <w:start w:val="9"/>
      <w:numFmt w:val="decimal"/>
      <w:lvlText w:val="%1."/>
      <w:lvlJc w:val="left"/>
      <w:pPr>
        <w:ind w:left="1006" w:hanging="793"/>
        <w:jc w:val="left"/>
      </w:pPr>
      <w:rPr>
        <w:rFonts w:hint="default" w:ascii="宋体" w:hAnsi="宋体" w:eastAsia="宋体" w:cs="宋体"/>
        <w:b/>
        <w:bCs/>
        <w:spacing w:val="0"/>
        <w:w w:val="99"/>
        <w:sz w:val="24"/>
        <w:szCs w:val="24"/>
      </w:rPr>
    </w:lvl>
    <w:lvl w:ilvl="1">
      <w:start w:val="1"/>
      <w:numFmt w:val="decimal"/>
      <w:lvlText w:val="%1.%2"/>
      <w:lvlJc w:val="left"/>
      <w:pPr>
        <w:ind w:left="2533" w:hanging="794"/>
        <w:jc w:val="left"/>
      </w:pPr>
      <w:rPr>
        <w:rFonts w:hint="default" w:ascii="宋体" w:hAnsi="宋体" w:eastAsia="宋体" w:cs="宋体"/>
        <w:b/>
        <w:bCs/>
        <w:w w:val="99"/>
        <w:sz w:val="21"/>
        <w:szCs w:val="21"/>
      </w:rPr>
    </w:lvl>
    <w:lvl w:ilvl="2">
      <w:start w:val="1"/>
      <w:numFmt w:val="lowerLetter"/>
      <w:lvlText w:val="%3)"/>
      <w:lvlJc w:val="left"/>
      <w:pPr>
        <w:ind w:left="3092" w:hanging="394"/>
        <w:jc w:val="left"/>
      </w:pPr>
      <w:rPr>
        <w:rFonts w:hint="default" w:ascii="宋体" w:hAnsi="宋体" w:eastAsia="宋体" w:cs="宋体"/>
        <w:spacing w:val="-28"/>
        <w:w w:val="100"/>
        <w:sz w:val="21"/>
        <w:szCs w:val="21"/>
      </w:rPr>
    </w:lvl>
    <w:lvl w:ilvl="3">
      <w:start w:val="0"/>
      <w:numFmt w:val="bullet"/>
      <w:lvlText w:val="•"/>
      <w:lvlJc w:val="left"/>
      <w:pPr>
        <w:ind w:left="3863" w:hanging="394"/>
      </w:pPr>
      <w:rPr>
        <w:rFonts w:hint="default"/>
      </w:rPr>
    </w:lvl>
    <w:lvl w:ilvl="4">
      <w:start w:val="0"/>
      <w:numFmt w:val="bullet"/>
      <w:lvlText w:val="•"/>
      <w:lvlJc w:val="left"/>
      <w:pPr>
        <w:ind w:left="4626" w:hanging="394"/>
      </w:pPr>
      <w:rPr>
        <w:rFonts w:hint="default"/>
      </w:rPr>
    </w:lvl>
    <w:lvl w:ilvl="5">
      <w:start w:val="0"/>
      <w:numFmt w:val="bullet"/>
      <w:lvlText w:val="•"/>
      <w:lvlJc w:val="left"/>
      <w:pPr>
        <w:ind w:left="5389" w:hanging="394"/>
      </w:pPr>
      <w:rPr>
        <w:rFonts w:hint="default"/>
      </w:rPr>
    </w:lvl>
    <w:lvl w:ilvl="6">
      <w:start w:val="0"/>
      <w:numFmt w:val="bullet"/>
      <w:lvlText w:val="•"/>
      <w:lvlJc w:val="left"/>
      <w:pPr>
        <w:ind w:left="6152" w:hanging="394"/>
      </w:pPr>
      <w:rPr>
        <w:rFonts w:hint="default"/>
      </w:rPr>
    </w:lvl>
    <w:lvl w:ilvl="7">
      <w:start w:val="0"/>
      <w:numFmt w:val="bullet"/>
      <w:lvlText w:val="•"/>
      <w:lvlJc w:val="left"/>
      <w:pPr>
        <w:ind w:left="6915" w:hanging="394"/>
      </w:pPr>
      <w:rPr>
        <w:rFonts w:hint="default"/>
      </w:rPr>
    </w:lvl>
    <w:lvl w:ilvl="8">
      <w:start w:val="0"/>
      <w:numFmt w:val="bullet"/>
      <w:lvlText w:val="•"/>
      <w:lvlJc w:val="left"/>
      <w:pPr>
        <w:ind w:left="7678" w:hanging="394"/>
      </w:pPr>
      <w:rPr>
        <w:rFonts w:hint="default"/>
      </w:rPr>
    </w:lvl>
  </w:abstractNum>
  <w:abstractNum w:abstractNumId="4">
    <w:multiLevelType w:val="hybridMultilevel"/>
    <w:lvl w:ilvl="0">
      <w:start w:val="1"/>
      <w:numFmt w:val="decimal"/>
      <w:lvlText w:val="（%1）"/>
      <w:lvlJc w:val="left"/>
      <w:pPr>
        <w:ind w:left="3253" w:hanging="720"/>
        <w:jc w:val="left"/>
      </w:pPr>
      <w:rPr>
        <w:rFonts w:hint="default" w:ascii="宋体" w:hAnsi="宋体" w:eastAsia="宋体" w:cs="宋体"/>
        <w:spacing w:val="-53"/>
        <w:w w:val="100"/>
        <w:sz w:val="21"/>
        <w:szCs w:val="21"/>
      </w:rPr>
    </w:lvl>
    <w:lvl w:ilvl="1">
      <w:start w:val="0"/>
      <w:numFmt w:val="bullet"/>
      <w:lvlText w:val="•"/>
      <w:lvlJc w:val="left"/>
      <w:pPr>
        <w:ind w:left="3930" w:hanging="720"/>
      </w:pPr>
      <w:rPr>
        <w:rFonts w:hint="default"/>
      </w:rPr>
    </w:lvl>
    <w:lvl w:ilvl="2">
      <w:start w:val="0"/>
      <w:numFmt w:val="bullet"/>
      <w:lvlText w:val="•"/>
      <w:lvlJc w:val="left"/>
      <w:pPr>
        <w:ind w:left="4600" w:hanging="720"/>
      </w:pPr>
      <w:rPr>
        <w:rFonts w:hint="default"/>
      </w:rPr>
    </w:lvl>
    <w:lvl w:ilvl="3">
      <w:start w:val="0"/>
      <w:numFmt w:val="bullet"/>
      <w:lvlText w:val="•"/>
      <w:lvlJc w:val="left"/>
      <w:pPr>
        <w:ind w:left="5271" w:hanging="720"/>
      </w:pPr>
      <w:rPr>
        <w:rFonts w:hint="default"/>
      </w:rPr>
    </w:lvl>
    <w:lvl w:ilvl="4">
      <w:start w:val="0"/>
      <w:numFmt w:val="bullet"/>
      <w:lvlText w:val="•"/>
      <w:lvlJc w:val="left"/>
      <w:pPr>
        <w:ind w:left="5941" w:hanging="720"/>
      </w:pPr>
      <w:rPr>
        <w:rFonts w:hint="default"/>
      </w:rPr>
    </w:lvl>
    <w:lvl w:ilvl="5">
      <w:start w:val="0"/>
      <w:numFmt w:val="bullet"/>
      <w:lvlText w:val="•"/>
      <w:lvlJc w:val="left"/>
      <w:pPr>
        <w:ind w:left="6612" w:hanging="720"/>
      </w:pPr>
      <w:rPr>
        <w:rFonts w:hint="default"/>
      </w:rPr>
    </w:lvl>
    <w:lvl w:ilvl="6">
      <w:start w:val="0"/>
      <w:numFmt w:val="bullet"/>
      <w:lvlText w:val="•"/>
      <w:lvlJc w:val="left"/>
      <w:pPr>
        <w:ind w:left="7282" w:hanging="720"/>
      </w:pPr>
      <w:rPr>
        <w:rFonts w:hint="default"/>
      </w:rPr>
    </w:lvl>
    <w:lvl w:ilvl="7">
      <w:start w:val="0"/>
      <w:numFmt w:val="bullet"/>
      <w:lvlText w:val="•"/>
      <w:lvlJc w:val="left"/>
      <w:pPr>
        <w:ind w:left="7953" w:hanging="720"/>
      </w:pPr>
      <w:rPr>
        <w:rFonts w:hint="default"/>
      </w:rPr>
    </w:lvl>
    <w:lvl w:ilvl="8">
      <w:start w:val="0"/>
      <w:numFmt w:val="bullet"/>
      <w:lvlText w:val="•"/>
      <w:lvlJc w:val="left"/>
      <w:pPr>
        <w:ind w:left="8623" w:hanging="720"/>
      </w:pPr>
      <w:rPr>
        <w:rFonts w:hint="default"/>
      </w:rPr>
    </w:lvl>
  </w:abstractNum>
  <w:abstractNum w:abstractNumId="3">
    <w:multiLevelType w:val="hybridMultilevel"/>
    <w:lvl w:ilvl="0">
      <w:start w:val="1"/>
      <w:numFmt w:val="decimal"/>
      <w:lvlText w:val="（%1）"/>
      <w:lvlJc w:val="left"/>
      <w:pPr>
        <w:ind w:left="3253" w:hanging="720"/>
        <w:jc w:val="left"/>
      </w:pPr>
      <w:rPr>
        <w:rFonts w:hint="default" w:ascii="宋体" w:hAnsi="宋体" w:eastAsia="宋体" w:cs="宋体"/>
        <w:spacing w:val="-42"/>
        <w:w w:val="99"/>
        <w:sz w:val="21"/>
        <w:szCs w:val="21"/>
      </w:rPr>
    </w:lvl>
    <w:lvl w:ilvl="1">
      <w:start w:val="0"/>
      <w:numFmt w:val="bullet"/>
      <w:lvlText w:val="•"/>
      <w:lvlJc w:val="left"/>
      <w:pPr>
        <w:ind w:left="3930" w:hanging="720"/>
      </w:pPr>
      <w:rPr>
        <w:rFonts w:hint="default"/>
      </w:rPr>
    </w:lvl>
    <w:lvl w:ilvl="2">
      <w:start w:val="0"/>
      <w:numFmt w:val="bullet"/>
      <w:lvlText w:val="•"/>
      <w:lvlJc w:val="left"/>
      <w:pPr>
        <w:ind w:left="4600" w:hanging="720"/>
      </w:pPr>
      <w:rPr>
        <w:rFonts w:hint="default"/>
      </w:rPr>
    </w:lvl>
    <w:lvl w:ilvl="3">
      <w:start w:val="0"/>
      <w:numFmt w:val="bullet"/>
      <w:lvlText w:val="•"/>
      <w:lvlJc w:val="left"/>
      <w:pPr>
        <w:ind w:left="5271" w:hanging="720"/>
      </w:pPr>
      <w:rPr>
        <w:rFonts w:hint="default"/>
      </w:rPr>
    </w:lvl>
    <w:lvl w:ilvl="4">
      <w:start w:val="0"/>
      <w:numFmt w:val="bullet"/>
      <w:lvlText w:val="•"/>
      <w:lvlJc w:val="left"/>
      <w:pPr>
        <w:ind w:left="5941" w:hanging="720"/>
      </w:pPr>
      <w:rPr>
        <w:rFonts w:hint="default"/>
      </w:rPr>
    </w:lvl>
    <w:lvl w:ilvl="5">
      <w:start w:val="0"/>
      <w:numFmt w:val="bullet"/>
      <w:lvlText w:val="•"/>
      <w:lvlJc w:val="left"/>
      <w:pPr>
        <w:ind w:left="6612" w:hanging="720"/>
      </w:pPr>
      <w:rPr>
        <w:rFonts w:hint="default"/>
      </w:rPr>
    </w:lvl>
    <w:lvl w:ilvl="6">
      <w:start w:val="0"/>
      <w:numFmt w:val="bullet"/>
      <w:lvlText w:val="•"/>
      <w:lvlJc w:val="left"/>
      <w:pPr>
        <w:ind w:left="7282" w:hanging="720"/>
      </w:pPr>
      <w:rPr>
        <w:rFonts w:hint="default"/>
      </w:rPr>
    </w:lvl>
    <w:lvl w:ilvl="7">
      <w:start w:val="0"/>
      <w:numFmt w:val="bullet"/>
      <w:lvlText w:val="•"/>
      <w:lvlJc w:val="left"/>
      <w:pPr>
        <w:ind w:left="7953" w:hanging="720"/>
      </w:pPr>
      <w:rPr>
        <w:rFonts w:hint="default"/>
      </w:rPr>
    </w:lvl>
    <w:lvl w:ilvl="8">
      <w:start w:val="0"/>
      <w:numFmt w:val="bullet"/>
      <w:lvlText w:val="•"/>
      <w:lvlJc w:val="left"/>
      <w:pPr>
        <w:ind w:left="8623" w:hanging="720"/>
      </w:pPr>
      <w:rPr>
        <w:rFonts w:hint="default"/>
      </w:rPr>
    </w:lvl>
  </w:abstractNum>
  <w:abstractNum w:abstractNumId="2">
    <w:multiLevelType w:val="hybridMultilevel"/>
    <w:lvl w:ilvl="0">
      <w:start w:val="1"/>
      <w:numFmt w:val="decimal"/>
      <w:lvlText w:val="%1."/>
      <w:lvlJc w:val="left"/>
      <w:pPr>
        <w:ind w:left="2893" w:hanging="361"/>
        <w:jc w:val="left"/>
      </w:pPr>
      <w:rPr>
        <w:rFonts w:hint="default" w:ascii="宋体" w:hAnsi="宋体" w:eastAsia="宋体" w:cs="宋体"/>
        <w:w w:val="100"/>
        <w:sz w:val="21"/>
        <w:szCs w:val="21"/>
      </w:rPr>
    </w:lvl>
    <w:lvl w:ilvl="1">
      <w:start w:val="0"/>
      <w:numFmt w:val="bullet"/>
      <w:lvlText w:val="•"/>
      <w:lvlJc w:val="left"/>
      <w:pPr>
        <w:ind w:left="3606" w:hanging="361"/>
      </w:pPr>
      <w:rPr>
        <w:rFonts w:hint="default"/>
      </w:rPr>
    </w:lvl>
    <w:lvl w:ilvl="2">
      <w:start w:val="0"/>
      <w:numFmt w:val="bullet"/>
      <w:lvlText w:val="•"/>
      <w:lvlJc w:val="left"/>
      <w:pPr>
        <w:ind w:left="4312" w:hanging="361"/>
      </w:pPr>
      <w:rPr>
        <w:rFonts w:hint="default"/>
      </w:rPr>
    </w:lvl>
    <w:lvl w:ilvl="3">
      <w:start w:val="0"/>
      <w:numFmt w:val="bullet"/>
      <w:lvlText w:val="•"/>
      <w:lvlJc w:val="left"/>
      <w:pPr>
        <w:ind w:left="5019" w:hanging="361"/>
      </w:pPr>
      <w:rPr>
        <w:rFonts w:hint="default"/>
      </w:rPr>
    </w:lvl>
    <w:lvl w:ilvl="4">
      <w:start w:val="0"/>
      <w:numFmt w:val="bullet"/>
      <w:lvlText w:val="•"/>
      <w:lvlJc w:val="left"/>
      <w:pPr>
        <w:ind w:left="5725" w:hanging="361"/>
      </w:pPr>
      <w:rPr>
        <w:rFonts w:hint="default"/>
      </w:rPr>
    </w:lvl>
    <w:lvl w:ilvl="5">
      <w:start w:val="0"/>
      <w:numFmt w:val="bullet"/>
      <w:lvlText w:val="•"/>
      <w:lvlJc w:val="left"/>
      <w:pPr>
        <w:ind w:left="6432" w:hanging="361"/>
      </w:pPr>
      <w:rPr>
        <w:rFonts w:hint="default"/>
      </w:rPr>
    </w:lvl>
    <w:lvl w:ilvl="6">
      <w:start w:val="0"/>
      <w:numFmt w:val="bullet"/>
      <w:lvlText w:val="•"/>
      <w:lvlJc w:val="left"/>
      <w:pPr>
        <w:ind w:left="7138" w:hanging="361"/>
      </w:pPr>
      <w:rPr>
        <w:rFonts w:hint="default"/>
      </w:rPr>
    </w:lvl>
    <w:lvl w:ilvl="7">
      <w:start w:val="0"/>
      <w:numFmt w:val="bullet"/>
      <w:lvlText w:val="•"/>
      <w:lvlJc w:val="left"/>
      <w:pPr>
        <w:ind w:left="7845" w:hanging="361"/>
      </w:pPr>
      <w:rPr>
        <w:rFonts w:hint="default"/>
      </w:rPr>
    </w:lvl>
    <w:lvl w:ilvl="8">
      <w:start w:val="0"/>
      <w:numFmt w:val="bullet"/>
      <w:lvlText w:val="•"/>
      <w:lvlJc w:val="left"/>
      <w:pPr>
        <w:ind w:left="8551" w:hanging="361"/>
      </w:pPr>
      <w:rPr>
        <w:rFonts w:hint="default"/>
      </w:rPr>
    </w:lvl>
  </w:abstractNum>
  <w:abstractNum w:abstractNumId="1">
    <w:multiLevelType w:val="hybridMultilevel"/>
    <w:lvl w:ilvl="0">
      <w:start w:val="1"/>
      <w:numFmt w:val="decimal"/>
      <w:lvlText w:val="%1."/>
      <w:lvlJc w:val="left"/>
      <w:pPr>
        <w:ind w:left="1006" w:hanging="793"/>
        <w:jc w:val="left"/>
      </w:pPr>
      <w:rPr>
        <w:rFonts w:hint="default" w:ascii="宋体" w:hAnsi="宋体" w:eastAsia="宋体" w:cs="宋体"/>
        <w:b/>
        <w:bCs/>
        <w:spacing w:val="0"/>
        <w:w w:val="99"/>
        <w:sz w:val="24"/>
        <w:szCs w:val="24"/>
      </w:rPr>
    </w:lvl>
    <w:lvl w:ilvl="1">
      <w:start w:val="1"/>
      <w:numFmt w:val="decimal"/>
      <w:lvlText w:val="%1.%2"/>
      <w:lvlJc w:val="left"/>
      <w:pPr>
        <w:ind w:left="2533" w:hanging="794"/>
        <w:jc w:val="left"/>
      </w:pPr>
      <w:rPr>
        <w:rFonts w:hint="default" w:ascii="宋体" w:hAnsi="宋体" w:eastAsia="宋体" w:cs="宋体"/>
        <w:b/>
        <w:bCs/>
        <w:spacing w:val="0"/>
        <w:w w:val="99"/>
        <w:sz w:val="21"/>
        <w:szCs w:val="21"/>
      </w:rPr>
    </w:lvl>
    <w:lvl w:ilvl="2">
      <w:start w:val="0"/>
      <w:numFmt w:val="bullet"/>
      <w:lvlText w:val="•"/>
      <w:lvlJc w:val="left"/>
      <w:pPr>
        <w:ind w:left="3364" w:hanging="794"/>
      </w:pPr>
      <w:rPr>
        <w:rFonts w:hint="default"/>
      </w:rPr>
    </w:lvl>
    <w:lvl w:ilvl="3">
      <w:start w:val="0"/>
      <w:numFmt w:val="bullet"/>
      <w:lvlText w:val="•"/>
      <w:lvlJc w:val="left"/>
      <w:pPr>
        <w:ind w:left="4189" w:hanging="794"/>
      </w:pPr>
      <w:rPr>
        <w:rFonts w:hint="default"/>
      </w:rPr>
    </w:lvl>
    <w:lvl w:ilvl="4">
      <w:start w:val="0"/>
      <w:numFmt w:val="bullet"/>
      <w:lvlText w:val="•"/>
      <w:lvlJc w:val="left"/>
      <w:pPr>
        <w:ind w:left="5014" w:hanging="794"/>
      </w:pPr>
      <w:rPr>
        <w:rFonts w:hint="default"/>
      </w:rPr>
    </w:lvl>
    <w:lvl w:ilvl="5">
      <w:start w:val="0"/>
      <w:numFmt w:val="bullet"/>
      <w:lvlText w:val="•"/>
      <w:lvlJc w:val="left"/>
      <w:pPr>
        <w:ind w:left="5839" w:hanging="794"/>
      </w:pPr>
      <w:rPr>
        <w:rFonts w:hint="default"/>
      </w:rPr>
    </w:lvl>
    <w:lvl w:ilvl="6">
      <w:start w:val="0"/>
      <w:numFmt w:val="bullet"/>
      <w:lvlText w:val="•"/>
      <w:lvlJc w:val="left"/>
      <w:pPr>
        <w:ind w:left="6664" w:hanging="794"/>
      </w:pPr>
      <w:rPr>
        <w:rFonts w:hint="default"/>
      </w:rPr>
    </w:lvl>
    <w:lvl w:ilvl="7">
      <w:start w:val="0"/>
      <w:numFmt w:val="bullet"/>
      <w:lvlText w:val="•"/>
      <w:lvlJc w:val="left"/>
      <w:pPr>
        <w:ind w:left="7489" w:hanging="794"/>
      </w:pPr>
      <w:rPr>
        <w:rFonts w:hint="default"/>
      </w:rPr>
    </w:lvl>
    <w:lvl w:ilvl="8">
      <w:start w:val="0"/>
      <w:numFmt w:val="bullet"/>
      <w:lvlText w:val="•"/>
      <w:lvlJc w:val="left"/>
      <w:pPr>
        <w:ind w:left="8314" w:hanging="794"/>
      </w:pPr>
      <w:rPr>
        <w:rFonts w:hint="default"/>
      </w:rPr>
    </w:lvl>
  </w:abstractNum>
  <w:abstractNum w:abstractNumId="0">
    <w:multiLevelType w:val="hybridMultilevel"/>
    <w:lvl w:ilvl="0">
      <w:start w:val="0"/>
      <w:numFmt w:val="bullet"/>
      <w:lvlText w:val="❖"/>
      <w:lvlJc w:val="left"/>
      <w:pPr>
        <w:ind w:left="1281" w:hanging="398"/>
      </w:pPr>
      <w:rPr>
        <w:rFonts w:hint="default" w:ascii="MS UI Gothic" w:hAnsi="MS UI Gothic" w:eastAsia="MS UI Gothic" w:cs="MS UI Gothic"/>
        <w:w w:val="89"/>
        <w:sz w:val="21"/>
        <w:szCs w:val="21"/>
      </w:rPr>
    </w:lvl>
    <w:lvl w:ilvl="1">
      <w:start w:val="0"/>
      <w:numFmt w:val="bullet"/>
      <w:lvlText w:val="•"/>
      <w:lvlJc w:val="left"/>
      <w:pPr>
        <w:ind w:left="2180" w:hanging="398"/>
      </w:pPr>
      <w:rPr>
        <w:rFonts w:hint="default"/>
      </w:rPr>
    </w:lvl>
    <w:lvl w:ilvl="2">
      <w:start w:val="0"/>
      <w:numFmt w:val="bullet"/>
      <w:lvlText w:val="•"/>
      <w:lvlJc w:val="left"/>
      <w:pPr>
        <w:ind w:left="3080" w:hanging="398"/>
      </w:pPr>
      <w:rPr>
        <w:rFonts w:hint="default"/>
      </w:rPr>
    </w:lvl>
    <w:lvl w:ilvl="3">
      <w:start w:val="0"/>
      <w:numFmt w:val="bullet"/>
      <w:lvlText w:val="•"/>
      <w:lvlJc w:val="left"/>
      <w:pPr>
        <w:ind w:left="3981" w:hanging="398"/>
      </w:pPr>
      <w:rPr>
        <w:rFonts w:hint="default"/>
      </w:rPr>
    </w:lvl>
    <w:lvl w:ilvl="4">
      <w:start w:val="0"/>
      <w:numFmt w:val="bullet"/>
      <w:lvlText w:val="•"/>
      <w:lvlJc w:val="left"/>
      <w:pPr>
        <w:ind w:left="4881" w:hanging="398"/>
      </w:pPr>
      <w:rPr>
        <w:rFonts w:hint="default"/>
      </w:rPr>
    </w:lvl>
    <w:lvl w:ilvl="5">
      <w:start w:val="0"/>
      <w:numFmt w:val="bullet"/>
      <w:lvlText w:val="•"/>
      <w:lvlJc w:val="left"/>
      <w:pPr>
        <w:ind w:left="5782" w:hanging="398"/>
      </w:pPr>
      <w:rPr>
        <w:rFonts w:hint="default"/>
      </w:rPr>
    </w:lvl>
    <w:lvl w:ilvl="6">
      <w:start w:val="0"/>
      <w:numFmt w:val="bullet"/>
      <w:lvlText w:val="•"/>
      <w:lvlJc w:val="left"/>
      <w:pPr>
        <w:ind w:left="6682" w:hanging="398"/>
      </w:pPr>
      <w:rPr>
        <w:rFonts w:hint="default"/>
      </w:rPr>
    </w:lvl>
    <w:lvl w:ilvl="7">
      <w:start w:val="0"/>
      <w:numFmt w:val="bullet"/>
      <w:lvlText w:val="•"/>
      <w:lvlJc w:val="left"/>
      <w:pPr>
        <w:ind w:left="7583" w:hanging="398"/>
      </w:pPr>
      <w:rPr>
        <w:rFonts w:hint="default"/>
      </w:rPr>
    </w:lvl>
    <w:lvl w:ilvl="8">
      <w:start w:val="0"/>
      <w:numFmt w:val="bullet"/>
      <w:lvlText w:val="•"/>
      <w:lvlJc w:val="left"/>
      <w:pPr>
        <w:ind w:left="8483" w:hanging="398"/>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6" w:hanging="792"/>
      <w:outlineLvl w:val="2"/>
    </w:pPr>
    <w:rPr>
      <w:rFonts w:ascii="宋体" w:hAnsi="宋体" w:eastAsia="宋体" w:cs="宋体"/>
      <w:b/>
      <w:bCs/>
      <w:sz w:val="24"/>
      <w:szCs w:val="24"/>
    </w:rPr>
  </w:style>
  <w:style w:styleId="Heading3" w:type="paragraph">
    <w:name w:val="Heading 3"/>
    <w:basedOn w:val="Normal"/>
    <w:uiPriority w:val="1"/>
    <w:qFormat/>
    <w:pPr>
      <w:ind w:left="2433"/>
      <w:outlineLvl w:val="3"/>
    </w:pPr>
    <w:rPr>
      <w:rFonts w:ascii="宋体" w:hAnsi="宋体" w:eastAsia="宋体" w:cs="宋体"/>
      <w:b/>
      <w:bCs/>
      <w:sz w:val="21"/>
      <w:szCs w:val="21"/>
    </w:rPr>
  </w:style>
  <w:style w:styleId="ListParagraph" w:type="paragraph">
    <w:name w:val="List Paragraph"/>
    <w:basedOn w:val="Normal"/>
    <w:uiPriority w:val="1"/>
    <w:qFormat/>
    <w:pPr>
      <w:ind w:left="2252"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&lt;4D6963726F736F667420576F7264202D20BBAACCA9C8CBCAD9B0D9CDF2BFB5C4FED6D5C9EDD6D8B4F3BCB2B2A1B1A3CFD5CCF5BFEE2E646F63&gt;</dc:title>
  <dcterms:created xsi:type="dcterms:W3CDTF">2018-10-20T04:19:58Z</dcterms:created>
  <dcterms:modified xsi:type="dcterms:W3CDTF">2018-10-20T04:19:58Z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PScript5.dll Version 5.2</vt:lpwstr>
  </property>
  <property fmtid="{D5CDD505-2E9C-101B-9397-08002B2CF9AE}" pid="4" name="LastSaved">
    <vt:filetime>2018-10-19T00:00:00Z</vt:filetime>
  </property>
</Properties>
</file>