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type id="_x0000_t202" o:spt="202" coordsize="21600,21600" path="m,l,21600r21600,l21600,xe">
            <v:stroke joinstyle="miter"/>
            <v:path gradientshapeok="t" o:connecttype="rect"/>
          </v:shapetype>
          <v:shape style="position:absolute;margin-left:84.264pt;margin-top:505.384979pt;width:101.35pt;height:88.6pt;mso-position-horizontal-relative:page;mso-position-vertical-relative:page;z-index:-31648" type="#_x0000_t202" filled="false" stroked="false">
            <v:textbox inset="0,0,0,0">
              <w:txbxContent>
                <w:p>
                  <w:pPr>
                    <w:spacing w:line="211" w:lineRule="exact" w:before="0"/>
                    <w:ind w:left="0" w:right="0" w:firstLine="0"/>
                    <w:jc w:val="left"/>
                    <w:rPr>
                      <w:b/>
                      <w:sz w:val="21"/>
                    </w:rPr>
                  </w:pPr>
                  <w:r>
                    <w:rPr>
                      <w:b/>
                      <w:sz w:val="21"/>
                    </w:rPr>
                    <w:t>2．本公司提供的保障</w:t>
                  </w:r>
                </w:p>
                <w:p>
                  <w:pPr>
                    <w:pStyle w:val="BodyText"/>
                    <w:numPr>
                      <w:ilvl w:val="1"/>
                      <w:numId w:val="1"/>
                    </w:numPr>
                    <w:tabs>
                      <w:tab w:pos="423" w:val="left" w:leader="none"/>
                    </w:tabs>
                    <w:spacing w:line="240" w:lineRule="auto" w:before="37" w:after="0"/>
                    <w:ind w:left="422" w:right="0" w:hanging="422"/>
                    <w:jc w:val="left"/>
                  </w:pPr>
                  <w:r>
                    <w:rPr>
                      <w:spacing w:val="-2"/>
                    </w:rPr>
                    <w:t>保险责任</w:t>
                  </w:r>
                </w:p>
                <w:p>
                  <w:pPr>
                    <w:pStyle w:val="BodyText"/>
                    <w:numPr>
                      <w:ilvl w:val="1"/>
                      <w:numId w:val="1"/>
                    </w:numPr>
                    <w:tabs>
                      <w:tab w:pos="423" w:val="left" w:leader="none"/>
                    </w:tabs>
                    <w:spacing w:line="240" w:lineRule="auto" w:before="37" w:after="0"/>
                    <w:ind w:left="422" w:right="0" w:hanging="422"/>
                    <w:jc w:val="left"/>
                  </w:pPr>
                  <w:r>
                    <w:rPr>
                      <w:spacing w:val="-2"/>
                    </w:rPr>
                    <w:t>责任免除</w:t>
                  </w:r>
                </w:p>
                <w:p>
                  <w:pPr>
                    <w:pStyle w:val="BodyText"/>
                    <w:numPr>
                      <w:ilvl w:val="1"/>
                      <w:numId w:val="1"/>
                    </w:numPr>
                    <w:tabs>
                      <w:tab w:pos="423" w:val="left" w:leader="none"/>
                    </w:tabs>
                    <w:spacing w:line="240" w:lineRule="auto" w:before="37" w:after="0"/>
                    <w:ind w:left="422" w:right="0" w:hanging="422"/>
                    <w:jc w:val="left"/>
                  </w:pPr>
                  <w:r>
                    <w:rPr>
                      <w:spacing w:val="-3"/>
                    </w:rPr>
                    <w:t>投保份数</w:t>
                  </w:r>
                </w:p>
                <w:p>
                  <w:pPr>
                    <w:pStyle w:val="BodyText"/>
                    <w:numPr>
                      <w:ilvl w:val="1"/>
                      <w:numId w:val="1"/>
                    </w:numPr>
                    <w:tabs>
                      <w:tab w:pos="423" w:val="left" w:leader="none"/>
                    </w:tabs>
                    <w:spacing w:line="240" w:lineRule="auto" w:before="37" w:after="0"/>
                    <w:ind w:left="422" w:right="0" w:hanging="422"/>
                    <w:jc w:val="left"/>
                  </w:pPr>
                  <w:r>
                    <w:rPr>
                      <w:spacing w:val="-2"/>
                    </w:rPr>
                    <w:t>保险期间</w:t>
                  </w:r>
                </w:p>
                <w:p>
                  <w:pPr>
                    <w:pStyle w:val="BodyText"/>
                    <w:numPr>
                      <w:ilvl w:val="1"/>
                      <w:numId w:val="1"/>
                    </w:numPr>
                    <w:tabs>
                      <w:tab w:pos="423" w:val="left" w:leader="none"/>
                    </w:tabs>
                    <w:spacing w:line="240" w:lineRule="auto" w:before="36" w:after="0"/>
                    <w:ind w:left="422" w:right="0" w:hanging="422"/>
                    <w:jc w:val="left"/>
                  </w:pPr>
                  <w:r>
                    <w:rPr>
                      <w:spacing w:val="-2"/>
                    </w:rPr>
                    <w:t>保证续保</w:t>
                  </w:r>
                </w:p>
              </w:txbxContent>
            </v:textbox>
            <w10:wrap type="none"/>
          </v:shape>
        </w:pict>
      </w:r>
      <w:r>
        <w:rPr/>
        <w:pict>
          <v:shape style="position:absolute;margin-left:84.264pt;margin-top:614.61499pt;width:111.9pt;height:88.6pt;mso-position-horizontal-relative:page;mso-position-vertical-relative:page;z-index:-31600" type="#_x0000_t202" filled="false" stroked="false">
            <v:textbox inset="0,0,0,0">
              <w:txbxContent>
                <w:p>
                  <w:pPr>
                    <w:spacing w:line="211" w:lineRule="exact" w:before="0"/>
                    <w:ind w:left="0" w:right="0" w:firstLine="0"/>
                    <w:jc w:val="left"/>
                    <w:rPr>
                      <w:b/>
                      <w:sz w:val="21"/>
                    </w:rPr>
                  </w:pPr>
                  <w:r>
                    <w:rPr>
                      <w:b/>
                      <w:sz w:val="21"/>
                    </w:rPr>
                    <w:t>3．如何申请领取保险金</w:t>
                  </w:r>
                </w:p>
                <w:p>
                  <w:pPr>
                    <w:pStyle w:val="BodyText"/>
                    <w:numPr>
                      <w:ilvl w:val="1"/>
                      <w:numId w:val="2"/>
                    </w:numPr>
                    <w:tabs>
                      <w:tab w:pos="423" w:val="left" w:leader="none"/>
                    </w:tabs>
                    <w:spacing w:line="240" w:lineRule="auto" w:before="37" w:after="0"/>
                    <w:ind w:left="422" w:right="0" w:hanging="422"/>
                    <w:jc w:val="left"/>
                  </w:pPr>
                  <w:r>
                    <w:rPr/>
                    <w:t>受益人</w:t>
                  </w:r>
                </w:p>
                <w:p>
                  <w:pPr>
                    <w:pStyle w:val="BodyText"/>
                    <w:numPr>
                      <w:ilvl w:val="1"/>
                      <w:numId w:val="2"/>
                    </w:numPr>
                    <w:tabs>
                      <w:tab w:pos="423" w:val="left" w:leader="none"/>
                    </w:tabs>
                    <w:spacing w:line="240" w:lineRule="auto" w:before="37" w:after="0"/>
                    <w:ind w:left="422" w:right="0" w:hanging="422"/>
                    <w:jc w:val="left"/>
                  </w:pPr>
                  <w:r>
                    <w:rPr>
                      <w:spacing w:val="-2"/>
                    </w:rPr>
                    <w:t>保险事故通知</w:t>
                  </w:r>
                </w:p>
                <w:p>
                  <w:pPr>
                    <w:pStyle w:val="BodyText"/>
                    <w:numPr>
                      <w:ilvl w:val="1"/>
                      <w:numId w:val="2"/>
                    </w:numPr>
                    <w:tabs>
                      <w:tab w:pos="423" w:val="left" w:leader="none"/>
                    </w:tabs>
                    <w:spacing w:line="240" w:lineRule="auto" w:before="37" w:after="0"/>
                    <w:ind w:left="422" w:right="0" w:hanging="422"/>
                    <w:jc w:val="left"/>
                  </w:pPr>
                  <w:r>
                    <w:rPr>
                      <w:spacing w:val="-2"/>
                    </w:rPr>
                    <w:t>保险金申请</w:t>
                  </w:r>
                </w:p>
                <w:p>
                  <w:pPr>
                    <w:pStyle w:val="BodyText"/>
                    <w:numPr>
                      <w:ilvl w:val="1"/>
                      <w:numId w:val="2"/>
                    </w:numPr>
                    <w:tabs>
                      <w:tab w:pos="423" w:val="left" w:leader="none"/>
                    </w:tabs>
                    <w:spacing w:line="240" w:lineRule="auto" w:before="36" w:after="0"/>
                    <w:ind w:left="422" w:right="0" w:hanging="422"/>
                    <w:jc w:val="left"/>
                  </w:pPr>
                  <w:r>
                    <w:rPr>
                      <w:spacing w:val="-2"/>
                    </w:rPr>
                    <w:t>保险金给付</w:t>
                  </w:r>
                </w:p>
                <w:p>
                  <w:pPr>
                    <w:pStyle w:val="BodyText"/>
                    <w:numPr>
                      <w:ilvl w:val="1"/>
                      <w:numId w:val="2"/>
                    </w:numPr>
                    <w:tabs>
                      <w:tab w:pos="423" w:val="left" w:leader="none"/>
                    </w:tabs>
                    <w:spacing w:line="240" w:lineRule="auto" w:before="36" w:after="0"/>
                    <w:ind w:left="422" w:right="0" w:hanging="422"/>
                    <w:jc w:val="left"/>
                  </w:pPr>
                  <w:r>
                    <w:rPr>
                      <w:spacing w:val="-2"/>
                    </w:rPr>
                    <w:t>保险金申请时效</w:t>
                  </w:r>
                </w:p>
              </w:txbxContent>
            </v:textbox>
            <w10:wrap type="none"/>
          </v:shape>
        </w:pict>
      </w:r>
      <w:r>
        <w:rPr/>
        <w:pict>
          <v:shape style="position:absolute;margin-left:225.220001pt;margin-top:539.224976pt;width:116.7pt;height:105.65pt;mso-position-horizontal-relative:page;mso-position-vertical-relative:page;z-index:-31576" type="#_x0000_t202" filled="false" stroked="false">
            <v:textbox inset="0,0,0,0">
              <w:txbxContent>
                <w:p>
                  <w:pPr>
                    <w:spacing w:line="211" w:lineRule="exact" w:before="0"/>
                    <w:ind w:left="0" w:right="0" w:firstLine="0"/>
                    <w:jc w:val="left"/>
                    <w:rPr>
                      <w:b/>
                      <w:sz w:val="21"/>
                    </w:rPr>
                  </w:pPr>
                  <w:r>
                    <w:rPr>
                      <w:b/>
                      <w:sz w:val="21"/>
                    </w:rPr>
                    <w:t>7．其他需要关注的事项</w:t>
                  </w:r>
                </w:p>
                <w:p>
                  <w:pPr>
                    <w:pStyle w:val="BodyText"/>
                    <w:numPr>
                      <w:ilvl w:val="1"/>
                      <w:numId w:val="3"/>
                    </w:numPr>
                    <w:tabs>
                      <w:tab w:pos="423" w:val="left" w:leader="none"/>
                    </w:tabs>
                    <w:spacing w:line="240" w:lineRule="auto" w:before="66" w:after="0"/>
                    <w:ind w:left="422" w:right="0" w:hanging="422"/>
                    <w:jc w:val="left"/>
                  </w:pPr>
                  <w:r>
                    <w:rPr>
                      <w:spacing w:val="-2"/>
                    </w:rPr>
                    <w:t>如实告知</w:t>
                  </w:r>
                </w:p>
                <w:p>
                  <w:pPr>
                    <w:pStyle w:val="BodyText"/>
                    <w:numPr>
                      <w:ilvl w:val="1"/>
                      <w:numId w:val="3"/>
                    </w:numPr>
                    <w:tabs>
                      <w:tab w:pos="423" w:val="left" w:leader="none"/>
                    </w:tabs>
                    <w:spacing w:line="240" w:lineRule="auto" w:before="37" w:after="0"/>
                    <w:ind w:left="422" w:right="0" w:hanging="422"/>
                    <w:jc w:val="left"/>
                  </w:pPr>
                  <w:r>
                    <w:rPr>
                      <w:spacing w:val="-3"/>
                    </w:rPr>
                    <w:t>年龄确定与错误处理</w:t>
                  </w:r>
                </w:p>
                <w:p>
                  <w:pPr>
                    <w:pStyle w:val="BodyText"/>
                    <w:numPr>
                      <w:ilvl w:val="1"/>
                      <w:numId w:val="3"/>
                    </w:numPr>
                    <w:tabs>
                      <w:tab w:pos="423" w:val="left" w:leader="none"/>
                    </w:tabs>
                    <w:spacing w:line="240" w:lineRule="auto" w:before="36" w:after="0"/>
                    <w:ind w:left="422" w:right="0" w:hanging="422"/>
                    <w:jc w:val="left"/>
                  </w:pPr>
                  <w:r>
                    <w:rPr>
                      <w:spacing w:val="-2"/>
                    </w:rPr>
                    <w:t>未还款项</w:t>
                  </w:r>
                </w:p>
                <w:p>
                  <w:pPr>
                    <w:pStyle w:val="BodyText"/>
                    <w:numPr>
                      <w:ilvl w:val="1"/>
                      <w:numId w:val="3"/>
                    </w:numPr>
                    <w:tabs>
                      <w:tab w:pos="423" w:val="left" w:leader="none"/>
                    </w:tabs>
                    <w:spacing w:line="240" w:lineRule="auto" w:before="36" w:after="0"/>
                    <w:ind w:left="422" w:right="0" w:hanging="422"/>
                    <w:jc w:val="left"/>
                  </w:pPr>
                  <w:r>
                    <w:rPr>
                      <w:spacing w:val="-2"/>
                    </w:rPr>
                    <w:t>合同内容变更</w:t>
                  </w:r>
                </w:p>
                <w:p>
                  <w:pPr>
                    <w:pStyle w:val="BodyText"/>
                    <w:numPr>
                      <w:ilvl w:val="1"/>
                      <w:numId w:val="3"/>
                    </w:numPr>
                    <w:tabs>
                      <w:tab w:pos="423" w:val="left" w:leader="none"/>
                    </w:tabs>
                    <w:spacing w:line="240" w:lineRule="auto" w:before="36" w:after="0"/>
                    <w:ind w:left="422" w:right="0" w:hanging="422"/>
                    <w:jc w:val="left"/>
                  </w:pPr>
                  <w:r>
                    <w:rPr>
                      <w:spacing w:val="-2"/>
                    </w:rPr>
                    <w:t>地址变更</w:t>
                  </w:r>
                </w:p>
                <w:p>
                  <w:pPr>
                    <w:pStyle w:val="BodyText"/>
                    <w:numPr>
                      <w:ilvl w:val="1"/>
                      <w:numId w:val="3"/>
                    </w:numPr>
                    <w:tabs>
                      <w:tab w:pos="423" w:val="left" w:leader="none"/>
                    </w:tabs>
                    <w:spacing w:line="240" w:lineRule="auto" w:before="36" w:after="0"/>
                    <w:ind w:left="422" w:right="0" w:hanging="422"/>
                    <w:jc w:val="left"/>
                  </w:pPr>
                  <w:r>
                    <w:rPr>
                      <w:spacing w:val="-2"/>
                    </w:rPr>
                    <w:t>争议处理</w:t>
                  </w:r>
                </w:p>
              </w:txbxContent>
            </v:textbox>
            <w10:wrap type="none"/>
          </v:shape>
        </w:pict>
      </w:r>
      <w:r>
        <w:rPr/>
        <w:pict>
          <v:shape style="position:absolute;margin-left:84.264pt;margin-top:723.834961pt;width:90.8pt;height:41.8pt;mso-position-horizontal-relative:page;mso-position-vertical-relative:page;z-index:-31552" type="#_x0000_t202" filled="false" stroked="false">
            <v:textbox inset="0,0,0,0">
              <w:txbxContent>
                <w:p>
                  <w:pPr>
                    <w:spacing w:line="211" w:lineRule="exact" w:before="0"/>
                    <w:ind w:left="0" w:right="0" w:firstLine="0"/>
                    <w:jc w:val="left"/>
                    <w:rPr>
                      <w:b/>
                      <w:sz w:val="21"/>
                    </w:rPr>
                  </w:pPr>
                  <w:r>
                    <w:rPr>
                      <w:b/>
                      <w:sz w:val="21"/>
                    </w:rPr>
                    <w:t>4．如何交纳保险费</w:t>
                  </w:r>
                </w:p>
                <w:p>
                  <w:pPr>
                    <w:pStyle w:val="BodyText"/>
                    <w:numPr>
                      <w:ilvl w:val="1"/>
                      <w:numId w:val="4"/>
                    </w:numPr>
                    <w:tabs>
                      <w:tab w:pos="423" w:val="left" w:leader="none"/>
                    </w:tabs>
                    <w:spacing w:line="240" w:lineRule="auto" w:before="37" w:after="0"/>
                    <w:ind w:left="422" w:right="0" w:hanging="422"/>
                    <w:jc w:val="left"/>
                  </w:pPr>
                  <w:r>
                    <w:rPr/>
                    <w:t>保险费</w:t>
                  </w:r>
                </w:p>
                <w:p>
                  <w:pPr>
                    <w:pStyle w:val="BodyText"/>
                    <w:numPr>
                      <w:ilvl w:val="1"/>
                      <w:numId w:val="4"/>
                    </w:numPr>
                    <w:tabs>
                      <w:tab w:pos="423" w:val="left" w:leader="none"/>
                    </w:tabs>
                    <w:spacing w:line="240" w:lineRule="auto" w:before="37" w:after="0"/>
                    <w:ind w:left="422" w:right="0" w:hanging="422"/>
                    <w:jc w:val="left"/>
                  </w:pPr>
                  <w:r>
                    <w:rPr/>
                    <w:t>宽限期</w:t>
                  </w:r>
                </w:p>
              </w:txbxContent>
            </v:textbox>
            <w10:wrap type="none"/>
          </v:shape>
        </w:pict>
      </w:r>
      <w:r>
        <w:rPr/>
        <w:pict>
          <v:shape style="position:absolute;margin-left:225.220001pt;margin-top:665.514954pt;width:145.3pt;height:119.55pt;mso-position-horizontal-relative:page;mso-position-vertical-relative:page;z-index:-31528" type="#_x0000_t202" filled="false" stroked="false">
            <v:textbox inset="0,0,0,0">
              <w:txbxContent>
                <w:p>
                  <w:pPr>
                    <w:spacing w:line="211" w:lineRule="exact" w:before="0"/>
                    <w:ind w:left="0" w:right="0" w:firstLine="0"/>
                    <w:jc w:val="left"/>
                    <w:rPr>
                      <w:b/>
                      <w:sz w:val="21"/>
                    </w:rPr>
                  </w:pPr>
                  <w:r>
                    <w:rPr>
                      <w:b/>
                      <w:sz w:val="21"/>
                    </w:rPr>
                    <w:t>8．释义</w:t>
                  </w:r>
                </w:p>
                <w:p>
                  <w:pPr>
                    <w:pStyle w:val="BodyText"/>
                    <w:numPr>
                      <w:ilvl w:val="1"/>
                      <w:numId w:val="5"/>
                    </w:numPr>
                    <w:tabs>
                      <w:tab w:pos="423" w:val="left" w:leader="none"/>
                    </w:tabs>
                    <w:spacing w:line="240" w:lineRule="auto" w:before="37" w:after="0"/>
                    <w:ind w:left="0" w:right="0" w:firstLine="0"/>
                    <w:jc w:val="left"/>
                  </w:pPr>
                  <w:r>
                    <w:rPr/>
                    <w:t>本公司</w:t>
                  </w:r>
                </w:p>
                <w:p>
                  <w:pPr>
                    <w:pStyle w:val="BodyText"/>
                    <w:numPr>
                      <w:ilvl w:val="1"/>
                      <w:numId w:val="5"/>
                    </w:numPr>
                    <w:tabs>
                      <w:tab w:pos="423" w:val="left" w:leader="none"/>
                    </w:tabs>
                    <w:spacing w:line="240" w:lineRule="auto" w:before="37" w:after="0"/>
                    <w:ind w:left="0" w:right="0" w:firstLine="0"/>
                    <w:jc w:val="left"/>
                  </w:pPr>
                  <w:r>
                    <w:rPr>
                      <w:spacing w:val="-2"/>
                    </w:rPr>
                    <w:t>特殊群体</w:t>
                  </w:r>
                </w:p>
                <w:p>
                  <w:pPr>
                    <w:pStyle w:val="BodyText"/>
                    <w:numPr>
                      <w:ilvl w:val="1"/>
                      <w:numId w:val="5"/>
                    </w:numPr>
                    <w:tabs>
                      <w:tab w:pos="423" w:val="left" w:leader="none"/>
                    </w:tabs>
                    <w:spacing w:line="240" w:lineRule="auto" w:before="37" w:after="0"/>
                    <w:ind w:left="0" w:right="0" w:firstLine="0"/>
                    <w:jc w:val="left"/>
                  </w:pPr>
                  <w:r>
                    <w:rPr>
                      <w:spacing w:val="-3"/>
                    </w:rPr>
                    <w:t>本公司认可的医院</w:t>
                  </w:r>
                </w:p>
                <w:p>
                  <w:pPr>
                    <w:pStyle w:val="BodyText"/>
                    <w:numPr>
                      <w:ilvl w:val="1"/>
                      <w:numId w:val="5"/>
                    </w:numPr>
                    <w:tabs>
                      <w:tab w:pos="370" w:val="left" w:leader="none"/>
                    </w:tabs>
                    <w:spacing w:line="273" w:lineRule="auto" w:before="37" w:after="0"/>
                    <w:ind w:left="0" w:right="18" w:firstLine="0"/>
                    <w:jc w:val="left"/>
                  </w:pPr>
                  <w:r>
                    <w:rPr>
                      <w:spacing w:val="-5"/>
                    </w:rPr>
                    <w:t>初次患有本附加险合同约定</w:t>
                  </w:r>
                  <w:r>
                    <w:rPr/>
                    <w:t>的重大疾病</w:t>
                  </w:r>
                </w:p>
                <w:p>
                  <w:pPr>
                    <w:pStyle w:val="BodyText"/>
                    <w:numPr>
                      <w:ilvl w:val="1"/>
                      <w:numId w:val="5"/>
                    </w:numPr>
                    <w:tabs>
                      <w:tab w:pos="370" w:val="left" w:leader="none"/>
                    </w:tabs>
                    <w:spacing w:line="240" w:lineRule="auto" w:before="8" w:after="0"/>
                    <w:ind w:left="369" w:right="0" w:hanging="369"/>
                    <w:jc w:val="left"/>
                  </w:pPr>
                  <w:r>
                    <w:rPr/>
                    <w:t>重大疾病</w:t>
                  </w:r>
                </w:p>
                <w:p>
                  <w:pPr>
                    <w:pStyle w:val="BodyText"/>
                    <w:numPr>
                      <w:ilvl w:val="1"/>
                      <w:numId w:val="5"/>
                    </w:numPr>
                    <w:tabs>
                      <w:tab w:pos="527" w:val="left" w:leader="none"/>
                      <w:tab w:pos="528" w:val="left" w:leader="none"/>
                    </w:tabs>
                    <w:spacing w:line="240" w:lineRule="auto" w:before="32" w:after="0"/>
                    <w:ind w:left="528" w:right="0" w:hanging="528"/>
                    <w:jc w:val="left"/>
                  </w:pPr>
                  <w:r>
                    <w:rPr/>
                    <w:t>周岁</w:t>
                  </w:r>
                </w:p>
              </w:txbxContent>
            </v:textbox>
            <w10:wrap type="none"/>
          </v:shape>
        </w:pict>
      </w:r>
      <w:r>
        <w:rPr/>
        <w:pict>
          <v:shape style="position:absolute;margin-left:398.059998pt;margin-top:508.984985pt;width:139.050pt;height:226.15pt;mso-position-horizontal-relative:page;mso-position-vertical-relative:page;z-index:-31504" type="#_x0000_t202" filled="false" stroked="false">
            <v:textbox inset="0,0,0,0">
              <w:txbxContent>
                <w:p>
                  <w:pPr>
                    <w:pStyle w:val="BodyText"/>
                    <w:numPr>
                      <w:ilvl w:val="1"/>
                      <w:numId w:val="6"/>
                    </w:numPr>
                    <w:tabs>
                      <w:tab w:pos="529" w:val="left" w:leader="none"/>
                    </w:tabs>
                    <w:spacing w:line="211" w:lineRule="exact" w:before="0" w:after="0"/>
                    <w:ind w:left="629" w:right="0" w:hanging="629"/>
                    <w:jc w:val="left"/>
                  </w:pPr>
                  <w:r>
                    <w:rPr/>
                    <w:t>机动车</w:t>
                  </w:r>
                </w:p>
                <w:p>
                  <w:pPr>
                    <w:pStyle w:val="BodyText"/>
                    <w:numPr>
                      <w:ilvl w:val="1"/>
                      <w:numId w:val="6"/>
                    </w:numPr>
                    <w:tabs>
                      <w:tab w:pos="529" w:val="left" w:leader="none"/>
                    </w:tabs>
                    <w:spacing w:line="240" w:lineRule="auto" w:before="3" w:after="0"/>
                    <w:ind w:left="629" w:right="0" w:hanging="629"/>
                    <w:jc w:val="left"/>
                  </w:pPr>
                  <w:r>
                    <w:rPr>
                      <w:spacing w:val="-2"/>
                    </w:rPr>
                    <w:t>助动交通工具</w:t>
                  </w:r>
                </w:p>
                <w:p>
                  <w:pPr>
                    <w:pStyle w:val="BodyText"/>
                    <w:numPr>
                      <w:ilvl w:val="1"/>
                      <w:numId w:val="6"/>
                    </w:numPr>
                    <w:tabs>
                      <w:tab w:pos="529" w:val="left" w:leader="none"/>
                    </w:tabs>
                    <w:spacing w:line="240" w:lineRule="auto" w:before="12" w:after="0"/>
                    <w:ind w:left="629" w:right="0" w:hanging="629"/>
                    <w:jc w:val="left"/>
                  </w:pPr>
                  <w:r>
                    <w:rPr>
                      <w:spacing w:val="-2"/>
                    </w:rPr>
                    <w:t>恐怖活动</w:t>
                  </w:r>
                </w:p>
                <w:p>
                  <w:pPr>
                    <w:pStyle w:val="BodyText"/>
                    <w:numPr>
                      <w:ilvl w:val="1"/>
                      <w:numId w:val="6"/>
                    </w:numPr>
                    <w:tabs>
                      <w:tab w:pos="529" w:val="left" w:leader="none"/>
                    </w:tabs>
                    <w:spacing w:line="240" w:lineRule="auto" w:before="36" w:after="0"/>
                    <w:ind w:left="629" w:right="0" w:hanging="629"/>
                    <w:jc w:val="left"/>
                  </w:pPr>
                  <w:r>
                    <w:rPr>
                      <w:spacing w:val="-2"/>
                    </w:rPr>
                    <w:t>遗传性疾病</w:t>
                  </w:r>
                </w:p>
                <w:p>
                  <w:pPr>
                    <w:pStyle w:val="BodyText"/>
                    <w:numPr>
                      <w:ilvl w:val="1"/>
                      <w:numId w:val="6"/>
                    </w:numPr>
                    <w:tabs>
                      <w:tab w:pos="529" w:val="left" w:leader="none"/>
                    </w:tabs>
                    <w:spacing w:line="273" w:lineRule="auto" w:before="37" w:after="0"/>
                    <w:ind w:left="629" w:right="18" w:hanging="629"/>
                    <w:jc w:val="left"/>
                  </w:pPr>
                  <w:r>
                    <w:rPr>
                      <w:spacing w:val="-11"/>
                    </w:rPr>
                    <w:t>先天性畸形、变形或染色体异常</w:t>
                  </w:r>
                </w:p>
                <w:p>
                  <w:pPr>
                    <w:pStyle w:val="BodyText"/>
                    <w:numPr>
                      <w:ilvl w:val="1"/>
                      <w:numId w:val="6"/>
                    </w:numPr>
                    <w:tabs>
                      <w:tab w:pos="529" w:val="left" w:leader="none"/>
                    </w:tabs>
                    <w:spacing w:line="240" w:lineRule="auto" w:before="7" w:after="0"/>
                    <w:ind w:left="629" w:right="0" w:hanging="629"/>
                    <w:jc w:val="left"/>
                  </w:pPr>
                  <w:r>
                    <w:rPr>
                      <w:spacing w:val="-2"/>
                    </w:rPr>
                    <w:t>现金价值</w:t>
                  </w:r>
                </w:p>
                <w:p>
                  <w:pPr>
                    <w:pStyle w:val="BodyText"/>
                    <w:numPr>
                      <w:ilvl w:val="1"/>
                      <w:numId w:val="6"/>
                    </w:numPr>
                    <w:tabs>
                      <w:tab w:pos="529" w:val="left" w:leader="none"/>
                    </w:tabs>
                    <w:spacing w:line="240" w:lineRule="auto" w:before="36" w:after="0"/>
                    <w:ind w:left="629" w:right="0" w:hanging="629"/>
                    <w:jc w:val="left"/>
                  </w:pPr>
                  <w:r>
                    <w:rPr>
                      <w:spacing w:val="-2"/>
                    </w:rPr>
                    <w:t>保险事故</w:t>
                  </w:r>
                </w:p>
                <w:p>
                  <w:pPr>
                    <w:pStyle w:val="BodyText"/>
                    <w:numPr>
                      <w:ilvl w:val="1"/>
                      <w:numId w:val="6"/>
                    </w:numPr>
                    <w:tabs>
                      <w:tab w:pos="529" w:val="left" w:leader="none"/>
                    </w:tabs>
                    <w:spacing w:line="240" w:lineRule="auto" w:before="36" w:after="0"/>
                    <w:ind w:left="629" w:right="0" w:hanging="629"/>
                    <w:jc w:val="left"/>
                  </w:pPr>
                  <w:r>
                    <w:rPr>
                      <w:spacing w:val="-2"/>
                    </w:rPr>
                    <w:t>不可抗力</w:t>
                  </w:r>
                </w:p>
                <w:p>
                  <w:pPr>
                    <w:pStyle w:val="BodyText"/>
                    <w:numPr>
                      <w:ilvl w:val="1"/>
                      <w:numId w:val="6"/>
                    </w:numPr>
                    <w:tabs>
                      <w:tab w:pos="529" w:val="left" w:leader="none"/>
                    </w:tabs>
                    <w:spacing w:line="240" w:lineRule="auto" w:before="36" w:after="0"/>
                    <w:ind w:left="629" w:right="0" w:hanging="629"/>
                    <w:jc w:val="left"/>
                  </w:pPr>
                  <w:r>
                    <w:rPr>
                      <w:spacing w:val="-2"/>
                    </w:rPr>
                    <w:t>法定身份证明</w:t>
                  </w:r>
                </w:p>
                <w:p>
                  <w:pPr>
                    <w:pStyle w:val="BodyText"/>
                    <w:numPr>
                      <w:ilvl w:val="1"/>
                      <w:numId w:val="6"/>
                    </w:numPr>
                    <w:tabs>
                      <w:tab w:pos="529" w:val="left" w:leader="none"/>
                    </w:tabs>
                    <w:spacing w:line="240" w:lineRule="auto" w:before="37" w:after="0"/>
                    <w:ind w:left="629" w:right="0" w:hanging="629"/>
                    <w:jc w:val="left"/>
                  </w:pPr>
                  <w:r>
                    <w:rPr>
                      <w:spacing w:val="-3"/>
                    </w:rPr>
                    <w:t>肢体机能完全丧失</w:t>
                  </w:r>
                </w:p>
                <w:p>
                  <w:pPr>
                    <w:pStyle w:val="BodyText"/>
                    <w:numPr>
                      <w:ilvl w:val="1"/>
                      <w:numId w:val="6"/>
                    </w:numPr>
                    <w:tabs>
                      <w:tab w:pos="529" w:val="left" w:leader="none"/>
                    </w:tabs>
                    <w:spacing w:line="273" w:lineRule="auto" w:before="37" w:after="0"/>
                    <w:ind w:left="211" w:right="147" w:hanging="211"/>
                    <w:jc w:val="left"/>
                  </w:pPr>
                  <w:r>
                    <w:rPr>
                      <w:spacing w:val="-3"/>
                    </w:rPr>
                    <w:t>语言能力或咀嚼吞咽能力完全丧失</w:t>
                  </w:r>
                </w:p>
                <w:p>
                  <w:pPr>
                    <w:pStyle w:val="BodyText"/>
                    <w:numPr>
                      <w:ilvl w:val="1"/>
                      <w:numId w:val="6"/>
                    </w:numPr>
                    <w:tabs>
                      <w:tab w:pos="529" w:val="left" w:leader="none"/>
                    </w:tabs>
                    <w:spacing w:line="240" w:lineRule="auto" w:before="7" w:after="0"/>
                    <w:ind w:left="629" w:right="0" w:hanging="629"/>
                    <w:jc w:val="left"/>
                  </w:pPr>
                  <w:r>
                    <w:rPr>
                      <w:spacing w:val="-3"/>
                    </w:rPr>
                    <w:t>六项基本日常生活活动</w:t>
                  </w:r>
                </w:p>
                <w:p>
                  <w:pPr>
                    <w:pStyle w:val="BodyText"/>
                    <w:numPr>
                      <w:ilvl w:val="1"/>
                      <w:numId w:val="6"/>
                    </w:numPr>
                    <w:tabs>
                      <w:tab w:pos="529" w:val="left" w:leader="none"/>
                    </w:tabs>
                    <w:spacing w:line="240" w:lineRule="auto" w:before="36" w:after="0"/>
                    <w:ind w:left="629" w:right="0" w:hanging="629"/>
                    <w:jc w:val="left"/>
                  </w:pPr>
                  <w:r>
                    <w:rPr>
                      <w:spacing w:val="-2"/>
                    </w:rPr>
                    <w:t>永久不可逆</w:t>
                  </w:r>
                </w:p>
              </w:txbxContent>
            </v:textbox>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7"/>
        </w:rPr>
      </w:pPr>
    </w:p>
    <w:p>
      <w:pPr>
        <w:pStyle w:val="Heading1"/>
        <w:spacing w:line="357" w:lineRule="auto" w:before="3"/>
        <w:ind w:left="2763" w:right="2873"/>
        <w:jc w:val="center"/>
      </w:pPr>
      <w:r>
        <w:rPr/>
        <w:t>正德附加龙家宝重大疾病保险条款阅 读 指 引</w:t>
      </w:r>
    </w:p>
    <w:p>
      <w:pPr>
        <w:pStyle w:val="BodyText"/>
        <w:spacing w:line="340" w:lineRule="exact"/>
        <w:ind w:left="875" w:right="979"/>
        <w:jc w:val="center"/>
        <w:rPr>
          <w:rFonts w:ascii="宋体" w:eastAsia="宋体" w:hint="eastAsia"/>
        </w:rPr>
      </w:pP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49"/>
          <w:w w:val="100"/>
        </w:rPr>
        <w:t>阅</w:t>
      </w:r>
      <w:r>
        <w:rPr>
          <w:rFonts w:ascii="宋体" w:eastAsia="宋体" w:hint="eastAsia"/>
          <w:spacing w:val="-63"/>
          <w:w w:val="100"/>
          <w:position w:val="-7"/>
        </w:rPr>
        <w:t>．</w:t>
      </w:r>
      <w:r>
        <w:rPr>
          <w:rFonts w:ascii="宋体" w:eastAsia="宋体" w:hint="eastAsia"/>
          <w:spacing w:val="-149"/>
          <w:w w:val="100"/>
        </w:rPr>
        <w:t>读</w:t>
      </w:r>
      <w:r>
        <w:rPr>
          <w:rFonts w:ascii="宋体" w:eastAsia="宋体" w:hint="eastAsia"/>
          <w:spacing w:val="-63"/>
          <w:w w:val="100"/>
          <w:position w:val="-7"/>
        </w:rPr>
        <w:t>．</w:t>
      </w:r>
      <w:r>
        <w:rPr>
          <w:rFonts w:ascii="宋体" w:eastAsia="宋体" w:hint="eastAsia"/>
          <w:spacing w:val="-149"/>
          <w:w w:val="100"/>
        </w:rPr>
        <w:t>指</w:t>
      </w:r>
      <w:r>
        <w:rPr>
          <w:rFonts w:ascii="宋体" w:eastAsia="宋体" w:hint="eastAsia"/>
          <w:spacing w:val="-63"/>
          <w:w w:val="100"/>
          <w:position w:val="-7"/>
        </w:rPr>
        <w:t>．</w:t>
      </w:r>
      <w:r>
        <w:rPr>
          <w:rFonts w:ascii="宋体" w:eastAsia="宋体" w:hint="eastAsia"/>
          <w:spacing w:val="-154"/>
          <w:w w:val="100"/>
        </w:rPr>
        <w:t>引</w:t>
      </w:r>
      <w:r>
        <w:rPr>
          <w:rFonts w:ascii="宋体" w:eastAsia="宋体" w:hint="eastAsia"/>
          <w:spacing w:val="-63"/>
          <w:w w:val="100"/>
          <w:position w:val="-7"/>
        </w:rPr>
        <w:t>．</w:t>
      </w:r>
      <w:r>
        <w:rPr>
          <w:rFonts w:ascii="宋体" w:eastAsia="宋体" w:hint="eastAsia"/>
          <w:spacing w:val="-149"/>
          <w:w w:val="100"/>
        </w:rPr>
        <w:t>有</w:t>
      </w:r>
      <w:r>
        <w:rPr>
          <w:rFonts w:ascii="宋体" w:eastAsia="宋体" w:hint="eastAsia"/>
          <w:spacing w:val="-63"/>
          <w:w w:val="100"/>
          <w:position w:val="-7"/>
        </w:rPr>
        <w:t>．</w:t>
      </w:r>
      <w:r>
        <w:rPr>
          <w:rFonts w:ascii="宋体" w:eastAsia="宋体" w:hint="eastAsia"/>
          <w:spacing w:val="-149"/>
          <w:w w:val="100"/>
        </w:rPr>
        <w:t>助</w:t>
      </w:r>
      <w:r>
        <w:rPr>
          <w:rFonts w:ascii="宋体" w:eastAsia="宋体" w:hint="eastAsia"/>
          <w:spacing w:val="-63"/>
          <w:w w:val="100"/>
          <w:position w:val="-7"/>
        </w:rPr>
        <w:t>．</w:t>
      </w:r>
      <w:r>
        <w:rPr>
          <w:rFonts w:ascii="宋体" w:eastAsia="宋体" w:hint="eastAsia"/>
          <w:spacing w:val="-148"/>
          <w:w w:val="100"/>
        </w:rPr>
        <w:t>于</w:t>
      </w:r>
      <w:r>
        <w:rPr>
          <w:rFonts w:ascii="宋体" w:eastAsia="宋体" w:hint="eastAsia"/>
          <w:spacing w:val="-64"/>
          <w:w w:val="100"/>
          <w:position w:val="-7"/>
        </w:rPr>
        <w:t>．</w:t>
      </w:r>
      <w:r>
        <w:rPr>
          <w:rFonts w:ascii="宋体" w:eastAsia="宋体" w:hint="eastAsia"/>
          <w:spacing w:val="-153"/>
          <w:w w:val="100"/>
        </w:rPr>
        <w:t>您</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49"/>
          <w:w w:val="100"/>
        </w:rPr>
        <w:t>投</w:t>
      </w:r>
      <w:r>
        <w:rPr>
          <w:rFonts w:ascii="宋体" w:eastAsia="宋体" w:hint="eastAsia"/>
          <w:spacing w:val="-63"/>
          <w:w w:val="100"/>
          <w:position w:val="-7"/>
        </w:rPr>
        <w:t>．</w:t>
      </w:r>
      <w:r>
        <w:rPr>
          <w:rFonts w:ascii="宋体" w:eastAsia="宋体" w:hint="eastAsia"/>
          <w:spacing w:val="-149"/>
          <w:w w:val="100"/>
        </w:rPr>
        <w:t>保</w:t>
      </w:r>
      <w:r>
        <w:rPr>
          <w:rFonts w:ascii="宋体" w:eastAsia="宋体" w:hint="eastAsia"/>
          <w:spacing w:val="-63"/>
          <w:w w:val="100"/>
          <w:position w:val="-7"/>
        </w:rPr>
        <w:t>．</w:t>
      </w:r>
      <w:r>
        <w:rPr>
          <w:rFonts w:ascii="宋体" w:eastAsia="宋体" w:hint="eastAsia"/>
          <w:spacing w:val="-154"/>
          <w:w w:val="100"/>
        </w:rPr>
        <w:t>人</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4"/>
          <w:w w:val="100"/>
          <w:position w:val="-7"/>
        </w:rPr>
        <w:t>．</w:t>
      </w:r>
      <w:r>
        <w:rPr>
          <w:rFonts w:ascii="宋体" w:eastAsia="宋体" w:hint="eastAsia"/>
          <w:spacing w:val="-149"/>
          <w:w w:val="100"/>
        </w:rPr>
        <w:t>以</w:t>
      </w:r>
      <w:r>
        <w:rPr>
          <w:rFonts w:ascii="宋体" w:eastAsia="宋体" w:hint="eastAsia"/>
          <w:spacing w:val="-64"/>
          <w:w w:val="100"/>
          <w:position w:val="-7"/>
        </w:rPr>
        <w:t>．</w:t>
      </w:r>
      <w:r>
        <w:rPr>
          <w:rFonts w:ascii="宋体" w:eastAsia="宋体" w:hint="eastAsia"/>
          <w:spacing w:val="-149"/>
          <w:w w:val="100"/>
        </w:rPr>
        <w:t>下</w:t>
      </w:r>
      <w:r>
        <w:rPr>
          <w:rFonts w:ascii="宋体" w:eastAsia="宋体" w:hint="eastAsia"/>
          <w:spacing w:val="-64"/>
          <w:w w:val="100"/>
          <w:position w:val="-7"/>
        </w:rPr>
        <w:t>．</w:t>
      </w:r>
      <w:r>
        <w:rPr>
          <w:rFonts w:ascii="宋体" w:eastAsia="宋体" w:hint="eastAsia"/>
          <w:spacing w:val="-153"/>
          <w:w w:val="100"/>
        </w:rPr>
        <w:t>含</w:t>
      </w:r>
      <w:r>
        <w:rPr>
          <w:rFonts w:ascii="宋体" w:eastAsia="宋体" w:hint="eastAsia"/>
          <w:spacing w:val="-64"/>
          <w:w w:val="100"/>
          <w:position w:val="-7"/>
        </w:rPr>
        <w:t>．</w:t>
      </w:r>
      <w:r>
        <w:rPr>
          <w:rFonts w:ascii="宋体" w:eastAsia="宋体" w:hint="eastAsia"/>
          <w:spacing w:val="-149"/>
          <w:w w:val="100"/>
        </w:rPr>
        <w:t>义</w:t>
      </w:r>
      <w:r>
        <w:rPr>
          <w:rFonts w:ascii="宋体" w:eastAsia="宋体" w:hint="eastAsia"/>
          <w:spacing w:val="-64"/>
          <w:w w:val="100"/>
          <w:position w:val="-7"/>
        </w:rPr>
        <w:t>．</w:t>
      </w:r>
      <w:r>
        <w:rPr>
          <w:rFonts w:ascii="宋体" w:eastAsia="宋体" w:hint="eastAsia"/>
          <w:spacing w:val="-149"/>
          <w:w w:val="100"/>
        </w:rPr>
        <w:t>相</w:t>
      </w:r>
      <w:r>
        <w:rPr>
          <w:rFonts w:ascii="宋体" w:eastAsia="宋体" w:hint="eastAsia"/>
          <w:spacing w:val="-64"/>
          <w:w w:val="100"/>
          <w:position w:val="-7"/>
        </w:rPr>
        <w:t>．</w:t>
      </w:r>
      <w:r>
        <w:rPr>
          <w:rFonts w:ascii="宋体" w:eastAsia="宋体" w:hint="eastAsia"/>
          <w:spacing w:val="-148"/>
          <w:w w:val="100"/>
        </w:rPr>
        <w:t>同</w:t>
      </w:r>
      <w:r>
        <w:rPr>
          <w:rFonts w:ascii="宋体" w:eastAsia="宋体" w:hint="eastAsia"/>
          <w:spacing w:val="-64"/>
          <w:w w:val="100"/>
          <w:position w:val="-7"/>
        </w:rPr>
        <w:t>．</w:t>
      </w:r>
      <w:r>
        <w:rPr>
          <w:rFonts w:ascii="宋体" w:eastAsia="宋体" w:hint="eastAsia"/>
          <w:spacing w:val="-153"/>
          <w:w w:val="100"/>
        </w:rPr>
        <w:t>）</w:t>
      </w:r>
      <w:r>
        <w:rPr>
          <w:rFonts w:ascii="宋体" w:eastAsia="宋体" w:hint="eastAsia"/>
          <w:spacing w:val="-63"/>
          <w:w w:val="100"/>
          <w:position w:val="-7"/>
        </w:rPr>
        <w:t>．</w:t>
      </w:r>
      <w:r>
        <w:rPr>
          <w:rFonts w:ascii="宋体" w:eastAsia="宋体" w:hint="eastAsia"/>
          <w:spacing w:val="-149"/>
          <w:w w:val="100"/>
        </w:rPr>
        <w:t>理</w:t>
      </w:r>
      <w:r>
        <w:rPr>
          <w:rFonts w:ascii="宋体" w:eastAsia="宋体" w:hint="eastAsia"/>
          <w:spacing w:val="-63"/>
          <w:w w:val="100"/>
          <w:position w:val="-7"/>
        </w:rPr>
        <w:t>．</w:t>
      </w:r>
      <w:r>
        <w:rPr>
          <w:rFonts w:ascii="宋体" w:eastAsia="宋体" w:hint="eastAsia"/>
          <w:spacing w:val="-154"/>
          <w:w w:val="100"/>
        </w:rPr>
        <w:t>解</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49"/>
          <w:w w:val="100"/>
        </w:rPr>
        <w:t>款</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49"/>
          <w:w w:val="100"/>
        </w:rPr>
        <w:t>对</w:t>
      </w:r>
      <w:r>
        <w:rPr>
          <w:rFonts w:ascii="宋体" w:eastAsia="宋体" w:hint="eastAsia"/>
          <w:spacing w:val="-63"/>
          <w:w w:val="100"/>
          <w:position w:val="-7"/>
        </w:rPr>
        <w:t>．</w:t>
      </w:r>
      <w:r>
        <w:rPr>
          <w:rFonts w:ascii="宋体" w:eastAsia="宋体" w:hint="eastAsia"/>
          <w:spacing w:val="-154"/>
          <w:w w:val="100"/>
        </w:rPr>
        <w:t>本</w:t>
      </w:r>
      <w:r>
        <w:rPr>
          <w:rFonts w:ascii="宋体" w:eastAsia="宋体" w:hint="eastAsia"/>
          <w:spacing w:val="-63"/>
          <w:w w:val="100"/>
          <w:position w:val="-7"/>
        </w:rPr>
        <w:t>．</w:t>
      </w:r>
      <w:r>
        <w:rPr>
          <w:rFonts w:ascii="宋体" w:eastAsia="宋体" w:hint="eastAsia"/>
          <w:spacing w:val="-149"/>
          <w:w w:val="100"/>
        </w:rPr>
        <w:t>合</w:t>
      </w:r>
      <w:r>
        <w:rPr>
          <w:rFonts w:ascii="宋体" w:eastAsia="宋体" w:hint="eastAsia"/>
          <w:spacing w:val="-63"/>
          <w:w w:val="100"/>
          <w:position w:val="-7"/>
        </w:rPr>
        <w:t>．</w:t>
      </w:r>
      <w:r>
        <w:rPr>
          <w:rFonts w:ascii="宋体" w:eastAsia="宋体" w:hint="eastAsia"/>
          <w:spacing w:val="-149"/>
          <w:w w:val="100"/>
        </w:rPr>
        <w:t>同</w:t>
      </w:r>
      <w:r>
        <w:rPr>
          <w:rFonts w:ascii="宋体" w:eastAsia="宋体" w:hint="eastAsia"/>
          <w:spacing w:val="-63"/>
          <w:w w:val="100"/>
          <w:position w:val="-7"/>
        </w:rPr>
        <w:t>．</w:t>
      </w:r>
      <w:r>
        <w:rPr>
          <w:rFonts w:ascii="宋体" w:eastAsia="宋体" w:hint="eastAsia"/>
          <w:spacing w:val="-149"/>
          <w:w w:val="100"/>
        </w:rPr>
        <w:t>内</w:t>
      </w:r>
      <w:r>
        <w:rPr>
          <w:rFonts w:ascii="宋体" w:eastAsia="宋体" w:hint="eastAsia"/>
          <w:spacing w:val="-63"/>
          <w:w w:val="100"/>
          <w:position w:val="-7"/>
        </w:rPr>
        <w:t>．</w:t>
      </w:r>
      <w:r>
        <w:rPr>
          <w:rFonts w:ascii="宋体" w:eastAsia="宋体" w:hint="eastAsia"/>
          <w:spacing w:val="-153"/>
          <w:w w:val="100"/>
        </w:rPr>
        <w:t>容</w:t>
      </w:r>
      <w:r>
        <w:rPr>
          <w:rFonts w:ascii="宋体" w:eastAsia="宋体" w:hint="eastAsia"/>
          <w:spacing w:val="-64"/>
          <w:w w:val="100"/>
          <w:position w:val="-7"/>
        </w:rPr>
        <w:t>．</w:t>
      </w:r>
      <w:r>
        <w:rPr>
          <w:rFonts w:ascii="宋体" w:eastAsia="宋体" w:hint="eastAsia"/>
          <w:spacing w:val="-148"/>
          <w:w w:val="100"/>
        </w:rPr>
        <w:t>的</w:t>
      </w:r>
      <w:r>
        <w:rPr>
          <w:rFonts w:ascii="宋体" w:eastAsia="宋体" w:hint="eastAsia"/>
          <w:spacing w:val="-64"/>
          <w:w w:val="100"/>
          <w:position w:val="-7"/>
        </w:rPr>
        <w:t>．</w:t>
      </w:r>
      <w:r>
        <w:rPr>
          <w:rFonts w:ascii="宋体" w:eastAsia="宋体" w:hint="eastAsia"/>
          <w:spacing w:val="-148"/>
          <w:w w:val="100"/>
        </w:rPr>
        <w:t>解</w:t>
      </w:r>
      <w:r>
        <w:rPr>
          <w:rFonts w:ascii="宋体" w:eastAsia="宋体" w:hint="eastAsia"/>
          <w:spacing w:val="-64"/>
          <w:w w:val="100"/>
          <w:position w:val="-7"/>
        </w:rPr>
        <w:t>．</w:t>
      </w:r>
      <w:r>
        <w:rPr>
          <w:rFonts w:ascii="宋体" w:eastAsia="宋体" w:hint="eastAsia"/>
          <w:spacing w:val="-148"/>
          <w:w w:val="100"/>
        </w:rPr>
        <w:t>释</w:t>
      </w:r>
      <w:r>
        <w:rPr>
          <w:rFonts w:ascii="宋体" w:eastAsia="宋体" w:hint="eastAsia"/>
          <w:spacing w:val="-64"/>
          <w:w w:val="100"/>
          <w:position w:val="-7"/>
        </w:rPr>
        <w:t>．</w:t>
      </w:r>
      <w:r>
        <w:rPr>
          <w:rFonts w:ascii="宋体" w:eastAsia="宋体" w:hint="eastAsia"/>
          <w:spacing w:val="-153"/>
          <w:w w:val="100"/>
        </w:rPr>
        <w:t>以</w:t>
      </w:r>
      <w:r>
        <w:rPr>
          <w:rFonts w:ascii="宋体" w:eastAsia="宋体" w:hint="eastAsia"/>
          <w:spacing w:val="-64"/>
          <w:w w:val="100"/>
          <w:position w:val="-7"/>
        </w:rPr>
        <w:t>．</w:t>
      </w:r>
      <w:r>
        <w:rPr>
          <w:rFonts w:ascii="宋体" w:eastAsia="宋体" w:hint="eastAsia"/>
          <w:spacing w:val="-148"/>
          <w:w w:val="100"/>
        </w:rPr>
        <w:t>条</w:t>
      </w:r>
      <w:r>
        <w:rPr>
          <w:rFonts w:ascii="宋体" w:eastAsia="宋体" w:hint="eastAsia"/>
          <w:spacing w:val="-64"/>
          <w:w w:val="100"/>
          <w:position w:val="-7"/>
        </w:rPr>
        <w:t>．</w:t>
      </w:r>
      <w:r>
        <w:rPr>
          <w:rFonts w:ascii="宋体" w:eastAsia="宋体" w:hint="eastAsia"/>
          <w:spacing w:val="-148"/>
          <w:w w:val="100"/>
        </w:rPr>
        <w:t>款</w:t>
      </w:r>
      <w:r>
        <w:rPr>
          <w:rFonts w:ascii="宋体" w:eastAsia="宋体" w:hint="eastAsia"/>
          <w:spacing w:val="-65"/>
          <w:w w:val="100"/>
          <w:position w:val="-7"/>
        </w:rPr>
        <w:t>．</w:t>
      </w:r>
      <w:r>
        <w:rPr>
          <w:rFonts w:ascii="宋体" w:eastAsia="宋体" w:hint="eastAsia"/>
          <w:spacing w:val="-148"/>
          <w:w w:val="100"/>
        </w:rPr>
        <w:t>为</w:t>
      </w:r>
      <w:r>
        <w:rPr>
          <w:rFonts w:ascii="宋体" w:eastAsia="宋体" w:hint="eastAsia"/>
          <w:spacing w:val="-65"/>
          <w:w w:val="100"/>
          <w:position w:val="-7"/>
        </w:rPr>
        <w:t>．</w:t>
      </w:r>
      <w:r>
        <w:rPr>
          <w:rFonts w:ascii="宋体" w:eastAsia="宋体" w:hint="eastAsia"/>
          <w:spacing w:val="-152"/>
          <w:w w:val="100"/>
        </w:rPr>
        <w:t>准</w:t>
      </w:r>
      <w:r>
        <w:rPr>
          <w:rFonts w:ascii="宋体" w:eastAsia="宋体" w:hint="eastAsia"/>
          <w:spacing w:val="-63"/>
          <w:w w:val="100"/>
          <w:position w:val="-7"/>
        </w:rPr>
        <w:t>．</w:t>
      </w:r>
      <w:r>
        <w:rPr>
          <w:rFonts w:ascii="宋体" w:eastAsia="宋体" w:hint="eastAsia"/>
          <w:w w:val="100"/>
        </w:rPr>
        <w:t>。</w:t>
      </w:r>
    </w:p>
    <w:p>
      <w:pPr>
        <w:spacing w:before="171"/>
        <w:ind w:left="242" w:right="0" w:firstLine="0"/>
        <w:jc w:val="left"/>
        <w:rPr>
          <w:rFonts w:ascii="宋体" w:hAnsi="宋体" w:eastAsia="宋体" w:hint="eastAsia"/>
          <w:b/>
          <w:sz w:val="21"/>
        </w:rPr>
      </w:pPr>
      <w:r>
        <w:rPr/>
        <w:pict>
          <v:group style="position:absolute;margin-left:44.183998pt;margin-top:6.310715pt;width:512.85pt;height:648.4pt;mso-position-horizontal-relative:page;mso-position-vertical-relative:paragraph;z-index:-31696" coordorigin="884,126" coordsize="10257,12968">
            <v:shape style="position:absolute;left:883;top:126;width:10257;height:12968" type="#_x0000_t75" stroked="false">
              <v:imagedata r:id="rId6" o:title=""/>
            </v:shape>
            <v:rect style="position:absolute;left:1441;top:5039;width:9312;height:7814" filled="true" fillcolor="#ffffff" stroked="false">
              <v:fill type="solid"/>
            </v:rect>
            <v:rect style="position:absolute;left:1441;top:5039;width:9312;height:7814" filled="false" stroked="true" strokeweight=".75pt" strokecolor="#000000">
              <v:stroke dashstyle="dot"/>
            </v:rect>
            <w10:wrap type="none"/>
          </v:group>
        </w:pict>
      </w:r>
      <w:r>
        <w:rPr>
          <w:rFonts w:ascii="Arial" w:hAnsi="Arial" w:eastAsia="Arial"/>
          <w:b/>
          <w:w w:val="105"/>
          <w:position w:val="-11"/>
          <w:sz w:val="52"/>
        </w:rPr>
        <w:t></w:t>
      </w:r>
      <w:r>
        <w:rPr>
          <w:rFonts w:ascii="宋体" w:hAnsi="宋体" w:eastAsia="宋体" w:hint="eastAsia"/>
          <w:b/>
          <w:w w:val="105"/>
          <w:sz w:val="21"/>
        </w:rPr>
        <w:t>您拥有的重要权益</w:t>
      </w:r>
    </w:p>
    <w:p>
      <w:pPr>
        <w:pStyle w:val="ListParagraph"/>
        <w:numPr>
          <w:ilvl w:val="0"/>
          <w:numId w:val="7"/>
        </w:numPr>
        <w:tabs>
          <w:tab w:pos="1635" w:val="left" w:leader="none"/>
          <w:tab w:pos="1636" w:val="left" w:leader="none"/>
          <w:tab w:pos="10148" w:val="right" w:leader="dot"/>
        </w:tabs>
        <w:spacing w:line="240" w:lineRule="auto" w:before="23" w:after="0"/>
        <w:ind w:left="1635" w:right="0" w:hanging="418"/>
        <w:jc w:val="left"/>
        <w:rPr>
          <w:rFonts w:ascii="宋体" w:eastAsia="宋体" w:hint="eastAsia"/>
          <w:sz w:val="21"/>
        </w:rPr>
      </w:pPr>
      <w:r>
        <w:rPr>
          <w:sz w:val="21"/>
        </w:rPr>
        <w:t>签收本合</w:t>
      </w:r>
      <w:r>
        <w:rPr>
          <w:spacing w:val="-5"/>
          <w:sz w:val="21"/>
        </w:rPr>
        <w:t>同</w:t>
      </w:r>
      <w:r>
        <w:rPr>
          <w:sz w:val="21"/>
        </w:rPr>
        <w:t>次日起</w:t>
      </w:r>
      <w:r>
        <w:rPr>
          <w:spacing w:val="-5"/>
          <w:sz w:val="21"/>
        </w:rPr>
        <w:t>十</w:t>
      </w:r>
      <w:r>
        <w:rPr>
          <w:sz w:val="21"/>
        </w:rPr>
        <w:t>日(即犹</w:t>
      </w:r>
      <w:r>
        <w:rPr>
          <w:spacing w:val="-5"/>
          <w:sz w:val="21"/>
        </w:rPr>
        <w:t>豫</w:t>
      </w:r>
      <w:r>
        <w:rPr>
          <w:sz w:val="21"/>
        </w:rPr>
        <w:t>期)内</w:t>
      </w:r>
      <w:r>
        <w:rPr>
          <w:spacing w:val="-5"/>
          <w:sz w:val="21"/>
        </w:rPr>
        <w:t>您</w:t>
      </w:r>
      <w:r>
        <w:rPr>
          <w:sz w:val="21"/>
        </w:rPr>
        <w:t>可以要</w:t>
      </w:r>
      <w:r>
        <w:rPr>
          <w:spacing w:val="-5"/>
          <w:sz w:val="21"/>
        </w:rPr>
        <w:t>求</w:t>
      </w:r>
      <w:r>
        <w:rPr>
          <w:sz w:val="21"/>
        </w:rPr>
        <w:t>退</w:t>
      </w:r>
      <w:r>
        <w:rPr>
          <w:spacing w:val="-5"/>
          <w:sz w:val="21"/>
        </w:rPr>
        <w:t>还</w:t>
      </w:r>
      <w:r>
        <w:rPr>
          <w:sz w:val="21"/>
        </w:rPr>
        <w:t>扣除工本</w:t>
      </w:r>
      <w:r>
        <w:rPr>
          <w:spacing w:val="-5"/>
          <w:sz w:val="21"/>
        </w:rPr>
        <w:t>费</w:t>
      </w:r>
      <w:r>
        <w:rPr>
          <w:sz w:val="21"/>
        </w:rPr>
        <w:t>外的全</w:t>
      </w:r>
      <w:r>
        <w:rPr>
          <w:spacing w:val="-5"/>
          <w:sz w:val="21"/>
        </w:rPr>
        <w:t>部</w:t>
      </w:r>
      <w:r>
        <w:rPr>
          <w:sz w:val="21"/>
        </w:rPr>
        <w:t>保险费</w:t>
        <w:tab/>
      </w:r>
      <w:r>
        <w:rPr>
          <w:rFonts w:ascii="宋体" w:eastAsia="宋体" w:hint="eastAsia"/>
          <w:sz w:val="21"/>
        </w:rPr>
        <w:t>1.4</w:t>
      </w:r>
    </w:p>
    <w:p>
      <w:pPr>
        <w:pStyle w:val="ListParagraph"/>
        <w:numPr>
          <w:ilvl w:val="0"/>
          <w:numId w:val="7"/>
        </w:numPr>
        <w:tabs>
          <w:tab w:pos="1635" w:val="left" w:leader="none"/>
          <w:tab w:pos="1636" w:val="left" w:leader="none"/>
          <w:tab w:pos="10148" w:val="right" w:leader="dot"/>
        </w:tabs>
        <w:spacing w:line="240" w:lineRule="auto" w:before="21" w:after="0"/>
        <w:ind w:left="1635" w:right="0" w:hanging="418"/>
        <w:jc w:val="left"/>
        <w:rPr>
          <w:sz w:val="21"/>
        </w:rPr>
      </w:pPr>
      <w:r>
        <w:rPr>
          <w:sz w:val="21"/>
        </w:rPr>
        <w:t>被保险人</w:t>
      </w:r>
      <w:r>
        <w:rPr>
          <w:spacing w:val="-5"/>
          <w:sz w:val="21"/>
        </w:rPr>
        <w:t>可</w:t>
      </w:r>
      <w:r>
        <w:rPr>
          <w:sz w:val="21"/>
        </w:rPr>
        <w:t>以享受</w:t>
      </w:r>
      <w:r>
        <w:rPr>
          <w:spacing w:val="-5"/>
          <w:sz w:val="21"/>
        </w:rPr>
        <w:t>本</w:t>
      </w:r>
      <w:r>
        <w:rPr>
          <w:sz w:val="21"/>
        </w:rPr>
        <w:t>合同提</w:t>
      </w:r>
      <w:r>
        <w:rPr>
          <w:spacing w:val="-4"/>
          <w:sz w:val="21"/>
        </w:rPr>
        <w:t>供</w:t>
      </w:r>
      <w:r>
        <w:rPr>
          <w:sz w:val="21"/>
        </w:rPr>
        <w:t>的保障</w:t>
        <w:tab/>
        <w:t>2.1</w:t>
      </w:r>
    </w:p>
    <w:p>
      <w:pPr>
        <w:pStyle w:val="ListParagraph"/>
        <w:numPr>
          <w:ilvl w:val="0"/>
          <w:numId w:val="7"/>
        </w:numPr>
        <w:tabs>
          <w:tab w:pos="1635" w:val="left" w:leader="none"/>
          <w:tab w:pos="1636" w:val="left" w:leader="none"/>
          <w:tab w:pos="10145" w:val="right" w:leader="dot"/>
        </w:tabs>
        <w:spacing w:line="240" w:lineRule="auto" w:before="22" w:after="0"/>
        <w:ind w:left="1635" w:right="0" w:hanging="418"/>
        <w:jc w:val="left"/>
        <w:rPr>
          <w:rFonts w:ascii="宋体" w:eastAsia="宋体" w:hint="eastAsia"/>
          <w:sz w:val="21"/>
        </w:rPr>
      </w:pPr>
      <w:r>
        <w:rPr>
          <w:sz w:val="21"/>
        </w:rPr>
        <w:t>您有解除</w:t>
      </w:r>
      <w:r>
        <w:rPr>
          <w:spacing w:val="-5"/>
          <w:sz w:val="21"/>
        </w:rPr>
        <w:t>合</w:t>
      </w:r>
      <w:r>
        <w:rPr>
          <w:sz w:val="21"/>
        </w:rPr>
        <w:t>同的权利</w:t>
        <w:tab/>
      </w:r>
      <w:r>
        <w:rPr>
          <w:rFonts w:ascii="宋体" w:eastAsia="宋体" w:hint="eastAsia"/>
          <w:sz w:val="21"/>
        </w:rPr>
        <w:t>6.1</w:t>
      </w:r>
    </w:p>
    <w:p>
      <w:pPr>
        <w:spacing w:before="24"/>
        <w:ind w:left="242" w:right="0" w:firstLine="0"/>
        <w:jc w:val="left"/>
        <w:rPr>
          <w:rFonts w:ascii="宋体" w:hAnsi="宋体" w:eastAsia="宋体" w:hint="eastAsia"/>
          <w:b/>
          <w:sz w:val="21"/>
        </w:rPr>
      </w:pPr>
      <w:r>
        <w:rPr>
          <w:rFonts w:ascii="Arial" w:hAnsi="Arial" w:eastAsia="Arial"/>
          <w:b/>
          <w:w w:val="105"/>
          <w:position w:val="-11"/>
          <w:sz w:val="52"/>
        </w:rPr>
        <w:t></w:t>
      </w:r>
      <w:r>
        <w:rPr>
          <w:rFonts w:ascii="宋体" w:hAnsi="宋体" w:eastAsia="宋体" w:hint="eastAsia"/>
          <w:b/>
          <w:w w:val="105"/>
          <w:sz w:val="21"/>
        </w:rPr>
        <w:t>您应当特别注意的事项</w:t>
      </w:r>
    </w:p>
    <w:p>
      <w:pPr>
        <w:pStyle w:val="ListParagraph"/>
        <w:numPr>
          <w:ilvl w:val="0"/>
          <w:numId w:val="7"/>
        </w:numPr>
        <w:tabs>
          <w:tab w:pos="1635" w:val="left" w:leader="none"/>
          <w:tab w:pos="1636" w:val="left" w:leader="none"/>
          <w:tab w:pos="10148" w:val="right" w:leader="dot"/>
        </w:tabs>
        <w:spacing w:line="240" w:lineRule="auto" w:before="23" w:after="0"/>
        <w:ind w:left="1635" w:right="0" w:hanging="418"/>
        <w:jc w:val="left"/>
        <w:rPr>
          <w:sz w:val="21"/>
        </w:rPr>
      </w:pPr>
      <w:r>
        <w:rPr>
          <w:sz w:val="21"/>
        </w:rPr>
        <w:t>在某些情</w:t>
      </w:r>
      <w:r>
        <w:rPr>
          <w:spacing w:val="-5"/>
          <w:sz w:val="21"/>
        </w:rPr>
        <w:t>况</w:t>
      </w:r>
      <w:r>
        <w:rPr>
          <w:sz w:val="21"/>
        </w:rPr>
        <w:t>下，本</w:t>
      </w:r>
      <w:r>
        <w:rPr>
          <w:spacing w:val="-5"/>
          <w:sz w:val="21"/>
        </w:rPr>
        <w:t>公</w:t>
      </w:r>
      <w:r>
        <w:rPr>
          <w:sz w:val="21"/>
        </w:rPr>
        <w:t>司不承</w:t>
      </w:r>
      <w:r>
        <w:rPr>
          <w:spacing w:val="-5"/>
          <w:sz w:val="21"/>
        </w:rPr>
        <w:t>担</w:t>
      </w:r>
      <w:r>
        <w:rPr>
          <w:sz w:val="21"/>
        </w:rPr>
        <w:t>保险责任</w:t>
        <w:tab/>
        <w:t>2.2</w:t>
      </w:r>
    </w:p>
    <w:p>
      <w:pPr>
        <w:pStyle w:val="ListParagraph"/>
        <w:numPr>
          <w:ilvl w:val="0"/>
          <w:numId w:val="7"/>
        </w:numPr>
        <w:tabs>
          <w:tab w:pos="1635" w:val="left" w:leader="none"/>
          <w:tab w:pos="1636" w:val="left" w:leader="none"/>
          <w:tab w:pos="10148" w:val="right" w:leader="dot"/>
        </w:tabs>
        <w:spacing w:line="240" w:lineRule="auto" w:before="22" w:after="0"/>
        <w:ind w:left="1635" w:right="0" w:hanging="418"/>
        <w:jc w:val="left"/>
        <w:rPr>
          <w:sz w:val="21"/>
        </w:rPr>
      </w:pPr>
      <w:r>
        <w:rPr>
          <w:sz w:val="21"/>
        </w:rPr>
        <w:t>保险事故</w:t>
      </w:r>
      <w:r>
        <w:rPr>
          <w:spacing w:val="-5"/>
          <w:sz w:val="21"/>
        </w:rPr>
        <w:t>发</w:t>
      </w:r>
      <w:r>
        <w:rPr>
          <w:sz w:val="21"/>
        </w:rPr>
        <w:t>生后请</w:t>
      </w:r>
      <w:r>
        <w:rPr>
          <w:spacing w:val="-5"/>
          <w:sz w:val="21"/>
        </w:rPr>
        <w:t>您</w:t>
      </w:r>
      <w:r>
        <w:rPr>
          <w:sz w:val="21"/>
        </w:rPr>
        <w:t>及时通</w:t>
      </w:r>
      <w:r>
        <w:rPr>
          <w:spacing w:val="-5"/>
          <w:sz w:val="21"/>
        </w:rPr>
        <w:t>知</w:t>
      </w:r>
      <w:r>
        <w:rPr>
          <w:sz w:val="21"/>
        </w:rPr>
        <w:t>本公司</w:t>
        <w:tab/>
        <w:t>3.2</w:t>
      </w:r>
    </w:p>
    <w:p>
      <w:pPr>
        <w:pStyle w:val="ListParagraph"/>
        <w:numPr>
          <w:ilvl w:val="0"/>
          <w:numId w:val="7"/>
        </w:numPr>
        <w:tabs>
          <w:tab w:pos="1635" w:val="left" w:leader="none"/>
          <w:tab w:pos="1636" w:val="left" w:leader="none"/>
          <w:tab w:pos="10148" w:val="right" w:leader="dot"/>
        </w:tabs>
        <w:spacing w:line="240" w:lineRule="auto" w:before="22" w:after="0"/>
        <w:ind w:left="1635" w:right="0" w:hanging="418"/>
        <w:jc w:val="left"/>
        <w:rPr>
          <w:sz w:val="21"/>
        </w:rPr>
      </w:pPr>
      <w:r>
        <w:rPr>
          <w:sz w:val="21"/>
        </w:rPr>
        <w:t>您如何交</w:t>
      </w:r>
      <w:r>
        <w:rPr>
          <w:spacing w:val="-5"/>
          <w:sz w:val="21"/>
        </w:rPr>
        <w:t>纳</w:t>
      </w:r>
      <w:r>
        <w:rPr>
          <w:sz w:val="21"/>
        </w:rPr>
        <w:t>保险费</w:t>
        <w:tab/>
        <w:t>4.1</w:t>
      </w:r>
    </w:p>
    <w:p>
      <w:pPr>
        <w:pStyle w:val="ListParagraph"/>
        <w:numPr>
          <w:ilvl w:val="0"/>
          <w:numId w:val="7"/>
        </w:numPr>
        <w:tabs>
          <w:tab w:pos="1635" w:val="left" w:leader="none"/>
          <w:tab w:pos="1636" w:val="left" w:leader="none"/>
          <w:tab w:pos="10145" w:val="right" w:leader="dot"/>
        </w:tabs>
        <w:spacing w:line="240" w:lineRule="auto" w:before="23" w:after="0"/>
        <w:ind w:left="1635" w:right="0" w:hanging="418"/>
        <w:jc w:val="left"/>
        <w:rPr>
          <w:rFonts w:ascii="宋体" w:eastAsia="宋体" w:hint="eastAsia"/>
          <w:sz w:val="21"/>
        </w:rPr>
      </w:pPr>
      <w:r>
        <w:rPr>
          <w:sz w:val="21"/>
        </w:rPr>
        <w:t>您有如实</w:t>
      </w:r>
      <w:r>
        <w:rPr>
          <w:spacing w:val="-5"/>
          <w:sz w:val="21"/>
        </w:rPr>
        <w:t>告</w:t>
      </w:r>
      <w:r>
        <w:rPr>
          <w:sz w:val="21"/>
        </w:rPr>
        <w:t>知的义务</w:t>
        <w:tab/>
      </w:r>
      <w:r>
        <w:rPr>
          <w:rFonts w:ascii="宋体" w:eastAsia="宋体" w:hint="eastAsia"/>
          <w:sz w:val="21"/>
        </w:rPr>
        <w:t>7.1</w:t>
      </w:r>
    </w:p>
    <w:p>
      <w:pPr>
        <w:pStyle w:val="ListParagraph"/>
        <w:numPr>
          <w:ilvl w:val="0"/>
          <w:numId w:val="7"/>
        </w:numPr>
        <w:tabs>
          <w:tab w:pos="1635" w:val="left" w:leader="none"/>
          <w:tab w:pos="1636" w:val="left" w:leader="none"/>
          <w:tab w:pos="9937" w:val="right" w:leader="dot"/>
        </w:tabs>
        <w:spacing w:line="240" w:lineRule="auto" w:before="22" w:after="0"/>
        <w:ind w:left="1635" w:right="0" w:hanging="418"/>
        <w:jc w:val="left"/>
        <w:rPr>
          <w:sz w:val="21"/>
        </w:rPr>
      </w:pPr>
      <w:r>
        <w:rPr>
          <w:sz w:val="21"/>
        </w:rPr>
        <w:t>本公司对</w:t>
      </w:r>
      <w:r>
        <w:rPr>
          <w:spacing w:val="-5"/>
          <w:sz w:val="21"/>
        </w:rPr>
        <w:t>一</w:t>
      </w:r>
      <w:r>
        <w:rPr>
          <w:sz w:val="21"/>
        </w:rPr>
        <w:t>些重要</w:t>
      </w:r>
      <w:r>
        <w:rPr>
          <w:spacing w:val="-5"/>
          <w:sz w:val="21"/>
        </w:rPr>
        <w:t>术</w:t>
      </w:r>
      <w:r>
        <w:rPr>
          <w:sz w:val="21"/>
        </w:rPr>
        <w:t>语进行</w:t>
      </w:r>
      <w:r>
        <w:rPr>
          <w:spacing w:val="-5"/>
          <w:sz w:val="21"/>
        </w:rPr>
        <w:t>了</w:t>
      </w:r>
      <w:r>
        <w:rPr>
          <w:sz w:val="21"/>
        </w:rPr>
        <w:t>解释，</w:t>
      </w:r>
      <w:r>
        <w:rPr>
          <w:spacing w:val="-5"/>
          <w:sz w:val="21"/>
        </w:rPr>
        <w:t>并</w:t>
      </w:r>
      <w:r>
        <w:rPr>
          <w:sz w:val="21"/>
        </w:rPr>
        <w:t>作了显</w:t>
      </w:r>
      <w:r>
        <w:rPr>
          <w:spacing w:val="-5"/>
          <w:sz w:val="21"/>
        </w:rPr>
        <w:t>著</w:t>
      </w:r>
      <w:r>
        <w:rPr>
          <w:sz w:val="21"/>
        </w:rPr>
        <w:t>标</w:t>
      </w:r>
      <w:r>
        <w:rPr>
          <w:spacing w:val="-5"/>
          <w:sz w:val="21"/>
        </w:rPr>
        <w:t>识</w:t>
      </w:r>
      <w:r>
        <w:rPr>
          <w:sz w:val="21"/>
        </w:rPr>
        <w:t>，请您注意</w:t>
        <w:tab/>
        <w:t>8</w:t>
      </w:r>
    </w:p>
    <w:p>
      <w:pPr>
        <w:spacing w:before="24"/>
        <w:ind w:left="242" w:right="0" w:firstLine="0"/>
        <w:jc w:val="left"/>
        <w:rPr>
          <w:rFonts w:ascii="宋体" w:hAnsi="宋体" w:eastAsia="宋体" w:hint="eastAsia"/>
          <w:b/>
          <w:sz w:val="21"/>
        </w:rPr>
      </w:pPr>
      <w:r>
        <w:rPr>
          <w:rFonts w:ascii="Arial" w:hAnsi="Arial" w:eastAsia="Arial"/>
          <w:b/>
          <w:position w:val="-11"/>
          <w:sz w:val="52"/>
        </w:rPr>
        <w:t></w:t>
      </w:r>
      <w:r>
        <w:rPr>
          <w:rFonts w:ascii="宋体" w:hAnsi="宋体" w:eastAsia="宋体" w:hint="eastAsia"/>
          <w:b/>
          <w:sz w:val="21"/>
        </w:rPr>
        <w:t>条款是保险合同的重要内容，为充分保障您的权益，请您仔细阅读本条款。</w:t>
      </w:r>
    </w:p>
    <w:p>
      <w:pPr>
        <w:spacing w:before="26"/>
        <w:ind w:left="242" w:right="0" w:firstLine="0"/>
        <w:jc w:val="left"/>
        <w:rPr>
          <w:rFonts w:ascii="宋体" w:hAnsi="宋体" w:eastAsia="宋体" w:hint="eastAsia"/>
          <w:b/>
          <w:sz w:val="21"/>
        </w:rPr>
      </w:pPr>
      <w:r>
        <w:rPr/>
        <w:pict>
          <v:shape style="position:absolute;margin-left:105.410004pt;margin-top:42.937546pt;width:373.3pt;height:319.150pt;mso-position-horizontal-relative:page;mso-position-vertical-relative:paragraph;z-index:-31720" type="#_x0000_t202" filled="false" stroked="false">
            <v:textbox inset="0,0,0,0">
              <w:txbxContent>
                <w:p>
                  <w:pPr>
                    <w:tabs>
                      <w:tab w:pos="4518" w:val="left" w:leader="none"/>
                    </w:tabs>
                    <w:spacing w:line="230" w:lineRule="exact" w:before="0"/>
                    <w:ind w:left="0" w:right="0" w:firstLine="0"/>
                    <w:jc w:val="left"/>
                    <w:rPr>
                      <w:b/>
                      <w:sz w:val="21"/>
                    </w:rPr>
                  </w:pPr>
                  <w:r>
                    <w:rPr>
                      <w:rFonts w:ascii="Times New Roman" w:eastAsia="Times New Roman"/>
                      <w:b/>
                      <w:sz w:val="21"/>
                    </w:rPr>
                    <w:t>1</w:t>
                  </w:r>
                  <w:r>
                    <w:rPr>
                      <w:b/>
                      <w:sz w:val="21"/>
                    </w:rPr>
                    <w:t>．投保人与本公司的合同</w:t>
                    <w:tab/>
                  </w:r>
                  <w:r>
                    <w:rPr>
                      <w:rFonts w:ascii="Times New Roman" w:eastAsia="Times New Roman"/>
                      <w:b/>
                      <w:spacing w:val="-1"/>
                      <w:sz w:val="21"/>
                    </w:rPr>
                    <w:t>6</w:t>
                  </w:r>
                  <w:r>
                    <w:rPr>
                      <w:b/>
                      <w:spacing w:val="-1"/>
                      <w:sz w:val="21"/>
                    </w:rPr>
                    <w:t>．</w:t>
                  </w:r>
                  <w:r>
                    <w:rPr>
                      <w:b/>
                      <w:sz w:val="21"/>
                    </w:rPr>
                    <w:t>其他需要关注的事项</w:t>
                  </w:r>
                </w:p>
                <w:p>
                  <w:pPr>
                    <w:pStyle w:val="BodyText"/>
                    <w:tabs>
                      <w:tab w:pos="4729" w:val="left" w:leader="none"/>
                    </w:tabs>
                    <w:spacing w:line="271" w:lineRule="exact"/>
                    <w:ind w:left="211"/>
                  </w:pPr>
                  <w:r>
                    <w:rPr/>
                    <w:t>1.1</w:t>
                  </w:r>
                  <w:r>
                    <w:rPr>
                      <w:spacing w:val="1"/>
                    </w:rPr>
                    <w:t> </w:t>
                  </w:r>
                  <w:r>
                    <w:rPr/>
                    <w:t>合同</w:t>
                  </w:r>
                  <w:r>
                    <w:rPr>
                      <w:spacing w:val="-5"/>
                    </w:rPr>
                    <w:t>构</w:t>
                  </w:r>
                  <w:r>
                    <w:rPr/>
                    <w:t>成</w:t>
                    <w:tab/>
                    <w:t>6.1</w:t>
                  </w:r>
                  <w:r>
                    <w:rPr>
                      <w:spacing w:val="6"/>
                    </w:rPr>
                    <w:t> </w:t>
                  </w:r>
                  <w:r>
                    <w:rPr/>
                    <w:t>如实</w:t>
                  </w:r>
                  <w:r>
                    <w:rPr>
                      <w:spacing w:val="-5"/>
                    </w:rPr>
                    <w:t>告</w:t>
                  </w:r>
                  <w:r>
                    <w:rPr/>
                    <w:t>知</w:t>
                  </w:r>
                </w:p>
                <w:p>
                  <w:pPr>
                    <w:pStyle w:val="BodyText"/>
                    <w:tabs>
                      <w:tab w:pos="4729" w:val="left" w:leader="none"/>
                    </w:tabs>
                    <w:spacing w:before="3"/>
                    <w:ind w:left="211"/>
                  </w:pPr>
                  <w:r>
                    <w:rPr/>
                    <w:t>1.2</w:t>
                  </w:r>
                  <w:r>
                    <w:rPr>
                      <w:spacing w:val="1"/>
                    </w:rPr>
                    <w:t> </w:t>
                  </w:r>
                  <w:r>
                    <w:rPr/>
                    <w:t>合同</w:t>
                  </w:r>
                  <w:r>
                    <w:rPr>
                      <w:spacing w:val="-5"/>
                    </w:rPr>
                    <w:t>生</w:t>
                  </w:r>
                  <w:r>
                    <w:rPr/>
                    <w:t>效</w:t>
                    <w:tab/>
                    <w:t>6.2</w:t>
                  </w:r>
                  <w:r>
                    <w:rPr>
                      <w:spacing w:val="8"/>
                    </w:rPr>
                    <w:t> </w:t>
                  </w:r>
                  <w:r>
                    <w:rPr/>
                    <w:t>被保</w:t>
                  </w:r>
                  <w:r>
                    <w:rPr>
                      <w:spacing w:val="-5"/>
                    </w:rPr>
                    <w:t>险</w:t>
                  </w:r>
                  <w:r>
                    <w:rPr/>
                    <w:t>人变动</w:t>
                  </w:r>
                </w:p>
                <w:p>
                  <w:pPr>
                    <w:pStyle w:val="BodyText"/>
                    <w:tabs>
                      <w:tab w:pos="4729" w:val="left" w:leader="none"/>
                    </w:tabs>
                    <w:spacing w:before="3"/>
                    <w:ind w:left="211"/>
                  </w:pPr>
                  <w:r>
                    <w:rPr/>
                    <w:t>1.3</w:t>
                  </w:r>
                  <w:r>
                    <w:rPr>
                      <w:spacing w:val="1"/>
                    </w:rPr>
                    <w:t> </w:t>
                  </w:r>
                  <w:r>
                    <w:rPr/>
                    <w:t>投保</w:t>
                  </w:r>
                  <w:r>
                    <w:rPr>
                      <w:spacing w:val="-5"/>
                    </w:rPr>
                    <w:t>年</w:t>
                  </w:r>
                  <w:r>
                    <w:rPr/>
                    <w:t>龄</w:t>
                    <w:tab/>
                    <w:t>6.3</w:t>
                  </w:r>
                  <w:r>
                    <w:rPr>
                      <w:spacing w:val="8"/>
                    </w:rPr>
                    <w:t> </w:t>
                  </w:r>
                  <w:r>
                    <w:rPr/>
                    <w:t>合同</w:t>
                  </w:r>
                  <w:r>
                    <w:rPr>
                      <w:spacing w:val="-5"/>
                    </w:rPr>
                    <w:t>内</w:t>
                  </w:r>
                  <w:r>
                    <w:rPr/>
                    <w:t>容变更</w:t>
                  </w:r>
                </w:p>
                <w:p>
                  <w:pPr>
                    <w:pStyle w:val="BodyText"/>
                    <w:spacing w:before="8"/>
                    <w:ind w:left="4729"/>
                  </w:pPr>
                  <w:r>
                    <w:rPr/>
                    <w:t>6.4 地址变更</w:t>
                  </w:r>
                </w:p>
                <w:p>
                  <w:pPr>
                    <w:tabs>
                      <w:tab w:pos="4729" w:val="left" w:leader="none"/>
                    </w:tabs>
                    <w:spacing w:line="285" w:lineRule="exact" w:before="3"/>
                    <w:ind w:left="0" w:right="0" w:firstLine="0"/>
                    <w:jc w:val="left"/>
                    <w:rPr>
                      <w:sz w:val="21"/>
                    </w:rPr>
                  </w:pPr>
                  <w:r>
                    <w:rPr>
                      <w:rFonts w:ascii="Times New Roman" w:eastAsia="Times New Roman"/>
                      <w:b/>
                      <w:sz w:val="21"/>
                    </w:rPr>
                    <w:t>2</w:t>
                  </w:r>
                  <w:r>
                    <w:rPr>
                      <w:b/>
                      <w:sz w:val="21"/>
                    </w:rPr>
                    <w:t>．本公司提供的保障</w:t>
                    <w:tab/>
                  </w:r>
                  <w:r>
                    <w:rPr>
                      <w:sz w:val="21"/>
                    </w:rPr>
                    <w:t>6.5</w:t>
                  </w:r>
                  <w:r>
                    <w:rPr>
                      <w:spacing w:val="6"/>
                      <w:sz w:val="21"/>
                    </w:rPr>
                    <w:t> </w:t>
                  </w:r>
                  <w:r>
                    <w:rPr>
                      <w:sz w:val="21"/>
                    </w:rPr>
                    <w:t>争议</w:t>
                  </w:r>
                  <w:r>
                    <w:rPr>
                      <w:spacing w:val="-5"/>
                      <w:sz w:val="21"/>
                    </w:rPr>
                    <w:t>处</w:t>
                  </w:r>
                  <w:r>
                    <w:rPr>
                      <w:sz w:val="21"/>
                    </w:rPr>
                    <w:t>理</w:t>
                  </w:r>
                </w:p>
                <w:p>
                  <w:pPr>
                    <w:pStyle w:val="BodyText"/>
                    <w:spacing w:line="269" w:lineRule="exact"/>
                    <w:ind w:left="211"/>
                  </w:pPr>
                  <w:r>
                    <w:rPr/>
                    <w:t>2.1 保险责任</w:t>
                  </w:r>
                </w:p>
                <w:p>
                  <w:pPr>
                    <w:tabs>
                      <w:tab w:pos="4518" w:val="left" w:leader="none"/>
                    </w:tabs>
                    <w:spacing w:line="285" w:lineRule="exact" w:before="9"/>
                    <w:ind w:left="211" w:right="0" w:firstLine="0"/>
                    <w:jc w:val="left"/>
                    <w:rPr>
                      <w:b/>
                      <w:sz w:val="21"/>
                    </w:rPr>
                  </w:pPr>
                  <w:r>
                    <w:rPr>
                      <w:sz w:val="21"/>
                    </w:rPr>
                    <w:t>2.2</w:t>
                  </w:r>
                  <w:r>
                    <w:rPr>
                      <w:spacing w:val="1"/>
                      <w:sz w:val="21"/>
                    </w:rPr>
                    <w:t> </w:t>
                  </w:r>
                  <w:r>
                    <w:rPr>
                      <w:sz w:val="21"/>
                    </w:rPr>
                    <w:t>责任</w:t>
                  </w:r>
                  <w:r>
                    <w:rPr>
                      <w:spacing w:val="-5"/>
                      <w:sz w:val="21"/>
                    </w:rPr>
                    <w:t>免</w:t>
                  </w:r>
                  <w:r>
                    <w:rPr>
                      <w:sz w:val="21"/>
                    </w:rPr>
                    <w:t>除</w:t>
                    <w:tab/>
                  </w:r>
                  <w:r>
                    <w:rPr>
                      <w:rFonts w:ascii="Times New Roman" w:eastAsia="Times New Roman"/>
                      <w:b/>
                      <w:spacing w:val="-1"/>
                      <w:sz w:val="21"/>
                    </w:rPr>
                    <w:t>7</w:t>
                  </w:r>
                  <w:r>
                    <w:rPr>
                      <w:b/>
                      <w:spacing w:val="-1"/>
                      <w:sz w:val="21"/>
                    </w:rPr>
                    <w:t>．</w:t>
                  </w:r>
                  <w:r>
                    <w:rPr>
                      <w:b/>
                      <w:sz w:val="21"/>
                    </w:rPr>
                    <w:t>释义</w:t>
                  </w:r>
                </w:p>
                <w:p>
                  <w:pPr>
                    <w:pStyle w:val="BodyText"/>
                    <w:tabs>
                      <w:tab w:pos="4729" w:val="left" w:leader="none"/>
                    </w:tabs>
                    <w:spacing w:line="269" w:lineRule="exact"/>
                    <w:ind w:left="211"/>
                  </w:pPr>
                  <w:r>
                    <w:rPr/>
                    <w:t>2.3</w:t>
                  </w:r>
                  <w:r>
                    <w:rPr>
                      <w:spacing w:val="1"/>
                    </w:rPr>
                    <w:t> </w:t>
                  </w:r>
                  <w:r>
                    <w:rPr/>
                    <w:t>保险</w:t>
                  </w:r>
                  <w:r>
                    <w:rPr>
                      <w:spacing w:val="-5"/>
                    </w:rPr>
                    <w:t>期</w:t>
                  </w:r>
                  <w:r>
                    <w:rPr/>
                    <w:t>间</w:t>
                    <w:tab/>
                    <w:t>7.1</w:t>
                  </w:r>
                  <w:r>
                    <w:rPr>
                      <w:spacing w:val="5"/>
                    </w:rPr>
                    <w:t> </w:t>
                  </w:r>
                  <w:r>
                    <w:rPr/>
                    <w:t>本公司</w:t>
                  </w:r>
                </w:p>
                <w:p>
                  <w:pPr>
                    <w:pStyle w:val="BodyText"/>
                    <w:tabs>
                      <w:tab w:pos="4729" w:val="left" w:leader="none"/>
                    </w:tabs>
                    <w:spacing w:before="3"/>
                    <w:ind w:left="211"/>
                  </w:pPr>
                  <w:r>
                    <w:rPr/>
                    <w:t>2.4</w:t>
                  </w:r>
                  <w:r>
                    <w:rPr>
                      <w:spacing w:val="1"/>
                    </w:rPr>
                    <w:t> </w:t>
                  </w:r>
                  <w:r>
                    <w:rPr/>
                    <w:t>保险</w:t>
                  </w:r>
                  <w:r>
                    <w:rPr>
                      <w:spacing w:val="-5"/>
                    </w:rPr>
                    <w:t>金</w:t>
                  </w:r>
                  <w:r>
                    <w:rPr/>
                    <w:t>额</w:t>
                    <w:tab/>
                    <w:t>7.2</w:t>
                  </w:r>
                  <w:r>
                    <w:rPr>
                      <w:spacing w:val="5"/>
                    </w:rPr>
                    <w:t> </w:t>
                  </w:r>
                  <w:r>
                    <w:rPr/>
                    <w:t>周岁</w:t>
                  </w:r>
                </w:p>
                <w:p>
                  <w:pPr>
                    <w:pStyle w:val="BodyText"/>
                    <w:spacing w:before="8"/>
                    <w:ind w:left="4729"/>
                  </w:pPr>
                  <w:r>
                    <w:rPr/>
                    <w:t>7.3 在职人员</w:t>
                  </w:r>
                </w:p>
                <w:p>
                  <w:pPr>
                    <w:tabs>
                      <w:tab w:pos="4729" w:val="left" w:leader="none"/>
                    </w:tabs>
                    <w:spacing w:line="285" w:lineRule="exact" w:before="4"/>
                    <w:ind w:left="0" w:right="0" w:firstLine="0"/>
                    <w:jc w:val="left"/>
                    <w:rPr>
                      <w:sz w:val="21"/>
                    </w:rPr>
                  </w:pPr>
                  <w:r>
                    <w:rPr>
                      <w:rFonts w:ascii="Times New Roman" w:eastAsia="Times New Roman"/>
                      <w:b/>
                      <w:sz w:val="21"/>
                    </w:rPr>
                    <w:t>3</w:t>
                  </w:r>
                  <w:r>
                    <w:rPr>
                      <w:b/>
                      <w:sz w:val="21"/>
                    </w:rPr>
                    <w:t>．如何申请领取保险金</w:t>
                    <w:tab/>
                  </w:r>
                  <w:r>
                    <w:rPr>
                      <w:sz w:val="21"/>
                    </w:rPr>
                    <w:t>7.4</w:t>
                  </w:r>
                  <w:r>
                    <w:rPr>
                      <w:spacing w:val="5"/>
                      <w:sz w:val="21"/>
                    </w:rPr>
                    <w:t> </w:t>
                  </w:r>
                  <w:r>
                    <w:rPr>
                      <w:sz w:val="21"/>
                    </w:rPr>
                    <w:t>医院</w:t>
                  </w:r>
                </w:p>
                <w:p>
                  <w:pPr>
                    <w:pStyle w:val="BodyText"/>
                    <w:tabs>
                      <w:tab w:pos="4729" w:val="left" w:leader="none"/>
                    </w:tabs>
                    <w:spacing w:line="269" w:lineRule="exact"/>
                    <w:ind w:left="211"/>
                  </w:pPr>
                  <w:r>
                    <w:rPr/>
                    <w:t>3.1</w:t>
                  </w:r>
                  <w:r>
                    <w:rPr>
                      <w:spacing w:val="1"/>
                    </w:rPr>
                    <w:t> </w:t>
                  </w:r>
                  <w:r>
                    <w:rPr/>
                    <w:t>受益人</w:t>
                    <w:tab/>
                    <w:t>7.5</w:t>
                  </w:r>
                  <w:r>
                    <w:rPr>
                      <w:spacing w:val="5"/>
                    </w:rPr>
                    <w:t> </w:t>
                  </w:r>
                  <w:r>
                    <w:rPr/>
                    <w:t>斗殴</w:t>
                  </w:r>
                </w:p>
                <w:p>
                  <w:pPr>
                    <w:pStyle w:val="BodyText"/>
                    <w:tabs>
                      <w:tab w:pos="4729" w:val="left" w:leader="none"/>
                    </w:tabs>
                    <w:spacing w:before="8"/>
                    <w:ind w:left="211"/>
                  </w:pPr>
                  <w:r>
                    <w:rPr/>
                    <w:t>3.2</w:t>
                  </w:r>
                  <w:r>
                    <w:rPr>
                      <w:spacing w:val="2"/>
                    </w:rPr>
                    <w:t> </w:t>
                  </w:r>
                  <w:r>
                    <w:rPr/>
                    <w:t>保险</w:t>
                  </w:r>
                  <w:r>
                    <w:rPr>
                      <w:spacing w:val="-5"/>
                    </w:rPr>
                    <w:t>事</w:t>
                  </w:r>
                  <w:r>
                    <w:rPr/>
                    <w:t>故通知</w:t>
                    <w:tab/>
                    <w:t>7.6</w:t>
                  </w:r>
                  <w:r>
                    <w:rPr>
                      <w:spacing w:val="5"/>
                    </w:rPr>
                    <w:t> </w:t>
                  </w:r>
                  <w:r>
                    <w:rPr/>
                    <w:t>醉酒</w:t>
                  </w:r>
                </w:p>
                <w:p>
                  <w:pPr>
                    <w:pStyle w:val="BodyText"/>
                    <w:tabs>
                      <w:tab w:pos="4729" w:val="left" w:leader="none"/>
                    </w:tabs>
                    <w:spacing w:before="3"/>
                    <w:ind w:left="211"/>
                  </w:pPr>
                  <w:r>
                    <w:rPr/>
                    <w:t>3.3</w:t>
                  </w:r>
                  <w:r>
                    <w:rPr>
                      <w:spacing w:val="2"/>
                    </w:rPr>
                    <w:t> </w:t>
                  </w:r>
                  <w:r>
                    <w:rPr/>
                    <w:t>保险</w:t>
                  </w:r>
                  <w:r>
                    <w:rPr>
                      <w:spacing w:val="-5"/>
                    </w:rPr>
                    <w:t>金</w:t>
                  </w:r>
                  <w:r>
                    <w:rPr/>
                    <w:t>申请</w:t>
                    <w:tab/>
                    <w:t>7.7</w:t>
                  </w:r>
                  <w:r>
                    <w:rPr>
                      <w:spacing w:val="6"/>
                    </w:rPr>
                    <w:t> </w:t>
                  </w:r>
                  <w:r>
                    <w:rPr/>
                    <w:t>管制</w:t>
                  </w:r>
                  <w:r>
                    <w:rPr>
                      <w:spacing w:val="-5"/>
                    </w:rPr>
                    <w:t>药</w:t>
                  </w:r>
                  <w:r>
                    <w:rPr/>
                    <w:t>品</w:t>
                  </w:r>
                </w:p>
                <w:p>
                  <w:pPr>
                    <w:pStyle w:val="BodyText"/>
                    <w:tabs>
                      <w:tab w:pos="4729" w:val="left" w:leader="none"/>
                    </w:tabs>
                    <w:spacing w:before="3"/>
                    <w:ind w:left="211"/>
                  </w:pPr>
                  <w:r>
                    <w:rPr/>
                    <w:t>3.4</w:t>
                  </w:r>
                  <w:r>
                    <w:rPr>
                      <w:spacing w:val="2"/>
                    </w:rPr>
                    <w:t> </w:t>
                  </w:r>
                  <w:r>
                    <w:rPr/>
                    <w:t>保险</w:t>
                  </w:r>
                  <w:r>
                    <w:rPr>
                      <w:spacing w:val="-5"/>
                    </w:rPr>
                    <w:t>金</w:t>
                  </w:r>
                  <w:r>
                    <w:rPr/>
                    <w:t>给付</w:t>
                    <w:tab/>
                    <w:t>7.8</w:t>
                  </w:r>
                  <w:r>
                    <w:rPr>
                      <w:spacing w:val="15"/>
                    </w:rPr>
                    <w:t> </w:t>
                  </w:r>
                  <w:r>
                    <w:rPr/>
                    <w:t>感染</w:t>
                  </w:r>
                  <w:r>
                    <w:rPr>
                      <w:spacing w:val="-5"/>
                    </w:rPr>
                    <w:t>艾</w:t>
                  </w:r>
                  <w:r>
                    <w:rPr/>
                    <w:t>滋病病</w:t>
                  </w:r>
                  <w:r>
                    <w:rPr>
                      <w:spacing w:val="-5"/>
                    </w:rPr>
                    <w:t>毒</w:t>
                  </w:r>
                  <w:r>
                    <w:rPr/>
                    <w:t>或患艾滋</w:t>
                  </w:r>
                </w:p>
                <w:p>
                  <w:pPr>
                    <w:pStyle w:val="BodyText"/>
                    <w:tabs>
                      <w:tab w:pos="5147" w:val="left" w:leader="none"/>
                    </w:tabs>
                    <w:spacing w:before="7"/>
                    <w:ind w:left="211"/>
                  </w:pPr>
                  <w:r>
                    <w:rPr/>
                    <w:t>3.5</w:t>
                  </w:r>
                  <w:r>
                    <w:rPr>
                      <w:spacing w:val="3"/>
                    </w:rPr>
                    <w:t> </w:t>
                  </w:r>
                  <w:r>
                    <w:rPr/>
                    <w:t>保险</w:t>
                  </w:r>
                  <w:r>
                    <w:rPr>
                      <w:spacing w:val="-5"/>
                    </w:rPr>
                    <w:t>金</w:t>
                  </w:r>
                  <w:r>
                    <w:rPr/>
                    <w:t>申请时效</w:t>
                    <w:tab/>
                    <w:t>病</w:t>
                  </w:r>
                </w:p>
                <w:p>
                  <w:pPr>
                    <w:pStyle w:val="BodyText"/>
                    <w:spacing w:before="3"/>
                    <w:ind w:left="4729"/>
                  </w:pPr>
                  <w:r>
                    <w:rPr/>
                    <w:t>7.9 恐怖活动</w:t>
                  </w:r>
                </w:p>
                <w:p>
                  <w:pPr>
                    <w:tabs>
                      <w:tab w:pos="4729" w:val="left" w:leader="none"/>
                    </w:tabs>
                    <w:spacing w:line="287" w:lineRule="exact" w:before="4"/>
                    <w:ind w:left="0" w:right="0" w:firstLine="0"/>
                    <w:jc w:val="left"/>
                    <w:rPr>
                      <w:sz w:val="21"/>
                    </w:rPr>
                  </w:pPr>
                  <w:r>
                    <w:rPr>
                      <w:rFonts w:ascii="Times New Roman" w:eastAsia="Times New Roman"/>
                      <w:b/>
                      <w:sz w:val="21"/>
                    </w:rPr>
                    <w:t>4</w:t>
                  </w:r>
                  <w:r>
                    <w:rPr>
                      <w:b/>
                      <w:sz w:val="21"/>
                    </w:rPr>
                    <w:t>．如何缴纳保险费</w:t>
                    <w:tab/>
                  </w:r>
                  <w:r>
                    <w:rPr>
                      <w:sz w:val="21"/>
                    </w:rPr>
                    <w:t>7.10</w:t>
                  </w:r>
                  <w:r>
                    <w:rPr>
                      <w:spacing w:val="5"/>
                      <w:sz w:val="21"/>
                    </w:rPr>
                    <w:t> </w:t>
                  </w:r>
                  <w:r>
                    <w:rPr>
                      <w:sz w:val="21"/>
                    </w:rPr>
                    <w:t>手续费</w:t>
                  </w:r>
                </w:p>
                <w:p>
                  <w:pPr>
                    <w:pStyle w:val="BodyText"/>
                    <w:tabs>
                      <w:tab w:pos="4729" w:val="left" w:leader="none"/>
                    </w:tabs>
                    <w:spacing w:line="271" w:lineRule="exact"/>
                    <w:ind w:left="211"/>
                  </w:pPr>
                  <w:r>
                    <w:rPr/>
                    <w:t>4.1</w:t>
                  </w:r>
                  <w:r>
                    <w:rPr>
                      <w:spacing w:val="1"/>
                    </w:rPr>
                    <w:t> </w:t>
                  </w:r>
                  <w:r>
                    <w:rPr/>
                    <w:t>保险费</w:t>
                    <w:tab/>
                    <w:t>7.11</w:t>
                  </w:r>
                  <w:r>
                    <w:rPr>
                      <w:spacing w:val="10"/>
                    </w:rPr>
                    <w:t> </w:t>
                  </w:r>
                  <w:r>
                    <w:rPr/>
                    <w:t>未满</w:t>
                  </w:r>
                  <w:r>
                    <w:rPr>
                      <w:spacing w:val="-5"/>
                    </w:rPr>
                    <w:t>期</w:t>
                  </w:r>
                  <w:r>
                    <w:rPr/>
                    <w:t>保险费</w:t>
                  </w:r>
                </w:p>
                <w:p>
                  <w:pPr>
                    <w:pStyle w:val="BodyText"/>
                    <w:spacing w:before="3"/>
                    <w:ind w:left="4729"/>
                  </w:pPr>
                  <w:r>
                    <w:rPr/>
                    <w:t>7.12 不可抗力</w:t>
                  </w:r>
                </w:p>
                <w:p>
                  <w:pPr>
                    <w:spacing w:line="287" w:lineRule="exact" w:before="3"/>
                    <w:ind w:left="0" w:right="0" w:firstLine="0"/>
                    <w:jc w:val="left"/>
                    <w:rPr>
                      <w:b/>
                      <w:sz w:val="21"/>
                    </w:rPr>
                  </w:pPr>
                  <w:r>
                    <w:rPr>
                      <w:rFonts w:ascii="Times New Roman" w:eastAsia="Times New Roman"/>
                      <w:b/>
                      <w:sz w:val="21"/>
                    </w:rPr>
                    <w:t>5</w:t>
                  </w:r>
                  <w:r>
                    <w:rPr>
                      <w:b/>
                      <w:sz w:val="21"/>
                    </w:rPr>
                    <w:t>．如何解除保险合同</w:t>
                  </w:r>
                </w:p>
                <w:p>
                  <w:pPr>
                    <w:pStyle w:val="BodyText"/>
                    <w:spacing w:line="271" w:lineRule="exact"/>
                    <w:ind w:left="211"/>
                  </w:pPr>
                  <w:r>
                    <w:rPr/>
                    <w:t>5.1 合同解除</w:t>
                  </w:r>
                </w:p>
              </w:txbxContent>
            </v:textbox>
            <w10:wrap type="none"/>
          </v:shape>
        </w:pict>
      </w:r>
      <w:r>
        <w:rPr/>
        <w:pict>
          <v:shape style="position:absolute;margin-left:398.059998pt;margin-top:40.632702pt;width:137.85pt;height:94.6pt;mso-position-horizontal-relative:page;mso-position-vertical-relative:paragraph;z-index:-31672" type="#_x0000_t202" filled="false" stroked="false">
            <v:textbox inset="0,0,0,0">
              <w:txbxContent>
                <w:p>
                  <w:pPr>
                    <w:pStyle w:val="BodyText"/>
                    <w:numPr>
                      <w:ilvl w:val="1"/>
                      <w:numId w:val="8"/>
                    </w:numPr>
                    <w:tabs>
                      <w:tab w:pos="528" w:val="left" w:leader="none"/>
                      <w:tab w:pos="529" w:val="left" w:leader="none"/>
                    </w:tabs>
                    <w:spacing w:line="211" w:lineRule="exact" w:before="0" w:after="0"/>
                    <w:ind w:left="528" w:right="0" w:hanging="528"/>
                    <w:jc w:val="left"/>
                  </w:pPr>
                  <w:r>
                    <w:rPr/>
                    <w:t>醉酒</w:t>
                  </w:r>
                </w:p>
                <w:p>
                  <w:pPr>
                    <w:pStyle w:val="BodyText"/>
                    <w:numPr>
                      <w:ilvl w:val="1"/>
                      <w:numId w:val="8"/>
                    </w:numPr>
                    <w:tabs>
                      <w:tab w:pos="528" w:val="left" w:leader="none"/>
                      <w:tab w:pos="529" w:val="left" w:leader="none"/>
                    </w:tabs>
                    <w:spacing w:line="240" w:lineRule="auto" w:before="3" w:after="0"/>
                    <w:ind w:left="528" w:right="0" w:hanging="528"/>
                    <w:jc w:val="left"/>
                  </w:pPr>
                  <w:r>
                    <w:rPr/>
                    <w:t>斗殴</w:t>
                  </w:r>
                </w:p>
                <w:p>
                  <w:pPr>
                    <w:pStyle w:val="BodyText"/>
                    <w:numPr>
                      <w:ilvl w:val="1"/>
                      <w:numId w:val="8"/>
                    </w:numPr>
                    <w:tabs>
                      <w:tab w:pos="528" w:val="left" w:leader="none"/>
                      <w:tab w:pos="529" w:val="left" w:leader="none"/>
                    </w:tabs>
                    <w:spacing w:line="240" w:lineRule="auto" w:before="3" w:after="0"/>
                    <w:ind w:left="528" w:right="0" w:hanging="528"/>
                    <w:jc w:val="left"/>
                  </w:pPr>
                  <w:r>
                    <w:rPr/>
                    <w:t>毒品</w:t>
                  </w:r>
                </w:p>
                <w:p>
                  <w:pPr>
                    <w:pStyle w:val="BodyText"/>
                    <w:numPr>
                      <w:ilvl w:val="1"/>
                      <w:numId w:val="8"/>
                    </w:numPr>
                    <w:tabs>
                      <w:tab w:pos="634" w:val="left" w:leader="none"/>
                      <w:tab w:pos="635" w:val="left" w:leader="none"/>
                    </w:tabs>
                    <w:spacing w:line="240" w:lineRule="auto" w:before="8" w:after="0"/>
                    <w:ind w:left="634" w:right="0" w:hanging="634"/>
                    <w:jc w:val="left"/>
                  </w:pPr>
                  <w:r>
                    <w:rPr>
                      <w:spacing w:val="-2"/>
                    </w:rPr>
                    <w:t>管制药品</w:t>
                  </w:r>
                </w:p>
                <w:p>
                  <w:pPr>
                    <w:pStyle w:val="BodyText"/>
                    <w:numPr>
                      <w:ilvl w:val="1"/>
                      <w:numId w:val="8"/>
                    </w:numPr>
                    <w:tabs>
                      <w:tab w:pos="634" w:val="left" w:leader="none"/>
                      <w:tab w:pos="635" w:val="left" w:leader="none"/>
                    </w:tabs>
                    <w:spacing w:line="240" w:lineRule="auto" w:before="3" w:after="0"/>
                    <w:ind w:left="634" w:right="0" w:hanging="634"/>
                    <w:jc w:val="left"/>
                  </w:pPr>
                  <w:r>
                    <w:rPr>
                      <w:spacing w:val="-2"/>
                    </w:rPr>
                    <w:t>酒后驾驶</w:t>
                  </w:r>
                </w:p>
                <w:p>
                  <w:pPr>
                    <w:pStyle w:val="BodyText"/>
                    <w:numPr>
                      <w:ilvl w:val="1"/>
                      <w:numId w:val="8"/>
                    </w:numPr>
                    <w:tabs>
                      <w:tab w:pos="634" w:val="left" w:leader="none"/>
                      <w:tab w:pos="635" w:val="left" w:leader="none"/>
                    </w:tabs>
                    <w:spacing w:line="240" w:lineRule="auto" w:before="3" w:after="0"/>
                    <w:ind w:left="634" w:right="0" w:hanging="634"/>
                    <w:jc w:val="left"/>
                  </w:pPr>
                  <w:r>
                    <w:rPr>
                      <w:spacing w:val="-3"/>
                    </w:rPr>
                    <w:t>无合法有效驾驶证驾驶</w:t>
                  </w:r>
                </w:p>
                <w:p>
                  <w:pPr>
                    <w:pStyle w:val="BodyText"/>
                    <w:numPr>
                      <w:ilvl w:val="1"/>
                      <w:numId w:val="8"/>
                    </w:numPr>
                    <w:tabs>
                      <w:tab w:pos="634" w:val="left" w:leader="none"/>
                      <w:tab w:pos="635" w:val="left" w:leader="none"/>
                    </w:tabs>
                    <w:spacing w:line="240" w:lineRule="auto" w:before="7" w:after="0"/>
                    <w:ind w:left="634" w:right="0" w:hanging="634"/>
                    <w:jc w:val="left"/>
                  </w:pPr>
                  <w:r>
                    <w:rPr>
                      <w:spacing w:val="-2"/>
                    </w:rPr>
                    <w:t>无有效行驶证</w:t>
                  </w:r>
                </w:p>
              </w:txbxContent>
            </v:textbox>
            <w10:wrap type="none"/>
          </v:shape>
        </w:pict>
      </w:r>
      <w:r>
        <w:rPr/>
        <w:pict>
          <v:shape style="position:absolute;margin-left:225.220001pt;margin-top:118.8927pt;width:101.35pt;height:27.6pt;mso-position-horizontal-relative:page;mso-position-vertical-relative:paragraph;z-index:-31624" type="#_x0000_t202" filled="false" stroked="false">
            <v:textbox inset="0,0,0,0">
              <w:txbxContent>
                <w:p>
                  <w:pPr>
                    <w:spacing w:line="211" w:lineRule="exact" w:before="0"/>
                    <w:ind w:left="0" w:right="0" w:firstLine="0"/>
                    <w:jc w:val="left"/>
                    <w:rPr>
                      <w:b/>
                      <w:sz w:val="21"/>
                    </w:rPr>
                  </w:pPr>
                  <w:r>
                    <w:rPr>
                      <w:b/>
                      <w:sz w:val="21"/>
                    </w:rPr>
                    <w:t>6．如何解除保险合同</w:t>
                  </w:r>
                </w:p>
                <w:p>
                  <w:pPr>
                    <w:pStyle w:val="BodyText"/>
                    <w:spacing w:before="66"/>
                  </w:pPr>
                  <w:r>
                    <w:rPr/>
                    <w:t>6.1 合同解除</w:t>
                  </w:r>
                </w:p>
              </w:txbxContent>
            </v:textbox>
            <w10:wrap type="none"/>
          </v:shape>
        </w:pict>
      </w:r>
      <w:r>
        <w:rPr>
          <w:rFonts w:ascii="Arial" w:hAnsi="Arial" w:eastAsia="Arial"/>
          <w:b/>
          <w:w w:val="105"/>
          <w:position w:val="-11"/>
          <w:sz w:val="52"/>
        </w:rPr>
        <w:t></w:t>
      </w:r>
      <w:r>
        <w:rPr>
          <w:rFonts w:ascii="宋体" w:hAnsi="宋体" w:eastAsia="宋体" w:hint="eastAsia"/>
          <w:b/>
          <w:w w:val="105"/>
          <w:sz w:val="21"/>
        </w:rPr>
        <w:t>条款目录</w:t>
      </w:r>
    </w:p>
    <w:p>
      <w:pPr>
        <w:pStyle w:val="BodyText"/>
        <w:spacing w:before="3"/>
        <w:rPr>
          <w:rFonts w:ascii="宋体"/>
          <w:b/>
          <w:sz w:val="9"/>
        </w:rPr>
      </w:pPr>
      <w:r>
        <w:rPr/>
        <w:pict>
          <v:shape style="position:absolute;margin-left:84.264pt;margin-top:10.163347pt;width:122.45pt;height:73pt;mso-position-horizontal-relative:page;mso-position-vertical-relative:paragraph;z-index:0;mso-wrap-distance-left:0;mso-wrap-distance-right:0" type="#_x0000_t202" filled="false" stroked="false">
            <v:textbox inset="0,0,0,0">
              <w:txbxContent>
                <w:p>
                  <w:pPr>
                    <w:spacing w:line="211" w:lineRule="exact" w:before="0"/>
                    <w:ind w:left="0" w:right="0" w:firstLine="0"/>
                    <w:jc w:val="left"/>
                    <w:rPr>
                      <w:b/>
                      <w:sz w:val="21"/>
                    </w:rPr>
                  </w:pPr>
                  <w:r>
                    <w:rPr>
                      <w:b/>
                      <w:sz w:val="21"/>
                    </w:rPr>
                    <w:t>1．投保人与本公司的合同</w:t>
                  </w:r>
                </w:p>
                <w:p>
                  <w:pPr>
                    <w:pStyle w:val="BodyText"/>
                    <w:numPr>
                      <w:ilvl w:val="1"/>
                      <w:numId w:val="9"/>
                    </w:numPr>
                    <w:tabs>
                      <w:tab w:pos="423" w:val="left" w:leader="none"/>
                    </w:tabs>
                    <w:spacing w:line="240" w:lineRule="auto" w:before="37" w:after="0"/>
                    <w:ind w:left="422" w:right="0" w:hanging="422"/>
                    <w:jc w:val="left"/>
                  </w:pPr>
                  <w:r>
                    <w:rPr>
                      <w:spacing w:val="-2"/>
                    </w:rPr>
                    <w:t>合同构成</w:t>
                  </w:r>
                </w:p>
                <w:p>
                  <w:pPr>
                    <w:pStyle w:val="BodyText"/>
                    <w:numPr>
                      <w:ilvl w:val="1"/>
                      <w:numId w:val="9"/>
                    </w:numPr>
                    <w:tabs>
                      <w:tab w:pos="423" w:val="left" w:leader="none"/>
                    </w:tabs>
                    <w:spacing w:line="240" w:lineRule="auto" w:before="37" w:after="0"/>
                    <w:ind w:left="422" w:right="0" w:hanging="422"/>
                    <w:jc w:val="left"/>
                  </w:pPr>
                  <w:r>
                    <w:rPr>
                      <w:spacing w:val="-2"/>
                    </w:rPr>
                    <w:t>合同成立与生效</w:t>
                  </w:r>
                </w:p>
                <w:p>
                  <w:pPr>
                    <w:pStyle w:val="BodyText"/>
                    <w:numPr>
                      <w:ilvl w:val="1"/>
                      <w:numId w:val="9"/>
                    </w:numPr>
                    <w:tabs>
                      <w:tab w:pos="423" w:val="left" w:leader="none"/>
                    </w:tabs>
                    <w:spacing w:line="240" w:lineRule="auto" w:before="37" w:after="0"/>
                    <w:ind w:left="422" w:right="0" w:hanging="422"/>
                    <w:jc w:val="left"/>
                  </w:pPr>
                  <w:r>
                    <w:rPr>
                      <w:spacing w:val="-2"/>
                    </w:rPr>
                    <w:t>投保范围</w:t>
                  </w:r>
                </w:p>
                <w:p>
                  <w:pPr>
                    <w:pStyle w:val="BodyText"/>
                    <w:numPr>
                      <w:ilvl w:val="1"/>
                      <w:numId w:val="9"/>
                    </w:numPr>
                    <w:tabs>
                      <w:tab w:pos="423" w:val="left" w:leader="none"/>
                    </w:tabs>
                    <w:spacing w:line="240" w:lineRule="auto" w:before="37" w:after="0"/>
                    <w:ind w:left="422" w:right="0" w:hanging="422"/>
                    <w:jc w:val="left"/>
                  </w:pPr>
                  <w:r>
                    <w:rPr/>
                    <w:t>犹豫期</w:t>
                  </w:r>
                </w:p>
              </w:txbxContent>
            </v:textbox>
            <w10:wrap type="topAndBottom"/>
          </v:shape>
        </w:pict>
      </w:r>
      <w:r>
        <w:rPr/>
        <w:pict>
          <v:shape style="position:absolute;margin-left:225.220001pt;margin-top:7.245847pt;width:164.5pt;height:58.15pt;mso-position-horizontal-relative:page;mso-position-vertical-relative:paragraph;z-index:1048;mso-wrap-distance-left:0;mso-wrap-distance-right:0" type="#_x0000_t202" filled="false" stroked="false">
            <v:textbox inset="0,0,0,0">
              <w:txbxContent>
                <w:p>
                  <w:pPr>
                    <w:spacing w:line="252" w:lineRule="exact" w:before="0"/>
                    <w:ind w:left="0" w:right="0" w:firstLine="0"/>
                    <w:jc w:val="left"/>
                    <w:rPr>
                      <w:b/>
                      <w:sz w:val="21"/>
                    </w:rPr>
                  </w:pPr>
                  <w:r>
                    <w:rPr>
                      <w:rFonts w:ascii="Times New Roman" w:eastAsia="Times New Roman"/>
                      <w:b/>
                      <w:w w:val="95"/>
                      <w:sz w:val="21"/>
                    </w:rPr>
                    <w:t>5</w:t>
                  </w:r>
                  <w:r>
                    <w:rPr>
                      <w:b/>
                      <w:w w:val="95"/>
                      <w:sz w:val="21"/>
                    </w:rPr>
                    <w:t>．合同效力</w:t>
                  </w:r>
                  <w:r>
                    <w:rPr>
                      <w:b/>
                      <w:w w:val="95"/>
                      <w:sz w:val="24"/>
                    </w:rPr>
                    <w:t>的中止、恢复及</w:t>
                  </w:r>
                  <w:r>
                    <w:rPr>
                      <w:b/>
                      <w:w w:val="95"/>
                      <w:sz w:val="21"/>
                    </w:rPr>
                    <w:t>终止</w:t>
                  </w:r>
                </w:p>
                <w:p>
                  <w:pPr>
                    <w:pStyle w:val="BodyText"/>
                    <w:numPr>
                      <w:ilvl w:val="1"/>
                      <w:numId w:val="10"/>
                    </w:numPr>
                    <w:tabs>
                      <w:tab w:pos="423" w:val="left" w:leader="none"/>
                    </w:tabs>
                    <w:spacing w:line="240" w:lineRule="auto" w:before="11" w:after="0"/>
                    <w:ind w:left="422" w:right="0" w:hanging="422"/>
                    <w:jc w:val="left"/>
                  </w:pPr>
                  <w:r>
                    <w:rPr>
                      <w:spacing w:val="-2"/>
                    </w:rPr>
                    <w:t>效力中止</w:t>
                  </w:r>
                </w:p>
                <w:p>
                  <w:pPr>
                    <w:pStyle w:val="BodyText"/>
                    <w:numPr>
                      <w:ilvl w:val="1"/>
                      <w:numId w:val="10"/>
                    </w:numPr>
                    <w:tabs>
                      <w:tab w:pos="423" w:val="left" w:leader="none"/>
                    </w:tabs>
                    <w:spacing w:line="240" w:lineRule="auto" w:before="36" w:after="0"/>
                    <w:ind w:left="422" w:right="0" w:hanging="422"/>
                    <w:jc w:val="left"/>
                  </w:pPr>
                  <w:r>
                    <w:rPr>
                      <w:spacing w:val="-2"/>
                    </w:rPr>
                    <w:t>效力恢复</w:t>
                  </w:r>
                </w:p>
                <w:p>
                  <w:pPr>
                    <w:pStyle w:val="BodyText"/>
                    <w:numPr>
                      <w:ilvl w:val="1"/>
                      <w:numId w:val="10"/>
                    </w:numPr>
                    <w:tabs>
                      <w:tab w:pos="423" w:val="left" w:leader="none"/>
                    </w:tabs>
                    <w:spacing w:line="240" w:lineRule="auto" w:before="36" w:after="0"/>
                    <w:ind w:left="422" w:right="0" w:hanging="422"/>
                    <w:jc w:val="left"/>
                  </w:pPr>
                  <w:r>
                    <w:rPr>
                      <w:spacing w:val="-2"/>
                    </w:rPr>
                    <w:t>效力终止</w:t>
                  </w:r>
                </w:p>
              </w:txbxContent>
            </v:textbox>
            <w10:wrap type="topAndBottom"/>
          </v:shape>
        </w:pict>
      </w:r>
    </w:p>
    <w:p>
      <w:pPr>
        <w:spacing w:after="0"/>
        <w:rPr>
          <w:rFonts w:ascii="宋体"/>
          <w:sz w:val="9"/>
        </w:rPr>
        <w:sectPr>
          <w:headerReference w:type="default" r:id="rId5"/>
          <w:type w:val="continuous"/>
          <w:pgSz w:w="11910" w:h="16840"/>
          <w:pgMar w:header="0" w:top="0" w:bottom="280" w:left="780" w:right="660"/>
        </w:sect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spacing w:before="2"/>
        <w:rPr>
          <w:rFonts w:ascii="宋体"/>
          <w:b/>
          <w:sz w:val="27"/>
        </w:rPr>
      </w:pPr>
    </w:p>
    <w:p>
      <w:pPr>
        <w:pStyle w:val="Heading1"/>
        <w:spacing w:line="297" w:lineRule="auto"/>
        <w:ind w:firstLine="484"/>
      </w:pPr>
      <w:r>
        <w:rPr/>
        <w:t>正德人寿保险股份有限公司  正德附加龙家宝重大疾病保险条款</w:t>
      </w:r>
    </w:p>
    <w:p>
      <w:pPr>
        <w:pStyle w:val="BodyText"/>
        <w:rPr>
          <w:b/>
          <w:sz w:val="20"/>
        </w:rPr>
      </w:pPr>
    </w:p>
    <w:p>
      <w:pPr>
        <w:pStyle w:val="BodyText"/>
        <w:spacing w:before="7" w:after="1"/>
        <w:rPr>
          <w:b/>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1380"/>
        <w:gridCol w:w="7803"/>
      </w:tblGrid>
      <w:tr>
        <w:trPr>
          <w:trHeight w:val="483" w:hRule="atLeast"/>
        </w:trPr>
        <w:tc>
          <w:tcPr>
            <w:tcW w:w="799" w:type="dxa"/>
            <w:tcBorders>
              <w:bottom w:val="single" w:sz="4" w:space="0" w:color="000000"/>
            </w:tcBorders>
            <w:shd w:val="clear" w:color="auto" w:fill="CCFFCC"/>
          </w:tcPr>
          <w:p>
            <w:pPr>
              <w:pStyle w:val="TableParagraph"/>
              <w:spacing w:line="356" w:lineRule="exact"/>
              <w:ind w:left="110"/>
              <w:rPr>
                <w:rFonts w:ascii="Times New Roman"/>
                <w:b/>
                <w:sz w:val="32"/>
              </w:rPr>
            </w:pPr>
            <w:r>
              <w:rPr>
                <w:rFonts w:ascii="Times New Roman"/>
                <w:b/>
                <w:w w:val="100"/>
                <w:sz w:val="32"/>
              </w:rPr>
              <w:t>1</w:t>
            </w:r>
          </w:p>
        </w:tc>
        <w:tc>
          <w:tcPr>
            <w:tcW w:w="9183" w:type="dxa"/>
            <w:gridSpan w:val="2"/>
            <w:tcBorders>
              <w:bottom w:val="single" w:sz="4" w:space="0" w:color="000000"/>
            </w:tcBorders>
            <w:shd w:val="clear" w:color="auto" w:fill="CCFFCC"/>
          </w:tcPr>
          <w:p>
            <w:pPr>
              <w:pStyle w:val="TableParagraph"/>
              <w:spacing w:line="292" w:lineRule="exact"/>
              <w:rPr>
                <w:b/>
                <w:sz w:val="24"/>
              </w:rPr>
            </w:pPr>
            <w:r>
              <w:rPr>
                <w:b/>
                <w:w w:val="95"/>
                <w:sz w:val="24"/>
              </w:rPr>
              <w:t>投保人与本公司的合同</w:t>
            </w:r>
          </w:p>
        </w:tc>
      </w:tr>
      <w:tr>
        <w:trPr>
          <w:trHeight w:val="1599" w:hRule="atLeast"/>
        </w:trPr>
        <w:tc>
          <w:tcPr>
            <w:tcW w:w="799" w:type="dxa"/>
            <w:tcBorders>
              <w:top w:val="single" w:sz="4" w:space="0" w:color="000000"/>
            </w:tcBorders>
            <w:shd w:val="clear" w:color="auto" w:fill="CCFFCC"/>
          </w:tcPr>
          <w:p>
            <w:pPr>
              <w:pStyle w:val="TableParagraph"/>
              <w:spacing w:before="2"/>
              <w:ind w:left="0"/>
              <w:rPr>
                <w:b/>
                <w:sz w:val="21"/>
              </w:rPr>
            </w:pPr>
          </w:p>
          <w:p>
            <w:pPr>
              <w:pStyle w:val="TableParagraph"/>
              <w:spacing w:before="1"/>
              <w:ind w:left="110"/>
              <w:rPr>
                <w:b/>
                <w:sz w:val="21"/>
              </w:rPr>
            </w:pPr>
            <w:r>
              <w:rPr>
                <w:b/>
                <w:sz w:val="21"/>
              </w:rPr>
              <w:t>1.1</w:t>
            </w:r>
          </w:p>
        </w:tc>
        <w:tc>
          <w:tcPr>
            <w:tcW w:w="1380" w:type="dxa"/>
            <w:tcBorders>
              <w:top w:val="single" w:sz="4" w:space="0" w:color="000000"/>
            </w:tcBorders>
            <w:shd w:val="clear" w:color="auto" w:fill="CCFFCC"/>
          </w:tcPr>
          <w:p>
            <w:pPr>
              <w:pStyle w:val="TableParagraph"/>
              <w:spacing w:before="2"/>
              <w:ind w:left="0"/>
              <w:rPr>
                <w:b/>
                <w:sz w:val="21"/>
              </w:rPr>
            </w:pPr>
          </w:p>
          <w:p>
            <w:pPr>
              <w:pStyle w:val="TableParagraph"/>
              <w:spacing w:before="1"/>
              <w:rPr>
                <w:b/>
                <w:sz w:val="21"/>
              </w:rPr>
            </w:pPr>
            <w:r>
              <w:rPr>
                <w:b/>
                <w:sz w:val="21"/>
              </w:rPr>
              <w:t>合同构成</w:t>
            </w:r>
          </w:p>
        </w:tc>
        <w:tc>
          <w:tcPr>
            <w:tcW w:w="7803" w:type="dxa"/>
            <w:tcBorders>
              <w:top w:val="single" w:sz="4" w:space="0" w:color="000000"/>
            </w:tcBorders>
            <w:shd w:val="clear" w:color="auto" w:fill="CCFFCC"/>
          </w:tcPr>
          <w:p>
            <w:pPr>
              <w:pStyle w:val="TableParagraph"/>
              <w:spacing w:before="2"/>
              <w:ind w:left="0"/>
              <w:rPr>
                <w:b/>
                <w:sz w:val="17"/>
              </w:rPr>
            </w:pPr>
          </w:p>
          <w:p>
            <w:pPr>
              <w:pStyle w:val="TableParagraph"/>
              <w:ind w:left="164"/>
              <w:rPr>
                <w:sz w:val="21"/>
              </w:rPr>
            </w:pPr>
            <w:r>
              <w:rPr>
                <w:w w:val="100"/>
                <w:sz w:val="21"/>
              </w:rPr>
              <w:t>正德附加龙家宝重大疾病保险合同（</w:t>
            </w:r>
            <w:r>
              <w:rPr>
                <w:spacing w:val="-9"/>
                <w:w w:val="100"/>
                <w:sz w:val="21"/>
              </w:rPr>
              <w:t>以下简称“本附加险合同”</w:t>
            </w:r>
            <w:r>
              <w:rPr>
                <w:w w:val="100"/>
                <w:sz w:val="21"/>
              </w:rPr>
              <w:t>）是主险保险合同</w:t>
            </w:r>
          </w:p>
          <w:p>
            <w:pPr>
              <w:pStyle w:val="TableParagraph"/>
              <w:spacing w:line="288" w:lineRule="auto" w:before="51"/>
              <w:ind w:left="164"/>
              <w:rPr>
                <w:sz w:val="21"/>
              </w:rPr>
            </w:pPr>
            <w:r>
              <w:rPr>
                <w:w w:val="100"/>
                <w:sz w:val="21"/>
              </w:rPr>
              <w:t>（</w:t>
            </w:r>
            <w:r>
              <w:rPr>
                <w:spacing w:val="-11"/>
                <w:w w:val="100"/>
                <w:sz w:val="21"/>
              </w:rPr>
              <w:t>以下简称“主险合同”</w:t>
            </w:r>
            <w:r>
              <w:rPr>
                <w:w w:val="100"/>
                <w:sz w:val="21"/>
              </w:rPr>
              <w:t>）的附加险合同。本附加险合同由保险单或其它保险凭证</w:t>
            </w:r>
            <w:r>
              <w:rPr>
                <w:spacing w:val="-11"/>
                <w:sz w:val="21"/>
              </w:rPr>
              <w:t>及其所附条款、投保单、与本附加险合同有关的投保文件、合法有效的声明、批注、</w:t>
            </w:r>
            <w:r>
              <w:rPr>
                <w:spacing w:val="-7"/>
                <w:sz w:val="21"/>
              </w:rPr>
              <w:t>附贴批单、变更申请书及其它书面协议构成。</w:t>
            </w:r>
          </w:p>
        </w:tc>
      </w:tr>
      <w:tr>
        <w:trPr>
          <w:trHeight w:val="1553" w:hRule="atLeast"/>
        </w:trPr>
        <w:tc>
          <w:tcPr>
            <w:tcW w:w="799" w:type="dxa"/>
            <w:shd w:val="clear" w:color="auto" w:fill="CCFFCC"/>
          </w:tcPr>
          <w:p>
            <w:pPr>
              <w:pStyle w:val="TableParagraph"/>
              <w:spacing w:before="85"/>
              <w:ind w:left="110"/>
              <w:rPr>
                <w:b/>
                <w:sz w:val="21"/>
              </w:rPr>
            </w:pPr>
            <w:r>
              <w:rPr>
                <w:b/>
                <w:sz w:val="21"/>
              </w:rPr>
              <w:t>1.2</w:t>
            </w:r>
          </w:p>
        </w:tc>
        <w:tc>
          <w:tcPr>
            <w:tcW w:w="1380" w:type="dxa"/>
            <w:shd w:val="clear" w:color="auto" w:fill="CCFFCC"/>
          </w:tcPr>
          <w:p>
            <w:pPr>
              <w:pStyle w:val="TableParagraph"/>
              <w:spacing w:line="326" w:lineRule="auto" w:before="85"/>
              <w:ind w:right="160"/>
              <w:rPr>
                <w:b/>
                <w:sz w:val="21"/>
              </w:rPr>
            </w:pPr>
            <w:r>
              <w:rPr>
                <w:b/>
                <w:sz w:val="21"/>
              </w:rPr>
              <w:t>合同成立与生效</w:t>
            </w:r>
          </w:p>
        </w:tc>
        <w:tc>
          <w:tcPr>
            <w:tcW w:w="7803" w:type="dxa"/>
            <w:shd w:val="clear" w:color="auto" w:fill="CCFFCC"/>
          </w:tcPr>
          <w:p>
            <w:pPr>
              <w:pStyle w:val="TableParagraph"/>
              <w:spacing w:before="51"/>
              <w:ind w:left="164"/>
              <w:rPr>
                <w:sz w:val="21"/>
              </w:rPr>
            </w:pPr>
            <w:r>
              <w:rPr>
                <w:sz w:val="21"/>
              </w:rPr>
              <w:t>投保人提出保险申请，</w:t>
            </w:r>
            <w:r>
              <w:rPr>
                <w:b/>
                <w:sz w:val="21"/>
              </w:rPr>
              <w:t>本公司</w:t>
            </w:r>
            <w:r>
              <w:rPr>
                <w:sz w:val="21"/>
              </w:rPr>
              <w:t>（见 8.1）同意承保，本附加险合同成立。</w:t>
            </w:r>
          </w:p>
          <w:p>
            <w:pPr>
              <w:pStyle w:val="TableParagraph"/>
              <w:spacing w:line="326" w:lineRule="auto" w:before="70"/>
              <w:ind w:left="164" w:right="99"/>
              <w:jc w:val="both"/>
              <w:rPr>
                <w:sz w:val="21"/>
              </w:rPr>
            </w:pPr>
            <w:r>
              <w:rPr>
                <w:spacing w:val="-6"/>
                <w:sz w:val="21"/>
              </w:rPr>
              <w:t>除另有约定外，自本附加险合同成立、本公司收取保险费并签发保险单后次日零时</w:t>
            </w:r>
            <w:r>
              <w:rPr>
                <w:spacing w:val="-7"/>
                <w:sz w:val="21"/>
              </w:rPr>
              <w:t>起本附加险合同生效，生效日应载于保险单上。本公司自生效日的零时起开始承担</w:t>
            </w:r>
            <w:r>
              <w:rPr>
                <w:spacing w:val="-6"/>
                <w:sz w:val="21"/>
              </w:rPr>
              <w:t>本附加险合同约定的保险责任。</w:t>
            </w:r>
          </w:p>
        </w:tc>
      </w:tr>
      <w:tr>
        <w:trPr>
          <w:trHeight w:val="508" w:hRule="atLeast"/>
        </w:trPr>
        <w:tc>
          <w:tcPr>
            <w:tcW w:w="799" w:type="dxa"/>
            <w:shd w:val="clear" w:color="auto" w:fill="CCFFCC"/>
          </w:tcPr>
          <w:p>
            <w:pPr>
              <w:pStyle w:val="TableParagraph"/>
              <w:spacing w:before="121"/>
              <w:ind w:left="110"/>
              <w:rPr>
                <w:b/>
                <w:sz w:val="21"/>
              </w:rPr>
            </w:pPr>
            <w:r>
              <w:rPr>
                <w:b/>
                <w:sz w:val="21"/>
              </w:rPr>
              <w:t>1.3</w:t>
            </w:r>
          </w:p>
        </w:tc>
        <w:tc>
          <w:tcPr>
            <w:tcW w:w="1380" w:type="dxa"/>
            <w:shd w:val="clear" w:color="auto" w:fill="CCFFCC"/>
          </w:tcPr>
          <w:p>
            <w:pPr>
              <w:pStyle w:val="TableParagraph"/>
              <w:spacing w:before="121"/>
              <w:rPr>
                <w:b/>
                <w:sz w:val="21"/>
              </w:rPr>
            </w:pPr>
            <w:r>
              <w:rPr>
                <w:b/>
                <w:sz w:val="21"/>
              </w:rPr>
              <w:t>投保范围</w:t>
            </w:r>
          </w:p>
        </w:tc>
        <w:tc>
          <w:tcPr>
            <w:tcW w:w="7803" w:type="dxa"/>
            <w:shd w:val="clear" w:color="auto" w:fill="CCFFCC"/>
          </w:tcPr>
          <w:p>
            <w:pPr>
              <w:pStyle w:val="TableParagraph"/>
              <w:spacing w:before="68"/>
              <w:ind w:left="164"/>
              <w:rPr>
                <w:sz w:val="21"/>
              </w:rPr>
            </w:pPr>
            <w:r>
              <w:rPr>
                <w:sz w:val="21"/>
              </w:rPr>
              <w:t>本附加险合同的投保人、被保险人与主险合同相同。</w:t>
            </w:r>
          </w:p>
        </w:tc>
      </w:tr>
      <w:tr>
        <w:trPr>
          <w:trHeight w:val="2487" w:hRule="atLeast"/>
        </w:trPr>
        <w:tc>
          <w:tcPr>
            <w:tcW w:w="799" w:type="dxa"/>
            <w:shd w:val="clear" w:color="auto" w:fill="CCFFCC"/>
          </w:tcPr>
          <w:p>
            <w:pPr>
              <w:pStyle w:val="TableParagraph"/>
              <w:spacing w:before="63"/>
              <w:ind w:left="110"/>
              <w:rPr>
                <w:b/>
                <w:sz w:val="21"/>
              </w:rPr>
            </w:pPr>
            <w:r>
              <w:rPr>
                <w:b/>
                <w:sz w:val="21"/>
              </w:rPr>
              <w:t>1.4</w:t>
            </w:r>
          </w:p>
        </w:tc>
        <w:tc>
          <w:tcPr>
            <w:tcW w:w="1380" w:type="dxa"/>
            <w:shd w:val="clear" w:color="auto" w:fill="CCFFCC"/>
          </w:tcPr>
          <w:p>
            <w:pPr>
              <w:pStyle w:val="TableParagraph"/>
              <w:spacing w:before="63"/>
              <w:rPr>
                <w:b/>
                <w:sz w:val="21"/>
              </w:rPr>
            </w:pPr>
            <w:r>
              <w:rPr>
                <w:b/>
                <w:sz w:val="21"/>
              </w:rPr>
              <w:t>犹豫期</w:t>
            </w:r>
          </w:p>
        </w:tc>
        <w:tc>
          <w:tcPr>
            <w:tcW w:w="7803" w:type="dxa"/>
            <w:shd w:val="clear" w:color="auto" w:fill="CCFFCC"/>
          </w:tcPr>
          <w:p>
            <w:pPr>
              <w:pStyle w:val="TableParagraph"/>
              <w:spacing w:line="300" w:lineRule="auto" w:before="49"/>
              <w:ind w:left="164" w:right="98"/>
              <w:jc w:val="both"/>
              <w:rPr>
                <w:sz w:val="21"/>
              </w:rPr>
            </w:pPr>
            <w:r>
              <w:rPr>
                <w:spacing w:val="-4"/>
                <w:sz w:val="21"/>
              </w:rPr>
              <w:t>自投保人签收本附加险合同的次日起，有 </w:t>
            </w:r>
            <w:r>
              <w:rPr>
                <w:sz w:val="21"/>
              </w:rPr>
              <w:t>10</w:t>
            </w:r>
            <w:r>
              <w:rPr>
                <w:spacing w:val="-4"/>
                <w:sz w:val="21"/>
              </w:rPr>
              <w:t> 日的犹豫期。在此期间，如投保人认</w:t>
            </w:r>
            <w:r>
              <w:rPr>
                <w:spacing w:val="-7"/>
                <w:sz w:val="21"/>
              </w:rPr>
              <w:t>为本附加险合同与投保人的需求不相符，可以解除本附加险合同，本公司将无息退</w:t>
            </w:r>
            <w:r>
              <w:rPr>
                <w:spacing w:val="-9"/>
                <w:sz w:val="21"/>
              </w:rPr>
              <w:t>还保险费并可扣除不超过 </w:t>
            </w:r>
            <w:r>
              <w:rPr>
                <w:sz w:val="21"/>
              </w:rPr>
              <w:t>10</w:t>
            </w:r>
            <w:r>
              <w:rPr>
                <w:spacing w:val="-22"/>
                <w:sz w:val="21"/>
              </w:rPr>
              <w:t> 元的工本费。</w:t>
            </w:r>
            <w:r>
              <w:rPr>
                <w:spacing w:val="-5"/>
                <w:sz w:val="21"/>
              </w:rPr>
              <w:t>（</w:t>
            </w:r>
            <w:r>
              <w:rPr>
                <w:b/>
                <w:spacing w:val="-2"/>
                <w:sz w:val="21"/>
              </w:rPr>
              <w:t>特殊群体</w:t>
            </w:r>
            <w:r>
              <w:rPr>
                <w:sz w:val="21"/>
              </w:rPr>
              <w:t>（</w:t>
            </w:r>
            <w:r>
              <w:rPr>
                <w:spacing w:val="-18"/>
                <w:sz w:val="21"/>
              </w:rPr>
              <w:t>见 </w:t>
            </w:r>
            <w:r>
              <w:rPr>
                <w:sz w:val="21"/>
              </w:rPr>
              <w:t>8.2）</w:t>
            </w:r>
            <w:r>
              <w:rPr>
                <w:spacing w:val="-3"/>
                <w:sz w:val="21"/>
              </w:rPr>
              <w:t>客户另有约定的除外）</w:t>
            </w:r>
          </w:p>
          <w:p>
            <w:pPr>
              <w:pStyle w:val="TableParagraph"/>
              <w:spacing w:line="300" w:lineRule="auto" w:before="13"/>
              <w:ind w:left="164" w:right="98"/>
              <w:jc w:val="both"/>
              <w:rPr>
                <w:rFonts w:ascii="黑体" w:eastAsia="黑体" w:hint="eastAsia"/>
                <w:sz w:val="21"/>
              </w:rPr>
            </w:pPr>
            <w:r>
              <w:rPr>
                <w:rFonts w:ascii="黑体" w:eastAsia="黑体" w:hint="eastAsia"/>
                <w:spacing w:val="-6"/>
                <w:sz w:val="21"/>
              </w:rPr>
              <w:t>犹豫期内解除合同时，投保人需要填写申请书，并提供本附加险合同及本公司要求</w:t>
            </w:r>
            <w:r>
              <w:rPr>
                <w:rFonts w:ascii="黑体" w:eastAsia="黑体" w:hint="eastAsia"/>
                <w:spacing w:val="-8"/>
                <w:sz w:val="21"/>
              </w:rPr>
              <w:t>的相关资料。自本公司收到投保人申请解除合同的书面申请之日起，本附加险合同</w:t>
            </w:r>
            <w:r>
              <w:rPr>
                <w:rFonts w:ascii="黑体" w:eastAsia="黑体" w:hint="eastAsia"/>
                <w:spacing w:val="-6"/>
                <w:sz w:val="21"/>
              </w:rPr>
              <w:t>即被解除，本公司自本附加险合同</w:t>
            </w:r>
            <w:r>
              <w:rPr>
                <w:rFonts w:ascii="黑体" w:eastAsia="黑体" w:hint="eastAsia"/>
                <w:sz w:val="21"/>
              </w:rPr>
              <w:t>Th</w:t>
            </w:r>
            <w:r>
              <w:rPr>
                <w:rFonts w:ascii="黑体" w:eastAsia="黑体" w:hint="eastAsia"/>
                <w:spacing w:val="-5"/>
                <w:sz w:val="21"/>
              </w:rPr>
              <w:t>效日起自始不承担保险责任。</w:t>
            </w:r>
          </w:p>
        </w:tc>
      </w:tr>
      <w:tr>
        <w:trPr>
          <w:trHeight w:val="586" w:hRule="atLeast"/>
        </w:trPr>
        <w:tc>
          <w:tcPr>
            <w:tcW w:w="799" w:type="dxa"/>
            <w:tcBorders>
              <w:bottom w:val="single" w:sz="4" w:space="0" w:color="000000"/>
            </w:tcBorders>
            <w:shd w:val="clear" w:color="auto" w:fill="CCFFCC"/>
          </w:tcPr>
          <w:p>
            <w:pPr>
              <w:pStyle w:val="TableParagraph"/>
              <w:spacing w:before="91"/>
              <w:ind w:left="110"/>
              <w:rPr>
                <w:rFonts w:ascii="Times New Roman"/>
                <w:b/>
                <w:sz w:val="32"/>
              </w:rPr>
            </w:pPr>
            <w:r>
              <w:rPr>
                <w:rFonts w:ascii="Times New Roman"/>
                <w:b/>
                <w:w w:val="100"/>
                <w:sz w:val="32"/>
              </w:rPr>
              <w:t>2</w:t>
            </w:r>
          </w:p>
        </w:tc>
        <w:tc>
          <w:tcPr>
            <w:tcW w:w="9183" w:type="dxa"/>
            <w:gridSpan w:val="2"/>
            <w:tcBorders>
              <w:bottom w:val="single" w:sz="4" w:space="0" w:color="000000"/>
            </w:tcBorders>
            <w:shd w:val="clear" w:color="auto" w:fill="CCFFCC"/>
          </w:tcPr>
          <w:p>
            <w:pPr>
              <w:pStyle w:val="TableParagraph"/>
              <w:spacing w:before="81"/>
              <w:rPr>
                <w:b/>
                <w:sz w:val="24"/>
              </w:rPr>
            </w:pPr>
            <w:r>
              <w:rPr>
                <w:b/>
                <w:w w:val="95"/>
                <w:sz w:val="24"/>
              </w:rPr>
              <w:t>本公司提供的保障</w:t>
            </w:r>
          </w:p>
        </w:tc>
      </w:tr>
      <w:tr>
        <w:trPr>
          <w:trHeight w:val="5128" w:hRule="atLeast"/>
        </w:trPr>
        <w:tc>
          <w:tcPr>
            <w:tcW w:w="799" w:type="dxa"/>
            <w:tcBorders>
              <w:top w:val="single" w:sz="4" w:space="0" w:color="000000"/>
            </w:tcBorders>
            <w:shd w:val="clear" w:color="auto" w:fill="CCFFCC"/>
          </w:tcPr>
          <w:p>
            <w:pPr>
              <w:pStyle w:val="TableParagraph"/>
              <w:spacing w:before="172"/>
              <w:ind w:left="110"/>
              <w:rPr>
                <w:b/>
                <w:sz w:val="21"/>
              </w:rPr>
            </w:pPr>
            <w:r>
              <w:rPr>
                <w:b/>
                <w:sz w:val="21"/>
              </w:rPr>
              <w:t>2.1</w:t>
            </w:r>
          </w:p>
        </w:tc>
        <w:tc>
          <w:tcPr>
            <w:tcW w:w="1380" w:type="dxa"/>
            <w:tcBorders>
              <w:top w:val="single" w:sz="4" w:space="0" w:color="000000"/>
            </w:tcBorders>
            <w:shd w:val="clear" w:color="auto" w:fill="CCFFCC"/>
          </w:tcPr>
          <w:p>
            <w:pPr>
              <w:pStyle w:val="TableParagraph"/>
              <w:spacing w:before="172"/>
              <w:rPr>
                <w:b/>
                <w:sz w:val="21"/>
              </w:rPr>
            </w:pPr>
            <w:r>
              <w:rPr>
                <w:b/>
                <w:sz w:val="21"/>
              </w:rPr>
              <w:t>保险责任</w:t>
            </w:r>
          </w:p>
        </w:tc>
        <w:tc>
          <w:tcPr>
            <w:tcW w:w="7803" w:type="dxa"/>
            <w:tcBorders>
              <w:top w:val="single" w:sz="4" w:space="0" w:color="000000"/>
            </w:tcBorders>
            <w:shd w:val="clear" w:color="auto" w:fill="CCFFCC"/>
          </w:tcPr>
          <w:p>
            <w:pPr>
              <w:pStyle w:val="TableParagraph"/>
              <w:spacing w:before="172"/>
              <w:ind w:left="164"/>
              <w:rPr>
                <w:sz w:val="21"/>
              </w:rPr>
            </w:pPr>
            <w:r>
              <w:rPr>
                <w:sz w:val="21"/>
              </w:rPr>
              <w:t>在本附加险合同保险责任有效期内，本公司依下列约定承担保险责任：</w:t>
            </w:r>
          </w:p>
          <w:p>
            <w:pPr>
              <w:pStyle w:val="TableParagraph"/>
              <w:spacing w:line="285" w:lineRule="auto" w:before="46"/>
              <w:ind w:left="164" w:right="98"/>
              <w:jc w:val="both"/>
              <w:rPr>
                <w:sz w:val="21"/>
              </w:rPr>
            </w:pPr>
            <w:r>
              <w:rPr>
                <w:spacing w:val="-7"/>
                <w:sz w:val="21"/>
              </w:rPr>
              <w:t>自投保人首次投保或非连续投保本附加险合同的生效日起 </w:t>
            </w:r>
            <w:r>
              <w:rPr>
                <w:sz w:val="21"/>
              </w:rPr>
              <w:t>180</w:t>
            </w:r>
            <w:r>
              <w:rPr>
                <w:spacing w:val="-10"/>
                <w:sz w:val="21"/>
              </w:rPr>
              <w:t> 日内，若被保险人经</w:t>
            </w:r>
            <w:r>
              <w:rPr>
                <w:b/>
                <w:spacing w:val="-10"/>
                <w:sz w:val="21"/>
              </w:rPr>
              <w:t>本公司认可的医院</w:t>
            </w:r>
            <w:r>
              <w:rPr>
                <w:spacing w:val="-5"/>
                <w:sz w:val="21"/>
              </w:rPr>
              <w:t>（</w:t>
            </w:r>
            <w:r>
              <w:rPr>
                <w:spacing w:val="-23"/>
                <w:sz w:val="21"/>
              </w:rPr>
              <w:t>见 </w:t>
            </w:r>
            <w:r>
              <w:rPr>
                <w:sz w:val="21"/>
              </w:rPr>
              <w:t>8.3）</w:t>
            </w:r>
            <w:r>
              <w:rPr>
                <w:spacing w:val="-3"/>
                <w:sz w:val="21"/>
              </w:rPr>
              <w:t>确诊</w:t>
            </w:r>
            <w:r>
              <w:rPr>
                <w:b/>
                <w:sz w:val="21"/>
              </w:rPr>
              <w:t>初次患有重大疾病</w:t>
            </w:r>
            <w:r>
              <w:rPr>
                <w:sz w:val="21"/>
              </w:rPr>
              <w:t>（</w:t>
            </w:r>
            <w:r>
              <w:rPr>
                <w:spacing w:val="-22"/>
                <w:sz w:val="21"/>
              </w:rPr>
              <w:t>见 </w:t>
            </w:r>
            <w:r>
              <w:rPr>
                <w:sz w:val="21"/>
              </w:rPr>
              <w:t>8.4</w:t>
            </w:r>
            <w:r>
              <w:rPr>
                <w:spacing w:val="-15"/>
                <w:sz w:val="21"/>
              </w:rPr>
              <w:t> 见 </w:t>
            </w:r>
            <w:r>
              <w:rPr>
                <w:sz w:val="21"/>
              </w:rPr>
              <w:t>8.5）（</w:t>
            </w:r>
            <w:r>
              <w:rPr>
                <w:spacing w:val="-2"/>
                <w:sz w:val="21"/>
              </w:rPr>
              <w:t>无论一种或多种</w:t>
            </w:r>
            <w:r>
              <w:rPr>
                <w:spacing w:val="-10"/>
                <w:sz w:val="21"/>
              </w:rPr>
              <w:t>），</w:t>
            </w:r>
            <w:r>
              <w:rPr>
                <w:spacing w:val="-6"/>
                <w:sz w:val="21"/>
              </w:rPr>
              <w:t>经本公司查核属实，且确在本附加险合同约定的保险责任范围以内，本</w:t>
            </w:r>
            <w:r>
              <w:rPr>
                <w:spacing w:val="-5"/>
                <w:sz w:val="21"/>
              </w:rPr>
              <w:t>公司将无息返还所交保险费，本附加险合同及主险合同随之终止。</w:t>
            </w:r>
          </w:p>
          <w:p>
            <w:pPr>
              <w:pStyle w:val="TableParagraph"/>
              <w:spacing w:line="326" w:lineRule="auto" w:before="64"/>
              <w:ind w:left="164" w:right="74"/>
              <w:jc w:val="both"/>
              <w:rPr>
                <w:sz w:val="21"/>
              </w:rPr>
            </w:pPr>
            <w:r>
              <w:rPr>
                <w:spacing w:val="-7"/>
                <w:sz w:val="21"/>
              </w:rPr>
              <w:t>自投保人首次投保或非连续投保本附加险合同的生效日起 </w:t>
            </w:r>
            <w:r>
              <w:rPr>
                <w:sz w:val="21"/>
              </w:rPr>
              <w:t>180</w:t>
            </w:r>
            <w:r>
              <w:rPr>
                <w:spacing w:val="-17"/>
                <w:sz w:val="21"/>
              </w:rPr>
              <w:t> 日后</w:t>
            </w:r>
            <w:r>
              <w:rPr>
                <w:sz w:val="21"/>
              </w:rPr>
              <w:t>（</w:t>
            </w:r>
            <w:r>
              <w:rPr>
                <w:spacing w:val="-22"/>
                <w:sz w:val="21"/>
              </w:rPr>
              <w:t>含 </w:t>
            </w:r>
            <w:r>
              <w:rPr>
                <w:sz w:val="21"/>
              </w:rPr>
              <w:t>180</w:t>
            </w:r>
            <w:r>
              <w:rPr>
                <w:spacing w:val="-22"/>
                <w:sz w:val="21"/>
              </w:rPr>
              <w:t> 日</w:t>
            </w:r>
            <w:r>
              <w:rPr>
                <w:spacing w:val="-3"/>
                <w:sz w:val="21"/>
              </w:rPr>
              <w:t>）， </w:t>
            </w:r>
            <w:r>
              <w:rPr>
                <w:spacing w:val="-6"/>
                <w:sz w:val="21"/>
              </w:rPr>
              <w:t>若被保险人经本公司认可的医院确诊初次患有重大疾病</w:t>
            </w:r>
            <w:r>
              <w:rPr>
                <w:sz w:val="21"/>
              </w:rPr>
              <w:t>（</w:t>
            </w:r>
            <w:r>
              <w:rPr>
                <w:spacing w:val="-3"/>
                <w:sz w:val="21"/>
              </w:rPr>
              <w:t>无论一种或多种</w:t>
            </w:r>
            <w:r>
              <w:rPr>
                <w:spacing w:val="-10"/>
                <w:sz w:val="21"/>
              </w:rPr>
              <w:t>），</w:t>
            </w:r>
            <w:r>
              <w:rPr>
                <w:spacing w:val="-3"/>
                <w:sz w:val="21"/>
              </w:rPr>
              <w:t>经本</w:t>
            </w:r>
            <w:r>
              <w:rPr>
                <w:spacing w:val="-7"/>
                <w:sz w:val="21"/>
              </w:rPr>
              <w:t>公司查核属实，且确在本附加险合同约定的保险责任范围以内，本公司将给付重大</w:t>
            </w:r>
            <w:r>
              <w:rPr>
                <w:spacing w:val="-8"/>
                <w:sz w:val="21"/>
              </w:rPr>
              <w:t>疾病保险金予被保险人，本附加险合同及主险合同随之终止。若被保险人在主险合</w:t>
            </w:r>
            <w:r>
              <w:rPr>
                <w:spacing w:val="-11"/>
                <w:sz w:val="21"/>
              </w:rPr>
              <w:t>同生效日时的年龄为 </w:t>
            </w:r>
            <w:r>
              <w:rPr>
                <w:sz w:val="21"/>
              </w:rPr>
              <w:t>0 </w:t>
            </w:r>
            <w:r>
              <w:rPr>
                <w:b/>
                <w:spacing w:val="-12"/>
                <w:sz w:val="21"/>
              </w:rPr>
              <w:t>周岁</w:t>
            </w:r>
            <w:r>
              <w:rPr>
                <w:sz w:val="21"/>
              </w:rPr>
              <w:t>（</w:t>
            </w:r>
            <w:r>
              <w:rPr>
                <w:spacing w:val="-23"/>
                <w:sz w:val="21"/>
              </w:rPr>
              <w:t>见 </w:t>
            </w:r>
            <w:r>
              <w:rPr>
                <w:spacing w:val="-9"/>
                <w:sz w:val="21"/>
              </w:rPr>
              <w:t>8.6）</w:t>
            </w:r>
            <w:r>
              <w:rPr>
                <w:spacing w:val="-22"/>
                <w:sz w:val="21"/>
              </w:rPr>
              <w:t>至 </w:t>
            </w:r>
            <w:r>
              <w:rPr>
                <w:sz w:val="21"/>
              </w:rPr>
              <w:t>29</w:t>
            </w:r>
            <w:r>
              <w:rPr>
                <w:spacing w:val="-10"/>
                <w:sz w:val="21"/>
              </w:rPr>
              <w:t> 周岁，被保险人重大疾病保险金为主险</w:t>
            </w:r>
          </w:p>
          <w:p>
            <w:pPr>
              <w:pStyle w:val="TableParagraph"/>
              <w:spacing w:before="24"/>
              <w:ind w:left="164"/>
              <w:jc w:val="both"/>
              <w:rPr>
                <w:sz w:val="21"/>
              </w:rPr>
            </w:pPr>
            <w:r>
              <w:rPr>
                <w:spacing w:val="-6"/>
                <w:sz w:val="21"/>
              </w:rPr>
              <w:t>合同累计所交保险费的 </w:t>
            </w:r>
            <w:r>
              <w:rPr>
                <w:sz w:val="21"/>
              </w:rPr>
              <w:t>4</w:t>
            </w:r>
            <w:r>
              <w:rPr>
                <w:spacing w:val="-10"/>
                <w:sz w:val="21"/>
              </w:rPr>
              <w:t> 倍；若被保险人在主险合同生效日时的年龄为 </w:t>
            </w:r>
            <w:r>
              <w:rPr>
                <w:sz w:val="21"/>
              </w:rPr>
              <w:t>30</w:t>
            </w:r>
            <w:r>
              <w:rPr>
                <w:spacing w:val="-12"/>
                <w:sz w:val="21"/>
              </w:rPr>
              <w:t> 周岁至</w:t>
            </w:r>
          </w:p>
          <w:p>
            <w:pPr>
              <w:pStyle w:val="TableParagraph"/>
              <w:spacing w:before="99"/>
              <w:ind w:left="164"/>
              <w:jc w:val="both"/>
              <w:rPr>
                <w:sz w:val="21"/>
              </w:rPr>
            </w:pPr>
            <w:r>
              <w:rPr>
                <w:sz w:val="21"/>
              </w:rPr>
              <w:t>39</w:t>
            </w:r>
            <w:r>
              <w:rPr>
                <w:spacing w:val="-13"/>
                <w:sz w:val="21"/>
              </w:rPr>
              <w:t> 周岁，被保险人重大疾病保险金为主险合同累计所交保险费的 </w:t>
            </w:r>
            <w:r>
              <w:rPr>
                <w:sz w:val="21"/>
              </w:rPr>
              <w:t>3</w:t>
            </w:r>
            <w:r>
              <w:rPr>
                <w:spacing w:val="-12"/>
                <w:sz w:val="21"/>
              </w:rPr>
              <w:t> 倍；若被保险人</w:t>
            </w:r>
          </w:p>
          <w:p>
            <w:pPr>
              <w:pStyle w:val="TableParagraph"/>
              <w:spacing w:before="99"/>
              <w:ind w:left="164"/>
              <w:jc w:val="both"/>
              <w:rPr>
                <w:sz w:val="21"/>
              </w:rPr>
            </w:pPr>
            <w:r>
              <w:rPr>
                <w:spacing w:val="-6"/>
                <w:sz w:val="21"/>
              </w:rPr>
              <w:t>在主险合同生效日时的年龄为 </w:t>
            </w:r>
            <w:r>
              <w:rPr>
                <w:sz w:val="21"/>
              </w:rPr>
              <w:t>40</w:t>
            </w:r>
            <w:r>
              <w:rPr>
                <w:spacing w:val="-13"/>
                <w:sz w:val="21"/>
              </w:rPr>
              <w:t> 周岁以上</w:t>
            </w:r>
            <w:r>
              <w:rPr>
                <w:sz w:val="21"/>
              </w:rPr>
              <w:t>（</w:t>
            </w:r>
            <w:r>
              <w:rPr>
                <w:spacing w:val="-24"/>
                <w:sz w:val="21"/>
              </w:rPr>
              <w:t>含 </w:t>
            </w:r>
            <w:r>
              <w:rPr>
                <w:sz w:val="21"/>
              </w:rPr>
              <w:t>40</w:t>
            </w:r>
            <w:r>
              <w:rPr>
                <w:spacing w:val="-16"/>
                <w:sz w:val="21"/>
              </w:rPr>
              <w:t> 周岁</w:t>
            </w:r>
            <w:r>
              <w:rPr>
                <w:spacing w:val="-10"/>
                <w:sz w:val="21"/>
              </w:rPr>
              <w:t>），</w:t>
            </w:r>
            <w:r>
              <w:rPr>
                <w:spacing w:val="-4"/>
                <w:sz w:val="21"/>
              </w:rPr>
              <w:t>被保险人重大疾病保险</w:t>
            </w:r>
          </w:p>
          <w:p>
            <w:pPr>
              <w:pStyle w:val="TableParagraph"/>
              <w:spacing w:line="255" w:lineRule="exact" w:before="99"/>
              <w:ind w:left="164"/>
              <w:jc w:val="both"/>
              <w:rPr>
                <w:sz w:val="21"/>
              </w:rPr>
            </w:pPr>
            <w:r>
              <w:rPr>
                <w:sz w:val="21"/>
              </w:rPr>
              <w:t>金为主险合同累计所交保险费的 2 倍。</w:t>
            </w:r>
          </w:p>
        </w:tc>
      </w:tr>
    </w:tbl>
    <w:p>
      <w:pPr>
        <w:spacing w:after="0" w:line="255" w:lineRule="exact"/>
        <w:jc w:val="both"/>
        <w:rPr>
          <w:sz w:val="21"/>
        </w:rPr>
        <w:sectPr>
          <w:headerReference w:type="default" r:id="rId7"/>
          <w:footerReference w:type="default" r:id="rId8"/>
          <w:pgSz w:w="11910" w:h="16840"/>
          <w:pgMar w:header="0" w:footer="377" w:top="0" w:bottom="560" w:left="800" w:right="900"/>
          <w:pgNumType w:start="1"/>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1380"/>
        <w:gridCol w:w="7803"/>
      </w:tblGrid>
      <w:tr>
        <w:trPr>
          <w:trHeight w:val="5766" w:hRule="atLeast"/>
        </w:trPr>
        <w:tc>
          <w:tcPr>
            <w:tcW w:w="799" w:type="dxa"/>
            <w:shd w:val="clear" w:color="auto" w:fill="CCFFCC"/>
          </w:tcPr>
          <w:p>
            <w:pPr>
              <w:pStyle w:val="TableParagraph"/>
              <w:spacing w:line="264" w:lineRule="exact"/>
              <w:ind w:left="110"/>
              <w:rPr>
                <w:b/>
                <w:sz w:val="21"/>
              </w:rPr>
            </w:pPr>
            <w:r>
              <w:rPr>
                <w:b/>
                <w:sz w:val="21"/>
              </w:rPr>
              <w:t>2.2</w:t>
            </w:r>
          </w:p>
        </w:tc>
        <w:tc>
          <w:tcPr>
            <w:tcW w:w="1380" w:type="dxa"/>
            <w:shd w:val="clear" w:color="auto" w:fill="CCFFCC"/>
          </w:tcPr>
          <w:p>
            <w:pPr>
              <w:pStyle w:val="TableParagraph"/>
              <w:spacing w:line="264" w:lineRule="exact"/>
              <w:rPr>
                <w:b/>
                <w:sz w:val="21"/>
              </w:rPr>
            </w:pPr>
            <w:r>
              <w:rPr>
                <w:b/>
                <w:sz w:val="21"/>
              </w:rPr>
              <w:t>责任免除</w:t>
            </w:r>
          </w:p>
        </w:tc>
        <w:tc>
          <w:tcPr>
            <w:tcW w:w="7803" w:type="dxa"/>
            <w:shd w:val="clear" w:color="auto" w:fill="CCFFCC"/>
          </w:tcPr>
          <w:p>
            <w:pPr>
              <w:pStyle w:val="TableParagraph"/>
              <w:spacing w:line="211" w:lineRule="exact"/>
              <w:ind w:left="164"/>
              <w:rPr>
                <w:rFonts w:ascii="黑体" w:eastAsia="黑体" w:hint="eastAsia"/>
                <w:sz w:val="21"/>
              </w:rPr>
            </w:pPr>
            <w:r>
              <w:rPr>
                <w:rFonts w:ascii="黑体" w:eastAsia="黑体" w:hint="eastAsia"/>
                <w:sz w:val="21"/>
              </w:rPr>
              <w:t>因下列情形之一，造成被保险人患有本附加险合同所列重大疾病的，本公司不承担</w:t>
            </w:r>
          </w:p>
          <w:p>
            <w:pPr>
              <w:pStyle w:val="TableParagraph"/>
              <w:spacing w:before="51"/>
              <w:ind w:left="164"/>
              <w:rPr>
                <w:rFonts w:ascii="黑体" w:eastAsia="黑体" w:hint="eastAsia"/>
                <w:sz w:val="21"/>
              </w:rPr>
            </w:pPr>
            <w:r>
              <w:rPr>
                <w:rFonts w:ascii="黑体" w:eastAsia="黑体" w:hint="eastAsia"/>
                <w:sz w:val="21"/>
              </w:rPr>
              <w:t>保险责任：</w:t>
            </w:r>
          </w:p>
          <w:p>
            <w:pPr>
              <w:pStyle w:val="TableParagraph"/>
              <w:numPr>
                <w:ilvl w:val="0"/>
                <w:numId w:val="11"/>
              </w:numPr>
              <w:tabs>
                <w:tab w:pos="789" w:val="left" w:leader="none"/>
              </w:tabs>
              <w:spacing w:line="240" w:lineRule="auto" w:before="103" w:after="0"/>
              <w:ind w:left="788" w:right="0" w:hanging="624"/>
              <w:jc w:val="left"/>
              <w:rPr>
                <w:rFonts w:ascii="黑体" w:eastAsia="黑体" w:hint="eastAsia"/>
                <w:sz w:val="21"/>
              </w:rPr>
            </w:pPr>
            <w:r>
              <w:rPr>
                <w:rFonts w:ascii="黑体" w:eastAsia="黑体" w:hint="eastAsia"/>
                <w:spacing w:val="-1"/>
                <w:sz w:val="21"/>
              </w:rPr>
              <w:t>投保人的故意行为；</w:t>
            </w:r>
          </w:p>
          <w:p>
            <w:pPr>
              <w:pStyle w:val="TableParagraph"/>
              <w:numPr>
                <w:ilvl w:val="0"/>
                <w:numId w:val="11"/>
              </w:numPr>
              <w:tabs>
                <w:tab w:pos="789" w:val="left" w:leader="none"/>
              </w:tabs>
              <w:spacing w:line="240" w:lineRule="auto" w:before="84" w:after="0"/>
              <w:ind w:left="788" w:right="0" w:hanging="624"/>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11"/>
              </w:numPr>
              <w:tabs>
                <w:tab w:pos="789" w:val="left" w:leader="none"/>
              </w:tabs>
              <w:spacing w:line="240" w:lineRule="auto" w:before="85" w:after="0"/>
              <w:ind w:left="788" w:right="0" w:hanging="624"/>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0"/>
                <w:w w:val="100"/>
                <w:sz w:val="21"/>
              </w:rPr>
              <w:t>醉酒</w:t>
            </w:r>
            <w:r>
              <w:rPr>
                <w:rFonts w:ascii="黑体" w:eastAsia="黑体" w:hint="eastAsia"/>
                <w:spacing w:val="-5"/>
                <w:w w:val="100"/>
                <w:sz w:val="21"/>
              </w:rPr>
              <w:t>（</w:t>
            </w:r>
            <w:r>
              <w:rPr>
                <w:rFonts w:ascii="黑体" w:eastAsia="黑体" w:hint="eastAsia"/>
                <w:w w:val="100"/>
                <w:sz w:val="21"/>
              </w:rPr>
              <w:t>8.7</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斗殴</w:t>
            </w:r>
            <w:r>
              <w:rPr>
                <w:rFonts w:ascii="黑体" w:eastAsia="黑体" w:hint="eastAsia"/>
                <w:w w:val="100"/>
                <w:sz w:val="21"/>
              </w:rPr>
              <w:t>（8.8</w:t>
            </w:r>
            <w:r>
              <w:rPr>
                <w:rFonts w:ascii="黑体" w:eastAsia="黑体" w:hint="eastAsia"/>
                <w:spacing w:val="-106"/>
                <w:w w:val="100"/>
                <w:sz w:val="21"/>
              </w:rPr>
              <w:t>）</w:t>
            </w:r>
            <w:r>
              <w:rPr>
                <w:rFonts w:ascii="黑体" w:eastAsia="黑体" w:hint="eastAsia"/>
                <w:spacing w:val="-3"/>
                <w:w w:val="100"/>
                <w:sz w:val="21"/>
              </w:rPr>
              <w:t>、故意自伤；</w:t>
            </w:r>
          </w:p>
          <w:p>
            <w:pPr>
              <w:pStyle w:val="TableParagraph"/>
              <w:numPr>
                <w:ilvl w:val="0"/>
                <w:numId w:val="11"/>
              </w:numPr>
              <w:tabs>
                <w:tab w:pos="789" w:val="left" w:leader="none"/>
              </w:tabs>
              <w:spacing w:line="240" w:lineRule="auto" w:before="84" w:after="0"/>
              <w:ind w:left="788" w:right="0" w:hanging="624"/>
              <w:jc w:val="left"/>
              <w:rPr>
                <w:rFonts w:ascii="黑体" w:eastAsia="黑体" w:hint="eastAsia"/>
                <w:sz w:val="21"/>
              </w:rPr>
            </w:pPr>
            <w:r>
              <w:rPr>
                <w:rFonts w:ascii="黑体" w:eastAsia="黑体" w:hint="eastAsia"/>
                <w:spacing w:val="-4"/>
                <w:w w:val="100"/>
                <w:sz w:val="21"/>
              </w:rPr>
              <w:t>被保险人服用、吸食或注射</w:t>
            </w:r>
            <w:r>
              <w:rPr>
                <w:rFonts w:ascii="黑体" w:eastAsia="黑体" w:hint="eastAsia"/>
                <w:b/>
                <w:spacing w:val="-3"/>
                <w:w w:val="100"/>
                <w:sz w:val="21"/>
              </w:rPr>
              <w:t>毒品</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8.9</w:t>
            </w:r>
            <w:r>
              <w:rPr>
                <w:rFonts w:ascii="黑体" w:eastAsia="黑体" w:hint="eastAsia"/>
                <w:spacing w:val="-10"/>
                <w:w w:val="100"/>
                <w:sz w:val="21"/>
              </w:rPr>
              <w:t>）</w:t>
            </w:r>
            <w:r>
              <w:rPr>
                <w:rFonts w:ascii="黑体" w:eastAsia="黑体" w:hint="eastAsia"/>
                <w:spacing w:val="-3"/>
                <w:w w:val="100"/>
                <w:sz w:val="21"/>
              </w:rPr>
              <w:t>或滥用政府</w:t>
            </w:r>
            <w:r>
              <w:rPr>
                <w:rFonts w:ascii="黑体" w:eastAsia="黑体" w:hint="eastAsia"/>
                <w:b/>
                <w:spacing w:val="-2"/>
                <w:w w:val="100"/>
                <w:sz w:val="21"/>
              </w:rPr>
              <w:t>管制药品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8.10</w:t>
            </w:r>
            <w:r>
              <w:rPr>
                <w:rFonts w:ascii="黑体" w:eastAsia="黑体" w:hint="eastAsia"/>
                <w:spacing w:val="-106"/>
                <w:w w:val="100"/>
                <w:sz w:val="21"/>
              </w:rPr>
              <w:t>）；</w:t>
            </w:r>
          </w:p>
          <w:p>
            <w:pPr>
              <w:pStyle w:val="TableParagraph"/>
              <w:numPr>
                <w:ilvl w:val="0"/>
                <w:numId w:val="11"/>
              </w:numPr>
              <w:tabs>
                <w:tab w:pos="789" w:val="left" w:leader="none"/>
              </w:tabs>
              <w:spacing w:line="309" w:lineRule="auto" w:before="84" w:after="0"/>
              <w:ind w:left="788" w:right="103" w:hanging="624"/>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3"/>
                <w:w w:val="100"/>
                <w:sz w:val="21"/>
              </w:rPr>
              <w:t>酒后驾驶</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8.1</w:t>
            </w:r>
            <w:r>
              <w:rPr>
                <w:rFonts w:ascii="黑体" w:eastAsia="黑体" w:hint="eastAsia"/>
                <w:spacing w:val="-5"/>
                <w:w w:val="100"/>
                <w:sz w:val="21"/>
              </w:rPr>
              <w:t>1</w:t>
            </w:r>
            <w:r>
              <w:rPr>
                <w:rFonts w:ascii="黑体" w:eastAsia="黑体" w:hint="eastAsia"/>
                <w:spacing w:val="-106"/>
                <w:w w:val="100"/>
                <w:sz w:val="21"/>
              </w:rPr>
              <w:t>）</w:t>
            </w:r>
            <w:r>
              <w:rPr>
                <w:rFonts w:ascii="黑体" w:eastAsia="黑体" w:hint="eastAsia"/>
                <w:spacing w:val="-15"/>
                <w:w w:val="100"/>
                <w:sz w:val="21"/>
              </w:rPr>
              <w:t>、</w:t>
            </w:r>
            <w:r>
              <w:rPr>
                <w:rFonts w:ascii="黑体" w:eastAsia="黑体" w:hint="eastAsia"/>
                <w:b/>
                <w:spacing w:val="-2"/>
                <w:w w:val="100"/>
                <w:sz w:val="21"/>
              </w:rPr>
              <w:t>无有效驾驶证驾驶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8.12</w:t>
            </w:r>
            <w:r>
              <w:rPr>
                <w:rFonts w:ascii="黑体" w:eastAsia="黑体" w:hint="eastAsia"/>
                <w:spacing w:val="-10"/>
                <w:w w:val="100"/>
                <w:sz w:val="21"/>
              </w:rPr>
              <w:t>）</w:t>
            </w:r>
            <w:r>
              <w:rPr>
                <w:rFonts w:ascii="黑体" w:eastAsia="黑体" w:hint="eastAsia"/>
                <w:spacing w:val="-5"/>
                <w:w w:val="100"/>
                <w:sz w:val="21"/>
              </w:rPr>
              <w:t>或</w:t>
            </w:r>
            <w:r>
              <w:rPr>
                <w:rFonts w:ascii="黑体" w:eastAsia="黑体" w:hint="eastAsia"/>
                <w:b/>
                <w:w w:val="100"/>
                <w:sz w:val="21"/>
              </w:rPr>
              <w:t>驾驶无有效行驶证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8.1</w:t>
            </w:r>
            <w:r>
              <w:rPr>
                <w:rFonts w:ascii="黑体" w:eastAsia="黑体" w:hint="eastAsia"/>
                <w:spacing w:val="-5"/>
                <w:w w:val="100"/>
                <w:sz w:val="21"/>
              </w:rPr>
              <w:t>3</w:t>
            </w:r>
            <w:r>
              <w:rPr>
                <w:rFonts w:ascii="黑体" w:eastAsia="黑体" w:hint="eastAsia"/>
                <w:w w:val="100"/>
                <w:sz w:val="21"/>
              </w:rPr>
              <w:t>）</w:t>
            </w:r>
            <w:r>
              <w:rPr>
                <w:rFonts w:ascii="黑体" w:eastAsia="黑体" w:hint="eastAsia"/>
                <w:spacing w:val="-2"/>
                <w:w w:val="100"/>
                <w:sz w:val="21"/>
              </w:rPr>
              <w:t>的机动车</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8</w:t>
            </w:r>
            <w:r>
              <w:rPr>
                <w:rFonts w:ascii="黑体" w:eastAsia="黑体" w:hint="eastAsia"/>
                <w:spacing w:val="-5"/>
                <w:w w:val="100"/>
                <w:sz w:val="21"/>
              </w:rPr>
              <w:t>.</w:t>
            </w:r>
            <w:r>
              <w:rPr>
                <w:rFonts w:ascii="黑体" w:eastAsia="黑体" w:hint="eastAsia"/>
                <w:w w:val="100"/>
                <w:sz w:val="21"/>
              </w:rPr>
              <w:t>14</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助动交通工具</w:t>
            </w:r>
            <w:r>
              <w:rPr>
                <w:rFonts w:ascii="黑体" w:eastAsia="黑体" w:hint="eastAsia"/>
                <w:w w:val="100"/>
                <w:sz w:val="21"/>
              </w:rPr>
              <w:t>（</w:t>
            </w:r>
            <w:r>
              <w:rPr>
                <w:rFonts w:ascii="黑体" w:eastAsia="黑体" w:hint="eastAsia"/>
                <w:spacing w:val="-5"/>
                <w:w w:val="100"/>
                <w:sz w:val="21"/>
              </w:rPr>
              <w:t>8</w:t>
            </w:r>
            <w:r>
              <w:rPr>
                <w:rFonts w:ascii="黑体" w:eastAsia="黑体" w:hint="eastAsia"/>
                <w:w w:val="100"/>
                <w:sz w:val="21"/>
              </w:rPr>
              <w:t>.15</w:t>
            </w:r>
            <w:r>
              <w:rPr>
                <w:rFonts w:ascii="黑体" w:eastAsia="黑体" w:hint="eastAsia"/>
                <w:spacing w:val="-106"/>
                <w:w w:val="100"/>
                <w:sz w:val="21"/>
              </w:rPr>
              <w:t>）；</w:t>
            </w:r>
          </w:p>
          <w:p>
            <w:pPr>
              <w:pStyle w:val="TableParagraph"/>
              <w:numPr>
                <w:ilvl w:val="0"/>
                <w:numId w:val="11"/>
              </w:numPr>
              <w:tabs>
                <w:tab w:pos="789" w:val="left" w:leader="none"/>
              </w:tabs>
              <w:spacing w:line="309" w:lineRule="auto" w:before="38" w:after="0"/>
              <w:ind w:left="788" w:right="99" w:hanging="624"/>
              <w:jc w:val="left"/>
              <w:rPr>
                <w:rFonts w:ascii="黑体" w:eastAsia="黑体" w:hint="eastAsia"/>
                <w:sz w:val="21"/>
              </w:rPr>
            </w:pPr>
            <w:r>
              <w:rPr>
                <w:rFonts w:ascii="黑体" w:eastAsia="黑体" w:hint="eastAsia"/>
                <w:spacing w:val="-9"/>
                <w:sz w:val="21"/>
              </w:rPr>
              <w:t>战争、军事冲突、暴乱、</w:t>
            </w:r>
            <w:r>
              <w:rPr>
                <w:rFonts w:ascii="黑体" w:eastAsia="黑体" w:hint="eastAsia"/>
                <w:b/>
                <w:spacing w:val="-4"/>
                <w:sz w:val="21"/>
              </w:rPr>
              <w:t>恐怖活动</w:t>
            </w:r>
            <w:r>
              <w:rPr>
                <w:rFonts w:ascii="黑体" w:eastAsia="黑体" w:hint="eastAsia"/>
                <w:sz w:val="21"/>
              </w:rPr>
              <w:t>（</w:t>
            </w:r>
            <w:r>
              <w:rPr>
                <w:rFonts w:ascii="黑体" w:eastAsia="黑体" w:hint="eastAsia"/>
                <w:spacing w:val="-11"/>
                <w:sz w:val="21"/>
              </w:rPr>
              <w:t>见 </w:t>
            </w:r>
            <w:r>
              <w:rPr>
                <w:rFonts w:ascii="黑体" w:eastAsia="黑体" w:hint="eastAsia"/>
                <w:spacing w:val="-4"/>
                <w:sz w:val="21"/>
              </w:rPr>
              <w:t>8.16）</w:t>
            </w:r>
            <w:r>
              <w:rPr>
                <w:rFonts w:ascii="黑体" w:eastAsia="黑体" w:hint="eastAsia"/>
                <w:spacing w:val="-5"/>
                <w:sz w:val="21"/>
              </w:rPr>
              <w:t>或武装叛乱</w:t>
            </w:r>
            <w:r>
              <w:rPr>
                <w:rFonts w:ascii="黑体" w:eastAsia="黑体" w:hint="eastAsia"/>
                <w:sz w:val="21"/>
              </w:rPr>
              <w:t>（</w:t>
            </w:r>
            <w:r>
              <w:rPr>
                <w:rFonts w:ascii="黑体" w:eastAsia="黑体" w:hint="eastAsia"/>
                <w:spacing w:val="-2"/>
                <w:sz w:val="21"/>
              </w:rPr>
              <w:t>以上行为以政府</w:t>
            </w:r>
            <w:r>
              <w:rPr>
                <w:rFonts w:ascii="黑体" w:eastAsia="黑体" w:hint="eastAsia"/>
                <w:spacing w:val="-3"/>
                <w:w w:val="100"/>
                <w:sz w:val="21"/>
              </w:rPr>
              <w:t>宣告或认定为准</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1"/>
              </w:numPr>
              <w:tabs>
                <w:tab w:pos="789" w:val="left" w:leader="none"/>
              </w:tabs>
              <w:spacing w:line="240" w:lineRule="auto" w:before="38" w:after="0"/>
              <w:ind w:left="788" w:right="0" w:hanging="624"/>
              <w:jc w:val="left"/>
              <w:rPr>
                <w:rFonts w:ascii="黑体" w:eastAsia="黑体" w:hint="eastAsia"/>
                <w:sz w:val="21"/>
              </w:rPr>
            </w:pPr>
            <w:r>
              <w:rPr>
                <w:rFonts w:ascii="黑体" w:eastAsia="黑体" w:hint="eastAsia"/>
                <w:spacing w:val="-5"/>
                <w:sz w:val="21"/>
              </w:rPr>
              <w:t>核爆炸、核辐射或核污染，或由前述情形引起的疾病；</w:t>
            </w:r>
          </w:p>
          <w:p>
            <w:pPr>
              <w:pStyle w:val="TableParagraph"/>
              <w:numPr>
                <w:ilvl w:val="0"/>
                <w:numId w:val="11"/>
              </w:numPr>
              <w:tabs>
                <w:tab w:pos="789" w:val="left" w:leader="none"/>
              </w:tabs>
              <w:spacing w:line="240" w:lineRule="auto" w:before="84" w:after="0"/>
              <w:ind w:left="788" w:right="0" w:hanging="624"/>
              <w:jc w:val="left"/>
              <w:rPr>
                <w:rFonts w:ascii="黑体" w:eastAsia="黑体" w:hint="eastAsia"/>
                <w:sz w:val="21"/>
              </w:rPr>
            </w:pPr>
            <w:r>
              <w:rPr>
                <w:rFonts w:ascii="黑体" w:eastAsia="黑体" w:hint="eastAsia"/>
                <w:b/>
                <w:w w:val="100"/>
                <w:sz w:val="21"/>
              </w:rPr>
              <w:t>遗传性疾病</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5"/>
                <w:w w:val="100"/>
                <w:sz w:val="21"/>
              </w:rPr>
              <w:t>1</w:t>
            </w:r>
            <w:r>
              <w:rPr>
                <w:rFonts w:ascii="黑体" w:eastAsia="黑体" w:hint="eastAsia"/>
                <w:w w:val="100"/>
                <w:sz w:val="21"/>
              </w:rPr>
              <w:t>7）</w:t>
            </w:r>
            <w:r>
              <w:rPr>
                <w:rFonts w:ascii="黑体" w:eastAsia="黑体" w:hint="eastAsia"/>
                <w:spacing w:val="-5"/>
                <w:w w:val="100"/>
                <w:sz w:val="21"/>
              </w:rPr>
              <w:t>,</w:t>
            </w:r>
            <w:r>
              <w:rPr>
                <w:rFonts w:ascii="黑体" w:eastAsia="黑体" w:hint="eastAsia"/>
                <w:b/>
                <w:spacing w:val="-1"/>
                <w:w w:val="100"/>
                <w:sz w:val="21"/>
              </w:rPr>
              <w:t>先天性畸形、变形或染色体异常</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8.18</w:t>
            </w:r>
            <w:r>
              <w:rPr>
                <w:rFonts w:ascii="黑体" w:eastAsia="黑体" w:hint="eastAsia"/>
                <w:spacing w:val="-111"/>
                <w:w w:val="100"/>
                <w:sz w:val="21"/>
              </w:rPr>
              <w:t>）。</w:t>
            </w:r>
          </w:p>
          <w:p>
            <w:pPr>
              <w:pStyle w:val="TableParagraph"/>
              <w:spacing w:line="285" w:lineRule="auto" w:before="31"/>
              <w:ind w:left="164" w:right="113"/>
              <w:rPr>
                <w:rFonts w:ascii="黑体" w:eastAsia="黑体" w:hint="eastAsia"/>
                <w:sz w:val="21"/>
              </w:rPr>
            </w:pPr>
            <w:r>
              <w:rPr>
                <w:rFonts w:ascii="黑体" w:eastAsia="黑体" w:hint="eastAsia"/>
                <w:sz w:val="21"/>
              </w:rPr>
              <w:t>发Th上述第（1）项情形导致被保险人患有重大疾病的，本附加险合同效力即行终止，本公司向保险金受益人退还本附加险合同的</w:t>
            </w:r>
            <w:r>
              <w:rPr>
                <w:rFonts w:ascii="黑体" w:eastAsia="黑体" w:hint="eastAsia"/>
                <w:b/>
                <w:sz w:val="21"/>
              </w:rPr>
              <w:t>现金价值</w:t>
            </w:r>
            <w:r>
              <w:rPr>
                <w:rFonts w:ascii="黑体" w:eastAsia="黑体" w:hint="eastAsia"/>
                <w:sz w:val="21"/>
              </w:rPr>
              <w:t>（见 8.19）。</w:t>
            </w:r>
          </w:p>
          <w:p>
            <w:pPr>
              <w:pStyle w:val="TableParagraph"/>
              <w:spacing w:line="285" w:lineRule="auto" w:before="11"/>
              <w:ind w:left="164" w:right="99"/>
              <w:rPr>
                <w:rFonts w:ascii="黑体" w:eastAsia="黑体" w:hint="eastAsia"/>
                <w:sz w:val="21"/>
              </w:rPr>
            </w:pPr>
            <w:r>
              <w:rPr>
                <w:rFonts w:ascii="黑体" w:eastAsia="黑体" w:hint="eastAsia"/>
                <w:sz w:val="21"/>
              </w:rPr>
              <w:t>发Th</w:t>
            </w:r>
            <w:r>
              <w:rPr>
                <w:rFonts w:ascii="黑体" w:eastAsia="黑体" w:hint="eastAsia"/>
                <w:spacing w:val="-7"/>
                <w:sz w:val="21"/>
              </w:rPr>
              <w:t>上述其他情形导致被保险人患有重大疾病的，本附加险合同效力即行终止，本</w:t>
            </w:r>
            <w:r>
              <w:rPr>
                <w:rFonts w:ascii="黑体" w:eastAsia="黑体" w:hint="eastAsia"/>
                <w:spacing w:val="-6"/>
                <w:sz w:val="21"/>
              </w:rPr>
              <w:t>公司向投保人退还本附加险合同的现金价值。</w:t>
            </w:r>
          </w:p>
        </w:tc>
      </w:tr>
      <w:tr>
        <w:trPr>
          <w:trHeight w:val="530" w:hRule="atLeast"/>
        </w:trPr>
        <w:tc>
          <w:tcPr>
            <w:tcW w:w="799" w:type="dxa"/>
            <w:shd w:val="clear" w:color="auto" w:fill="CCFFCC"/>
          </w:tcPr>
          <w:p>
            <w:pPr>
              <w:pStyle w:val="TableParagraph"/>
              <w:spacing w:before="114"/>
              <w:ind w:left="110"/>
              <w:rPr>
                <w:b/>
                <w:sz w:val="21"/>
              </w:rPr>
            </w:pPr>
            <w:r>
              <w:rPr>
                <w:b/>
                <w:sz w:val="21"/>
              </w:rPr>
              <w:t>2.3</w:t>
            </w:r>
          </w:p>
        </w:tc>
        <w:tc>
          <w:tcPr>
            <w:tcW w:w="1380" w:type="dxa"/>
            <w:shd w:val="clear" w:color="auto" w:fill="CCFFCC"/>
          </w:tcPr>
          <w:p>
            <w:pPr>
              <w:pStyle w:val="TableParagraph"/>
              <w:spacing w:before="114"/>
              <w:rPr>
                <w:b/>
                <w:sz w:val="21"/>
              </w:rPr>
            </w:pPr>
            <w:r>
              <w:rPr>
                <w:b/>
                <w:sz w:val="21"/>
              </w:rPr>
              <w:t>投保份数</w:t>
            </w:r>
          </w:p>
        </w:tc>
        <w:tc>
          <w:tcPr>
            <w:tcW w:w="7803" w:type="dxa"/>
            <w:shd w:val="clear" w:color="auto" w:fill="CCFFCC"/>
          </w:tcPr>
          <w:p>
            <w:pPr>
              <w:pStyle w:val="TableParagraph"/>
              <w:spacing w:before="114"/>
              <w:ind w:left="164"/>
              <w:rPr>
                <w:sz w:val="21"/>
              </w:rPr>
            </w:pPr>
            <w:r>
              <w:rPr>
                <w:sz w:val="21"/>
              </w:rPr>
              <w:t>本附加险合同的投保份数须与主险合同的投保份数相同。</w:t>
            </w:r>
          </w:p>
        </w:tc>
      </w:tr>
      <w:tr>
        <w:trPr>
          <w:trHeight w:val="535" w:hRule="atLeast"/>
        </w:trPr>
        <w:tc>
          <w:tcPr>
            <w:tcW w:w="799" w:type="dxa"/>
            <w:shd w:val="clear" w:color="auto" w:fill="CCFFCC"/>
          </w:tcPr>
          <w:p>
            <w:pPr>
              <w:pStyle w:val="TableParagraph"/>
              <w:spacing w:before="78"/>
              <w:ind w:left="110"/>
              <w:rPr>
                <w:b/>
                <w:sz w:val="21"/>
              </w:rPr>
            </w:pPr>
            <w:r>
              <w:rPr>
                <w:b/>
                <w:sz w:val="21"/>
              </w:rPr>
              <w:t>2.4</w:t>
            </w:r>
          </w:p>
        </w:tc>
        <w:tc>
          <w:tcPr>
            <w:tcW w:w="1380" w:type="dxa"/>
            <w:shd w:val="clear" w:color="auto" w:fill="CCFFCC"/>
          </w:tcPr>
          <w:p>
            <w:pPr>
              <w:pStyle w:val="TableParagraph"/>
              <w:spacing w:before="78"/>
              <w:rPr>
                <w:b/>
                <w:sz w:val="21"/>
              </w:rPr>
            </w:pPr>
            <w:r>
              <w:rPr>
                <w:b/>
                <w:sz w:val="21"/>
              </w:rPr>
              <w:t>保险期间</w:t>
            </w:r>
          </w:p>
        </w:tc>
        <w:tc>
          <w:tcPr>
            <w:tcW w:w="7803" w:type="dxa"/>
            <w:shd w:val="clear" w:color="auto" w:fill="CCFFCC"/>
          </w:tcPr>
          <w:p>
            <w:pPr>
              <w:pStyle w:val="TableParagraph"/>
              <w:spacing w:before="78"/>
              <w:ind w:left="164"/>
              <w:rPr>
                <w:sz w:val="21"/>
              </w:rPr>
            </w:pPr>
            <w:r>
              <w:rPr>
                <w:sz w:val="21"/>
              </w:rPr>
              <w:t>本附加险合同的保险期间为 1 年。</w:t>
            </w:r>
          </w:p>
        </w:tc>
      </w:tr>
      <w:tr>
        <w:trPr>
          <w:trHeight w:val="2552" w:hRule="atLeast"/>
        </w:trPr>
        <w:tc>
          <w:tcPr>
            <w:tcW w:w="799" w:type="dxa"/>
            <w:shd w:val="clear" w:color="auto" w:fill="CCFFCC"/>
          </w:tcPr>
          <w:p>
            <w:pPr>
              <w:pStyle w:val="TableParagraph"/>
              <w:spacing w:before="119"/>
              <w:ind w:left="110"/>
              <w:rPr>
                <w:b/>
                <w:sz w:val="21"/>
              </w:rPr>
            </w:pPr>
            <w:r>
              <w:rPr>
                <w:b/>
                <w:sz w:val="21"/>
              </w:rPr>
              <w:t>2.5</w:t>
            </w:r>
          </w:p>
        </w:tc>
        <w:tc>
          <w:tcPr>
            <w:tcW w:w="1380" w:type="dxa"/>
            <w:shd w:val="clear" w:color="auto" w:fill="CCFFCC"/>
          </w:tcPr>
          <w:p>
            <w:pPr>
              <w:pStyle w:val="TableParagraph"/>
              <w:spacing w:before="119"/>
              <w:rPr>
                <w:b/>
                <w:sz w:val="21"/>
              </w:rPr>
            </w:pPr>
            <w:r>
              <w:rPr>
                <w:b/>
                <w:sz w:val="21"/>
              </w:rPr>
              <w:t>保证续保</w:t>
            </w:r>
          </w:p>
        </w:tc>
        <w:tc>
          <w:tcPr>
            <w:tcW w:w="7803" w:type="dxa"/>
            <w:shd w:val="clear" w:color="auto" w:fill="CCFFCC"/>
          </w:tcPr>
          <w:p>
            <w:pPr>
              <w:pStyle w:val="TableParagraph"/>
              <w:spacing w:line="326" w:lineRule="auto" w:before="119"/>
              <w:ind w:left="164" w:right="99"/>
              <w:jc w:val="both"/>
              <w:rPr>
                <w:sz w:val="21"/>
              </w:rPr>
            </w:pPr>
            <w:r>
              <w:rPr>
                <w:spacing w:val="-6"/>
                <w:sz w:val="21"/>
              </w:rPr>
              <w:t>自投保人首次投保本附加险合同的生效日起，至主险合同保险期间届满日止为保证续保期间。</w:t>
            </w:r>
          </w:p>
          <w:p>
            <w:pPr>
              <w:pStyle w:val="TableParagraph"/>
              <w:spacing w:line="326" w:lineRule="auto" w:before="24"/>
              <w:ind w:left="164" w:right="98"/>
              <w:jc w:val="both"/>
              <w:rPr>
                <w:sz w:val="21"/>
              </w:rPr>
            </w:pPr>
            <w:r>
              <w:rPr>
                <w:spacing w:val="-5"/>
                <w:sz w:val="21"/>
              </w:rPr>
              <w:t>在保证续保期间内，若投保人于每个保险期间届满前未提出停止续保本附加险合同</w:t>
            </w:r>
            <w:r>
              <w:rPr>
                <w:spacing w:val="-7"/>
                <w:sz w:val="21"/>
              </w:rPr>
              <w:t>的书面要求，且向本公司交纳续保保险费，本公司将在续保交费宽限期内按照被保</w:t>
            </w:r>
            <w:r>
              <w:rPr>
                <w:spacing w:val="-8"/>
                <w:sz w:val="21"/>
              </w:rPr>
              <w:t>险人在主险合同生效日时的年龄对应的费率收取续保保险费，则本附加险合同将延</w:t>
            </w:r>
            <w:r>
              <w:rPr>
                <w:spacing w:val="-19"/>
                <w:sz w:val="21"/>
              </w:rPr>
              <w:t>续有效 </w:t>
            </w:r>
            <w:r>
              <w:rPr>
                <w:sz w:val="21"/>
              </w:rPr>
              <w:t>1</w:t>
            </w:r>
            <w:r>
              <w:rPr>
                <w:spacing w:val="-21"/>
                <w:sz w:val="21"/>
              </w:rPr>
              <w:t> 年。</w:t>
            </w:r>
          </w:p>
        </w:tc>
      </w:tr>
      <w:tr>
        <w:trPr>
          <w:trHeight w:val="832" w:hRule="atLeast"/>
        </w:trPr>
        <w:tc>
          <w:tcPr>
            <w:tcW w:w="799" w:type="dxa"/>
            <w:tcBorders>
              <w:bottom w:val="single" w:sz="4" w:space="0" w:color="000000"/>
            </w:tcBorders>
            <w:shd w:val="clear" w:color="auto" w:fill="CCFFCC"/>
          </w:tcPr>
          <w:p>
            <w:pPr>
              <w:pStyle w:val="TableParagraph"/>
              <w:spacing w:before="273"/>
              <w:ind w:left="110"/>
              <w:rPr>
                <w:rFonts w:ascii="Times New Roman"/>
                <w:b/>
                <w:sz w:val="32"/>
              </w:rPr>
            </w:pPr>
            <w:r>
              <w:rPr>
                <w:rFonts w:ascii="Times New Roman"/>
                <w:b/>
                <w:w w:val="100"/>
                <w:sz w:val="32"/>
              </w:rPr>
              <w:t>3</w:t>
            </w:r>
          </w:p>
        </w:tc>
        <w:tc>
          <w:tcPr>
            <w:tcW w:w="9183" w:type="dxa"/>
            <w:gridSpan w:val="2"/>
            <w:tcBorders>
              <w:bottom w:val="single" w:sz="4" w:space="0" w:color="000000"/>
            </w:tcBorders>
            <w:shd w:val="clear" w:color="auto" w:fill="CCFFCC"/>
          </w:tcPr>
          <w:p>
            <w:pPr>
              <w:pStyle w:val="TableParagraph"/>
              <w:spacing w:before="10"/>
              <w:ind w:left="0"/>
              <w:rPr>
                <w:rFonts w:ascii="Times New Roman"/>
                <w:sz w:val="22"/>
              </w:rPr>
            </w:pPr>
          </w:p>
          <w:p>
            <w:pPr>
              <w:pStyle w:val="TableParagraph"/>
              <w:rPr>
                <w:b/>
                <w:sz w:val="24"/>
              </w:rPr>
            </w:pPr>
            <w:r>
              <w:rPr>
                <w:b/>
                <w:w w:val="95"/>
                <w:sz w:val="24"/>
              </w:rPr>
              <w:t>如何申请领取保险金</w:t>
            </w:r>
          </w:p>
        </w:tc>
      </w:tr>
      <w:tr>
        <w:trPr>
          <w:trHeight w:val="375" w:hRule="atLeast"/>
        </w:trPr>
        <w:tc>
          <w:tcPr>
            <w:tcW w:w="799" w:type="dxa"/>
            <w:tcBorders>
              <w:top w:val="single" w:sz="4" w:space="0" w:color="000000"/>
            </w:tcBorders>
            <w:shd w:val="clear" w:color="auto" w:fill="CCFFCC"/>
          </w:tcPr>
          <w:p>
            <w:pPr>
              <w:pStyle w:val="TableParagraph"/>
              <w:spacing w:before="18"/>
              <w:ind w:left="110"/>
              <w:rPr>
                <w:b/>
                <w:sz w:val="21"/>
              </w:rPr>
            </w:pPr>
            <w:r>
              <w:rPr>
                <w:b/>
                <w:sz w:val="21"/>
              </w:rPr>
              <w:t>3.1</w:t>
            </w:r>
          </w:p>
        </w:tc>
        <w:tc>
          <w:tcPr>
            <w:tcW w:w="1380" w:type="dxa"/>
            <w:tcBorders>
              <w:top w:val="single" w:sz="4" w:space="0" w:color="000000"/>
            </w:tcBorders>
            <w:shd w:val="clear" w:color="auto" w:fill="CCFFCC"/>
          </w:tcPr>
          <w:p>
            <w:pPr>
              <w:pStyle w:val="TableParagraph"/>
              <w:spacing w:before="18"/>
              <w:rPr>
                <w:b/>
                <w:sz w:val="21"/>
              </w:rPr>
            </w:pPr>
            <w:r>
              <w:rPr>
                <w:b/>
                <w:sz w:val="21"/>
              </w:rPr>
              <w:t>受益人</w:t>
            </w:r>
          </w:p>
        </w:tc>
        <w:tc>
          <w:tcPr>
            <w:tcW w:w="7803" w:type="dxa"/>
            <w:tcBorders>
              <w:top w:val="single" w:sz="4" w:space="0" w:color="000000"/>
            </w:tcBorders>
            <w:shd w:val="clear" w:color="auto" w:fill="CCFFCC"/>
          </w:tcPr>
          <w:p>
            <w:pPr>
              <w:pStyle w:val="TableParagraph"/>
              <w:spacing w:line="265" w:lineRule="exact"/>
              <w:ind w:left="164"/>
              <w:rPr>
                <w:sz w:val="21"/>
              </w:rPr>
            </w:pPr>
            <w:r>
              <w:rPr>
                <w:sz w:val="21"/>
              </w:rPr>
              <w:t>除另有约定外，本附加险合同重大疾病保险金的受益人为被保险人本人。</w:t>
            </w:r>
          </w:p>
        </w:tc>
      </w:tr>
      <w:tr>
        <w:trPr>
          <w:trHeight w:val="2539" w:hRule="atLeast"/>
        </w:trPr>
        <w:tc>
          <w:tcPr>
            <w:tcW w:w="799" w:type="dxa"/>
            <w:shd w:val="clear" w:color="auto" w:fill="CCFFCC"/>
          </w:tcPr>
          <w:p>
            <w:pPr>
              <w:pStyle w:val="TableParagraph"/>
              <w:spacing w:before="18"/>
              <w:ind w:left="110"/>
              <w:rPr>
                <w:b/>
                <w:sz w:val="21"/>
              </w:rPr>
            </w:pPr>
            <w:r>
              <w:rPr>
                <w:b/>
                <w:sz w:val="21"/>
              </w:rPr>
              <w:t>3.2</w:t>
            </w:r>
          </w:p>
        </w:tc>
        <w:tc>
          <w:tcPr>
            <w:tcW w:w="1380" w:type="dxa"/>
            <w:shd w:val="clear" w:color="auto" w:fill="CCFFCC"/>
          </w:tcPr>
          <w:p>
            <w:pPr>
              <w:pStyle w:val="TableParagraph"/>
              <w:spacing w:line="326" w:lineRule="auto" w:before="18"/>
              <w:ind w:right="160"/>
              <w:rPr>
                <w:b/>
                <w:sz w:val="21"/>
              </w:rPr>
            </w:pPr>
            <w:r>
              <w:rPr>
                <w:b/>
                <w:sz w:val="21"/>
              </w:rPr>
              <w:t>保险事故通知</w:t>
            </w:r>
          </w:p>
        </w:tc>
        <w:tc>
          <w:tcPr>
            <w:tcW w:w="7803" w:type="dxa"/>
            <w:shd w:val="clear" w:color="auto" w:fill="CCFFCC"/>
          </w:tcPr>
          <w:p>
            <w:pPr>
              <w:pStyle w:val="TableParagraph"/>
              <w:spacing w:line="326" w:lineRule="auto" w:before="18"/>
              <w:ind w:left="164" w:right="97"/>
              <w:jc w:val="both"/>
              <w:rPr>
                <w:sz w:val="21"/>
              </w:rPr>
            </w:pPr>
            <w:r>
              <w:rPr>
                <w:spacing w:val="-5"/>
                <w:sz w:val="21"/>
              </w:rPr>
              <w:t>投保人、被保险人、受益人自其知道或应当知道</w:t>
            </w:r>
            <w:r>
              <w:rPr>
                <w:b/>
                <w:spacing w:val="-2"/>
                <w:sz w:val="21"/>
              </w:rPr>
              <w:t>保险事故</w:t>
            </w:r>
            <w:r>
              <w:rPr>
                <w:sz w:val="21"/>
              </w:rPr>
              <w:t>（</w:t>
            </w:r>
            <w:r>
              <w:rPr>
                <w:spacing w:val="-23"/>
                <w:sz w:val="21"/>
              </w:rPr>
              <w:t>见 </w:t>
            </w:r>
            <w:r>
              <w:rPr>
                <w:sz w:val="21"/>
              </w:rPr>
              <w:t>8.20）</w:t>
            </w:r>
            <w:r>
              <w:rPr>
                <w:spacing w:val="-8"/>
                <w:sz w:val="21"/>
              </w:rPr>
              <w:t>发生之日起 </w:t>
            </w:r>
            <w:r>
              <w:rPr>
                <w:sz w:val="21"/>
              </w:rPr>
              <w:t>7 </w:t>
            </w:r>
            <w:r>
              <w:rPr>
                <w:spacing w:val="-7"/>
                <w:sz w:val="21"/>
              </w:rPr>
              <w:t>日内通知本公司。否则投保人、被保险人、受益人应承担由于通知迟延致使本公司</w:t>
            </w:r>
            <w:r>
              <w:rPr>
                <w:spacing w:val="-9"/>
                <w:sz w:val="21"/>
              </w:rPr>
              <w:t>增加的勘查、检验等各项费用，但因</w:t>
            </w:r>
            <w:r>
              <w:rPr>
                <w:b/>
                <w:spacing w:val="-4"/>
                <w:sz w:val="21"/>
              </w:rPr>
              <w:t>不可抗力</w:t>
            </w:r>
            <w:r>
              <w:rPr>
                <w:spacing w:val="-5"/>
                <w:sz w:val="21"/>
              </w:rPr>
              <w:t>（</w:t>
            </w:r>
            <w:r>
              <w:rPr>
                <w:spacing w:val="-10"/>
                <w:sz w:val="21"/>
              </w:rPr>
              <w:t>见 </w:t>
            </w:r>
            <w:r>
              <w:rPr>
                <w:spacing w:val="-5"/>
                <w:sz w:val="21"/>
              </w:rPr>
              <w:t>8.21）</w:t>
            </w:r>
            <w:r>
              <w:rPr>
                <w:spacing w:val="-4"/>
                <w:sz w:val="21"/>
              </w:rPr>
              <w:t>导致的迟延除外。通知内</w:t>
            </w:r>
            <w:r>
              <w:rPr>
                <w:spacing w:val="-5"/>
                <w:sz w:val="21"/>
              </w:rPr>
              <w:t>容包括：事故情况、原因、伤亡情况以及本公司需要了解的其他情况。</w:t>
            </w:r>
          </w:p>
          <w:p>
            <w:pPr>
              <w:pStyle w:val="TableParagraph"/>
              <w:spacing w:line="326" w:lineRule="auto" w:before="24"/>
              <w:ind w:left="164" w:right="1"/>
              <w:jc w:val="both"/>
              <w:rPr>
                <w:rFonts w:ascii="黑体" w:eastAsia="黑体" w:hint="eastAsia"/>
                <w:sz w:val="21"/>
              </w:rPr>
            </w:pPr>
            <w:r>
              <w:rPr>
                <w:rFonts w:ascii="黑体" w:eastAsia="黑体" w:hint="eastAsia"/>
                <w:spacing w:val="-13"/>
                <w:sz w:val="21"/>
              </w:rPr>
              <w:t>投保人、被保险人、受益人故意或者因重大过失未及时通知，致使保险事故的性质、</w:t>
            </w:r>
            <w:r>
              <w:rPr>
                <w:rFonts w:ascii="黑体" w:eastAsia="黑体" w:hint="eastAsia"/>
                <w:spacing w:val="-10"/>
                <w:sz w:val="21"/>
              </w:rPr>
              <w:t>原因等难以确定的，本公司对无法确定的部分，不承担给付保险金的责任，但本公</w:t>
            </w:r>
          </w:p>
          <w:p>
            <w:pPr>
              <w:pStyle w:val="TableParagraph"/>
              <w:spacing w:line="255" w:lineRule="exact" w:before="24"/>
              <w:ind w:left="164"/>
              <w:jc w:val="both"/>
              <w:rPr>
                <w:rFonts w:ascii="黑体" w:eastAsia="黑体" w:hint="eastAsia"/>
                <w:sz w:val="21"/>
              </w:rPr>
            </w:pPr>
            <w:r>
              <w:rPr>
                <w:rFonts w:ascii="黑体" w:eastAsia="黑体" w:hint="eastAsia"/>
                <w:sz w:val="21"/>
              </w:rPr>
              <w:t>司通过其他途径已经及时知道或者应当及时知道保险事故发Th的除外。</w:t>
            </w:r>
          </w:p>
        </w:tc>
      </w:tr>
    </w:tbl>
    <w:p>
      <w:pPr>
        <w:spacing w:after="0" w:line="255" w:lineRule="exact"/>
        <w:jc w:val="both"/>
        <w:rPr>
          <w:rFonts w:ascii="黑体" w:eastAsia="黑体" w:hint="eastAsia"/>
          <w:sz w:val="21"/>
        </w:rPr>
        <w:sectPr>
          <w:headerReference w:type="default" r:id="rId9"/>
          <w:pgSz w:w="11910" w:h="16840"/>
          <w:pgMar w:header="0" w:footer="377" w:top="0" w:bottom="560" w:left="800" w:right="9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1380"/>
        <w:gridCol w:w="7803"/>
      </w:tblGrid>
      <w:tr>
        <w:trPr>
          <w:trHeight w:val="2405" w:hRule="atLeast"/>
        </w:trPr>
        <w:tc>
          <w:tcPr>
            <w:tcW w:w="799" w:type="dxa"/>
            <w:shd w:val="clear" w:color="auto" w:fill="CCFFCC"/>
          </w:tcPr>
          <w:p>
            <w:pPr>
              <w:pStyle w:val="TableParagraph"/>
              <w:spacing w:line="211" w:lineRule="exact"/>
              <w:ind w:left="110"/>
              <w:rPr>
                <w:b/>
                <w:sz w:val="21"/>
              </w:rPr>
            </w:pPr>
            <w:r>
              <w:rPr>
                <w:b/>
                <w:sz w:val="21"/>
              </w:rPr>
              <w:t>3.3</w:t>
            </w:r>
          </w:p>
        </w:tc>
        <w:tc>
          <w:tcPr>
            <w:tcW w:w="1380" w:type="dxa"/>
            <w:shd w:val="clear" w:color="auto" w:fill="CCFFCC"/>
          </w:tcPr>
          <w:p>
            <w:pPr>
              <w:pStyle w:val="TableParagraph"/>
              <w:spacing w:line="211" w:lineRule="exact"/>
              <w:rPr>
                <w:b/>
                <w:sz w:val="21"/>
              </w:rPr>
            </w:pPr>
            <w:r>
              <w:rPr>
                <w:b/>
                <w:sz w:val="21"/>
              </w:rPr>
              <w:t>保险金申</w:t>
            </w:r>
          </w:p>
          <w:p>
            <w:pPr>
              <w:pStyle w:val="TableParagraph"/>
              <w:spacing w:before="99"/>
              <w:rPr>
                <w:b/>
                <w:sz w:val="21"/>
              </w:rPr>
            </w:pPr>
            <w:r>
              <w:rPr>
                <w:b/>
                <w:w w:val="100"/>
                <w:sz w:val="21"/>
              </w:rPr>
              <w:t>请</w:t>
            </w:r>
          </w:p>
        </w:tc>
        <w:tc>
          <w:tcPr>
            <w:tcW w:w="7803" w:type="dxa"/>
            <w:shd w:val="clear" w:color="auto" w:fill="CCFFCC"/>
          </w:tcPr>
          <w:p>
            <w:pPr>
              <w:pStyle w:val="TableParagraph"/>
              <w:spacing w:line="211" w:lineRule="exact"/>
              <w:ind w:left="164"/>
              <w:rPr>
                <w:sz w:val="21"/>
              </w:rPr>
            </w:pPr>
            <w:r>
              <w:rPr>
                <w:sz w:val="21"/>
              </w:rPr>
              <w:t>在申请保险金时，请按照下列方式办理：</w:t>
            </w:r>
          </w:p>
          <w:p>
            <w:pPr>
              <w:pStyle w:val="TableParagraph"/>
              <w:spacing w:before="46"/>
              <w:ind w:left="164"/>
              <w:rPr>
                <w:sz w:val="21"/>
              </w:rPr>
            </w:pPr>
            <w:r>
              <w:rPr>
                <w:sz w:val="21"/>
              </w:rPr>
              <w:t>由被保险人作为申请人填写保险金给付申请书，并须提供下列证明和资料：</w:t>
            </w:r>
          </w:p>
          <w:p>
            <w:pPr>
              <w:pStyle w:val="TableParagraph"/>
              <w:numPr>
                <w:ilvl w:val="0"/>
                <w:numId w:val="12"/>
              </w:numPr>
              <w:tabs>
                <w:tab w:pos="789" w:val="left" w:leader="none"/>
              </w:tabs>
              <w:spacing w:line="240" w:lineRule="auto" w:before="51" w:after="0"/>
              <w:ind w:left="788" w:right="0" w:hanging="624"/>
              <w:jc w:val="left"/>
              <w:rPr>
                <w:sz w:val="21"/>
              </w:rPr>
            </w:pPr>
            <w:r>
              <w:rPr>
                <w:sz w:val="21"/>
              </w:rPr>
              <w:t>保险合同；</w:t>
            </w:r>
          </w:p>
          <w:p>
            <w:pPr>
              <w:pStyle w:val="TableParagraph"/>
              <w:numPr>
                <w:ilvl w:val="0"/>
                <w:numId w:val="12"/>
              </w:numPr>
              <w:tabs>
                <w:tab w:pos="789" w:val="left" w:leader="none"/>
              </w:tabs>
              <w:spacing w:line="240" w:lineRule="auto" w:before="37" w:after="0"/>
              <w:ind w:left="788" w:right="0" w:hanging="624"/>
              <w:jc w:val="left"/>
              <w:rPr>
                <w:sz w:val="21"/>
              </w:rPr>
            </w:pPr>
            <w:r>
              <w:rPr>
                <w:spacing w:val="-2"/>
                <w:w w:val="100"/>
                <w:sz w:val="21"/>
              </w:rPr>
              <w:t>申请人的</w:t>
            </w:r>
            <w:r>
              <w:rPr>
                <w:b/>
                <w:w w:val="100"/>
                <w:sz w:val="21"/>
              </w:rPr>
              <w:t>法定身份证明</w:t>
            </w:r>
            <w:r>
              <w:rPr>
                <w:w w:val="100"/>
                <w:sz w:val="21"/>
              </w:rPr>
              <w:t>（见</w:t>
            </w:r>
            <w:r>
              <w:rPr>
                <w:spacing w:val="-53"/>
                <w:sz w:val="21"/>
              </w:rPr>
              <w:t> </w:t>
            </w:r>
            <w:r>
              <w:rPr>
                <w:w w:val="100"/>
                <w:sz w:val="21"/>
              </w:rPr>
              <w:t>8</w:t>
            </w:r>
            <w:r>
              <w:rPr>
                <w:spacing w:val="-5"/>
                <w:w w:val="100"/>
                <w:sz w:val="21"/>
              </w:rPr>
              <w:t>.</w:t>
            </w:r>
            <w:r>
              <w:rPr>
                <w:w w:val="100"/>
                <w:sz w:val="21"/>
              </w:rPr>
              <w:t>22</w:t>
            </w:r>
            <w:r>
              <w:rPr>
                <w:spacing w:val="-106"/>
                <w:w w:val="100"/>
                <w:sz w:val="21"/>
              </w:rPr>
              <w:t>）</w:t>
            </w:r>
            <w:r>
              <w:rPr>
                <w:w w:val="100"/>
                <w:sz w:val="21"/>
              </w:rPr>
              <w:t>；</w:t>
            </w:r>
          </w:p>
          <w:p>
            <w:pPr>
              <w:pStyle w:val="TableParagraph"/>
              <w:numPr>
                <w:ilvl w:val="0"/>
                <w:numId w:val="12"/>
              </w:numPr>
              <w:tabs>
                <w:tab w:pos="789" w:val="left" w:leader="none"/>
              </w:tabs>
              <w:spacing w:line="271" w:lineRule="auto" w:before="37" w:after="0"/>
              <w:ind w:left="788" w:right="99" w:hanging="624"/>
              <w:jc w:val="left"/>
              <w:rPr>
                <w:sz w:val="21"/>
              </w:rPr>
            </w:pPr>
            <w:r>
              <w:rPr>
                <w:spacing w:val="-6"/>
                <w:sz w:val="21"/>
              </w:rPr>
              <w:t>本公司指定或认可的医院出具的附有病历、必要病理检验、血液检验及其它</w:t>
            </w:r>
            <w:r>
              <w:rPr>
                <w:spacing w:val="-5"/>
                <w:sz w:val="21"/>
              </w:rPr>
              <w:t>科学方法检验报告的疾病诊断书；</w:t>
            </w:r>
          </w:p>
          <w:p>
            <w:pPr>
              <w:pStyle w:val="TableParagraph"/>
              <w:numPr>
                <w:ilvl w:val="0"/>
                <w:numId w:val="12"/>
              </w:numPr>
              <w:tabs>
                <w:tab w:pos="789" w:val="left" w:leader="none"/>
              </w:tabs>
              <w:spacing w:line="240" w:lineRule="auto" w:before="24" w:after="0"/>
              <w:ind w:left="788" w:right="0" w:hanging="624"/>
              <w:jc w:val="left"/>
              <w:rPr>
                <w:sz w:val="21"/>
              </w:rPr>
            </w:pPr>
            <w:r>
              <w:rPr>
                <w:spacing w:val="-5"/>
                <w:sz w:val="21"/>
              </w:rPr>
              <w:t>与确认保险事故的性质、原因、经过等有关的其他证明和资料。</w:t>
            </w:r>
          </w:p>
        </w:tc>
      </w:tr>
      <w:tr>
        <w:trPr>
          <w:trHeight w:val="1324" w:hRule="atLeast"/>
        </w:trPr>
        <w:tc>
          <w:tcPr>
            <w:tcW w:w="799" w:type="dxa"/>
            <w:shd w:val="clear" w:color="auto" w:fill="CCFFCC"/>
          </w:tcPr>
          <w:p>
            <w:pPr>
              <w:pStyle w:val="TableParagraph"/>
              <w:ind w:left="0"/>
              <w:rPr>
                <w:rFonts w:ascii="Times New Roman"/>
                <w:sz w:val="20"/>
              </w:rPr>
            </w:pPr>
          </w:p>
        </w:tc>
        <w:tc>
          <w:tcPr>
            <w:tcW w:w="1380" w:type="dxa"/>
            <w:shd w:val="clear" w:color="auto" w:fill="CCFFCC"/>
          </w:tcPr>
          <w:p>
            <w:pPr>
              <w:pStyle w:val="TableParagraph"/>
              <w:spacing w:line="343" w:lineRule="auto" w:before="168"/>
              <w:ind w:right="198"/>
              <w:jc w:val="both"/>
              <w:rPr>
                <w:b/>
                <w:sz w:val="20"/>
              </w:rPr>
            </w:pPr>
            <w:r>
              <w:rPr>
                <w:b/>
                <w:sz w:val="20"/>
              </w:rPr>
              <w:t>委托他人代为申请保险金</w:t>
            </w:r>
          </w:p>
        </w:tc>
        <w:tc>
          <w:tcPr>
            <w:tcW w:w="7803" w:type="dxa"/>
            <w:shd w:val="clear" w:color="auto" w:fill="CCFFCC"/>
          </w:tcPr>
          <w:p>
            <w:pPr>
              <w:pStyle w:val="TableParagraph"/>
              <w:spacing w:line="326" w:lineRule="auto" w:before="161"/>
              <w:ind w:left="164" w:right="101"/>
              <w:rPr>
                <w:sz w:val="21"/>
              </w:rPr>
            </w:pPr>
            <w:r>
              <w:rPr>
                <w:spacing w:val="-6"/>
                <w:sz w:val="21"/>
              </w:rPr>
              <w:t>若受益人委托他人代为申请，被委托人还应提供受益人签字的授权委托书、被委托</w:t>
            </w:r>
            <w:r>
              <w:rPr>
                <w:spacing w:val="-5"/>
                <w:sz w:val="21"/>
              </w:rPr>
              <w:t>人的有效身份证件等相关证明文件。</w:t>
            </w:r>
          </w:p>
        </w:tc>
      </w:tr>
      <w:tr>
        <w:trPr>
          <w:trHeight w:val="927" w:hRule="atLeast"/>
        </w:trPr>
        <w:tc>
          <w:tcPr>
            <w:tcW w:w="799" w:type="dxa"/>
            <w:shd w:val="clear" w:color="auto" w:fill="CCFFCC"/>
          </w:tcPr>
          <w:p>
            <w:pPr>
              <w:pStyle w:val="TableParagraph"/>
              <w:ind w:left="0"/>
              <w:rPr>
                <w:rFonts w:ascii="Times New Roman"/>
                <w:sz w:val="20"/>
              </w:rPr>
            </w:pPr>
          </w:p>
        </w:tc>
        <w:tc>
          <w:tcPr>
            <w:tcW w:w="1380" w:type="dxa"/>
            <w:shd w:val="clear" w:color="auto" w:fill="CCFFCC"/>
          </w:tcPr>
          <w:p>
            <w:pPr>
              <w:pStyle w:val="TableParagraph"/>
              <w:spacing w:before="87"/>
              <w:rPr>
                <w:b/>
                <w:sz w:val="20"/>
              </w:rPr>
            </w:pPr>
            <w:r>
              <w:rPr>
                <w:b/>
                <w:sz w:val="20"/>
              </w:rPr>
              <w:t>补充通知</w:t>
            </w:r>
          </w:p>
        </w:tc>
        <w:tc>
          <w:tcPr>
            <w:tcW w:w="7803" w:type="dxa"/>
            <w:shd w:val="clear" w:color="auto" w:fill="CCFFCC"/>
          </w:tcPr>
          <w:p>
            <w:pPr>
              <w:pStyle w:val="TableParagraph"/>
              <w:spacing w:line="326" w:lineRule="auto" w:before="81"/>
              <w:ind w:left="164" w:right="66"/>
              <w:rPr>
                <w:sz w:val="21"/>
              </w:rPr>
            </w:pPr>
            <w:r>
              <w:rPr>
                <w:sz w:val="21"/>
              </w:rPr>
              <w:t>以上证明和资料不完整的，本公司将及时一次性通知申请人补充提供有关的证明和资料。</w:t>
            </w:r>
          </w:p>
        </w:tc>
      </w:tr>
      <w:tr>
        <w:trPr>
          <w:trHeight w:val="969" w:hRule="atLeast"/>
        </w:trPr>
        <w:tc>
          <w:tcPr>
            <w:tcW w:w="799" w:type="dxa"/>
            <w:shd w:val="clear" w:color="auto" w:fill="CCFFCC"/>
          </w:tcPr>
          <w:p>
            <w:pPr>
              <w:pStyle w:val="TableParagraph"/>
              <w:ind w:left="0"/>
              <w:rPr>
                <w:rFonts w:ascii="Times New Roman"/>
                <w:sz w:val="20"/>
              </w:rPr>
            </w:pPr>
          </w:p>
        </w:tc>
        <w:tc>
          <w:tcPr>
            <w:tcW w:w="1380" w:type="dxa"/>
            <w:shd w:val="clear" w:color="auto" w:fill="CCFFCC"/>
          </w:tcPr>
          <w:p>
            <w:pPr>
              <w:pStyle w:val="TableParagraph"/>
              <w:spacing w:before="140"/>
              <w:rPr>
                <w:b/>
                <w:sz w:val="20"/>
              </w:rPr>
            </w:pPr>
            <w:r>
              <w:rPr>
                <w:b/>
                <w:sz w:val="20"/>
              </w:rPr>
              <w:t>身体检查</w:t>
            </w:r>
          </w:p>
        </w:tc>
        <w:tc>
          <w:tcPr>
            <w:tcW w:w="7803" w:type="dxa"/>
            <w:shd w:val="clear" w:color="auto" w:fill="CCFFCC"/>
          </w:tcPr>
          <w:p>
            <w:pPr>
              <w:pStyle w:val="TableParagraph"/>
              <w:spacing w:line="326" w:lineRule="auto" w:before="133"/>
              <w:ind w:left="164" w:right="98"/>
              <w:rPr>
                <w:sz w:val="21"/>
              </w:rPr>
            </w:pPr>
            <w:r>
              <w:rPr>
                <w:spacing w:val="-6"/>
                <w:sz w:val="21"/>
              </w:rPr>
              <w:t>除上述相关证明外，本公司如认为必要，在保险事故发生后可以对被保险人的身体</w:t>
            </w:r>
            <w:r>
              <w:rPr>
                <w:spacing w:val="-5"/>
                <w:sz w:val="21"/>
              </w:rPr>
              <w:t>状况进行检查或鉴定。</w:t>
            </w:r>
          </w:p>
        </w:tc>
      </w:tr>
      <w:tr>
        <w:trPr>
          <w:trHeight w:val="2847" w:hRule="atLeast"/>
        </w:trPr>
        <w:tc>
          <w:tcPr>
            <w:tcW w:w="799" w:type="dxa"/>
            <w:shd w:val="clear" w:color="auto" w:fill="CCFFCC"/>
          </w:tcPr>
          <w:p>
            <w:pPr>
              <w:pStyle w:val="TableParagraph"/>
              <w:spacing w:before="123"/>
              <w:ind w:left="110"/>
              <w:rPr>
                <w:b/>
                <w:sz w:val="21"/>
              </w:rPr>
            </w:pPr>
            <w:r>
              <w:rPr>
                <w:b/>
                <w:sz w:val="21"/>
              </w:rPr>
              <w:t>3.4</w:t>
            </w:r>
          </w:p>
        </w:tc>
        <w:tc>
          <w:tcPr>
            <w:tcW w:w="1380" w:type="dxa"/>
            <w:shd w:val="clear" w:color="auto" w:fill="CCFFCC"/>
          </w:tcPr>
          <w:p>
            <w:pPr>
              <w:pStyle w:val="TableParagraph"/>
              <w:spacing w:line="326" w:lineRule="auto" w:before="123"/>
              <w:ind w:right="160"/>
              <w:rPr>
                <w:b/>
                <w:sz w:val="21"/>
              </w:rPr>
            </w:pPr>
            <w:r>
              <w:rPr>
                <w:b/>
                <w:sz w:val="21"/>
              </w:rPr>
              <w:t>保险金给付</w:t>
            </w:r>
          </w:p>
        </w:tc>
        <w:tc>
          <w:tcPr>
            <w:tcW w:w="7803" w:type="dxa"/>
            <w:shd w:val="clear" w:color="auto" w:fill="CCFFCC"/>
          </w:tcPr>
          <w:p>
            <w:pPr>
              <w:pStyle w:val="TableParagraph"/>
              <w:spacing w:line="326" w:lineRule="auto" w:before="123"/>
              <w:ind w:left="164" w:right="99"/>
              <w:rPr>
                <w:sz w:val="21"/>
              </w:rPr>
            </w:pPr>
            <w:r>
              <w:rPr>
                <w:spacing w:val="-6"/>
                <w:sz w:val="21"/>
              </w:rPr>
              <w:t>本公司在收到保险金给付申请书及上述完整齐全的有关证明和资料后，会及时做出</w:t>
            </w:r>
            <w:r>
              <w:rPr>
                <w:spacing w:val="-7"/>
                <w:sz w:val="21"/>
              </w:rPr>
              <w:t>核定，对确定属于保险责任的，在与被保险人或受益人达成有关给付保险金数额的</w:t>
            </w:r>
            <w:r>
              <w:rPr>
                <w:spacing w:val="-16"/>
                <w:sz w:val="21"/>
              </w:rPr>
              <w:t>协议后 </w:t>
            </w:r>
            <w:r>
              <w:rPr>
                <w:sz w:val="21"/>
              </w:rPr>
              <w:t>10</w:t>
            </w:r>
            <w:r>
              <w:rPr>
                <w:spacing w:val="-8"/>
                <w:sz w:val="21"/>
              </w:rPr>
              <w:t> 日内，履行给付保险金责任。对不属于保险责任的，自作出核定之日起</w:t>
            </w:r>
            <w:r>
              <w:rPr>
                <w:spacing w:val="-6"/>
                <w:sz w:val="21"/>
              </w:rPr>
              <w:t>三日内向被保险人或者受益人发出拒绝给付保险金通知书并说明理由。</w:t>
            </w:r>
          </w:p>
          <w:p>
            <w:pPr>
              <w:pStyle w:val="TableParagraph"/>
              <w:spacing w:line="326" w:lineRule="auto" w:before="23"/>
              <w:ind w:left="164" w:right="-15"/>
              <w:rPr>
                <w:sz w:val="21"/>
              </w:rPr>
            </w:pPr>
            <w:r>
              <w:rPr>
                <w:spacing w:val="-7"/>
                <w:sz w:val="21"/>
              </w:rPr>
              <w:t>本公司在收到保险金给付申请书及上述完整齐全的有关证明和资料之日起 </w:t>
            </w:r>
            <w:r>
              <w:rPr>
                <w:sz w:val="21"/>
              </w:rPr>
              <w:t>60</w:t>
            </w:r>
            <w:r>
              <w:rPr>
                <w:spacing w:val="-15"/>
                <w:sz w:val="21"/>
              </w:rPr>
              <w:t> 日内， </w:t>
            </w:r>
            <w:r>
              <w:rPr>
                <w:spacing w:val="-11"/>
                <w:sz w:val="21"/>
              </w:rPr>
              <w:t>对属于保险责任而给付保险金的数额不能确定的，根据已有证明和资料，按可以确</w:t>
            </w:r>
            <w:r>
              <w:rPr>
                <w:spacing w:val="-7"/>
                <w:sz w:val="21"/>
              </w:rPr>
              <w:t>定的数额先予以支付；本公司最终确定给付保险金的数额后，给付相应的差额。</w:t>
            </w:r>
          </w:p>
        </w:tc>
      </w:tr>
      <w:tr>
        <w:trPr>
          <w:trHeight w:val="1039" w:hRule="atLeast"/>
        </w:trPr>
        <w:tc>
          <w:tcPr>
            <w:tcW w:w="799" w:type="dxa"/>
            <w:shd w:val="clear" w:color="auto" w:fill="CCFFCC"/>
          </w:tcPr>
          <w:p>
            <w:pPr>
              <w:pStyle w:val="TableParagraph"/>
              <w:spacing w:before="138"/>
              <w:ind w:left="110"/>
              <w:rPr>
                <w:b/>
                <w:sz w:val="21"/>
              </w:rPr>
            </w:pPr>
            <w:r>
              <w:rPr>
                <w:b/>
                <w:sz w:val="21"/>
              </w:rPr>
              <w:t>3.5</w:t>
            </w:r>
          </w:p>
        </w:tc>
        <w:tc>
          <w:tcPr>
            <w:tcW w:w="1380" w:type="dxa"/>
            <w:shd w:val="clear" w:color="auto" w:fill="CCFFCC"/>
          </w:tcPr>
          <w:p>
            <w:pPr>
              <w:pStyle w:val="TableParagraph"/>
              <w:spacing w:line="321" w:lineRule="auto" w:before="138"/>
              <w:ind w:right="160"/>
              <w:rPr>
                <w:b/>
                <w:sz w:val="21"/>
              </w:rPr>
            </w:pPr>
            <w:r>
              <w:rPr>
                <w:b/>
                <w:sz w:val="21"/>
              </w:rPr>
              <w:t>保险金申请时效</w:t>
            </w:r>
          </w:p>
        </w:tc>
        <w:tc>
          <w:tcPr>
            <w:tcW w:w="7803" w:type="dxa"/>
            <w:shd w:val="clear" w:color="auto" w:fill="CCFFCC"/>
          </w:tcPr>
          <w:p>
            <w:pPr>
              <w:pStyle w:val="TableParagraph"/>
              <w:spacing w:line="321" w:lineRule="auto" w:before="138"/>
              <w:ind w:left="164" w:right="104"/>
              <w:rPr>
                <w:sz w:val="21"/>
              </w:rPr>
            </w:pPr>
            <w:r>
              <w:rPr>
                <w:spacing w:val="-6"/>
                <w:sz w:val="21"/>
              </w:rPr>
              <w:t>被保险人或者受益人向本公司请求给付保险金的诉讼时效期间为二年，自其知道或</w:t>
            </w:r>
            <w:r>
              <w:rPr>
                <w:spacing w:val="-5"/>
                <w:sz w:val="21"/>
              </w:rPr>
              <w:t>者应当知道保险事故发生之日起计算。</w:t>
            </w:r>
          </w:p>
        </w:tc>
      </w:tr>
      <w:tr>
        <w:trPr>
          <w:trHeight w:val="740" w:hRule="atLeast"/>
        </w:trPr>
        <w:tc>
          <w:tcPr>
            <w:tcW w:w="799" w:type="dxa"/>
            <w:tcBorders>
              <w:bottom w:val="single" w:sz="4" w:space="0" w:color="000000"/>
            </w:tcBorders>
            <w:shd w:val="clear" w:color="auto" w:fill="CCFFCC"/>
          </w:tcPr>
          <w:p>
            <w:pPr>
              <w:pStyle w:val="TableParagraph"/>
              <w:spacing w:before="245"/>
              <w:ind w:left="110"/>
              <w:rPr>
                <w:rFonts w:ascii="Times New Roman"/>
                <w:b/>
                <w:sz w:val="32"/>
              </w:rPr>
            </w:pPr>
            <w:r>
              <w:rPr>
                <w:rFonts w:ascii="Times New Roman"/>
                <w:b/>
                <w:w w:val="100"/>
                <w:sz w:val="32"/>
              </w:rPr>
              <w:t>4</w:t>
            </w:r>
          </w:p>
        </w:tc>
        <w:tc>
          <w:tcPr>
            <w:tcW w:w="9183" w:type="dxa"/>
            <w:gridSpan w:val="2"/>
            <w:tcBorders>
              <w:bottom w:val="single" w:sz="4" w:space="0" w:color="000000"/>
            </w:tcBorders>
            <w:shd w:val="clear" w:color="auto" w:fill="CCFFCC"/>
          </w:tcPr>
          <w:p>
            <w:pPr>
              <w:pStyle w:val="TableParagraph"/>
              <w:spacing w:before="4"/>
              <w:ind w:left="0"/>
              <w:rPr>
                <w:rFonts w:ascii="Times New Roman"/>
                <w:sz w:val="20"/>
              </w:rPr>
            </w:pPr>
          </w:p>
          <w:p>
            <w:pPr>
              <w:pStyle w:val="TableParagraph"/>
              <w:rPr>
                <w:b/>
                <w:sz w:val="24"/>
              </w:rPr>
            </w:pPr>
            <w:r>
              <w:rPr>
                <w:b/>
                <w:w w:val="95"/>
                <w:sz w:val="24"/>
              </w:rPr>
              <w:t>如何交纳保险费</w:t>
            </w:r>
          </w:p>
        </w:tc>
      </w:tr>
      <w:tr>
        <w:trPr>
          <w:trHeight w:val="1366" w:hRule="atLeast"/>
        </w:trPr>
        <w:tc>
          <w:tcPr>
            <w:tcW w:w="799" w:type="dxa"/>
            <w:tcBorders>
              <w:top w:val="single" w:sz="4" w:space="0" w:color="000000"/>
            </w:tcBorders>
            <w:shd w:val="clear" w:color="auto" w:fill="CCFFCC"/>
          </w:tcPr>
          <w:p>
            <w:pPr>
              <w:pStyle w:val="TableParagraph"/>
              <w:spacing w:before="177"/>
              <w:ind w:left="110"/>
              <w:rPr>
                <w:b/>
                <w:sz w:val="21"/>
              </w:rPr>
            </w:pPr>
            <w:r>
              <w:rPr>
                <w:b/>
                <w:sz w:val="21"/>
              </w:rPr>
              <w:t>4.1</w:t>
            </w:r>
          </w:p>
        </w:tc>
        <w:tc>
          <w:tcPr>
            <w:tcW w:w="1380" w:type="dxa"/>
            <w:tcBorders>
              <w:top w:val="single" w:sz="4" w:space="0" w:color="000000"/>
            </w:tcBorders>
            <w:shd w:val="clear" w:color="auto" w:fill="CCFFCC"/>
          </w:tcPr>
          <w:p>
            <w:pPr>
              <w:pStyle w:val="TableParagraph"/>
              <w:spacing w:before="177"/>
              <w:rPr>
                <w:b/>
                <w:sz w:val="21"/>
              </w:rPr>
            </w:pPr>
            <w:r>
              <w:rPr>
                <w:b/>
                <w:sz w:val="21"/>
              </w:rPr>
              <w:t>保险费</w:t>
            </w:r>
          </w:p>
        </w:tc>
        <w:tc>
          <w:tcPr>
            <w:tcW w:w="7803" w:type="dxa"/>
            <w:tcBorders>
              <w:top w:val="single" w:sz="4" w:space="0" w:color="000000"/>
            </w:tcBorders>
            <w:shd w:val="clear" w:color="auto" w:fill="CCFFCC"/>
          </w:tcPr>
          <w:p>
            <w:pPr>
              <w:pStyle w:val="TableParagraph"/>
              <w:spacing w:before="177"/>
              <w:ind w:left="164"/>
              <w:rPr>
                <w:sz w:val="21"/>
              </w:rPr>
            </w:pPr>
            <w:r>
              <w:rPr>
                <w:sz w:val="21"/>
              </w:rPr>
              <w:t>本附加险合同的保险费采取一次性交付方式。</w:t>
            </w:r>
          </w:p>
          <w:p>
            <w:pPr>
              <w:pStyle w:val="TableParagraph"/>
              <w:spacing w:line="326" w:lineRule="auto" w:before="99"/>
              <w:ind w:left="164" w:right="98"/>
              <w:rPr>
                <w:sz w:val="21"/>
              </w:rPr>
            </w:pPr>
            <w:r>
              <w:rPr>
                <w:spacing w:val="-6"/>
                <w:sz w:val="21"/>
              </w:rPr>
              <w:t>自第二个保单年度起，经被保险人授权同意，投保人可用主险合同生存保险金抵交</w:t>
            </w:r>
            <w:r>
              <w:rPr>
                <w:spacing w:val="-5"/>
                <w:sz w:val="21"/>
              </w:rPr>
              <w:t>本附加险续保保险费。</w:t>
            </w:r>
          </w:p>
        </w:tc>
      </w:tr>
      <w:tr>
        <w:trPr>
          <w:trHeight w:val="1874" w:hRule="atLeast"/>
        </w:trPr>
        <w:tc>
          <w:tcPr>
            <w:tcW w:w="799" w:type="dxa"/>
            <w:shd w:val="clear" w:color="auto" w:fill="CCFFCC"/>
          </w:tcPr>
          <w:p>
            <w:pPr>
              <w:pStyle w:val="TableParagraph"/>
              <w:spacing w:before="102"/>
              <w:ind w:left="110"/>
              <w:rPr>
                <w:b/>
                <w:sz w:val="21"/>
              </w:rPr>
            </w:pPr>
            <w:r>
              <w:rPr>
                <w:b/>
                <w:sz w:val="21"/>
              </w:rPr>
              <w:t>4.2</w:t>
            </w:r>
          </w:p>
        </w:tc>
        <w:tc>
          <w:tcPr>
            <w:tcW w:w="1380" w:type="dxa"/>
            <w:shd w:val="clear" w:color="auto" w:fill="CCFFCC"/>
          </w:tcPr>
          <w:p>
            <w:pPr>
              <w:pStyle w:val="TableParagraph"/>
              <w:spacing w:before="102"/>
              <w:rPr>
                <w:b/>
                <w:sz w:val="21"/>
              </w:rPr>
            </w:pPr>
            <w:r>
              <w:rPr>
                <w:b/>
                <w:sz w:val="21"/>
              </w:rPr>
              <w:t>宽限期</w:t>
            </w:r>
          </w:p>
        </w:tc>
        <w:tc>
          <w:tcPr>
            <w:tcW w:w="7803" w:type="dxa"/>
            <w:shd w:val="clear" w:color="auto" w:fill="CCFFCC"/>
          </w:tcPr>
          <w:p>
            <w:pPr>
              <w:pStyle w:val="TableParagraph"/>
              <w:spacing w:line="326" w:lineRule="auto" w:before="102"/>
              <w:ind w:left="164" w:right="101"/>
              <w:rPr>
                <w:sz w:val="21"/>
              </w:rPr>
            </w:pPr>
            <w:r>
              <w:rPr>
                <w:spacing w:val="-7"/>
                <w:sz w:val="21"/>
              </w:rPr>
              <w:t>如果投保人到期未交纳保险费，自保险费应交日的次日起 </w:t>
            </w:r>
            <w:r>
              <w:rPr>
                <w:sz w:val="21"/>
              </w:rPr>
              <w:t>60</w:t>
            </w:r>
            <w:r>
              <w:rPr>
                <w:spacing w:val="-8"/>
                <w:sz w:val="21"/>
              </w:rPr>
              <w:t> 日为宽限期。宽限期</w:t>
            </w:r>
            <w:r>
              <w:rPr>
                <w:spacing w:val="-9"/>
                <w:sz w:val="21"/>
              </w:rPr>
              <w:t>内发生的保险事故，本公司仍会承担保险责任，但在给付保险金时会扣除投保人欠</w:t>
            </w:r>
            <w:r>
              <w:rPr>
                <w:spacing w:val="-8"/>
                <w:sz w:val="21"/>
              </w:rPr>
              <w:t>交的保险费。</w:t>
            </w:r>
          </w:p>
          <w:p>
            <w:pPr>
              <w:pStyle w:val="TableParagraph"/>
              <w:spacing w:before="24"/>
              <w:ind w:left="164"/>
              <w:rPr>
                <w:sz w:val="21"/>
              </w:rPr>
            </w:pPr>
            <w:r>
              <w:rPr>
                <w:sz w:val="21"/>
              </w:rPr>
              <w:t>如果宽限期结束之后投保人仍未交纳保险费，则本附加险合同自宽限期满的次日零</w:t>
            </w:r>
          </w:p>
          <w:p>
            <w:pPr>
              <w:pStyle w:val="TableParagraph"/>
              <w:spacing w:line="255" w:lineRule="exact" w:before="99"/>
              <w:ind w:left="164"/>
              <w:rPr>
                <w:sz w:val="21"/>
              </w:rPr>
            </w:pPr>
            <w:r>
              <w:rPr>
                <w:sz w:val="21"/>
              </w:rPr>
              <w:t>时起终止，但本附加险合同另有约定的除外。</w:t>
            </w:r>
          </w:p>
        </w:tc>
      </w:tr>
    </w:tbl>
    <w:p>
      <w:pPr>
        <w:spacing w:after="0" w:line="255" w:lineRule="exact"/>
        <w:rPr>
          <w:sz w:val="21"/>
        </w:rPr>
        <w:sectPr>
          <w:headerReference w:type="default" r:id="rId10"/>
          <w:pgSz w:w="11910" w:h="16840"/>
          <w:pgMar w:header="0" w:footer="377" w:top="0" w:bottom="560" w:left="800" w:right="9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1380"/>
        <w:gridCol w:w="7803"/>
      </w:tblGrid>
      <w:tr>
        <w:trPr>
          <w:trHeight w:val="468" w:hRule="atLeast"/>
        </w:trPr>
        <w:tc>
          <w:tcPr>
            <w:tcW w:w="799" w:type="dxa"/>
            <w:tcBorders>
              <w:bottom w:val="single" w:sz="4" w:space="0" w:color="000000"/>
            </w:tcBorders>
            <w:shd w:val="clear" w:color="auto" w:fill="CCFFCC"/>
          </w:tcPr>
          <w:p>
            <w:pPr>
              <w:pStyle w:val="TableParagraph"/>
              <w:spacing w:line="356" w:lineRule="exact"/>
              <w:ind w:left="110"/>
              <w:rPr>
                <w:rFonts w:ascii="Times New Roman"/>
                <w:b/>
                <w:sz w:val="32"/>
              </w:rPr>
            </w:pPr>
            <w:r>
              <w:rPr>
                <w:rFonts w:ascii="Times New Roman"/>
                <w:b/>
                <w:w w:val="100"/>
                <w:sz w:val="32"/>
              </w:rPr>
              <w:t>5</w:t>
            </w:r>
          </w:p>
        </w:tc>
        <w:tc>
          <w:tcPr>
            <w:tcW w:w="9183" w:type="dxa"/>
            <w:gridSpan w:val="2"/>
            <w:tcBorders>
              <w:bottom w:val="single" w:sz="4" w:space="0" w:color="000000"/>
            </w:tcBorders>
            <w:shd w:val="clear" w:color="auto" w:fill="CCFFCC"/>
          </w:tcPr>
          <w:p>
            <w:pPr>
              <w:pStyle w:val="TableParagraph"/>
              <w:spacing w:line="282" w:lineRule="exact"/>
              <w:rPr>
                <w:b/>
                <w:sz w:val="24"/>
              </w:rPr>
            </w:pPr>
            <w:r>
              <w:rPr>
                <w:b/>
                <w:w w:val="95"/>
                <w:sz w:val="24"/>
              </w:rPr>
              <w:t>合同效力的中止、恢复及终止</w:t>
            </w:r>
          </w:p>
        </w:tc>
      </w:tr>
      <w:tr>
        <w:trPr>
          <w:trHeight w:val="855" w:hRule="atLeast"/>
        </w:trPr>
        <w:tc>
          <w:tcPr>
            <w:tcW w:w="799" w:type="dxa"/>
            <w:tcBorders>
              <w:top w:val="single" w:sz="4" w:space="0" w:color="000000"/>
            </w:tcBorders>
            <w:shd w:val="clear" w:color="auto" w:fill="CCFFCC"/>
          </w:tcPr>
          <w:p>
            <w:pPr>
              <w:pStyle w:val="TableParagraph"/>
              <w:spacing w:before="172"/>
              <w:ind w:left="110"/>
              <w:rPr>
                <w:b/>
                <w:sz w:val="21"/>
              </w:rPr>
            </w:pPr>
            <w:r>
              <w:rPr>
                <w:b/>
                <w:sz w:val="21"/>
              </w:rPr>
              <w:t>5.1</w:t>
            </w:r>
          </w:p>
        </w:tc>
        <w:tc>
          <w:tcPr>
            <w:tcW w:w="1380" w:type="dxa"/>
            <w:tcBorders>
              <w:top w:val="single" w:sz="4" w:space="0" w:color="000000"/>
            </w:tcBorders>
            <w:shd w:val="clear" w:color="auto" w:fill="CCFFCC"/>
          </w:tcPr>
          <w:p>
            <w:pPr>
              <w:pStyle w:val="TableParagraph"/>
              <w:spacing w:before="172"/>
              <w:ind w:left="0" w:right="160"/>
              <w:jc w:val="right"/>
              <w:rPr>
                <w:b/>
                <w:sz w:val="21"/>
              </w:rPr>
            </w:pPr>
            <w:r>
              <w:rPr>
                <w:b/>
                <w:sz w:val="21"/>
              </w:rPr>
              <w:t>效力中止</w:t>
            </w:r>
          </w:p>
        </w:tc>
        <w:tc>
          <w:tcPr>
            <w:tcW w:w="7803" w:type="dxa"/>
            <w:tcBorders>
              <w:top w:val="single" w:sz="4" w:space="0" w:color="000000"/>
            </w:tcBorders>
            <w:shd w:val="clear" w:color="auto" w:fill="CCFFCC"/>
          </w:tcPr>
          <w:p>
            <w:pPr>
              <w:pStyle w:val="TableParagraph"/>
              <w:spacing w:before="138"/>
              <w:ind w:left="164"/>
              <w:rPr>
                <w:sz w:val="21"/>
              </w:rPr>
            </w:pPr>
            <w:r>
              <w:rPr>
                <w:sz w:val="21"/>
              </w:rPr>
              <w:t>主险合同效力中止，本附加险合同随之中止。</w:t>
            </w:r>
          </w:p>
          <w:p>
            <w:pPr>
              <w:pStyle w:val="TableParagraph"/>
              <w:spacing w:before="71"/>
              <w:ind w:left="164"/>
              <w:rPr>
                <w:sz w:val="21"/>
              </w:rPr>
            </w:pPr>
            <w:r>
              <w:rPr>
                <w:sz w:val="21"/>
              </w:rPr>
              <w:t>在本附加险合同效力中止期间，本公司不负保险责任。</w:t>
            </w:r>
          </w:p>
        </w:tc>
      </w:tr>
      <w:tr>
        <w:trPr>
          <w:trHeight w:val="3367" w:hRule="atLeast"/>
        </w:trPr>
        <w:tc>
          <w:tcPr>
            <w:tcW w:w="799" w:type="dxa"/>
            <w:shd w:val="clear" w:color="auto" w:fill="CCFFCC"/>
          </w:tcPr>
          <w:p>
            <w:pPr>
              <w:pStyle w:val="TableParagraph"/>
              <w:spacing w:before="32"/>
              <w:ind w:left="110"/>
              <w:rPr>
                <w:b/>
                <w:sz w:val="21"/>
              </w:rPr>
            </w:pPr>
            <w:r>
              <w:rPr>
                <w:b/>
                <w:sz w:val="21"/>
              </w:rPr>
              <w:t>5.2</w:t>
            </w:r>
          </w:p>
        </w:tc>
        <w:tc>
          <w:tcPr>
            <w:tcW w:w="1380" w:type="dxa"/>
            <w:shd w:val="clear" w:color="auto" w:fill="CCFFCC"/>
          </w:tcPr>
          <w:p>
            <w:pPr>
              <w:pStyle w:val="TableParagraph"/>
              <w:spacing w:before="32"/>
              <w:ind w:left="0" w:right="160"/>
              <w:jc w:val="right"/>
              <w:rPr>
                <w:b/>
                <w:sz w:val="21"/>
              </w:rPr>
            </w:pPr>
            <w:r>
              <w:rPr>
                <w:b/>
                <w:sz w:val="21"/>
              </w:rPr>
              <w:t>效力恢复</w:t>
            </w:r>
          </w:p>
        </w:tc>
        <w:tc>
          <w:tcPr>
            <w:tcW w:w="7803" w:type="dxa"/>
            <w:shd w:val="clear" w:color="auto" w:fill="CCFFCC"/>
          </w:tcPr>
          <w:p>
            <w:pPr>
              <w:pStyle w:val="TableParagraph"/>
              <w:spacing w:line="326" w:lineRule="auto" w:before="32"/>
              <w:ind w:left="164"/>
              <w:rPr>
                <w:sz w:val="21"/>
              </w:rPr>
            </w:pPr>
            <w:r>
              <w:rPr>
                <w:spacing w:val="-12"/>
                <w:sz w:val="21"/>
              </w:rPr>
              <w:t>主险合同效力恢复时，若本附加险合同保险期间未届满，则恢复本附加险合同效力； </w:t>
            </w:r>
            <w:r>
              <w:rPr>
                <w:spacing w:val="-9"/>
                <w:sz w:val="21"/>
              </w:rPr>
              <w:t>若本附加险合同已终止或主险合同效力恢复时已过本附加险合同保险期限的，投保人可以申请恢复本附加险合同效力，但需按非连续投保处理。投保人应填写复效申</w:t>
            </w:r>
            <w:r>
              <w:rPr>
                <w:spacing w:val="-8"/>
                <w:sz w:val="21"/>
              </w:rPr>
              <w:t>请书，并应本公司的要求提供被保险人的健康声明书、体检报告书及其他相关证明文件，经本公司审核同意，双方达成复效协议，自投保人补交保险费、利息及其他</w:t>
            </w:r>
            <w:r>
              <w:rPr>
                <w:spacing w:val="-6"/>
                <w:sz w:val="21"/>
              </w:rPr>
              <w:t>未还款项的次日零时起，本附加险合同效力恢复。</w:t>
            </w:r>
          </w:p>
          <w:p>
            <w:pPr>
              <w:pStyle w:val="TableParagraph"/>
              <w:spacing w:line="326" w:lineRule="auto" w:before="23"/>
              <w:ind w:left="164" w:right="99"/>
              <w:rPr>
                <w:sz w:val="21"/>
              </w:rPr>
            </w:pPr>
            <w:r>
              <w:rPr>
                <w:spacing w:val="-6"/>
                <w:sz w:val="21"/>
              </w:rPr>
              <w:t>主险合同效力中止期间内，若双方未达成复效协议，本公司向投保人退还主险合同</w:t>
            </w:r>
            <w:r>
              <w:rPr>
                <w:spacing w:val="-5"/>
                <w:sz w:val="21"/>
              </w:rPr>
              <w:t>现金价值的，本公司将一并退还本附加险合同现金价值。</w:t>
            </w:r>
          </w:p>
          <w:p>
            <w:pPr>
              <w:pStyle w:val="TableParagraph"/>
              <w:spacing w:before="23"/>
              <w:ind w:left="164"/>
              <w:rPr>
                <w:sz w:val="21"/>
              </w:rPr>
            </w:pPr>
            <w:r>
              <w:rPr>
                <w:sz w:val="21"/>
              </w:rPr>
              <w:t>但本附加险合同另有约定的除外。</w:t>
            </w:r>
          </w:p>
        </w:tc>
      </w:tr>
      <w:tr>
        <w:trPr>
          <w:trHeight w:val="1138" w:hRule="atLeast"/>
        </w:trPr>
        <w:tc>
          <w:tcPr>
            <w:tcW w:w="799" w:type="dxa"/>
            <w:shd w:val="clear" w:color="auto" w:fill="CCFFCC"/>
          </w:tcPr>
          <w:p>
            <w:pPr>
              <w:pStyle w:val="TableParagraph"/>
              <w:spacing w:before="35"/>
              <w:ind w:left="110"/>
              <w:rPr>
                <w:b/>
                <w:sz w:val="21"/>
              </w:rPr>
            </w:pPr>
            <w:r>
              <w:rPr>
                <w:b/>
                <w:sz w:val="21"/>
              </w:rPr>
              <w:t>5.3</w:t>
            </w:r>
          </w:p>
        </w:tc>
        <w:tc>
          <w:tcPr>
            <w:tcW w:w="1380" w:type="dxa"/>
            <w:shd w:val="clear" w:color="auto" w:fill="CCFFCC"/>
          </w:tcPr>
          <w:p>
            <w:pPr>
              <w:pStyle w:val="TableParagraph"/>
              <w:spacing w:before="35"/>
              <w:ind w:left="0" w:right="160"/>
              <w:jc w:val="right"/>
              <w:rPr>
                <w:b/>
                <w:sz w:val="21"/>
              </w:rPr>
            </w:pPr>
            <w:r>
              <w:rPr>
                <w:b/>
                <w:sz w:val="21"/>
              </w:rPr>
              <w:t>效力终止</w:t>
            </w:r>
          </w:p>
        </w:tc>
        <w:tc>
          <w:tcPr>
            <w:tcW w:w="7803" w:type="dxa"/>
            <w:shd w:val="clear" w:color="auto" w:fill="CCFFCC"/>
          </w:tcPr>
          <w:p>
            <w:pPr>
              <w:pStyle w:val="TableParagraph"/>
              <w:spacing w:before="1"/>
              <w:ind w:left="164"/>
              <w:rPr>
                <w:sz w:val="21"/>
              </w:rPr>
            </w:pPr>
            <w:r>
              <w:rPr>
                <w:sz w:val="21"/>
              </w:rPr>
              <w:t>本附加险合同发生下列情况之一时将会自动终止：</w:t>
            </w:r>
          </w:p>
          <w:p>
            <w:pPr>
              <w:pStyle w:val="TableParagraph"/>
              <w:numPr>
                <w:ilvl w:val="0"/>
                <w:numId w:val="13"/>
              </w:numPr>
              <w:tabs>
                <w:tab w:pos="789" w:val="left" w:leader="none"/>
              </w:tabs>
              <w:spacing w:line="240" w:lineRule="auto" w:before="17" w:after="0"/>
              <w:ind w:left="788" w:right="0" w:hanging="624"/>
              <w:jc w:val="left"/>
              <w:rPr>
                <w:sz w:val="21"/>
              </w:rPr>
            </w:pPr>
            <w:r>
              <w:rPr>
                <w:spacing w:val="-1"/>
                <w:sz w:val="21"/>
              </w:rPr>
              <w:t>主险合同效力终止；</w:t>
            </w:r>
          </w:p>
          <w:p>
            <w:pPr>
              <w:pStyle w:val="TableParagraph"/>
              <w:numPr>
                <w:ilvl w:val="0"/>
                <w:numId w:val="13"/>
              </w:numPr>
              <w:tabs>
                <w:tab w:pos="789" w:val="left" w:leader="none"/>
              </w:tabs>
              <w:spacing w:line="240" w:lineRule="auto" w:before="40" w:after="0"/>
              <w:ind w:left="788" w:right="0" w:hanging="624"/>
              <w:jc w:val="left"/>
              <w:rPr>
                <w:sz w:val="21"/>
              </w:rPr>
            </w:pPr>
            <w:r>
              <w:rPr>
                <w:spacing w:val="-4"/>
                <w:sz w:val="21"/>
              </w:rPr>
              <w:t>因出现本附加险合同其他条款所列情况而终止。</w:t>
            </w:r>
          </w:p>
        </w:tc>
      </w:tr>
      <w:tr>
        <w:trPr>
          <w:trHeight w:val="675" w:hRule="atLeast"/>
        </w:trPr>
        <w:tc>
          <w:tcPr>
            <w:tcW w:w="799" w:type="dxa"/>
            <w:tcBorders>
              <w:bottom w:val="single" w:sz="6" w:space="0" w:color="000000"/>
            </w:tcBorders>
            <w:shd w:val="clear" w:color="auto" w:fill="CCFFCC"/>
          </w:tcPr>
          <w:p>
            <w:pPr>
              <w:pStyle w:val="TableParagraph"/>
              <w:spacing w:before="211"/>
              <w:ind w:left="110"/>
              <w:rPr>
                <w:rFonts w:ascii="Times New Roman"/>
                <w:b/>
                <w:sz w:val="32"/>
              </w:rPr>
            </w:pPr>
            <w:r>
              <w:rPr>
                <w:rFonts w:ascii="Times New Roman"/>
                <w:b/>
                <w:w w:val="100"/>
                <w:sz w:val="32"/>
              </w:rPr>
              <w:t>6</w:t>
            </w:r>
          </w:p>
        </w:tc>
        <w:tc>
          <w:tcPr>
            <w:tcW w:w="9183" w:type="dxa"/>
            <w:gridSpan w:val="2"/>
            <w:tcBorders>
              <w:bottom w:val="single" w:sz="6" w:space="0" w:color="000000"/>
            </w:tcBorders>
            <w:shd w:val="clear" w:color="auto" w:fill="CCFFCC"/>
          </w:tcPr>
          <w:p>
            <w:pPr>
              <w:pStyle w:val="TableParagraph"/>
              <w:spacing w:before="186"/>
              <w:rPr>
                <w:b/>
                <w:sz w:val="24"/>
              </w:rPr>
            </w:pPr>
            <w:r>
              <w:rPr>
                <w:b/>
                <w:w w:val="95"/>
                <w:sz w:val="24"/>
              </w:rPr>
              <w:t>如何解除保险合同</w:t>
            </w:r>
          </w:p>
        </w:tc>
      </w:tr>
      <w:tr>
        <w:trPr>
          <w:trHeight w:val="3116" w:hRule="atLeast"/>
        </w:trPr>
        <w:tc>
          <w:tcPr>
            <w:tcW w:w="799" w:type="dxa"/>
            <w:tcBorders>
              <w:top w:val="single" w:sz="6" w:space="0" w:color="000000"/>
            </w:tcBorders>
            <w:shd w:val="clear" w:color="auto" w:fill="CCFFCC"/>
          </w:tcPr>
          <w:p>
            <w:pPr>
              <w:pStyle w:val="TableParagraph"/>
              <w:spacing w:before="170"/>
              <w:ind w:left="110"/>
              <w:rPr>
                <w:b/>
                <w:sz w:val="21"/>
              </w:rPr>
            </w:pPr>
            <w:r>
              <w:rPr>
                <w:b/>
                <w:sz w:val="21"/>
              </w:rPr>
              <w:t>6.1</w:t>
            </w:r>
          </w:p>
        </w:tc>
        <w:tc>
          <w:tcPr>
            <w:tcW w:w="1380" w:type="dxa"/>
            <w:tcBorders>
              <w:top w:val="single" w:sz="6" w:space="0" w:color="000000"/>
            </w:tcBorders>
            <w:shd w:val="clear" w:color="auto" w:fill="CCFFCC"/>
          </w:tcPr>
          <w:p>
            <w:pPr>
              <w:pStyle w:val="TableParagraph"/>
              <w:spacing w:before="170"/>
              <w:ind w:left="0" w:right="160"/>
              <w:jc w:val="right"/>
              <w:rPr>
                <w:b/>
                <w:sz w:val="21"/>
              </w:rPr>
            </w:pPr>
            <w:r>
              <w:rPr>
                <w:b/>
                <w:sz w:val="21"/>
              </w:rPr>
              <w:t>合同解除</w:t>
            </w:r>
          </w:p>
        </w:tc>
        <w:tc>
          <w:tcPr>
            <w:tcW w:w="7803" w:type="dxa"/>
            <w:tcBorders>
              <w:top w:val="single" w:sz="6" w:space="0" w:color="000000"/>
            </w:tcBorders>
            <w:shd w:val="clear" w:color="auto" w:fill="CCFFCC"/>
          </w:tcPr>
          <w:p>
            <w:pPr>
              <w:pStyle w:val="TableParagraph"/>
              <w:spacing w:line="326" w:lineRule="auto" w:before="170"/>
              <w:ind w:left="164" w:right="99"/>
              <w:rPr>
                <w:sz w:val="21"/>
              </w:rPr>
            </w:pPr>
            <w:r>
              <w:rPr>
                <w:spacing w:val="-6"/>
                <w:sz w:val="21"/>
              </w:rPr>
              <w:t>投保人在犹豫期后，可以书面通知要求解除本附加险合同，并向本公司提供下列证明和资料：</w:t>
            </w:r>
          </w:p>
          <w:p>
            <w:pPr>
              <w:pStyle w:val="TableParagraph"/>
              <w:numPr>
                <w:ilvl w:val="0"/>
                <w:numId w:val="14"/>
              </w:numPr>
              <w:tabs>
                <w:tab w:pos="789" w:val="left" w:leader="none"/>
              </w:tabs>
              <w:spacing w:line="261" w:lineRule="exact" w:before="0" w:after="0"/>
              <w:ind w:left="788" w:right="0" w:hanging="624"/>
              <w:jc w:val="left"/>
              <w:rPr>
                <w:sz w:val="21"/>
              </w:rPr>
            </w:pPr>
            <w:r>
              <w:rPr>
                <w:sz w:val="21"/>
              </w:rPr>
              <w:t>保险合同；</w:t>
            </w:r>
          </w:p>
          <w:p>
            <w:pPr>
              <w:pStyle w:val="TableParagraph"/>
              <w:numPr>
                <w:ilvl w:val="0"/>
                <w:numId w:val="14"/>
              </w:numPr>
              <w:tabs>
                <w:tab w:pos="789" w:val="left" w:leader="none"/>
              </w:tabs>
              <w:spacing w:line="240" w:lineRule="auto" w:before="36" w:after="0"/>
              <w:ind w:left="788" w:right="0" w:hanging="624"/>
              <w:jc w:val="left"/>
              <w:rPr>
                <w:sz w:val="21"/>
              </w:rPr>
            </w:pPr>
            <w:r>
              <w:rPr>
                <w:spacing w:val="-1"/>
                <w:sz w:val="21"/>
              </w:rPr>
              <w:t>解除合同申请书；</w:t>
            </w:r>
          </w:p>
          <w:p>
            <w:pPr>
              <w:pStyle w:val="TableParagraph"/>
              <w:numPr>
                <w:ilvl w:val="0"/>
                <w:numId w:val="14"/>
              </w:numPr>
              <w:tabs>
                <w:tab w:pos="789" w:val="left" w:leader="none"/>
              </w:tabs>
              <w:spacing w:line="240" w:lineRule="auto" w:before="36" w:after="0"/>
              <w:ind w:left="788" w:right="0" w:hanging="624"/>
              <w:jc w:val="left"/>
              <w:rPr>
                <w:sz w:val="21"/>
              </w:rPr>
            </w:pPr>
            <w:r>
              <w:rPr>
                <w:spacing w:val="-2"/>
                <w:sz w:val="21"/>
              </w:rPr>
              <w:t>投保人的法定身份证明。</w:t>
            </w:r>
          </w:p>
          <w:p>
            <w:pPr>
              <w:pStyle w:val="TableParagraph"/>
              <w:spacing w:line="326" w:lineRule="auto" w:before="89"/>
              <w:ind w:left="164" w:right="101"/>
              <w:rPr>
                <w:sz w:val="21"/>
              </w:rPr>
            </w:pPr>
            <w:r>
              <w:rPr>
                <w:spacing w:val="-6"/>
                <w:sz w:val="21"/>
              </w:rPr>
              <w:t>自本公司收到解除合同申请书之日起，本附加险合同终止。本公司在收到上述证明</w:t>
            </w:r>
            <w:r>
              <w:rPr>
                <w:spacing w:val="-10"/>
                <w:sz w:val="21"/>
              </w:rPr>
              <w:t>和资料之日起 </w:t>
            </w:r>
            <w:r>
              <w:rPr>
                <w:sz w:val="21"/>
              </w:rPr>
              <w:t>30</w:t>
            </w:r>
            <w:r>
              <w:rPr>
                <w:spacing w:val="-8"/>
                <w:sz w:val="21"/>
              </w:rPr>
              <w:t> 日内退还本附加险合同的现金价值。</w:t>
            </w:r>
          </w:p>
          <w:p>
            <w:pPr>
              <w:pStyle w:val="TableParagraph"/>
              <w:spacing w:before="23"/>
              <w:ind w:left="164"/>
              <w:rPr>
                <w:sz w:val="21"/>
              </w:rPr>
            </w:pPr>
            <w:r>
              <w:rPr>
                <w:sz w:val="21"/>
              </w:rPr>
              <w:t>投保人在犹豫期后解除合同会遭受一定的损失。</w:t>
            </w:r>
          </w:p>
        </w:tc>
      </w:tr>
      <w:tr>
        <w:trPr>
          <w:trHeight w:val="658" w:hRule="atLeast"/>
        </w:trPr>
        <w:tc>
          <w:tcPr>
            <w:tcW w:w="799" w:type="dxa"/>
            <w:tcBorders>
              <w:bottom w:val="single" w:sz="4" w:space="0" w:color="000000"/>
            </w:tcBorders>
            <w:shd w:val="clear" w:color="auto" w:fill="CCFFCC"/>
          </w:tcPr>
          <w:p>
            <w:pPr>
              <w:pStyle w:val="TableParagraph"/>
              <w:spacing w:before="182"/>
              <w:ind w:left="110"/>
              <w:rPr>
                <w:rFonts w:ascii="Times New Roman"/>
                <w:b/>
                <w:sz w:val="32"/>
              </w:rPr>
            </w:pPr>
            <w:r>
              <w:rPr>
                <w:rFonts w:ascii="Times New Roman"/>
                <w:b/>
                <w:w w:val="100"/>
                <w:sz w:val="32"/>
              </w:rPr>
              <w:t>7</w:t>
            </w:r>
          </w:p>
        </w:tc>
        <w:tc>
          <w:tcPr>
            <w:tcW w:w="9183" w:type="dxa"/>
            <w:gridSpan w:val="2"/>
            <w:tcBorders>
              <w:bottom w:val="single" w:sz="4" w:space="0" w:color="000000"/>
            </w:tcBorders>
            <w:shd w:val="clear" w:color="auto" w:fill="CCFFCC"/>
          </w:tcPr>
          <w:p>
            <w:pPr>
              <w:pStyle w:val="TableParagraph"/>
              <w:spacing w:before="163"/>
              <w:rPr>
                <w:b/>
                <w:sz w:val="24"/>
              </w:rPr>
            </w:pPr>
            <w:r>
              <w:rPr>
                <w:b/>
                <w:w w:val="95"/>
                <w:sz w:val="24"/>
              </w:rPr>
              <w:t>其他需要关注的事项</w:t>
            </w:r>
          </w:p>
        </w:tc>
      </w:tr>
      <w:tr>
        <w:trPr>
          <w:trHeight w:val="3808" w:hRule="atLeast"/>
        </w:trPr>
        <w:tc>
          <w:tcPr>
            <w:tcW w:w="799" w:type="dxa"/>
            <w:tcBorders>
              <w:top w:val="single" w:sz="4" w:space="0" w:color="000000"/>
            </w:tcBorders>
            <w:shd w:val="clear" w:color="auto" w:fill="CCFFCC"/>
          </w:tcPr>
          <w:p>
            <w:pPr>
              <w:pStyle w:val="TableParagraph"/>
              <w:spacing w:before="162"/>
              <w:ind w:left="110"/>
              <w:rPr>
                <w:b/>
                <w:sz w:val="21"/>
              </w:rPr>
            </w:pPr>
            <w:r>
              <w:rPr>
                <w:b/>
                <w:sz w:val="21"/>
              </w:rPr>
              <w:t>7.1</w:t>
            </w:r>
          </w:p>
        </w:tc>
        <w:tc>
          <w:tcPr>
            <w:tcW w:w="1380" w:type="dxa"/>
            <w:tcBorders>
              <w:top w:val="single" w:sz="4" w:space="0" w:color="000000"/>
            </w:tcBorders>
            <w:shd w:val="clear" w:color="auto" w:fill="CCFFCC"/>
          </w:tcPr>
          <w:p>
            <w:pPr>
              <w:pStyle w:val="TableParagraph"/>
              <w:spacing w:before="162"/>
              <w:ind w:left="0" w:right="160"/>
              <w:jc w:val="right"/>
              <w:rPr>
                <w:b/>
                <w:sz w:val="21"/>
              </w:rPr>
            </w:pPr>
            <w:r>
              <w:rPr>
                <w:b/>
                <w:sz w:val="21"/>
              </w:rPr>
              <w:t>如实告知</w:t>
            </w:r>
          </w:p>
        </w:tc>
        <w:tc>
          <w:tcPr>
            <w:tcW w:w="7803" w:type="dxa"/>
            <w:tcBorders>
              <w:top w:val="single" w:sz="4" w:space="0" w:color="000000"/>
            </w:tcBorders>
            <w:shd w:val="clear" w:color="auto" w:fill="CCFFCC"/>
          </w:tcPr>
          <w:p>
            <w:pPr>
              <w:pStyle w:val="TableParagraph"/>
              <w:spacing w:line="326" w:lineRule="auto" w:before="162"/>
              <w:ind w:left="164" w:right="99"/>
              <w:jc w:val="both"/>
              <w:rPr>
                <w:sz w:val="21"/>
              </w:rPr>
            </w:pPr>
            <w:r>
              <w:rPr>
                <w:spacing w:val="-7"/>
                <w:sz w:val="21"/>
              </w:rPr>
              <w:t>订立本附加险合同或申请恢复本附加险合同效力时，本公司应向投保人明确说明本</w:t>
            </w:r>
            <w:r>
              <w:rPr>
                <w:spacing w:val="-9"/>
                <w:sz w:val="21"/>
              </w:rPr>
              <w:t>附加险合同的内容，并可以就投保人、被保险人的有关情况提出询问，投保人应当如实告知。</w:t>
            </w:r>
          </w:p>
          <w:p>
            <w:pPr>
              <w:pStyle w:val="TableParagraph"/>
              <w:spacing w:line="326" w:lineRule="auto" w:before="23"/>
              <w:ind w:left="164" w:right="105"/>
              <w:jc w:val="both"/>
              <w:rPr>
                <w:rFonts w:ascii="黑体" w:eastAsia="黑体" w:hint="eastAsia"/>
                <w:sz w:val="21"/>
              </w:rPr>
            </w:pPr>
            <w:r>
              <w:rPr>
                <w:rFonts w:ascii="黑体" w:eastAsia="黑体" w:hint="eastAsia"/>
                <w:spacing w:val="-7"/>
                <w:sz w:val="21"/>
              </w:rPr>
              <w:t>投保人故意或者因重大过失未履行前款规定的如实告知义务，足以影响本公司决定</w:t>
            </w:r>
            <w:r>
              <w:rPr>
                <w:rFonts w:ascii="黑体" w:eastAsia="黑体" w:hint="eastAsia"/>
                <w:spacing w:val="-6"/>
                <w:sz w:val="21"/>
              </w:rPr>
              <w:t>是否同意承保或者提高保险费率的，本公司有权解除本附加险合同。</w:t>
            </w:r>
          </w:p>
          <w:p>
            <w:pPr>
              <w:pStyle w:val="TableParagraph"/>
              <w:spacing w:line="326" w:lineRule="auto" w:before="23"/>
              <w:ind w:left="164" w:right="100"/>
              <w:jc w:val="both"/>
              <w:rPr>
                <w:sz w:val="21"/>
              </w:rPr>
            </w:pPr>
            <w:r>
              <w:rPr>
                <w:spacing w:val="-6"/>
                <w:sz w:val="21"/>
              </w:rPr>
              <w:t>前款规定的合同解除权，自本公司知道有解除事由之日起，超过三十日不行使而消</w:t>
            </w:r>
            <w:r>
              <w:rPr>
                <w:spacing w:val="-7"/>
                <w:sz w:val="21"/>
              </w:rPr>
              <w:t>灭。自本附加险合同成立之日起超过二年的，本公司不得解除本附加险合同；发生</w:t>
            </w:r>
            <w:r>
              <w:rPr>
                <w:spacing w:val="-6"/>
                <w:sz w:val="21"/>
              </w:rPr>
              <w:t>保险事故的，本公司承担给付保险金的责任。</w:t>
            </w:r>
          </w:p>
          <w:p>
            <w:pPr>
              <w:pStyle w:val="TableParagraph"/>
              <w:spacing w:before="24"/>
              <w:ind w:left="164"/>
              <w:jc w:val="both"/>
              <w:rPr>
                <w:rFonts w:ascii="黑体" w:eastAsia="黑体" w:hint="eastAsia"/>
                <w:sz w:val="21"/>
              </w:rPr>
            </w:pPr>
            <w:r>
              <w:rPr>
                <w:rFonts w:ascii="黑体" w:eastAsia="黑体" w:hint="eastAsia"/>
                <w:sz w:val="21"/>
              </w:rPr>
              <w:t>投保人故意不履行如实告知义务的，本公司对于合同解除前发Th的保险事故，不承</w:t>
            </w:r>
          </w:p>
          <w:p>
            <w:pPr>
              <w:pStyle w:val="TableParagraph"/>
              <w:spacing w:line="255" w:lineRule="exact" w:before="99"/>
              <w:ind w:left="164"/>
              <w:jc w:val="both"/>
              <w:rPr>
                <w:rFonts w:ascii="黑体" w:eastAsia="黑体" w:hint="eastAsia"/>
                <w:sz w:val="21"/>
              </w:rPr>
            </w:pPr>
            <w:r>
              <w:rPr>
                <w:rFonts w:ascii="黑体" w:eastAsia="黑体" w:hint="eastAsia"/>
                <w:sz w:val="21"/>
              </w:rPr>
              <w:t>担给付保险金的责任，并不退还保险费。</w:t>
            </w:r>
          </w:p>
        </w:tc>
      </w:tr>
    </w:tbl>
    <w:p>
      <w:pPr>
        <w:spacing w:after="0" w:line="255" w:lineRule="exact"/>
        <w:jc w:val="both"/>
        <w:rPr>
          <w:rFonts w:ascii="黑体" w:eastAsia="黑体" w:hint="eastAsia"/>
          <w:sz w:val="21"/>
        </w:rPr>
        <w:sectPr>
          <w:headerReference w:type="default" r:id="rId11"/>
          <w:pgSz w:w="11910" w:h="16840"/>
          <w:pgMar w:header="0" w:footer="377" w:top="0" w:bottom="560" w:left="800" w:right="9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1457"/>
        <w:gridCol w:w="7726"/>
      </w:tblGrid>
      <w:tr>
        <w:trPr>
          <w:trHeight w:val="1498" w:hRule="atLeast"/>
        </w:trPr>
        <w:tc>
          <w:tcPr>
            <w:tcW w:w="799" w:type="dxa"/>
            <w:shd w:val="clear" w:color="auto" w:fill="CCFFCC"/>
          </w:tcPr>
          <w:p>
            <w:pPr>
              <w:pStyle w:val="TableParagraph"/>
              <w:ind w:left="0"/>
              <w:rPr>
                <w:rFonts w:ascii="Times New Roman"/>
                <w:sz w:val="20"/>
              </w:rPr>
            </w:pPr>
          </w:p>
        </w:tc>
        <w:tc>
          <w:tcPr>
            <w:tcW w:w="1457" w:type="dxa"/>
            <w:shd w:val="clear" w:color="auto" w:fill="CCFFCC"/>
          </w:tcPr>
          <w:p>
            <w:pPr>
              <w:pStyle w:val="TableParagraph"/>
              <w:ind w:left="0"/>
              <w:rPr>
                <w:rFonts w:ascii="Times New Roman"/>
                <w:sz w:val="20"/>
              </w:rPr>
            </w:pPr>
          </w:p>
        </w:tc>
        <w:tc>
          <w:tcPr>
            <w:tcW w:w="7726" w:type="dxa"/>
            <w:shd w:val="clear" w:color="auto" w:fill="CCFFCC"/>
          </w:tcPr>
          <w:p>
            <w:pPr>
              <w:pStyle w:val="TableParagraph"/>
              <w:spacing w:line="211" w:lineRule="exact"/>
              <w:ind w:left="87"/>
              <w:rPr>
                <w:rFonts w:ascii="黑体" w:eastAsia="黑体" w:hint="eastAsia"/>
                <w:sz w:val="21"/>
              </w:rPr>
            </w:pPr>
            <w:r>
              <w:rPr>
                <w:rFonts w:ascii="黑体" w:eastAsia="黑体" w:hint="eastAsia"/>
                <w:sz w:val="21"/>
              </w:rPr>
              <w:t>投保人因重大过失未履行如实告知义务，对保险事故的发Th有严重影响的，本公司</w:t>
            </w:r>
          </w:p>
          <w:p>
            <w:pPr>
              <w:pStyle w:val="TableParagraph"/>
              <w:spacing w:before="99"/>
              <w:ind w:left="87"/>
              <w:rPr>
                <w:rFonts w:ascii="黑体" w:eastAsia="黑体" w:hint="eastAsia"/>
                <w:sz w:val="21"/>
              </w:rPr>
            </w:pPr>
            <w:r>
              <w:rPr>
                <w:rFonts w:ascii="黑体" w:eastAsia="黑体" w:hint="eastAsia"/>
                <w:sz w:val="21"/>
              </w:rPr>
              <w:t>对于合同解除前发Th的保险事故，不承担给付保险金的责任，但退还保险费。</w:t>
            </w:r>
          </w:p>
          <w:p>
            <w:pPr>
              <w:pStyle w:val="TableParagraph"/>
              <w:spacing w:line="326" w:lineRule="auto" w:before="99"/>
              <w:ind w:left="87" w:right="105"/>
              <w:rPr>
                <w:sz w:val="21"/>
              </w:rPr>
            </w:pPr>
            <w:r>
              <w:rPr>
                <w:spacing w:val="-6"/>
                <w:sz w:val="21"/>
              </w:rPr>
              <w:t>本公司在本附加险合同订立时已经知道投保人未如实告知的情况的，本公司不得解</w:t>
            </w:r>
            <w:r>
              <w:rPr>
                <w:spacing w:val="-5"/>
                <w:sz w:val="21"/>
              </w:rPr>
              <w:t>除本附加险合同；发生保险事故的，本公司承担给付保险金的责任。</w:t>
            </w:r>
          </w:p>
        </w:tc>
      </w:tr>
      <w:tr>
        <w:trPr>
          <w:trHeight w:val="3881" w:hRule="atLeast"/>
        </w:trPr>
        <w:tc>
          <w:tcPr>
            <w:tcW w:w="799" w:type="dxa"/>
            <w:shd w:val="clear" w:color="auto" w:fill="CCFFCC"/>
          </w:tcPr>
          <w:p>
            <w:pPr>
              <w:pStyle w:val="TableParagraph"/>
              <w:spacing w:before="99"/>
              <w:ind w:left="110"/>
              <w:rPr>
                <w:b/>
                <w:sz w:val="21"/>
              </w:rPr>
            </w:pPr>
            <w:r>
              <w:rPr>
                <w:b/>
                <w:sz w:val="21"/>
              </w:rPr>
              <w:t>7.2</w:t>
            </w:r>
          </w:p>
        </w:tc>
        <w:tc>
          <w:tcPr>
            <w:tcW w:w="1457" w:type="dxa"/>
            <w:shd w:val="clear" w:color="auto" w:fill="CCFFCC"/>
          </w:tcPr>
          <w:p>
            <w:pPr>
              <w:pStyle w:val="TableParagraph"/>
              <w:spacing w:line="326" w:lineRule="auto" w:before="99"/>
              <w:ind w:right="83"/>
              <w:jc w:val="both"/>
              <w:rPr>
                <w:b/>
                <w:sz w:val="21"/>
              </w:rPr>
            </w:pPr>
            <w:r>
              <w:rPr>
                <w:b/>
                <w:sz w:val="21"/>
              </w:rPr>
              <w:t>年龄 确定与 错误处理</w:t>
            </w:r>
          </w:p>
        </w:tc>
        <w:tc>
          <w:tcPr>
            <w:tcW w:w="7726" w:type="dxa"/>
            <w:shd w:val="clear" w:color="auto" w:fill="CCFFCC"/>
          </w:tcPr>
          <w:p>
            <w:pPr>
              <w:pStyle w:val="TableParagraph"/>
              <w:spacing w:line="326" w:lineRule="auto" w:before="99"/>
              <w:ind w:left="87" w:right="76"/>
              <w:rPr>
                <w:sz w:val="21"/>
              </w:rPr>
            </w:pPr>
            <w:r>
              <w:rPr>
                <w:sz w:val="21"/>
              </w:rPr>
              <w:t>被保险人的投保年龄按周岁计算。投保人在投保本附加险时应将与有效身份证件相符的被保险人的年龄在投保单上填明，如果发生错误，本公司按照下列规定办理：</w:t>
            </w:r>
          </w:p>
          <w:p>
            <w:pPr>
              <w:pStyle w:val="TableParagraph"/>
              <w:numPr>
                <w:ilvl w:val="0"/>
                <w:numId w:val="15"/>
              </w:numPr>
              <w:tabs>
                <w:tab w:pos="712" w:val="left" w:leader="none"/>
              </w:tabs>
              <w:spacing w:line="261" w:lineRule="exact" w:before="0" w:after="0"/>
              <w:ind w:left="711" w:right="0" w:hanging="624"/>
              <w:jc w:val="left"/>
              <w:rPr>
                <w:rFonts w:ascii="黑体" w:eastAsia="黑体" w:hint="eastAsia"/>
                <w:sz w:val="21"/>
              </w:rPr>
            </w:pPr>
            <w:r>
              <w:rPr>
                <w:rFonts w:ascii="黑体" w:eastAsia="黑体" w:hint="eastAsia"/>
                <w:spacing w:val="-5"/>
                <w:sz w:val="21"/>
              </w:rPr>
              <w:t>投保人申报的被保险人年龄不真实，并且其真实年龄不符合本附加险合同约</w:t>
            </w:r>
          </w:p>
          <w:p>
            <w:pPr>
              <w:pStyle w:val="TableParagraph"/>
              <w:spacing w:line="288" w:lineRule="auto" w:before="37"/>
              <w:ind w:left="711" w:right="105"/>
              <w:jc w:val="both"/>
              <w:rPr>
                <w:rFonts w:ascii="黑体" w:eastAsia="黑体" w:hint="eastAsia"/>
                <w:sz w:val="21"/>
              </w:rPr>
            </w:pPr>
            <w:r>
              <w:rPr>
                <w:rFonts w:ascii="黑体" w:eastAsia="黑体" w:hint="eastAsia"/>
                <w:spacing w:val="-5"/>
                <w:sz w:val="21"/>
              </w:rPr>
              <w:t>定的年龄限制的，本公司有权在知道有解除事由之日起三十日内解除本附加</w:t>
            </w:r>
            <w:r>
              <w:rPr>
                <w:rFonts w:ascii="黑体" w:eastAsia="黑体" w:hint="eastAsia"/>
                <w:spacing w:val="-7"/>
                <w:sz w:val="21"/>
              </w:rPr>
              <w:t>险合同，并向投保人退还本附加险合同的现金价值，但自本附加险合同成立</w:t>
            </w:r>
            <w:r>
              <w:rPr>
                <w:rFonts w:ascii="黑体" w:eastAsia="黑体" w:hint="eastAsia"/>
                <w:spacing w:val="-6"/>
                <w:sz w:val="21"/>
              </w:rPr>
              <w:t>之日起超过二年的除外。</w:t>
            </w:r>
          </w:p>
          <w:p>
            <w:pPr>
              <w:pStyle w:val="TableParagraph"/>
              <w:numPr>
                <w:ilvl w:val="0"/>
                <w:numId w:val="15"/>
              </w:numPr>
              <w:tabs>
                <w:tab w:pos="712" w:val="left" w:leader="none"/>
              </w:tabs>
              <w:spacing w:line="278" w:lineRule="auto" w:before="9" w:after="0"/>
              <w:ind w:left="711" w:right="104" w:hanging="624"/>
              <w:jc w:val="both"/>
              <w:rPr>
                <w:rFonts w:ascii="黑体" w:eastAsia="黑体" w:hint="eastAsia"/>
                <w:sz w:val="21"/>
              </w:rPr>
            </w:pPr>
            <w:r>
              <w:rPr>
                <w:rFonts w:ascii="黑体" w:eastAsia="黑体" w:hint="eastAsia"/>
                <w:spacing w:val="-5"/>
                <w:sz w:val="21"/>
              </w:rPr>
              <w:t>投保人申报的被保险人年龄不真实，致使投保人支付的保险费少于应付保险</w:t>
            </w:r>
            <w:r>
              <w:rPr>
                <w:rFonts w:ascii="黑体" w:eastAsia="黑体" w:hint="eastAsia"/>
                <w:spacing w:val="-6"/>
                <w:sz w:val="21"/>
              </w:rPr>
              <w:t>费的，本公司有权更正并要求投保人补交保险费，或在给付保险金时按照实</w:t>
            </w:r>
            <w:r>
              <w:rPr>
                <w:rFonts w:ascii="黑体" w:eastAsia="黑体" w:hint="eastAsia"/>
                <w:spacing w:val="-5"/>
                <w:sz w:val="21"/>
              </w:rPr>
              <w:t>付保险费与应付保险费的比例支付。</w:t>
            </w:r>
          </w:p>
          <w:p>
            <w:pPr>
              <w:pStyle w:val="TableParagraph"/>
              <w:numPr>
                <w:ilvl w:val="0"/>
                <w:numId w:val="15"/>
              </w:numPr>
              <w:tabs>
                <w:tab w:pos="712" w:val="left" w:leader="none"/>
              </w:tabs>
              <w:spacing w:line="271" w:lineRule="auto" w:before="18" w:after="0"/>
              <w:ind w:left="711" w:right="104" w:hanging="624"/>
              <w:jc w:val="both"/>
              <w:rPr>
                <w:sz w:val="21"/>
              </w:rPr>
            </w:pPr>
            <w:r>
              <w:rPr>
                <w:spacing w:val="-5"/>
                <w:sz w:val="21"/>
              </w:rPr>
              <w:t>投保人申报的被保险人年龄不真实，致使投保人支付的保险费多于应付保险费的，本公司应将多收的保险费无息退还投保人。</w:t>
            </w:r>
          </w:p>
        </w:tc>
      </w:tr>
      <w:tr>
        <w:trPr>
          <w:trHeight w:val="1346" w:hRule="atLeast"/>
        </w:trPr>
        <w:tc>
          <w:tcPr>
            <w:tcW w:w="799" w:type="dxa"/>
            <w:shd w:val="clear" w:color="auto" w:fill="CCFFCC"/>
          </w:tcPr>
          <w:p>
            <w:pPr>
              <w:pStyle w:val="TableParagraph"/>
              <w:spacing w:before="130"/>
              <w:ind w:left="110"/>
              <w:rPr>
                <w:b/>
                <w:sz w:val="21"/>
              </w:rPr>
            </w:pPr>
            <w:r>
              <w:rPr>
                <w:b/>
                <w:sz w:val="21"/>
              </w:rPr>
              <w:t>7.3</w:t>
            </w:r>
          </w:p>
        </w:tc>
        <w:tc>
          <w:tcPr>
            <w:tcW w:w="1457" w:type="dxa"/>
            <w:shd w:val="clear" w:color="auto" w:fill="CCFFCC"/>
          </w:tcPr>
          <w:p>
            <w:pPr>
              <w:pStyle w:val="TableParagraph"/>
              <w:spacing w:before="130"/>
              <w:rPr>
                <w:b/>
                <w:sz w:val="21"/>
              </w:rPr>
            </w:pPr>
            <w:r>
              <w:rPr>
                <w:b/>
                <w:sz w:val="21"/>
              </w:rPr>
              <w:t>未还款项</w:t>
            </w:r>
          </w:p>
        </w:tc>
        <w:tc>
          <w:tcPr>
            <w:tcW w:w="7726" w:type="dxa"/>
            <w:shd w:val="clear" w:color="auto" w:fill="CCFFCC"/>
          </w:tcPr>
          <w:p>
            <w:pPr>
              <w:pStyle w:val="TableParagraph"/>
              <w:spacing w:line="326" w:lineRule="auto" w:before="130"/>
              <w:ind w:left="87" w:right="101"/>
              <w:jc w:val="both"/>
              <w:rPr>
                <w:sz w:val="21"/>
              </w:rPr>
            </w:pPr>
            <w:r>
              <w:rPr>
                <w:spacing w:val="-6"/>
                <w:sz w:val="21"/>
              </w:rPr>
              <w:t>本公司在给付各项保险金、退还现金价值或返还保险费时，如果投保人有欠交的保</w:t>
            </w:r>
            <w:r>
              <w:rPr>
                <w:spacing w:val="-7"/>
                <w:sz w:val="21"/>
              </w:rPr>
              <w:t>险费或其他未还清款项，本公司会在扣除上述欠款及应付利息后给付。应付利息按</w:t>
            </w:r>
            <w:r>
              <w:rPr>
                <w:spacing w:val="-6"/>
                <w:sz w:val="21"/>
              </w:rPr>
              <w:t>本条款约定利率计算，但本附加险合同另有约定的除外。</w:t>
            </w:r>
          </w:p>
        </w:tc>
      </w:tr>
      <w:tr>
        <w:trPr>
          <w:trHeight w:val="1692" w:hRule="atLeast"/>
        </w:trPr>
        <w:tc>
          <w:tcPr>
            <w:tcW w:w="799" w:type="dxa"/>
            <w:shd w:val="clear" w:color="auto" w:fill="CCFFCC"/>
          </w:tcPr>
          <w:p>
            <w:pPr>
              <w:pStyle w:val="TableParagraph"/>
              <w:spacing w:before="128"/>
              <w:ind w:left="110"/>
              <w:rPr>
                <w:b/>
                <w:sz w:val="21"/>
              </w:rPr>
            </w:pPr>
            <w:r>
              <w:rPr>
                <w:b/>
                <w:sz w:val="21"/>
              </w:rPr>
              <w:t>7.4</w:t>
            </w:r>
          </w:p>
        </w:tc>
        <w:tc>
          <w:tcPr>
            <w:tcW w:w="1457" w:type="dxa"/>
            <w:shd w:val="clear" w:color="auto" w:fill="CCFFCC"/>
          </w:tcPr>
          <w:p>
            <w:pPr>
              <w:pStyle w:val="TableParagraph"/>
              <w:spacing w:line="326" w:lineRule="auto" w:before="128"/>
              <w:ind w:right="83"/>
              <w:rPr>
                <w:b/>
                <w:sz w:val="21"/>
              </w:rPr>
            </w:pPr>
            <w:r>
              <w:rPr>
                <w:b/>
                <w:sz w:val="21"/>
              </w:rPr>
              <w:t>合同内容变更</w:t>
            </w:r>
          </w:p>
        </w:tc>
        <w:tc>
          <w:tcPr>
            <w:tcW w:w="7726" w:type="dxa"/>
            <w:shd w:val="clear" w:color="auto" w:fill="CCFFCC"/>
          </w:tcPr>
          <w:p>
            <w:pPr>
              <w:pStyle w:val="TableParagraph"/>
              <w:spacing w:line="326" w:lineRule="auto" w:before="128"/>
              <w:ind w:left="87" w:right="101"/>
              <w:jc w:val="both"/>
              <w:rPr>
                <w:sz w:val="21"/>
              </w:rPr>
            </w:pPr>
            <w:r>
              <w:rPr>
                <w:spacing w:val="-7"/>
                <w:sz w:val="21"/>
              </w:rPr>
              <w:t>投保人和本公司可以协商变更本附加险合同的内容。变更本附加险合同的，应当由本公司在保险单或者其他保险凭证上批注或者附贴批单，或者由投保人与本公司订</w:t>
            </w:r>
            <w:r>
              <w:rPr>
                <w:spacing w:val="-6"/>
                <w:sz w:val="21"/>
              </w:rPr>
              <w:t>立书面的变更协议。</w:t>
            </w:r>
          </w:p>
          <w:p>
            <w:pPr>
              <w:pStyle w:val="TableParagraph"/>
              <w:spacing w:before="23"/>
              <w:ind w:left="87"/>
              <w:jc w:val="both"/>
              <w:rPr>
                <w:sz w:val="21"/>
              </w:rPr>
            </w:pPr>
            <w:r>
              <w:rPr>
                <w:sz w:val="21"/>
              </w:rPr>
              <w:t>若被保险人身故，则本公司不接受本附加合同内容的任何变更申请。</w:t>
            </w:r>
          </w:p>
        </w:tc>
      </w:tr>
      <w:tr>
        <w:trPr>
          <w:trHeight w:val="1354" w:hRule="atLeast"/>
        </w:trPr>
        <w:tc>
          <w:tcPr>
            <w:tcW w:w="799" w:type="dxa"/>
            <w:shd w:val="clear" w:color="auto" w:fill="CCFFCC"/>
          </w:tcPr>
          <w:p>
            <w:pPr>
              <w:pStyle w:val="TableParagraph"/>
              <w:spacing w:before="102"/>
              <w:ind w:left="110"/>
              <w:rPr>
                <w:b/>
                <w:sz w:val="21"/>
              </w:rPr>
            </w:pPr>
            <w:r>
              <w:rPr>
                <w:b/>
                <w:sz w:val="21"/>
              </w:rPr>
              <w:t>7.5</w:t>
            </w:r>
          </w:p>
        </w:tc>
        <w:tc>
          <w:tcPr>
            <w:tcW w:w="1457" w:type="dxa"/>
            <w:shd w:val="clear" w:color="auto" w:fill="CCFFCC"/>
          </w:tcPr>
          <w:p>
            <w:pPr>
              <w:pStyle w:val="TableParagraph"/>
              <w:spacing w:before="102"/>
              <w:rPr>
                <w:b/>
                <w:sz w:val="21"/>
              </w:rPr>
            </w:pPr>
            <w:r>
              <w:rPr>
                <w:b/>
                <w:sz w:val="21"/>
              </w:rPr>
              <w:t>地址变更</w:t>
            </w:r>
          </w:p>
        </w:tc>
        <w:tc>
          <w:tcPr>
            <w:tcW w:w="7726" w:type="dxa"/>
            <w:shd w:val="clear" w:color="auto" w:fill="CCFFCC"/>
          </w:tcPr>
          <w:p>
            <w:pPr>
              <w:pStyle w:val="TableParagraph"/>
              <w:spacing w:line="326" w:lineRule="auto" w:before="102"/>
              <w:ind w:left="87" w:right="100"/>
              <w:jc w:val="both"/>
              <w:rPr>
                <w:sz w:val="21"/>
              </w:rPr>
            </w:pPr>
            <w:r>
              <w:rPr>
                <w:spacing w:val="-6"/>
                <w:sz w:val="21"/>
              </w:rPr>
              <w:t>投保人住所或通讯地址变更时，应及时以书面形式通知本公司。投保人未以书面形</w:t>
            </w:r>
            <w:r>
              <w:rPr>
                <w:spacing w:val="-8"/>
                <w:sz w:val="21"/>
              </w:rPr>
              <w:t>式通知的，本公司将按本附加险合同载明的最后住所或通讯地址发送有关通知，并</w:t>
            </w:r>
            <w:r>
              <w:rPr>
                <w:spacing w:val="-6"/>
                <w:sz w:val="21"/>
              </w:rPr>
              <w:t>视为已送达给投保人。</w:t>
            </w:r>
          </w:p>
        </w:tc>
      </w:tr>
      <w:tr>
        <w:trPr>
          <w:trHeight w:val="2552" w:hRule="atLeast"/>
        </w:trPr>
        <w:tc>
          <w:tcPr>
            <w:tcW w:w="799" w:type="dxa"/>
            <w:shd w:val="clear" w:color="auto" w:fill="CCFFCC"/>
          </w:tcPr>
          <w:p>
            <w:pPr>
              <w:pStyle w:val="TableParagraph"/>
              <w:spacing w:before="164"/>
              <w:ind w:left="110"/>
              <w:rPr>
                <w:b/>
                <w:sz w:val="21"/>
              </w:rPr>
            </w:pPr>
            <w:r>
              <w:rPr>
                <w:b/>
                <w:sz w:val="21"/>
              </w:rPr>
              <w:t>7.6</w:t>
            </w:r>
          </w:p>
        </w:tc>
        <w:tc>
          <w:tcPr>
            <w:tcW w:w="1457" w:type="dxa"/>
            <w:shd w:val="clear" w:color="auto" w:fill="CCFFCC"/>
          </w:tcPr>
          <w:p>
            <w:pPr>
              <w:pStyle w:val="TableParagraph"/>
              <w:spacing w:before="164"/>
              <w:rPr>
                <w:b/>
                <w:sz w:val="21"/>
              </w:rPr>
            </w:pPr>
            <w:r>
              <w:rPr>
                <w:b/>
                <w:sz w:val="21"/>
              </w:rPr>
              <w:t>争议处理</w:t>
            </w:r>
          </w:p>
        </w:tc>
        <w:tc>
          <w:tcPr>
            <w:tcW w:w="7726" w:type="dxa"/>
            <w:shd w:val="clear" w:color="auto" w:fill="CCFFCC"/>
          </w:tcPr>
          <w:p>
            <w:pPr>
              <w:pStyle w:val="TableParagraph"/>
              <w:spacing w:line="326" w:lineRule="auto" w:before="164"/>
              <w:ind w:left="87" w:right="283"/>
              <w:rPr>
                <w:sz w:val="21"/>
              </w:rPr>
            </w:pPr>
            <w:r>
              <w:rPr>
                <w:sz w:val="21"/>
              </w:rPr>
              <w:t>本附加险合同争议的解决方式，由当事人在合同中约定从下列两种方式中选择一种：</w:t>
            </w:r>
          </w:p>
          <w:p>
            <w:pPr>
              <w:pStyle w:val="TableParagraph"/>
              <w:spacing w:before="23"/>
              <w:ind w:left="87"/>
              <w:rPr>
                <w:sz w:val="21"/>
              </w:rPr>
            </w:pPr>
            <w:r>
              <w:rPr>
                <w:sz w:val="21"/>
              </w:rPr>
              <w:t>（1）因履行本附加险合同发生的争议，由当事人协商解决，协商不成的，提交×</w:t>
            </w:r>
          </w:p>
          <w:p>
            <w:pPr>
              <w:pStyle w:val="TableParagraph"/>
              <w:spacing w:before="99"/>
              <w:ind w:left="87"/>
              <w:rPr>
                <w:sz w:val="21"/>
              </w:rPr>
            </w:pPr>
            <w:r>
              <w:rPr>
                <w:sz w:val="21"/>
              </w:rPr>
              <w:t>××仲裁委员会仲裁；</w:t>
            </w:r>
          </w:p>
          <w:p>
            <w:pPr>
              <w:pStyle w:val="TableParagraph"/>
              <w:spacing w:line="326" w:lineRule="auto" w:before="99"/>
              <w:ind w:left="87" w:right="177"/>
              <w:rPr>
                <w:sz w:val="21"/>
              </w:rPr>
            </w:pPr>
            <w:r>
              <w:rPr>
                <w:sz w:val="21"/>
              </w:rPr>
              <w:t>（2）因履行本附加险合同发生的争议，由当事人协商解决，协商不成的，依法向人民法院提起诉讼。</w:t>
            </w:r>
          </w:p>
        </w:tc>
      </w:tr>
      <w:tr>
        <w:trPr>
          <w:trHeight w:val="737" w:hRule="atLeast"/>
        </w:trPr>
        <w:tc>
          <w:tcPr>
            <w:tcW w:w="799" w:type="dxa"/>
            <w:tcBorders>
              <w:bottom w:val="single" w:sz="4" w:space="0" w:color="000000"/>
            </w:tcBorders>
            <w:shd w:val="clear" w:color="auto" w:fill="CCFFCC"/>
          </w:tcPr>
          <w:p>
            <w:pPr>
              <w:pStyle w:val="TableParagraph"/>
              <w:spacing w:before="228"/>
              <w:ind w:left="110"/>
              <w:rPr>
                <w:rFonts w:ascii="Times New Roman"/>
                <w:b/>
                <w:sz w:val="32"/>
              </w:rPr>
            </w:pPr>
            <w:r>
              <w:rPr>
                <w:rFonts w:ascii="Times New Roman"/>
                <w:b/>
                <w:w w:val="100"/>
                <w:sz w:val="32"/>
              </w:rPr>
              <w:t>8</w:t>
            </w:r>
          </w:p>
        </w:tc>
        <w:tc>
          <w:tcPr>
            <w:tcW w:w="1457" w:type="dxa"/>
            <w:tcBorders>
              <w:bottom w:val="single" w:sz="4" w:space="0" w:color="000000"/>
            </w:tcBorders>
            <w:shd w:val="clear" w:color="auto" w:fill="CCFFCC"/>
          </w:tcPr>
          <w:p>
            <w:pPr>
              <w:pStyle w:val="TableParagraph"/>
              <w:spacing w:before="10"/>
              <w:ind w:left="0"/>
              <w:rPr>
                <w:rFonts w:ascii="Times New Roman"/>
                <w:sz w:val="18"/>
              </w:rPr>
            </w:pPr>
          </w:p>
          <w:p>
            <w:pPr>
              <w:pStyle w:val="TableParagraph"/>
              <w:rPr>
                <w:b/>
                <w:sz w:val="24"/>
              </w:rPr>
            </w:pPr>
            <w:r>
              <w:rPr>
                <w:b/>
                <w:w w:val="95"/>
                <w:sz w:val="24"/>
              </w:rPr>
              <w:t>释义</w:t>
            </w:r>
          </w:p>
        </w:tc>
        <w:tc>
          <w:tcPr>
            <w:tcW w:w="7726" w:type="dxa"/>
            <w:tcBorders>
              <w:bottom w:val="single" w:sz="4" w:space="0" w:color="000000"/>
            </w:tcBorders>
            <w:shd w:val="clear" w:color="auto" w:fill="CCFFCC"/>
          </w:tcPr>
          <w:p>
            <w:pPr>
              <w:pStyle w:val="TableParagraph"/>
              <w:ind w:left="0"/>
              <w:rPr>
                <w:rFonts w:ascii="Times New Roman"/>
                <w:sz w:val="20"/>
              </w:rPr>
            </w:pPr>
          </w:p>
        </w:tc>
      </w:tr>
      <w:tr>
        <w:trPr>
          <w:trHeight w:val="552" w:hRule="atLeast"/>
        </w:trPr>
        <w:tc>
          <w:tcPr>
            <w:tcW w:w="799" w:type="dxa"/>
            <w:tcBorders>
              <w:top w:val="single" w:sz="4" w:space="0" w:color="000000"/>
            </w:tcBorders>
            <w:shd w:val="clear" w:color="auto" w:fill="CCFFCC"/>
          </w:tcPr>
          <w:p>
            <w:pPr>
              <w:pStyle w:val="TableParagraph"/>
              <w:spacing w:before="172"/>
              <w:ind w:left="110"/>
              <w:rPr>
                <w:b/>
                <w:sz w:val="21"/>
              </w:rPr>
            </w:pPr>
            <w:r>
              <w:rPr>
                <w:b/>
                <w:sz w:val="21"/>
              </w:rPr>
              <w:t>8.1</w:t>
            </w:r>
          </w:p>
        </w:tc>
        <w:tc>
          <w:tcPr>
            <w:tcW w:w="1457" w:type="dxa"/>
            <w:tcBorders>
              <w:top w:val="single" w:sz="4" w:space="0" w:color="000000"/>
            </w:tcBorders>
            <w:shd w:val="clear" w:color="auto" w:fill="CCFFCC"/>
          </w:tcPr>
          <w:p>
            <w:pPr>
              <w:pStyle w:val="TableParagraph"/>
              <w:spacing w:before="172"/>
              <w:rPr>
                <w:b/>
                <w:sz w:val="21"/>
              </w:rPr>
            </w:pPr>
            <w:r>
              <w:rPr>
                <w:b/>
                <w:sz w:val="21"/>
              </w:rPr>
              <w:t>本公司</w:t>
            </w:r>
          </w:p>
        </w:tc>
        <w:tc>
          <w:tcPr>
            <w:tcW w:w="7726" w:type="dxa"/>
            <w:tcBorders>
              <w:top w:val="single" w:sz="4" w:space="0" w:color="000000"/>
            </w:tcBorders>
            <w:shd w:val="clear" w:color="auto" w:fill="CCFFCC"/>
          </w:tcPr>
          <w:p>
            <w:pPr>
              <w:pStyle w:val="TableParagraph"/>
              <w:spacing w:before="172"/>
              <w:ind w:left="87"/>
              <w:rPr>
                <w:sz w:val="21"/>
              </w:rPr>
            </w:pPr>
            <w:r>
              <w:rPr>
                <w:sz w:val="21"/>
              </w:rPr>
              <w:t>正德人寿保险股份有限公司。</w:t>
            </w:r>
          </w:p>
        </w:tc>
      </w:tr>
      <w:tr>
        <w:trPr>
          <w:trHeight w:val="691" w:hRule="atLeast"/>
        </w:trPr>
        <w:tc>
          <w:tcPr>
            <w:tcW w:w="799" w:type="dxa"/>
            <w:shd w:val="clear" w:color="auto" w:fill="CCFFCC"/>
          </w:tcPr>
          <w:p>
            <w:pPr>
              <w:pStyle w:val="TableParagraph"/>
              <w:spacing w:before="42"/>
              <w:ind w:left="110"/>
              <w:rPr>
                <w:b/>
                <w:sz w:val="21"/>
              </w:rPr>
            </w:pPr>
            <w:r>
              <w:rPr>
                <w:b/>
                <w:sz w:val="21"/>
              </w:rPr>
              <w:t>8.2</w:t>
            </w:r>
          </w:p>
        </w:tc>
        <w:tc>
          <w:tcPr>
            <w:tcW w:w="1457" w:type="dxa"/>
            <w:shd w:val="clear" w:color="auto" w:fill="CCFFCC"/>
          </w:tcPr>
          <w:p>
            <w:pPr>
              <w:pStyle w:val="TableParagraph"/>
              <w:spacing w:before="42"/>
              <w:rPr>
                <w:b/>
                <w:sz w:val="21"/>
              </w:rPr>
            </w:pPr>
            <w:r>
              <w:rPr>
                <w:b/>
                <w:sz w:val="21"/>
              </w:rPr>
              <w:t>特殊群体</w:t>
            </w:r>
          </w:p>
        </w:tc>
        <w:tc>
          <w:tcPr>
            <w:tcW w:w="7726" w:type="dxa"/>
            <w:shd w:val="clear" w:color="auto" w:fill="CCFFCC"/>
          </w:tcPr>
          <w:p>
            <w:pPr>
              <w:pStyle w:val="TableParagraph"/>
              <w:spacing w:before="42"/>
              <w:ind w:left="87"/>
              <w:rPr>
                <w:sz w:val="21"/>
              </w:rPr>
            </w:pPr>
            <w:r>
              <w:rPr>
                <w:sz w:val="21"/>
              </w:rPr>
              <w:t>特殊群体主要针对部分年长、残疾、低收入者设定，本公司对特殊群体的认定以各</w:t>
            </w:r>
          </w:p>
          <w:p>
            <w:pPr>
              <w:pStyle w:val="TableParagraph"/>
              <w:spacing w:line="255" w:lineRule="exact" w:before="99"/>
              <w:ind w:left="87"/>
              <w:rPr>
                <w:sz w:val="21"/>
              </w:rPr>
            </w:pPr>
            <w:r>
              <w:rPr>
                <w:sz w:val="21"/>
              </w:rPr>
              <w:t>地方保险监管机构统一规范标准为依据。</w:t>
            </w:r>
          </w:p>
        </w:tc>
      </w:tr>
    </w:tbl>
    <w:p>
      <w:pPr>
        <w:spacing w:after="0" w:line="255" w:lineRule="exact"/>
        <w:rPr>
          <w:sz w:val="21"/>
        </w:rPr>
        <w:sectPr>
          <w:headerReference w:type="default" r:id="rId12"/>
          <w:pgSz w:w="11910" w:h="16840"/>
          <w:pgMar w:header="0" w:footer="377" w:top="0" w:bottom="560" w:left="800" w:right="9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0"/>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457"/>
        <w:gridCol w:w="7926"/>
      </w:tblGrid>
      <w:tr>
        <w:trPr>
          <w:trHeight w:val="806" w:hRule="atLeast"/>
        </w:trPr>
        <w:tc>
          <w:tcPr>
            <w:tcW w:w="889" w:type="dxa"/>
            <w:shd w:val="clear" w:color="auto" w:fill="CCFFCC"/>
          </w:tcPr>
          <w:p>
            <w:pPr>
              <w:pStyle w:val="TableParagraph"/>
              <w:spacing w:line="211" w:lineRule="exact"/>
              <w:ind w:left="200"/>
              <w:rPr>
                <w:b/>
                <w:sz w:val="21"/>
              </w:rPr>
            </w:pPr>
            <w:r>
              <w:rPr>
                <w:b/>
                <w:sz w:val="21"/>
              </w:rPr>
              <w:t>8.3</w:t>
            </w:r>
          </w:p>
        </w:tc>
        <w:tc>
          <w:tcPr>
            <w:tcW w:w="1457" w:type="dxa"/>
            <w:shd w:val="clear" w:color="auto" w:fill="CCFFCC"/>
          </w:tcPr>
          <w:p>
            <w:pPr>
              <w:pStyle w:val="TableParagraph"/>
              <w:spacing w:line="211" w:lineRule="exact"/>
              <w:rPr>
                <w:b/>
                <w:sz w:val="21"/>
              </w:rPr>
            </w:pPr>
            <w:r>
              <w:rPr>
                <w:b/>
                <w:sz w:val="21"/>
              </w:rPr>
              <w:t>本公司认</w:t>
            </w:r>
          </w:p>
          <w:p>
            <w:pPr>
              <w:pStyle w:val="TableParagraph"/>
              <w:spacing w:before="99"/>
              <w:rPr>
                <w:b/>
                <w:sz w:val="21"/>
              </w:rPr>
            </w:pPr>
            <w:r>
              <w:rPr>
                <w:b/>
                <w:sz w:val="21"/>
              </w:rPr>
              <w:t>可的医院</w:t>
            </w:r>
          </w:p>
        </w:tc>
        <w:tc>
          <w:tcPr>
            <w:tcW w:w="7926" w:type="dxa"/>
            <w:shd w:val="clear" w:color="auto" w:fill="CCFFCC"/>
          </w:tcPr>
          <w:p>
            <w:pPr>
              <w:pStyle w:val="TableParagraph"/>
              <w:spacing w:line="211" w:lineRule="exact"/>
              <w:ind w:left="86"/>
              <w:rPr>
                <w:sz w:val="21"/>
              </w:rPr>
            </w:pPr>
            <w:r>
              <w:rPr>
                <w:sz w:val="21"/>
              </w:rPr>
              <w:t>指在中国境内（不包括香港、澳门、台湾）按国家卫生部医院等级分类中的二级或</w:t>
            </w:r>
          </w:p>
          <w:p>
            <w:pPr>
              <w:pStyle w:val="TableParagraph"/>
              <w:spacing w:before="99"/>
              <w:ind w:left="86"/>
              <w:rPr>
                <w:sz w:val="21"/>
              </w:rPr>
            </w:pPr>
            <w:r>
              <w:rPr>
                <w:sz w:val="21"/>
              </w:rPr>
              <w:t>二级以上公立医院或投保人与本公司协商共同指定的医院或医疗机构。</w:t>
            </w:r>
          </w:p>
        </w:tc>
      </w:tr>
      <w:tr>
        <w:trPr>
          <w:trHeight w:val="1778" w:hRule="atLeast"/>
        </w:trPr>
        <w:tc>
          <w:tcPr>
            <w:tcW w:w="889" w:type="dxa"/>
            <w:shd w:val="clear" w:color="auto" w:fill="CCFFCC"/>
          </w:tcPr>
          <w:p>
            <w:pPr>
              <w:pStyle w:val="TableParagraph"/>
              <w:spacing w:before="157"/>
              <w:ind w:left="200"/>
              <w:rPr>
                <w:b/>
                <w:sz w:val="21"/>
              </w:rPr>
            </w:pPr>
            <w:r>
              <w:rPr>
                <w:b/>
                <w:sz w:val="21"/>
              </w:rPr>
              <w:t>8.4</w:t>
            </w:r>
          </w:p>
        </w:tc>
        <w:tc>
          <w:tcPr>
            <w:tcW w:w="1457" w:type="dxa"/>
            <w:shd w:val="clear" w:color="auto" w:fill="CCFFCC"/>
          </w:tcPr>
          <w:p>
            <w:pPr>
              <w:pStyle w:val="TableParagraph"/>
              <w:spacing w:line="326" w:lineRule="auto" w:before="157"/>
              <w:ind w:right="237"/>
              <w:rPr>
                <w:b/>
                <w:sz w:val="21"/>
              </w:rPr>
            </w:pPr>
            <w:r>
              <w:rPr>
                <w:b/>
                <w:sz w:val="21"/>
              </w:rPr>
              <w:t>初次患有重大疾病</w:t>
            </w:r>
          </w:p>
        </w:tc>
        <w:tc>
          <w:tcPr>
            <w:tcW w:w="7926" w:type="dxa"/>
            <w:shd w:val="clear" w:color="auto" w:fill="CCFFCC"/>
          </w:tcPr>
          <w:p>
            <w:pPr>
              <w:pStyle w:val="TableParagraph"/>
              <w:spacing w:line="326" w:lineRule="auto" w:before="157"/>
              <w:ind w:left="86" w:right="197"/>
              <w:rPr>
                <w:sz w:val="21"/>
              </w:rPr>
            </w:pPr>
            <w:r>
              <w:rPr>
                <w:spacing w:val="-7"/>
                <w:sz w:val="21"/>
              </w:rPr>
              <w:t>指自投保人首次投保或非连续投保本附加险合同的生效日起 </w:t>
            </w:r>
            <w:r>
              <w:rPr>
                <w:sz w:val="21"/>
              </w:rPr>
              <w:t>180</w:t>
            </w:r>
            <w:r>
              <w:rPr>
                <w:spacing w:val="-39"/>
                <w:sz w:val="21"/>
              </w:rPr>
              <w:t> 日后</w:t>
            </w:r>
            <w:r>
              <w:rPr>
                <w:sz w:val="21"/>
              </w:rPr>
              <w:t>（</w:t>
            </w:r>
            <w:r>
              <w:rPr>
                <w:spacing w:val="-24"/>
                <w:sz w:val="21"/>
              </w:rPr>
              <w:t>含 </w:t>
            </w:r>
            <w:r>
              <w:rPr>
                <w:sz w:val="21"/>
              </w:rPr>
              <w:t>180</w:t>
            </w:r>
            <w:r>
              <w:rPr>
                <w:spacing w:val="-22"/>
                <w:sz w:val="21"/>
              </w:rPr>
              <w:t> 日</w:t>
            </w:r>
            <w:r>
              <w:rPr>
                <w:spacing w:val="-36"/>
                <w:sz w:val="21"/>
              </w:rPr>
              <w:t>）， </w:t>
            </w:r>
            <w:r>
              <w:rPr>
                <w:spacing w:val="-5"/>
                <w:sz w:val="21"/>
              </w:rPr>
              <w:t>被保险人初次患有重大疾病，不包括被保险人在首次投保或非连续投保本附加险合同生效前所患或出现的疾病（</w:t>
            </w:r>
            <w:r>
              <w:rPr>
                <w:spacing w:val="-2"/>
                <w:sz w:val="21"/>
              </w:rPr>
              <w:t>或其并发症</w:t>
            </w:r>
            <w:r>
              <w:rPr>
                <w:spacing w:val="-106"/>
                <w:sz w:val="21"/>
              </w:rPr>
              <w:t>）</w:t>
            </w:r>
            <w:r>
              <w:rPr>
                <w:spacing w:val="-5"/>
                <w:sz w:val="21"/>
              </w:rPr>
              <w:t>、症状、体征、生理缺陷、残疾，但本 公司在首次投保或非连续投保时已知晓并书面认可的不在此限。</w:t>
            </w:r>
          </w:p>
        </w:tc>
      </w:tr>
      <w:tr>
        <w:trPr>
          <w:trHeight w:val="545" w:hRule="atLeast"/>
        </w:trPr>
        <w:tc>
          <w:tcPr>
            <w:tcW w:w="889" w:type="dxa"/>
            <w:shd w:val="clear" w:color="auto" w:fill="CCFFCC"/>
          </w:tcPr>
          <w:p>
            <w:pPr>
              <w:pStyle w:val="TableParagraph"/>
              <w:spacing w:before="159"/>
              <w:ind w:left="200"/>
              <w:rPr>
                <w:b/>
                <w:sz w:val="21"/>
              </w:rPr>
            </w:pPr>
            <w:r>
              <w:rPr>
                <w:b/>
                <w:sz w:val="21"/>
              </w:rPr>
              <w:t>8.5</w:t>
            </w:r>
          </w:p>
        </w:tc>
        <w:tc>
          <w:tcPr>
            <w:tcW w:w="1457" w:type="dxa"/>
            <w:shd w:val="clear" w:color="auto" w:fill="CCFFCC"/>
          </w:tcPr>
          <w:p>
            <w:pPr>
              <w:pStyle w:val="TableParagraph"/>
              <w:spacing w:before="159"/>
              <w:rPr>
                <w:b/>
                <w:sz w:val="21"/>
              </w:rPr>
            </w:pPr>
            <w:r>
              <w:rPr>
                <w:b/>
                <w:sz w:val="21"/>
              </w:rPr>
              <w:t>重大疾病</w:t>
            </w:r>
          </w:p>
        </w:tc>
        <w:tc>
          <w:tcPr>
            <w:tcW w:w="7926" w:type="dxa"/>
            <w:shd w:val="clear" w:color="auto" w:fill="CCFFCC"/>
          </w:tcPr>
          <w:p>
            <w:pPr>
              <w:pStyle w:val="TableParagraph"/>
              <w:spacing w:before="159"/>
              <w:ind w:left="86"/>
              <w:rPr>
                <w:sz w:val="21"/>
              </w:rPr>
            </w:pPr>
            <w:r>
              <w:rPr>
                <w:sz w:val="21"/>
              </w:rPr>
              <w:t>被保险人发生符合以下疾病定义所述条件的疾病，应当由专科医生明确诊断。</w:t>
            </w:r>
          </w:p>
        </w:tc>
      </w:tr>
      <w:tr>
        <w:trPr>
          <w:trHeight w:val="873" w:hRule="atLeast"/>
        </w:trPr>
        <w:tc>
          <w:tcPr>
            <w:tcW w:w="889" w:type="dxa"/>
            <w:shd w:val="clear" w:color="auto" w:fill="CCFFCC"/>
          </w:tcPr>
          <w:p>
            <w:pPr>
              <w:pStyle w:val="TableParagraph"/>
              <w:ind w:left="0"/>
              <w:rPr>
                <w:rFonts w:ascii="Times New Roman"/>
                <w:sz w:val="20"/>
              </w:rPr>
            </w:pPr>
          </w:p>
        </w:tc>
        <w:tc>
          <w:tcPr>
            <w:tcW w:w="1457" w:type="dxa"/>
            <w:shd w:val="clear" w:color="auto" w:fill="CCFFCC"/>
          </w:tcPr>
          <w:p>
            <w:pPr>
              <w:pStyle w:val="TableParagraph"/>
              <w:ind w:left="0"/>
              <w:rPr>
                <w:rFonts w:ascii="Times New Roman"/>
                <w:sz w:val="20"/>
              </w:rPr>
            </w:pPr>
          </w:p>
        </w:tc>
        <w:tc>
          <w:tcPr>
            <w:tcW w:w="7926" w:type="dxa"/>
            <w:shd w:val="clear" w:color="auto" w:fill="CCFFCC"/>
          </w:tcPr>
          <w:p>
            <w:pPr>
              <w:pStyle w:val="TableParagraph"/>
              <w:spacing w:line="326" w:lineRule="auto" w:before="47"/>
              <w:ind w:left="86" w:right="323"/>
              <w:rPr>
                <w:sz w:val="21"/>
              </w:rPr>
            </w:pPr>
            <w:r>
              <w:rPr>
                <w:spacing w:val="-14"/>
                <w:sz w:val="21"/>
              </w:rPr>
              <w:t>以下 </w:t>
            </w:r>
            <w:r>
              <w:rPr>
                <w:sz w:val="21"/>
              </w:rPr>
              <w:t>25</w:t>
            </w:r>
            <w:r>
              <w:rPr>
                <w:spacing w:val="-5"/>
                <w:sz w:val="21"/>
              </w:rPr>
              <w:t> 种重大疾病定义完全采用了中国保险行业协会发布的《重大疾病保险的疾病定义使用规范》中的疾病定义：</w:t>
            </w:r>
          </w:p>
        </w:tc>
      </w:tr>
      <w:tr>
        <w:trPr>
          <w:trHeight w:val="3807" w:hRule="atLeast"/>
        </w:trPr>
        <w:tc>
          <w:tcPr>
            <w:tcW w:w="889" w:type="dxa"/>
            <w:shd w:val="clear" w:color="auto" w:fill="CCFFCC"/>
          </w:tcPr>
          <w:p>
            <w:pPr>
              <w:pStyle w:val="TableParagraph"/>
              <w:ind w:left="0"/>
              <w:rPr>
                <w:rFonts w:ascii="Times New Roman"/>
                <w:sz w:val="20"/>
              </w:rPr>
            </w:pPr>
          </w:p>
        </w:tc>
        <w:tc>
          <w:tcPr>
            <w:tcW w:w="1457" w:type="dxa"/>
            <w:shd w:val="clear" w:color="auto" w:fill="CCFFCC"/>
          </w:tcPr>
          <w:p>
            <w:pPr>
              <w:pStyle w:val="TableParagraph"/>
              <w:spacing w:line="321" w:lineRule="auto" w:before="166"/>
              <w:ind w:right="237"/>
              <w:rPr>
                <w:b/>
                <w:sz w:val="21"/>
              </w:rPr>
            </w:pPr>
            <w:r>
              <w:rPr>
                <w:b/>
                <w:sz w:val="21"/>
              </w:rPr>
              <w:t>1.恶性肿瘤</w:t>
            </w:r>
          </w:p>
        </w:tc>
        <w:tc>
          <w:tcPr>
            <w:tcW w:w="7926" w:type="dxa"/>
            <w:shd w:val="clear" w:color="auto" w:fill="CCFFCC"/>
          </w:tcPr>
          <w:p>
            <w:pPr>
              <w:pStyle w:val="TableParagraph"/>
              <w:spacing w:line="285" w:lineRule="auto" w:before="114"/>
              <w:ind w:left="86" w:right="200"/>
              <w:rPr>
                <w:sz w:val="21"/>
              </w:rPr>
            </w:pPr>
            <w:r>
              <w:rPr>
                <w:spacing w:val="-10"/>
                <w:sz w:val="21"/>
              </w:rPr>
              <w:t>指恶性细胞不受控制的进行性增长和扩散，浸润和破坏周围正常组织，可以经血管、</w:t>
            </w:r>
            <w:r>
              <w:rPr>
                <w:spacing w:val="-9"/>
                <w:sz w:val="21"/>
              </w:rPr>
              <w:t>淋巴管和体腔扩散转移到身体其它部位的疾病。经病理学检查结果明确诊断，临床</w:t>
            </w:r>
            <w:r>
              <w:rPr>
                <w:spacing w:val="-10"/>
                <w:sz w:val="21"/>
              </w:rPr>
              <w:t>诊断属于世界卫生组织《疾病和有关健康问题的国际统计分类》</w:t>
            </w:r>
            <w:r>
              <w:rPr>
                <w:sz w:val="21"/>
              </w:rPr>
              <w:t>（ICD-10）的恶性肿瘤范畴。</w:t>
            </w:r>
          </w:p>
          <w:p>
            <w:pPr>
              <w:pStyle w:val="TableParagraph"/>
              <w:spacing w:before="12"/>
              <w:ind w:left="86"/>
              <w:rPr>
                <w:rFonts w:ascii="黑体" w:eastAsia="黑体" w:hint="eastAsia"/>
                <w:sz w:val="21"/>
              </w:rPr>
            </w:pPr>
            <w:r>
              <w:rPr>
                <w:rFonts w:ascii="黑体" w:eastAsia="黑体" w:hint="eastAsia"/>
                <w:sz w:val="21"/>
              </w:rPr>
              <w:t>下列疾病不在保障范围内：</w:t>
            </w:r>
          </w:p>
          <w:p>
            <w:pPr>
              <w:pStyle w:val="TableParagraph"/>
              <w:numPr>
                <w:ilvl w:val="0"/>
                <w:numId w:val="16"/>
              </w:numPr>
              <w:tabs>
                <w:tab w:pos="649" w:val="left" w:leader="none"/>
              </w:tabs>
              <w:spacing w:line="240" w:lineRule="auto" w:before="51" w:after="0"/>
              <w:ind w:left="648" w:right="0" w:hanging="418"/>
              <w:jc w:val="left"/>
              <w:rPr>
                <w:rFonts w:ascii="黑体" w:eastAsia="黑体" w:hint="eastAsia"/>
                <w:sz w:val="21"/>
              </w:rPr>
            </w:pPr>
            <w:r>
              <w:rPr>
                <w:rFonts w:ascii="黑体" w:eastAsia="黑体" w:hint="eastAsia"/>
                <w:sz w:val="21"/>
              </w:rPr>
              <w:t>原位癌；</w:t>
            </w:r>
          </w:p>
          <w:p>
            <w:pPr>
              <w:pStyle w:val="TableParagraph"/>
              <w:numPr>
                <w:ilvl w:val="0"/>
                <w:numId w:val="16"/>
              </w:numPr>
              <w:tabs>
                <w:tab w:pos="649" w:val="left" w:leader="none"/>
              </w:tabs>
              <w:spacing w:line="240" w:lineRule="auto" w:before="51" w:after="0"/>
              <w:ind w:left="648" w:right="0" w:hanging="418"/>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6"/>
              </w:numPr>
              <w:tabs>
                <w:tab w:pos="649" w:val="left" w:leader="none"/>
              </w:tabs>
              <w:spacing w:line="240" w:lineRule="auto" w:before="52" w:after="0"/>
              <w:ind w:left="648" w:right="0" w:hanging="418"/>
              <w:jc w:val="left"/>
              <w:rPr>
                <w:rFonts w:ascii="黑体" w:eastAsia="黑体" w:hint="eastAsia"/>
                <w:sz w:val="21"/>
              </w:rPr>
            </w:pPr>
            <w:r>
              <w:rPr>
                <w:rFonts w:ascii="黑体" w:eastAsia="黑体" w:hint="eastAsia"/>
                <w:spacing w:val="-13"/>
                <w:sz w:val="21"/>
              </w:rPr>
              <w:t>相当于 </w:t>
            </w:r>
            <w:r>
              <w:rPr>
                <w:rFonts w:ascii="黑体" w:eastAsia="黑体" w:hint="eastAsia"/>
                <w:sz w:val="21"/>
              </w:rPr>
              <w:t>Ann</w:t>
            </w:r>
            <w:r>
              <w:rPr>
                <w:rFonts w:ascii="黑体" w:eastAsia="黑体" w:hint="eastAsia"/>
                <w:spacing w:val="6"/>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16"/>
              </w:numPr>
              <w:tabs>
                <w:tab w:pos="649" w:val="left" w:leader="none"/>
              </w:tabs>
              <w:spacing w:line="240" w:lineRule="auto" w:before="51" w:after="0"/>
              <w:ind w:left="648" w:right="0" w:hanging="418"/>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6"/>
              </w:numPr>
              <w:tabs>
                <w:tab w:pos="649" w:val="left" w:leader="none"/>
              </w:tabs>
              <w:spacing w:line="240" w:lineRule="auto" w:before="51" w:after="0"/>
              <w:ind w:left="648" w:right="0" w:hanging="418"/>
              <w:jc w:val="left"/>
              <w:rPr>
                <w:rFonts w:ascii="黑体" w:eastAsia="黑体" w:hint="eastAsia"/>
                <w:sz w:val="21"/>
              </w:rPr>
            </w:pPr>
            <w:r>
              <w:rPr>
                <w:rFonts w:ascii="黑体" w:eastAsia="黑体" w:hint="eastAsia"/>
                <w:sz w:val="21"/>
              </w:rPr>
              <w:t>TNM</w:t>
            </w:r>
            <w:r>
              <w:rPr>
                <w:rFonts w:ascii="黑体" w:eastAsia="黑体" w:hint="eastAsia"/>
                <w:spacing w:val="-19"/>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TableParagraph"/>
              <w:numPr>
                <w:ilvl w:val="0"/>
                <w:numId w:val="16"/>
              </w:numPr>
              <w:tabs>
                <w:tab w:pos="649" w:val="left" w:leader="none"/>
              </w:tabs>
              <w:spacing w:line="240" w:lineRule="auto" w:before="51" w:after="0"/>
              <w:ind w:left="648" w:right="0" w:hanging="418"/>
              <w:jc w:val="left"/>
              <w:rPr>
                <w:sz w:val="21"/>
              </w:rPr>
            </w:pPr>
            <w:r>
              <w:rPr>
                <w:rFonts w:ascii="黑体" w:eastAsia="黑体" w:hint="eastAsia"/>
                <w:spacing w:val="-4"/>
                <w:sz w:val="21"/>
              </w:rPr>
              <w:t>感染艾滋病病毒或患艾滋病期间所患恶性肿瘤。</w:t>
            </w:r>
          </w:p>
        </w:tc>
      </w:tr>
      <w:tr>
        <w:trPr>
          <w:trHeight w:val="2139" w:hRule="atLeast"/>
        </w:trPr>
        <w:tc>
          <w:tcPr>
            <w:tcW w:w="889" w:type="dxa"/>
            <w:shd w:val="clear" w:color="auto" w:fill="CCFFCC"/>
          </w:tcPr>
          <w:p>
            <w:pPr>
              <w:pStyle w:val="TableParagraph"/>
              <w:ind w:left="0"/>
              <w:rPr>
                <w:rFonts w:ascii="Times New Roman"/>
                <w:sz w:val="20"/>
              </w:rPr>
            </w:pPr>
          </w:p>
        </w:tc>
        <w:tc>
          <w:tcPr>
            <w:tcW w:w="1457" w:type="dxa"/>
            <w:shd w:val="clear" w:color="auto" w:fill="CCFFCC"/>
          </w:tcPr>
          <w:p>
            <w:pPr>
              <w:pStyle w:val="TableParagraph"/>
              <w:spacing w:line="285" w:lineRule="auto" w:before="90"/>
              <w:ind w:right="84"/>
              <w:rPr>
                <w:b/>
                <w:sz w:val="21"/>
              </w:rPr>
            </w:pPr>
            <w:r>
              <w:rPr>
                <w:b/>
                <w:sz w:val="21"/>
              </w:rPr>
              <w:t>2. 急性心肌梗塞</w:t>
            </w:r>
          </w:p>
        </w:tc>
        <w:tc>
          <w:tcPr>
            <w:tcW w:w="7926" w:type="dxa"/>
            <w:shd w:val="clear" w:color="auto" w:fill="CCFFCC"/>
          </w:tcPr>
          <w:p>
            <w:pPr>
              <w:pStyle w:val="TableParagraph"/>
              <w:spacing w:line="285" w:lineRule="auto" w:before="90"/>
              <w:ind w:left="86" w:right="306"/>
              <w:rPr>
                <w:sz w:val="21"/>
              </w:rPr>
            </w:pPr>
            <w:r>
              <w:rPr>
                <w:spacing w:val="-6"/>
                <w:sz w:val="21"/>
              </w:rPr>
              <w:t>指因冠状动脉阻塞导致的相应区域供血不足造成部分心肌坏死。须满足下列至少三项条件：</w:t>
            </w:r>
          </w:p>
          <w:p>
            <w:pPr>
              <w:pStyle w:val="TableParagraph"/>
              <w:numPr>
                <w:ilvl w:val="0"/>
                <w:numId w:val="17"/>
              </w:numPr>
              <w:tabs>
                <w:tab w:pos="649" w:val="left" w:leader="none"/>
              </w:tabs>
              <w:spacing w:line="240" w:lineRule="auto" w:before="12" w:after="0"/>
              <w:ind w:left="648" w:right="0" w:hanging="418"/>
              <w:jc w:val="left"/>
              <w:rPr>
                <w:sz w:val="21"/>
              </w:rPr>
            </w:pPr>
            <w:r>
              <w:rPr>
                <w:spacing w:val="-3"/>
                <w:sz w:val="21"/>
              </w:rPr>
              <w:t>典型临床表现，例如急性胸痛等；</w:t>
            </w:r>
          </w:p>
          <w:p>
            <w:pPr>
              <w:pStyle w:val="TableParagraph"/>
              <w:numPr>
                <w:ilvl w:val="0"/>
                <w:numId w:val="17"/>
              </w:numPr>
              <w:tabs>
                <w:tab w:pos="649" w:val="left" w:leader="none"/>
              </w:tabs>
              <w:spacing w:line="240" w:lineRule="auto" w:before="51" w:after="0"/>
              <w:ind w:left="648" w:right="0" w:hanging="418"/>
              <w:jc w:val="left"/>
              <w:rPr>
                <w:sz w:val="21"/>
              </w:rPr>
            </w:pPr>
            <w:r>
              <w:rPr>
                <w:spacing w:val="-3"/>
                <w:sz w:val="21"/>
              </w:rPr>
              <w:t>新近的心电图改变提示急性心肌梗塞；</w:t>
            </w:r>
          </w:p>
          <w:p>
            <w:pPr>
              <w:pStyle w:val="TableParagraph"/>
              <w:numPr>
                <w:ilvl w:val="0"/>
                <w:numId w:val="17"/>
              </w:numPr>
              <w:tabs>
                <w:tab w:pos="649" w:val="left" w:leader="none"/>
              </w:tabs>
              <w:spacing w:line="240" w:lineRule="auto" w:before="51" w:after="0"/>
              <w:ind w:left="648" w:right="0" w:hanging="418"/>
              <w:jc w:val="left"/>
              <w:rPr>
                <w:sz w:val="21"/>
              </w:rPr>
            </w:pPr>
            <w:r>
              <w:rPr>
                <w:spacing w:val="-8"/>
                <w:sz w:val="21"/>
              </w:rPr>
              <w:t>心肌酶或肌钙蛋白有诊断意义的升高，或呈符合急性心肌梗塞的动态性变化；</w:t>
            </w:r>
          </w:p>
          <w:p>
            <w:pPr>
              <w:pStyle w:val="TableParagraph"/>
              <w:numPr>
                <w:ilvl w:val="0"/>
                <w:numId w:val="17"/>
              </w:numPr>
              <w:tabs>
                <w:tab w:pos="649" w:val="left" w:leader="none"/>
              </w:tabs>
              <w:spacing w:line="240" w:lineRule="auto" w:before="51" w:after="0"/>
              <w:ind w:left="648" w:right="0" w:hanging="418"/>
              <w:jc w:val="left"/>
              <w:rPr>
                <w:sz w:val="21"/>
              </w:rPr>
            </w:pPr>
            <w:r>
              <w:rPr>
                <w:spacing w:val="-15"/>
                <w:sz w:val="21"/>
              </w:rPr>
              <w:t>发病 </w:t>
            </w:r>
            <w:r>
              <w:rPr>
                <w:sz w:val="21"/>
              </w:rPr>
              <w:t>90</w:t>
            </w:r>
            <w:r>
              <w:rPr>
                <w:spacing w:val="-10"/>
                <w:sz w:val="21"/>
              </w:rPr>
              <w:t> 天后，经检查证实左心室功能降低，如左心室射血分数低于 </w:t>
            </w:r>
            <w:r>
              <w:rPr>
                <w:sz w:val="21"/>
              </w:rPr>
              <w:t>50%。</w:t>
            </w:r>
          </w:p>
        </w:tc>
      </w:tr>
      <w:tr>
        <w:trPr>
          <w:trHeight w:val="2467" w:hRule="atLeast"/>
        </w:trPr>
        <w:tc>
          <w:tcPr>
            <w:tcW w:w="889" w:type="dxa"/>
            <w:shd w:val="clear" w:color="auto" w:fill="CCFFCC"/>
          </w:tcPr>
          <w:p>
            <w:pPr>
              <w:pStyle w:val="TableParagraph"/>
              <w:ind w:left="0"/>
              <w:rPr>
                <w:rFonts w:ascii="Times New Roman"/>
                <w:sz w:val="20"/>
              </w:rPr>
            </w:pPr>
          </w:p>
        </w:tc>
        <w:tc>
          <w:tcPr>
            <w:tcW w:w="1457" w:type="dxa"/>
            <w:shd w:val="clear" w:color="auto" w:fill="CCFFCC"/>
          </w:tcPr>
          <w:p>
            <w:pPr>
              <w:pStyle w:val="TableParagraph"/>
              <w:spacing w:line="326" w:lineRule="auto" w:before="131"/>
              <w:ind w:right="237"/>
              <w:rPr>
                <w:b/>
                <w:sz w:val="21"/>
              </w:rPr>
            </w:pPr>
            <w:r>
              <w:rPr>
                <w:b/>
                <w:sz w:val="21"/>
              </w:rPr>
              <w:t>3.脑中风后遗症</w:t>
            </w:r>
          </w:p>
        </w:tc>
        <w:tc>
          <w:tcPr>
            <w:tcW w:w="7926" w:type="dxa"/>
            <w:shd w:val="clear" w:color="auto" w:fill="CCFFCC"/>
          </w:tcPr>
          <w:p>
            <w:pPr>
              <w:pStyle w:val="TableParagraph"/>
              <w:spacing w:line="285" w:lineRule="auto" w:before="78"/>
              <w:ind w:left="86" w:right="299"/>
              <w:jc w:val="both"/>
              <w:rPr>
                <w:sz w:val="21"/>
              </w:rPr>
            </w:pPr>
            <w:r>
              <w:rPr>
                <w:spacing w:val="-6"/>
                <w:sz w:val="21"/>
              </w:rPr>
              <w:t>指因脑血管的突发病变引起脑血管出血、栓塞或梗塞，并导致神经系统永久性的功</w:t>
            </w:r>
            <w:r>
              <w:rPr>
                <w:spacing w:val="-9"/>
                <w:sz w:val="21"/>
              </w:rPr>
              <w:t>能障碍。神经系统永久性的功能障碍，指疾病确诊 </w:t>
            </w:r>
            <w:r>
              <w:rPr>
                <w:sz w:val="21"/>
              </w:rPr>
              <w:t>180</w:t>
            </w:r>
            <w:r>
              <w:rPr>
                <w:spacing w:val="-8"/>
                <w:sz w:val="21"/>
              </w:rPr>
              <w:t> 天后，仍遗留下列一种或一</w:t>
            </w:r>
            <w:r>
              <w:rPr>
                <w:spacing w:val="-7"/>
                <w:sz w:val="21"/>
              </w:rPr>
              <w:t>种以上障碍：</w:t>
            </w:r>
          </w:p>
          <w:p>
            <w:pPr>
              <w:pStyle w:val="TableParagraph"/>
              <w:numPr>
                <w:ilvl w:val="0"/>
                <w:numId w:val="18"/>
              </w:numPr>
              <w:tabs>
                <w:tab w:pos="649" w:val="left" w:leader="none"/>
              </w:tabs>
              <w:spacing w:line="240" w:lineRule="auto" w:before="11" w:after="0"/>
              <w:ind w:left="648" w:right="0" w:hanging="418"/>
              <w:jc w:val="left"/>
              <w:rPr>
                <w:sz w:val="21"/>
              </w:rPr>
            </w:pPr>
            <w:r>
              <w:rPr>
                <w:spacing w:val="-2"/>
                <w:w w:val="100"/>
                <w:sz w:val="21"/>
              </w:rPr>
              <w:t>一肢或一肢以上</w:t>
            </w:r>
            <w:r>
              <w:rPr>
                <w:b/>
                <w:w w:val="100"/>
                <w:sz w:val="21"/>
              </w:rPr>
              <w:t>肢体机能完全丧失</w:t>
            </w:r>
            <w:r>
              <w:rPr>
                <w:w w:val="100"/>
                <w:sz w:val="21"/>
              </w:rPr>
              <w:t>（见</w:t>
            </w:r>
            <w:r>
              <w:rPr>
                <w:spacing w:val="-53"/>
                <w:sz w:val="21"/>
              </w:rPr>
              <w:t> </w:t>
            </w:r>
            <w:r>
              <w:rPr>
                <w:w w:val="100"/>
                <w:sz w:val="21"/>
              </w:rPr>
              <w:t>8.</w:t>
            </w:r>
            <w:r>
              <w:rPr>
                <w:spacing w:val="-5"/>
                <w:w w:val="100"/>
                <w:sz w:val="21"/>
              </w:rPr>
              <w:t>2</w:t>
            </w:r>
            <w:r>
              <w:rPr>
                <w:w w:val="100"/>
                <w:sz w:val="21"/>
              </w:rPr>
              <w:t>3</w:t>
            </w:r>
            <w:r>
              <w:rPr>
                <w:spacing w:val="-106"/>
                <w:w w:val="100"/>
                <w:sz w:val="21"/>
              </w:rPr>
              <w:t>）</w:t>
            </w:r>
            <w:r>
              <w:rPr>
                <w:w w:val="100"/>
                <w:sz w:val="21"/>
              </w:rPr>
              <w:t>；</w:t>
            </w:r>
          </w:p>
          <w:p>
            <w:pPr>
              <w:pStyle w:val="TableParagraph"/>
              <w:numPr>
                <w:ilvl w:val="0"/>
                <w:numId w:val="18"/>
              </w:numPr>
              <w:tabs>
                <w:tab w:pos="649" w:val="left" w:leader="none"/>
              </w:tabs>
              <w:spacing w:line="240" w:lineRule="auto" w:before="51" w:after="0"/>
              <w:ind w:left="648" w:right="0" w:hanging="418"/>
              <w:jc w:val="left"/>
              <w:rPr>
                <w:sz w:val="21"/>
              </w:rPr>
            </w:pPr>
            <w:r>
              <w:rPr>
                <w:b/>
                <w:w w:val="100"/>
                <w:sz w:val="21"/>
              </w:rPr>
              <w:t>语言能力或咀嚼吞咽能力完全丧失</w:t>
            </w:r>
            <w:r>
              <w:rPr>
                <w:spacing w:val="-5"/>
                <w:w w:val="100"/>
                <w:sz w:val="21"/>
              </w:rPr>
              <w:t>（</w:t>
            </w:r>
            <w:r>
              <w:rPr>
                <w:w w:val="100"/>
                <w:sz w:val="21"/>
              </w:rPr>
              <w:t>见</w:t>
            </w:r>
            <w:r>
              <w:rPr>
                <w:spacing w:val="-53"/>
                <w:sz w:val="21"/>
              </w:rPr>
              <w:t> </w:t>
            </w:r>
            <w:r>
              <w:rPr>
                <w:w w:val="100"/>
                <w:sz w:val="21"/>
              </w:rPr>
              <w:t>8.2</w:t>
            </w:r>
            <w:r>
              <w:rPr>
                <w:spacing w:val="-5"/>
                <w:w w:val="100"/>
                <w:sz w:val="21"/>
              </w:rPr>
              <w:t>4</w:t>
            </w:r>
            <w:r>
              <w:rPr>
                <w:spacing w:val="-106"/>
                <w:w w:val="100"/>
                <w:sz w:val="21"/>
              </w:rPr>
              <w:t>）</w:t>
            </w:r>
            <w:r>
              <w:rPr>
                <w:w w:val="100"/>
                <w:sz w:val="21"/>
              </w:rPr>
              <w:t>；</w:t>
            </w:r>
          </w:p>
          <w:p>
            <w:pPr>
              <w:pStyle w:val="TableParagraph"/>
              <w:numPr>
                <w:ilvl w:val="0"/>
                <w:numId w:val="18"/>
              </w:numPr>
              <w:tabs>
                <w:tab w:pos="649" w:val="left" w:leader="none"/>
              </w:tabs>
              <w:spacing w:line="285" w:lineRule="auto" w:before="56" w:after="0"/>
              <w:ind w:left="648" w:right="298" w:hanging="418"/>
              <w:jc w:val="left"/>
              <w:rPr>
                <w:sz w:val="21"/>
              </w:rPr>
            </w:pPr>
            <w:r>
              <w:rPr>
                <w:spacing w:val="-4"/>
                <w:sz w:val="21"/>
              </w:rPr>
              <w:t>自主生活能力完全丧失，无法独立完成</w:t>
            </w:r>
            <w:r>
              <w:rPr>
                <w:b/>
                <w:spacing w:val="-1"/>
                <w:sz w:val="21"/>
              </w:rPr>
              <w:t>六项基本日常生活活动</w:t>
            </w:r>
            <w:r>
              <w:rPr>
                <w:sz w:val="21"/>
              </w:rPr>
              <w:t>（</w:t>
            </w:r>
            <w:r>
              <w:rPr>
                <w:spacing w:val="-19"/>
                <w:sz w:val="21"/>
              </w:rPr>
              <w:t>见 </w:t>
            </w:r>
            <w:r>
              <w:rPr>
                <w:sz w:val="21"/>
              </w:rPr>
              <w:t>8.25）中</w:t>
            </w:r>
            <w:r>
              <w:rPr>
                <w:spacing w:val="-1"/>
                <w:sz w:val="21"/>
              </w:rPr>
              <w:t>的三项或三项以上。</w:t>
            </w:r>
          </w:p>
        </w:tc>
      </w:tr>
      <w:tr>
        <w:trPr>
          <w:trHeight w:val="1668" w:hRule="atLeast"/>
        </w:trPr>
        <w:tc>
          <w:tcPr>
            <w:tcW w:w="889" w:type="dxa"/>
            <w:shd w:val="clear" w:color="auto" w:fill="CCFFCC"/>
          </w:tcPr>
          <w:p>
            <w:pPr>
              <w:pStyle w:val="TableParagraph"/>
              <w:ind w:left="0"/>
              <w:rPr>
                <w:rFonts w:ascii="Times New Roman"/>
                <w:sz w:val="20"/>
              </w:rPr>
            </w:pPr>
          </w:p>
        </w:tc>
        <w:tc>
          <w:tcPr>
            <w:tcW w:w="1457" w:type="dxa"/>
            <w:shd w:val="clear" w:color="auto" w:fill="CCFFCC"/>
          </w:tcPr>
          <w:p>
            <w:pPr>
              <w:pStyle w:val="TableParagraph"/>
              <w:spacing w:line="285" w:lineRule="auto" w:before="87"/>
              <w:ind w:right="84"/>
              <w:jc w:val="both"/>
              <w:rPr>
                <w:b/>
                <w:sz w:val="21"/>
              </w:rPr>
            </w:pPr>
            <w:r>
              <w:rPr>
                <w:b/>
                <w:sz w:val="21"/>
              </w:rPr>
              <w:t>4. 重大器官移植术或造血干细胞移植 </w:t>
            </w:r>
          </w:p>
          <w:p>
            <w:pPr>
              <w:pStyle w:val="TableParagraph"/>
              <w:spacing w:line="255" w:lineRule="exact" w:before="11"/>
              <w:jc w:val="both"/>
              <w:rPr>
                <w:b/>
                <w:sz w:val="21"/>
              </w:rPr>
            </w:pPr>
            <w:r>
              <w:rPr>
                <w:b/>
                <w:w w:val="100"/>
                <w:sz w:val="21"/>
              </w:rPr>
              <w:t>术</w:t>
            </w:r>
          </w:p>
        </w:tc>
        <w:tc>
          <w:tcPr>
            <w:tcW w:w="7926" w:type="dxa"/>
            <w:shd w:val="clear" w:color="auto" w:fill="CCFFCC"/>
          </w:tcPr>
          <w:p>
            <w:pPr>
              <w:pStyle w:val="TableParagraph"/>
              <w:spacing w:line="285" w:lineRule="auto" w:before="87"/>
              <w:ind w:left="86" w:right="301"/>
              <w:rPr>
                <w:sz w:val="21"/>
              </w:rPr>
            </w:pPr>
            <w:r>
              <w:rPr>
                <w:spacing w:val="-8"/>
                <w:sz w:val="21"/>
              </w:rPr>
              <w:t>重大器官移植术，指因相应器官功能衰竭，已经实施了肾脏、肝脏、心脏或肺脏的</w:t>
            </w:r>
            <w:r>
              <w:rPr>
                <w:spacing w:val="-6"/>
                <w:sz w:val="21"/>
              </w:rPr>
              <w:t>异体移植手术。</w:t>
            </w:r>
          </w:p>
          <w:p>
            <w:pPr>
              <w:pStyle w:val="TableParagraph"/>
              <w:spacing w:line="285" w:lineRule="auto" w:before="11"/>
              <w:ind w:left="86" w:right="201"/>
              <w:rPr>
                <w:sz w:val="21"/>
              </w:rPr>
            </w:pPr>
            <w:r>
              <w:rPr>
                <w:spacing w:val="-6"/>
                <w:sz w:val="21"/>
              </w:rPr>
              <w:t>造血干细胞移植术，指因造血功能损害或造血系统恶性肿瘤，已经实施了造血干细</w:t>
            </w:r>
            <w:r>
              <w:rPr>
                <w:spacing w:val="-44"/>
                <w:sz w:val="21"/>
              </w:rPr>
              <w:t>胞</w:t>
            </w:r>
            <w:r>
              <w:rPr>
                <w:sz w:val="21"/>
              </w:rPr>
              <w:t>（</w:t>
            </w:r>
            <w:r>
              <w:rPr>
                <w:spacing w:val="-8"/>
                <w:sz w:val="21"/>
              </w:rPr>
              <w:t>包括骨髓造血干细胞、外周血造血干细胞和脐血造血干细胞</w:t>
            </w:r>
            <w:r>
              <w:rPr>
                <w:spacing w:val="-44"/>
                <w:sz w:val="21"/>
              </w:rPr>
              <w:t>）</w:t>
            </w:r>
            <w:r>
              <w:rPr>
                <w:spacing w:val="-3"/>
                <w:sz w:val="21"/>
              </w:rPr>
              <w:t>的异体移植手术。</w:t>
            </w:r>
          </w:p>
        </w:tc>
      </w:tr>
    </w:tbl>
    <w:p>
      <w:pPr>
        <w:spacing w:after="0" w:line="285" w:lineRule="auto"/>
        <w:rPr>
          <w:sz w:val="21"/>
        </w:rPr>
        <w:sectPr>
          <w:headerReference w:type="default" r:id="rId13"/>
          <w:pgSz w:w="11910" w:h="16840"/>
          <w:pgMar w:header="0" w:footer="377" w:top="0" w:bottom="560" w:left="720" w:right="7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5"/>
        </w:r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4"/>
        <w:gridCol w:w="7899"/>
      </w:tblGrid>
      <w:tr>
        <w:trPr>
          <w:trHeight w:val="1651" w:hRule="atLeast"/>
        </w:trPr>
        <w:tc>
          <w:tcPr>
            <w:tcW w:w="1314" w:type="dxa"/>
            <w:shd w:val="clear" w:color="auto" w:fill="CCFFCC"/>
          </w:tcPr>
          <w:p>
            <w:pPr>
              <w:pStyle w:val="TableParagraph"/>
              <w:spacing w:line="211" w:lineRule="exact"/>
              <w:ind w:left="200"/>
              <w:rPr>
                <w:b/>
                <w:sz w:val="21"/>
              </w:rPr>
            </w:pPr>
            <w:r>
              <w:rPr>
                <w:b/>
                <w:sz w:val="21"/>
              </w:rPr>
              <w:t>5. 冠状动 </w:t>
            </w:r>
          </w:p>
          <w:p>
            <w:pPr>
              <w:pStyle w:val="TableParagraph"/>
              <w:spacing w:before="51"/>
              <w:ind w:left="200"/>
              <w:rPr>
                <w:b/>
                <w:sz w:val="21"/>
              </w:rPr>
            </w:pPr>
            <w:r>
              <w:rPr>
                <w:b/>
                <w:sz w:val="21"/>
              </w:rPr>
              <w:t>脉搭桥术 </w:t>
            </w:r>
          </w:p>
          <w:p>
            <w:pPr>
              <w:pStyle w:val="TableParagraph"/>
              <w:spacing w:line="285" w:lineRule="auto" w:before="51"/>
              <w:ind w:left="200" w:right="57"/>
              <w:jc w:val="both"/>
              <w:rPr>
                <w:b/>
                <w:sz w:val="21"/>
              </w:rPr>
            </w:pPr>
            <w:r>
              <w:rPr>
                <w:b/>
                <w:sz w:val="21"/>
              </w:rPr>
              <w:t>（或称冠状动脉旁路移植术）</w:t>
            </w:r>
          </w:p>
        </w:tc>
        <w:tc>
          <w:tcPr>
            <w:tcW w:w="7899" w:type="dxa"/>
            <w:shd w:val="clear" w:color="auto" w:fill="CCFFCC"/>
          </w:tcPr>
          <w:p>
            <w:pPr>
              <w:pStyle w:val="TableParagraph"/>
              <w:spacing w:line="211" w:lineRule="exact"/>
              <w:ind w:left="57"/>
              <w:rPr>
                <w:sz w:val="21"/>
              </w:rPr>
            </w:pPr>
            <w:r>
              <w:rPr>
                <w:sz w:val="21"/>
              </w:rPr>
              <w:t>指为治疗严重的冠心病，实际实施了开胸进行的冠状动脉血管旁路移植的手术。</w:t>
            </w:r>
          </w:p>
          <w:p>
            <w:pPr>
              <w:pStyle w:val="TableParagraph"/>
              <w:spacing w:line="285" w:lineRule="auto" w:before="51"/>
              <w:ind w:left="57" w:right="198"/>
              <w:rPr>
                <w:rFonts w:ascii="黑体" w:eastAsia="黑体" w:hint="eastAsia"/>
                <w:sz w:val="21"/>
              </w:rPr>
            </w:pPr>
            <w:r>
              <w:rPr>
                <w:rFonts w:ascii="黑体" w:eastAsia="黑体" w:hint="eastAsia"/>
                <w:spacing w:val="-13"/>
                <w:sz w:val="21"/>
              </w:rPr>
              <w:t>冠状动脉支架植入术、心导管球囊扩张术、激光射频技术及其它非开胸的介入手术、</w:t>
            </w:r>
            <w:r>
              <w:rPr>
                <w:rFonts w:ascii="黑体" w:eastAsia="黑体" w:hint="eastAsia"/>
                <w:spacing w:val="-8"/>
                <w:sz w:val="21"/>
              </w:rPr>
              <w:t>腔镜手术不在保障范围内。</w:t>
            </w:r>
          </w:p>
        </w:tc>
      </w:tr>
      <w:tr>
        <w:trPr>
          <w:trHeight w:val="1872" w:hRule="atLeast"/>
        </w:trPr>
        <w:tc>
          <w:tcPr>
            <w:tcW w:w="1314" w:type="dxa"/>
            <w:shd w:val="clear" w:color="auto" w:fill="CCFFCC"/>
          </w:tcPr>
          <w:p>
            <w:pPr>
              <w:pStyle w:val="TableParagraph"/>
              <w:spacing w:line="285" w:lineRule="auto" w:before="70"/>
              <w:ind w:left="200" w:right="113"/>
              <w:jc w:val="both"/>
              <w:rPr>
                <w:b/>
                <w:sz w:val="21"/>
              </w:rPr>
            </w:pPr>
            <w:r>
              <w:rPr>
                <w:b/>
                <w:sz w:val="21"/>
              </w:rPr>
              <w:t>6.</w:t>
            </w:r>
            <w:r>
              <w:rPr>
                <w:b/>
                <w:spacing w:val="0"/>
                <w:sz w:val="21"/>
              </w:rPr>
              <w:t> 终末期</w:t>
            </w:r>
            <w:r>
              <w:rPr>
                <w:b/>
                <w:spacing w:val="-50"/>
                <w:sz w:val="21"/>
              </w:rPr>
              <w:t>肾病</w:t>
            </w:r>
            <w:r>
              <w:rPr>
                <w:b/>
                <w:sz w:val="21"/>
              </w:rPr>
              <w:t>（或称</w:t>
            </w:r>
            <w:r>
              <w:rPr>
                <w:b/>
                <w:spacing w:val="26"/>
                <w:sz w:val="21"/>
              </w:rPr>
              <w:t>慢性肾功能衰竭尿毒症期）</w:t>
            </w:r>
          </w:p>
        </w:tc>
        <w:tc>
          <w:tcPr>
            <w:tcW w:w="7899" w:type="dxa"/>
            <w:shd w:val="clear" w:color="auto" w:fill="CCFFCC"/>
          </w:tcPr>
          <w:p>
            <w:pPr>
              <w:pStyle w:val="TableParagraph"/>
              <w:spacing w:line="285" w:lineRule="auto" w:before="70"/>
              <w:ind w:left="57" w:right="377"/>
              <w:rPr>
                <w:sz w:val="21"/>
              </w:rPr>
            </w:pPr>
            <w:r>
              <w:rPr>
                <w:spacing w:val="-6"/>
                <w:sz w:val="21"/>
              </w:rPr>
              <w:t>指双肾功能慢性不可逆性衰竭，达到尿毒症期，经诊断后已经进行了至少 </w:t>
            </w:r>
            <w:r>
              <w:rPr>
                <w:sz w:val="21"/>
              </w:rPr>
              <w:t>90</w:t>
            </w:r>
            <w:r>
              <w:rPr>
                <w:spacing w:val="-12"/>
                <w:sz w:val="21"/>
              </w:rPr>
              <w:t> 天的</w:t>
            </w:r>
            <w:r>
              <w:rPr>
                <w:spacing w:val="-8"/>
                <w:sz w:val="21"/>
              </w:rPr>
              <w:t>规律性透析治疗或实施了肾脏移植手术。</w:t>
            </w:r>
          </w:p>
        </w:tc>
      </w:tr>
      <w:tr>
        <w:trPr>
          <w:trHeight w:val="952" w:hRule="atLeast"/>
        </w:trPr>
        <w:tc>
          <w:tcPr>
            <w:tcW w:w="1314" w:type="dxa"/>
            <w:shd w:val="clear" w:color="auto" w:fill="CCFFCC"/>
          </w:tcPr>
          <w:p>
            <w:pPr>
              <w:pStyle w:val="TableParagraph"/>
              <w:spacing w:line="290" w:lineRule="auto" w:before="157"/>
              <w:ind w:left="200" w:right="113"/>
              <w:rPr>
                <w:b/>
                <w:sz w:val="21"/>
              </w:rPr>
            </w:pPr>
            <w:r>
              <w:rPr>
                <w:b/>
                <w:sz w:val="21"/>
              </w:rPr>
              <w:t>7. 多个肢体缺失</w:t>
            </w:r>
          </w:p>
        </w:tc>
        <w:tc>
          <w:tcPr>
            <w:tcW w:w="7899" w:type="dxa"/>
            <w:shd w:val="clear" w:color="auto" w:fill="CCFFCC"/>
          </w:tcPr>
          <w:p>
            <w:pPr>
              <w:pStyle w:val="TableParagraph"/>
              <w:spacing w:line="290" w:lineRule="auto" w:before="157"/>
              <w:ind w:left="57" w:right="486"/>
              <w:rPr>
                <w:sz w:val="21"/>
              </w:rPr>
            </w:pPr>
            <w:r>
              <w:rPr>
                <w:sz w:val="21"/>
              </w:rPr>
              <w:t>指因疾病或意外伤害导致两个或两个以上肢体自腕关节或踝关节近端（靠近躯干端）以上完全性断离。</w:t>
            </w:r>
          </w:p>
        </w:tc>
      </w:tr>
      <w:tr>
        <w:trPr>
          <w:trHeight w:val="2187" w:hRule="atLeast"/>
        </w:trPr>
        <w:tc>
          <w:tcPr>
            <w:tcW w:w="1314" w:type="dxa"/>
            <w:shd w:val="clear" w:color="auto" w:fill="CCFFCC"/>
          </w:tcPr>
          <w:p>
            <w:pPr>
              <w:pStyle w:val="TableParagraph"/>
              <w:spacing w:line="288" w:lineRule="auto" w:before="126"/>
              <w:ind w:left="200" w:right="113"/>
              <w:jc w:val="both"/>
              <w:rPr>
                <w:b/>
                <w:sz w:val="21"/>
              </w:rPr>
            </w:pPr>
            <w:r>
              <w:rPr>
                <w:b/>
                <w:sz w:val="21"/>
              </w:rPr>
              <w:t>8. 急性或亚急性重症肝炎</w:t>
            </w:r>
          </w:p>
        </w:tc>
        <w:tc>
          <w:tcPr>
            <w:tcW w:w="7899" w:type="dxa"/>
            <w:shd w:val="clear" w:color="auto" w:fill="CCFFCC"/>
          </w:tcPr>
          <w:p>
            <w:pPr>
              <w:pStyle w:val="TableParagraph"/>
              <w:spacing w:line="285" w:lineRule="auto" w:before="126"/>
              <w:ind w:left="57" w:right="303"/>
              <w:rPr>
                <w:sz w:val="21"/>
              </w:rPr>
            </w:pPr>
            <w:r>
              <w:rPr>
                <w:spacing w:val="-6"/>
                <w:sz w:val="21"/>
              </w:rPr>
              <w:t>指因肝炎病毒感染引起肝脏组织弥漫性坏死，导致急性肝功能衰竭，且经血清学或</w:t>
            </w:r>
            <w:r>
              <w:rPr>
                <w:spacing w:val="-5"/>
                <w:sz w:val="21"/>
              </w:rPr>
              <w:t>病毒学检查证实，并须满足下列全部条件：</w:t>
            </w:r>
          </w:p>
          <w:p>
            <w:pPr>
              <w:pStyle w:val="TableParagraph"/>
              <w:numPr>
                <w:ilvl w:val="0"/>
                <w:numId w:val="19"/>
              </w:numPr>
              <w:tabs>
                <w:tab w:pos="620" w:val="left" w:leader="none"/>
              </w:tabs>
              <w:spacing w:line="240" w:lineRule="auto" w:before="16" w:after="0"/>
              <w:ind w:left="619" w:right="0" w:hanging="418"/>
              <w:jc w:val="left"/>
              <w:rPr>
                <w:sz w:val="21"/>
              </w:rPr>
            </w:pPr>
            <w:r>
              <w:rPr>
                <w:spacing w:val="-2"/>
                <w:sz w:val="21"/>
              </w:rPr>
              <w:t>重度黄疸或黄疸迅速加重；</w:t>
            </w:r>
          </w:p>
          <w:p>
            <w:pPr>
              <w:pStyle w:val="TableParagraph"/>
              <w:numPr>
                <w:ilvl w:val="0"/>
                <w:numId w:val="19"/>
              </w:numPr>
              <w:tabs>
                <w:tab w:pos="620" w:val="left" w:leader="none"/>
              </w:tabs>
              <w:spacing w:line="240" w:lineRule="auto" w:before="51" w:after="0"/>
              <w:ind w:left="619" w:right="0" w:hanging="418"/>
              <w:jc w:val="left"/>
              <w:rPr>
                <w:sz w:val="21"/>
              </w:rPr>
            </w:pPr>
            <w:r>
              <w:rPr>
                <w:sz w:val="21"/>
              </w:rPr>
              <w:t>肝性脑病；</w:t>
            </w:r>
          </w:p>
          <w:p>
            <w:pPr>
              <w:pStyle w:val="TableParagraph"/>
              <w:numPr>
                <w:ilvl w:val="0"/>
                <w:numId w:val="19"/>
              </w:numPr>
              <w:tabs>
                <w:tab w:pos="620" w:val="left" w:leader="none"/>
              </w:tabs>
              <w:spacing w:line="240" w:lineRule="auto" w:before="51" w:after="0"/>
              <w:ind w:left="619" w:right="0" w:hanging="418"/>
              <w:jc w:val="left"/>
              <w:rPr>
                <w:sz w:val="21"/>
              </w:rPr>
            </w:pPr>
            <w:r>
              <w:rPr>
                <w:sz w:val="21"/>
              </w:rPr>
              <w:t>B</w:t>
            </w:r>
            <w:r>
              <w:rPr>
                <w:spacing w:val="-6"/>
                <w:sz w:val="21"/>
              </w:rPr>
              <w:t> 超或其它影像学检查显示肝脏体积急速萎缩；</w:t>
            </w:r>
          </w:p>
          <w:p>
            <w:pPr>
              <w:pStyle w:val="TableParagraph"/>
              <w:numPr>
                <w:ilvl w:val="0"/>
                <w:numId w:val="19"/>
              </w:numPr>
              <w:tabs>
                <w:tab w:pos="620" w:val="left" w:leader="none"/>
              </w:tabs>
              <w:spacing w:line="240" w:lineRule="auto" w:before="51" w:after="0"/>
              <w:ind w:left="619" w:right="0" w:hanging="418"/>
              <w:jc w:val="left"/>
              <w:rPr>
                <w:sz w:val="21"/>
              </w:rPr>
            </w:pPr>
            <w:r>
              <w:rPr>
                <w:spacing w:val="-2"/>
                <w:sz w:val="21"/>
              </w:rPr>
              <w:t>肝功能指标进行性恶化。</w:t>
            </w:r>
          </w:p>
        </w:tc>
      </w:tr>
      <w:tr>
        <w:trPr>
          <w:trHeight w:val="2206" w:hRule="atLeast"/>
        </w:trPr>
        <w:tc>
          <w:tcPr>
            <w:tcW w:w="1314" w:type="dxa"/>
            <w:shd w:val="clear" w:color="auto" w:fill="CCFFCC"/>
          </w:tcPr>
          <w:p>
            <w:pPr>
              <w:pStyle w:val="TableParagraph"/>
              <w:spacing w:line="290" w:lineRule="auto" w:before="85"/>
              <w:ind w:left="200" w:right="113"/>
              <w:rPr>
                <w:b/>
                <w:sz w:val="21"/>
              </w:rPr>
            </w:pPr>
            <w:r>
              <w:rPr>
                <w:b/>
                <w:sz w:val="21"/>
              </w:rPr>
              <w:t>9. 良性脑肿瘤</w:t>
            </w:r>
          </w:p>
        </w:tc>
        <w:tc>
          <w:tcPr>
            <w:tcW w:w="7899" w:type="dxa"/>
            <w:shd w:val="clear" w:color="auto" w:fill="CCFFCC"/>
          </w:tcPr>
          <w:p>
            <w:pPr>
              <w:pStyle w:val="TableParagraph"/>
              <w:spacing w:line="288" w:lineRule="auto" w:before="85"/>
              <w:ind w:left="57" w:right="199"/>
              <w:rPr>
                <w:sz w:val="21"/>
              </w:rPr>
            </w:pPr>
            <w:r>
              <w:rPr>
                <w:spacing w:val="-5"/>
                <w:sz w:val="21"/>
              </w:rPr>
              <w:t>指脑的良性肿瘤，已经引起颅内压增高，临床表现为视神经乳头水肿、精神症状、</w:t>
            </w:r>
            <w:r>
              <w:rPr>
                <w:spacing w:val="-18"/>
                <w:w w:val="100"/>
                <w:sz w:val="21"/>
              </w:rPr>
              <w:t>癫痫及运动感觉障碍等，并危及生命。须由头颅断层扫描</w:t>
            </w:r>
            <w:r>
              <w:rPr>
                <w:spacing w:val="1"/>
                <w:w w:val="100"/>
                <w:sz w:val="21"/>
              </w:rPr>
              <w:t>（</w:t>
            </w:r>
            <w:r>
              <w:rPr>
                <w:w w:val="100"/>
                <w:sz w:val="21"/>
              </w:rPr>
              <w:t>CT</w:t>
            </w:r>
            <w:r>
              <w:rPr>
                <w:spacing w:val="-111"/>
                <w:w w:val="100"/>
                <w:sz w:val="21"/>
              </w:rPr>
              <w:t>）</w:t>
            </w:r>
            <w:r>
              <w:rPr>
                <w:spacing w:val="-23"/>
                <w:w w:val="100"/>
                <w:sz w:val="21"/>
              </w:rPr>
              <w:t>、核磁共振检查</w:t>
            </w:r>
            <w:r>
              <w:rPr>
                <w:w w:val="100"/>
                <w:sz w:val="21"/>
              </w:rPr>
              <w:t>（MR</w:t>
            </w:r>
            <w:r>
              <w:rPr>
                <w:spacing w:val="-5"/>
                <w:w w:val="100"/>
                <w:sz w:val="21"/>
              </w:rPr>
              <w:t>I</w:t>
            </w:r>
            <w:r>
              <w:rPr>
                <w:w w:val="100"/>
                <w:sz w:val="21"/>
              </w:rPr>
              <w:t>）</w:t>
            </w:r>
            <w:r>
              <w:rPr>
                <w:spacing w:val="-3"/>
                <w:sz w:val="21"/>
              </w:rPr>
              <w:t>或正电子发射断层扫描</w:t>
            </w:r>
            <w:r>
              <w:rPr>
                <w:sz w:val="21"/>
              </w:rPr>
              <w:t>（PET）</w:t>
            </w:r>
            <w:r>
              <w:rPr>
                <w:spacing w:val="-5"/>
                <w:sz w:val="21"/>
              </w:rPr>
              <w:t>等影像学检查证实，并须满足下列至少一项条件：</w:t>
            </w:r>
          </w:p>
          <w:p>
            <w:pPr>
              <w:pStyle w:val="TableParagraph"/>
              <w:numPr>
                <w:ilvl w:val="0"/>
                <w:numId w:val="20"/>
              </w:numPr>
              <w:tabs>
                <w:tab w:pos="620" w:val="left" w:leader="none"/>
              </w:tabs>
              <w:spacing w:line="240" w:lineRule="auto" w:before="9" w:after="0"/>
              <w:ind w:left="619" w:right="0" w:hanging="418"/>
              <w:jc w:val="left"/>
              <w:rPr>
                <w:sz w:val="21"/>
              </w:rPr>
            </w:pPr>
            <w:r>
              <w:rPr>
                <w:spacing w:val="-5"/>
                <w:sz w:val="21"/>
              </w:rPr>
              <w:t>实际实施了开颅进行的脑肿瘤完全切除或部分切除的手术；</w:t>
            </w:r>
          </w:p>
          <w:p>
            <w:pPr>
              <w:pStyle w:val="TableParagraph"/>
              <w:numPr>
                <w:ilvl w:val="0"/>
                <w:numId w:val="20"/>
              </w:numPr>
              <w:tabs>
                <w:tab w:pos="620" w:val="left" w:leader="none"/>
              </w:tabs>
              <w:spacing w:line="240" w:lineRule="auto" w:before="51" w:after="0"/>
              <w:ind w:left="619" w:right="0" w:hanging="418"/>
              <w:jc w:val="left"/>
              <w:rPr>
                <w:sz w:val="21"/>
              </w:rPr>
            </w:pPr>
            <w:r>
              <w:rPr>
                <w:spacing w:val="-3"/>
                <w:sz w:val="21"/>
              </w:rPr>
              <w:t>实际实施了对脑肿瘤进行的放射治疗。</w:t>
            </w:r>
          </w:p>
          <w:p>
            <w:pPr>
              <w:pStyle w:val="TableParagraph"/>
              <w:spacing w:before="51"/>
              <w:ind w:left="201"/>
              <w:rPr>
                <w:rFonts w:ascii="黑体" w:eastAsia="黑体" w:hint="eastAsia"/>
                <w:sz w:val="21"/>
              </w:rPr>
            </w:pPr>
            <w:r>
              <w:rPr>
                <w:rFonts w:ascii="黑体" w:eastAsia="黑体" w:hint="eastAsia"/>
                <w:sz w:val="21"/>
              </w:rPr>
              <w:t>脑垂体瘤、脑囊肿、脑血管性疾病不在保障范围内。</w:t>
            </w:r>
          </w:p>
        </w:tc>
      </w:tr>
      <w:tr>
        <w:trPr>
          <w:trHeight w:val="2194" w:hRule="atLeast"/>
        </w:trPr>
        <w:tc>
          <w:tcPr>
            <w:tcW w:w="1314" w:type="dxa"/>
            <w:shd w:val="clear" w:color="auto" w:fill="CCFFCC"/>
          </w:tcPr>
          <w:p>
            <w:pPr>
              <w:pStyle w:val="TableParagraph"/>
              <w:spacing w:line="285" w:lineRule="auto" w:before="145"/>
              <w:ind w:left="200" w:right="113"/>
              <w:jc w:val="both"/>
              <w:rPr>
                <w:b/>
                <w:sz w:val="21"/>
              </w:rPr>
            </w:pPr>
            <w:r>
              <w:rPr>
                <w:b/>
                <w:sz w:val="21"/>
              </w:rPr>
              <w:t>10.慢性肝功能衰竭失代偿期</w:t>
            </w:r>
          </w:p>
        </w:tc>
        <w:tc>
          <w:tcPr>
            <w:tcW w:w="7899" w:type="dxa"/>
            <w:shd w:val="clear" w:color="auto" w:fill="CCFFCC"/>
          </w:tcPr>
          <w:p>
            <w:pPr>
              <w:pStyle w:val="TableParagraph"/>
              <w:spacing w:before="145"/>
              <w:ind w:left="40" w:right="2359"/>
              <w:jc w:val="center"/>
              <w:rPr>
                <w:sz w:val="21"/>
              </w:rPr>
            </w:pPr>
            <w:r>
              <w:rPr>
                <w:sz w:val="21"/>
              </w:rPr>
              <w:t>指因慢性肝脏疾病导致肝功能衰竭。须满足下列全部条件：</w:t>
            </w:r>
          </w:p>
          <w:p>
            <w:pPr>
              <w:pStyle w:val="TableParagraph"/>
              <w:numPr>
                <w:ilvl w:val="0"/>
                <w:numId w:val="21"/>
              </w:numPr>
              <w:tabs>
                <w:tab w:pos="620" w:val="left" w:leader="none"/>
              </w:tabs>
              <w:spacing w:line="240" w:lineRule="auto" w:before="51" w:after="0"/>
              <w:ind w:left="619" w:right="0" w:hanging="418"/>
              <w:jc w:val="left"/>
              <w:rPr>
                <w:sz w:val="21"/>
              </w:rPr>
            </w:pPr>
            <w:r>
              <w:rPr>
                <w:spacing w:val="-1"/>
                <w:sz w:val="21"/>
              </w:rPr>
              <w:t>持续性黄疸；</w:t>
            </w:r>
          </w:p>
          <w:p>
            <w:pPr>
              <w:pStyle w:val="TableParagraph"/>
              <w:numPr>
                <w:ilvl w:val="0"/>
                <w:numId w:val="21"/>
              </w:numPr>
              <w:tabs>
                <w:tab w:pos="620" w:val="left" w:leader="none"/>
              </w:tabs>
              <w:spacing w:line="240" w:lineRule="auto" w:before="51" w:after="0"/>
              <w:ind w:left="619" w:right="0" w:hanging="418"/>
              <w:jc w:val="left"/>
              <w:rPr>
                <w:sz w:val="21"/>
              </w:rPr>
            </w:pPr>
            <w:r>
              <w:rPr>
                <w:sz w:val="21"/>
              </w:rPr>
              <w:t>腹水；</w:t>
            </w:r>
          </w:p>
          <w:p>
            <w:pPr>
              <w:pStyle w:val="TableParagraph"/>
              <w:numPr>
                <w:ilvl w:val="0"/>
                <w:numId w:val="21"/>
              </w:numPr>
              <w:tabs>
                <w:tab w:pos="620" w:val="left" w:leader="none"/>
              </w:tabs>
              <w:spacing w:line="240" w:lineRule="auto" w:before="52" w:after="0"/>
              <w:ind w:left="619" w:right="0" w:hanging="418"/>
              <w:jc w:val="left"/>
              <w:rPr>
                <w:sz w:val="21"/>
              </w:rPr>
            </w:pPr>
            <w:r>
              <w:rPr>
                <w:sz w:val="21"/>
              </w:rPr>
              <w:t>肝性脑病；</w:t>
            </w:r>
          </w:p>
          <w:p>
            <w:pPr>
              <w:pStyle w:val="TableParagraph"/>
              <w:numPr>
                <w:ilvl w:val="0"/>
                <w:numId w:val="21"/>
              </w:numPr>
              <w:tabs>
                <w:tab w:pos="620" w:val="left" w:leader="none"/>
              </w:tabs>
              <w:spacing w:line="240" w:lineRule="auto" w:before="51" w:after="0"/>
              <w:ind w:left="619" w:right="0" w:hanging="418"/>
              <w:jc w:val="left"/>
              <w:rPr>
                <w:sz w:val="21"/>
              </w:rPr>
            </w:pPr>
            <w:r>
              <w:rPr>
                <w:spacing w:val="-5"/>
                <w:sz w:val="21"/>
              </w:rPr>
              <w:t>充血性脾肿大伴脾功能亢进或食管胃底静脉曲张。</w:t>
            </w:r>
          </w:p>
          <w:p>
            <w:pPr>
              <w:pStyle w:val="TableParagraph"/>
              <w:spacing w:before="51"/>
              <w:ind w:left="201"/>
              <w:rPr>
                <w:rFonts w:ascii="黑体" w:eastAsia="黑体" w:hint="eastAsia"/>
                <w:sz w:val="21"/>
              </w:rPr>
            </w:pPr>
            <w:r>
              <w:rPr>
                <w:rFonts w:ascii="黑体" w:eastAsia="黑体" w:hint="eastAsia"/>
                <w:sz w:val="21"/>
              </w:rPr>
              <w:t>因酗酒或药物滥用导致的肝功能衰竭不在保障范围内。</w:t>
            </w:r>
          </w:p>
        </w:tc>
      </w:tr>
      <w:tr>
        <w:trPr>
          <w:trHeight w:val="1985" w:hRule="atLeast"/>
        </w:trPr>
        <w:tc>
          <w:tcPr>
            <w:tcW w:w="1314" w:type="dxa"/>
            <w:shd w:val="clear" w:color="auto" w:fill="CCFFCC"/>
          </w:tcPr>
          <w:p>
            <w:pPr>
              <w:pStyle w:val="TableParagraph"/>
              <w:spacing w:line="285" w:lineRule="auto" w:before="78"/>
              <w:ind w:left="200" w:right="113"/>
              <w:jc w:val="both"/>
              <w:rPr>
                <w:b/>
                <w:sz w:val="21"/>
              </w:rPr>
            </w:pPr>
            <w:r>
              <w:rPr>
                <w:b/>
                <w:sz w:val="21"/>
              </w:rPr>
              <w:t>11.脑炎后遗症或脑膜炎后遗症</w:t>
            </w:r>
          </w:p>
        </w:tc>
        <w:tc>
          <w:tcPr>
            <w:tcW w:w="7899" w:type="dxa"/>
            <w:shd w:val="clear" w:color="auto" w:fill="CCFFCC"/>
          </w:tcPr>
          <w:p>
            <w:pPr>
              <w:pStyle w:val="TableParagraph"/>
              <w:spacing w:line="285" w:lineRule="auto" w:before="78"/>
              <w:ind w:left="57" w:right="308"/>
              <w:rPr>
                <w:sz w:val="21"/>
              </w:rPr>
            </w:pPr>
            <w:r>
              <w:rPr>
                <w:spacing w:val="-6"/>
                <w:sz w:val="21"/>
              </w:rPr>
              <w:t>指因患脑炎或脑膜炎导致的神经系统永久性的功能障碍。神经系统永久性的功能障</w:t>
            </w:r>
            <w:r>
              <w:rPr>
                <w:spacing w:val="-9"/>
                <w:sz w:val="21"/>
              </w:rPr>
              <w:t>碍，指疾病确诊 </w:t>
            </w:r>
            <w:r>
              <w:rPr>
                <w:sz w:val="21"/>
              </w:rPr>
              <w:t>180</w:t>
            </w:r>
            <w:r>
              <w:rPr>
                <w:spacing w:val="-7"/>
                <w:sz w:val="21"/>
              </w:rPr>
              <w:t> 天后，仍遗留下列一种或一种以上障碍：</w:t>
            </w:r>
          </w:p>
          <w:p>
            <w:pPr>
              <w:pStyle w:val="TableParagraph"/>
              <w:numPr>
                <w:ilvl w:val="0"/>
                <w:numId w:val="22"/>
              </w:numPr>
              <w:tabs>
                <w:tab w:pos="620" w:val="left" w:leader="none"/>
              </w:tabs>
              <w:spacing w:line="240" w:lineRule="auto" w:before="12" w:after="0"/>
              <w:ind w:left="619" w:right="0" w:hanging="418"/>
              <w:jc w:val="left"/>
              <w:rPr>
                <w:sz w:val="21"/>
              </w:rPr>
            </w:pPr>
            <w:r>
              <w:rPr>
                <w:spacing w:val="-3"/>
                <w:sz w:val="21"/>
              </w:rPr>
              <w:t>一肢或一肢以上肢体机能完全丧失；</w:t>
            </w:r>
          </w:p>
          <w:p>
            <w:pPr>
              <w:pStyle w:val="TableParagraph"/>
              <w:numPr>
                <w:ilvl w:val="0"/>
                <w:numId w:val="22"/>
              </w:numPr>
              <w:tabs>
                <w:tab w:pos="620" w:val="left" w:leader="none"/>
              </w:tabs>
              <w:spacing w:line="240" w:lineRule="auto" w:before="51" w:after="0"/>
              <w:ind w:left="619" w:right="0" w:hanging="418"/>
              <w:jc w:val="left"/>
              <w:rPr>
                <w:sz w:val="21"/>
              </w:rPr>
            </w:pPr>
            <w:r>
              <w:rPr>
                <w:spacing w:val="-3"/>
                <w:sz w:val="21"/>
              </w:rPr>
              <w:t>语言能力或咀嚼吞咽能力完全丧失；</w:t>
            </w:r>
          </w:p>
          <w:p>
            <w:pPr>
              <w:pStyle w:val="TableParagraph"/>
              <w:numPr>
                <w:ilvl w:val="0"/>
                <w:numId w:val="22"/>
              </w:numPr>
              <w:tabs>
                <w:tab w:pos="620" w:val="left" w:leader="none"/>
              </w:tabs>
              <w:spacing w:line="320" w:lineRule="atLeast" w:before="6" w:after="0"/>
              <w:ind w:left="619" w:right="308" w:hanging="418"/>
              <w:jc w:val="left"/>
              <w:rPr>
                <w:sz w:val="21"/>
              </w:rPr>
            </w:pPr>
            <w:r>
              <w:rPr>
                <w:sz w:val="21"/>
              </w:rPr>
              <w:t>自主生活能力完全丧失，无法独立完成六项基本日常生活活动中的三项或三项以上。</w:t>
            </w:r>
          </w:p>
        </w:tc>
      </w:tr>
    </w:tbl>
    <w:p>
      <w:pPr>
        <w:spacing w:after="0" w:line="320" w:lineRule="atLeast"/>
        <w:jc w:val="left"/>
        <w:rPr>
          <w:sz w:val="21"/>
        </w:rPr>
        <w:sectPr>
          <w:headerReference w:type="default" r:id="rId14"/>
          <w:pgSz w:w="11910" w:h="16840"/>
          <w:pgMar w:header="0" w:footer="377" w:top="0" w:bottom="560" w:left="1680" w:right="7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5"/>
        </w:r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5"/>
        <w:gridCol w:w="7929"/>
      </w:tblGrid>
      <w:tr>
        <w:trPr>
          <w:trHeight w:val="1349" w:hRule="atLeast"/>
        </w:trPr>
        <w:tc>
          <w:tcPr>
            <w:tcW w:w="1285" w:type="dxa"/>
            <w:shd w:val="clear" w:color="auto" w:fill="CCFFCC"/>
          </w:tcPr>
          <w:p>
            <w:pPr>
              <w:pStyle w:val="TableParagraph"/>
              <w:spacing w:line="211" w:lineRule="exact"/>
              <w:ind w:left="200"/>
              <w:rPr>
                <w:b/>
                <w:sz w:val="21"/>
              </w:rPr>
            </w:pPr>
            <w:r>
              <w:rPr>
                <w:b/>
                <w:sz w:val="21"/>
              </w:rPr>
              <w:t>12.深度昏</w:t>
            </w:r>
          </w:p>
          <w:p>
            <w:pPr>
              <w:pStyle w:val="TableParagraph"/>
              <w:spacing w:before="51"/>
              <w:ind w:left="200"/>
              <w:rPr>
                <w:b/>
                <w:sz w:val="21"/>
              </w:rPr>
            </w:pPr>
            <w:r>
              <w:rPr>
                <w:b/>
                <w:w w:val="100"/>
                <w:sz w:val="21"/>
              </w:rPr>
              <w:t>迷</w:t>
            </w:r>
          </w:p>
        </w:tc>
        <w:tc>
          <w:tcPr>
            <w:tcW w:w="7929" w:type="dxa"/>
            <w:shd w:val="clear" w:color="auto" w:fill="CCFFCC"/>
          </w:tcPr>
          <w:p>
            <w:pPr>
              <w:pStyle w:val="TableParagraph"/>
              <w:spacing w:line="211" w:lineRule="exact"/>
              <w:ind w:left="86"/>
              <w:rPr>
                <w:sz w:val="21"/>
              </w:rPr>
            </w:pPr>
            <w:r>
              <w:rPr>
                <w:sz w:val="21"/>
              </w:rPr>
              <w:t>指因疾病或意外伤害导致意识丧失,对外界刺激和体内需求均无反应,昏迷程度按</w:t>
            </w:r>
          </w:p>
          <w:p>
            <w:pPr>
              <w:pStyle w:val="TableParagraph"/>
              <w:spacing w:line="285" w:lineRule="auto" w:before="51"/>
              <w:ind w:left="86" w:right="302"/>
              <w:rPr>
                <w:sz w:val="21"/>
              </w:rPr>
            </w:pPr>
            <w:r>
              <w:rPr>
                <w:spacing w:val="-2"/>
                <w:sz w:val="21"/>
              </w:rPr>
              <w:t>照格拉斯哥昏迷分级</w:t>
            </w:r>
            <w:r>
              <w:rPr>
                <w:sz w:val="21"/>
              </w:rPr>
              <w:t>（Glasgow coma scale）</w:t>
            </w:r>
            <w:r>
              <w:rPr>
                <w:spacing w:val="-14"/>
                <w:sz w:val="21"/>
              </w:rPr>
              <w:t>结果为 </w:t>
            </w:r>
            <w:r>
              <w:rPr>
                <w:sz w:val="21"/>
              </w:rPr>
              <w:t>5</w:t>
            </w:r>
            <w:r>
              <w:rPr>
                <w:spacing w:val="-25"/>
                <w:sz w:val="21"/>
              </w:rPr>
              <w:t> 分或 </w:t>
            </w:r>
            <w:r>
              <w:rPr>
                <w:sz w:val="21"/>
              </w:rPr>
              <w:t>5</w:t>
            </w:r>
            <w:r>
              <w:rPr>
                <w:spacing w:val="-8"/>
                <w:sz w:val="21"/>
              </w:rPr>
              <w:t> 分以下，且已经持续</w:t>
            </w:r>
            <w:r>
              <w:rPr>
                <w:spacing w:val="-9"/>
                <w:sz w:val="21"/>
              </w:rPr>
              <w:t>使用呼吸机及其它生命维持系统 </w:t>
            </w:r>
            <w:r>
              <w:rPr>
                <w:sz w:val="21"/>
              </w:rPr>
              <w:t>96</w:t>
            </w:r>
            <w:r>
              <w:rPr>
                <w:spacing w:val="-9"/>
                <w:sz w:val="21"/>
              </w:rPr>
              <w:t> 小时以上。</w:t>
            </w:r>
          </w:p>
          <w:p>
            <w:pPr>
              <w:pStyle w:val="TableParagraph"/>
              <w:spacing w:before="11"/>
              <w:ind w:left="86"/>
              <w:rPr>
                <w:rFonts w:ascii="黑体" w:eastAsia="黑体" w:hint="eastAsia"/>
                <w:sz w:val="21"/>
              </w:rPr>
            </w:pPr>
            <w:r>
              <w:rPr>
                <w:rFonts w:ascii="黑体" w:eastAsia="黑体" w:hint="eastAsia"/>
                <w:sz w:val="21"/>
              </w:rPr>
              <w:t>因酗酒或药物滥用导致的深度昏迷不在保障范围内。</w:t>
            </w:r>
          </w:p>
        </w:tc>
      </w:tr>
      <w:tr>
        <w:trPr>
          <w:trHeight w:val="1860" w:hRule="atLeast"/>
        </w:trPr>
        <w:tc>
          <w:tcPr>
            <w:tcW w:w="1285" w:type="dxa"/>
            <w:shd w:val="clear" w:color="auto" w:fill="CCFFCC"/>
          </w:tcPr>
          <w:p>
            <w:pPr>
              <w:pStyle w:val="TableParagraph"/>
              <w:spacing w:line="285" w:lineRule="auto" w:before="95"/>
              <w:ind w:left="200" w:right="127"/>
              <w:rPr>
                <w:b/>
                <w:sz w:val="21"/>
              </w:rPr>
            </w:pPr>
            <w:r>
              <w:rPr>
                <w:b/>
                <w:sz w:val="21"/>
              </w:rPr>
              <w:t>13.双耳失聪</w:t>
            </w:r>
          </w:p>
        </w:tc>
        <w:tc>
          <w:tcPr>
            <w:tcW w:w="7929" w:type="dxa"/>
            <w:shd w:val="clear" w:color="auto" w:fill="CCFFCC"/>
          </w:tcPr>
          <w:p>
            <w:pPr>
              <w:pStyle w:val="TableParagraph"/>
              <w:spacing w:line="285" w:lineRule="auto" w:before="95"/>
              <w:ind w:left="86" w:right="306"/>
              <w:jc w:val="both"/>
              <w:rPr>
                <w:sz w:val="21"/>
              </w:rPr>
            </w:pPr>
            <w:r>
              <w:rPr>
                <w:spacing w:val="-4"/>
                <w:sz w:val="21"/>
              </w:rPr>
              <w:t>指因疾病或意外伤害导致双耳听力</w:t>
            </w:r>
            <w:r>
              <w:rPr>
                <w:b/>
                <w:spacing w:val="-15"/>
                <w:sz w:val="21"/>
              </w:rPr>
              <w:t>永久不可逆</w:t>
            </w:r>
            <w:r>
              <w:rPr>
                <w:sz w:val="21"/>
              </w:rPr>
              <w:t>（</w:t>
            </w:r>
            <w:r>
              <w:rPr>
                <w:spacing w:val="-20"/>
                <w:sz w:val="21"/>
              </w:rPr>
              <w:t>见 </w:t>
            </w:r>
            <w:r>
              <w:rPr>
                <w:spacing w:val="-17"/>
                <w:sz w:val="21"/>
              </w:rPr>
              <w:t>8.26）</w:t>
            </w:r>
            <w:r>
              <w:rPr>
                <w:spacing w:val="-21"/>
                <w:sz w:val="21"/>
              </w:rPr>
              <w:t>性丧失，在 </w:t>
            </w:r>
            <w:r>
              <w:rPr>
                <w:sz w:val="21"/>
              </w:rPr>
              <w:t>500</w:t>
            </w:r>
            <w:r>
              <w:rPr>
                <w:spacing w:val="-32"/>
                <w:sz w:val="21"/>
              </w:rPr>
              <w:t> 赫兹、</w:t>
            </w:r>
            <w:r>
              <w:rPr>
                <w:sz w:val="21"/>
              </w:rPr>
              <w:t>1000 </w:t>
            </w:r>
            <w:r>
              <w:rPr>
                <w:spacing w:val="-11"/>
                <w:sz w:val="21"/>
              </w:rPr>
              <w:t>赫兹和 </w:t>
            </w:r>
            <w:r>
              <w:rPr>
                <w:sz w:val="21"/>
              </w:rPr>
              <w:t>2000</w:t>
            </w:r>
            <w:r>
              <w:rPr>
                <w:spacing w:val="-12"/>
                <w:sz w:val="21"/>
              </w:rPr>
              <w:t> 赫兹语音频率下，平均听阈大于 </w:t>
            </w:r>
            <w:r>
              <w:rPr>
                <w:sz w:val="21"/>
              </w:rPr>
              <w:t>90</w:t>
            </w:r>
            <w:r>
              <w:rPr>
                <w:spacing w:val="-10"/>
                <w:sz w:val="21"/>
              </w:rPr>
              <w:t> 分贝，且经纯音听力测试、声导抗</w:t>
            </w:r>
            <w:r>
              <w:rPr>
                <w:spacing w:val="-7"/>
                <w:sz w:val="21"/>
              </w:rPr>
              <w:t>检测或听觉诱发电位检测等证实。</w:t>
            </w:r>
          </w:p>
          <w:p>
            <w:pPr>
              <w:pStyle w:val="TableParagraph"/>
              <w:spacing w:line="285" w:lineRule="auto" w:before="11"/>
              <w:ind w:left="86" w:right="304"/>
              <w:jc w:val="both"/>
              <w:rPr>
                <w:rFonts w:ascii="黑体" w:eastAsia="黑体" w:hint="eastAsia"/>
                <w:sz w:val="21"/>
              </w:rPr>
            </w:pPr>
            <w:r>
              <w:rPr>
                <w:rFonts w:ascii="黑体" w:eastAsia="黑体" w:hint="eastAsia"/>
                <w:spacing w:val="-6"/>
                <w:sz w:val="21"/>
              </w:rPr>
              <w:t>被保险人申请理赔时年龄必须在三周岁以上，并且提供理赔当时的听力丧失诊断及检查证据。</w:t>
            </w:r>
          </w:p>
        </w:tc>
      </w:tr>
      <w:tr>
        <w:trPr>
          <w:trHeight w:val="2439" w:hRule="atLeast"/>
        </w:trPr>
        <w:tc>
          <w:tcPr>
            <w:tcW w:w="1285" w:type="dxa"/>
            <w:shd w:val="clear" w:color="auto" w:fill="CCFFCC"/>
          </w:tcPr>
          <w:p>
            <w:pPr>
              <w:pStyle w:val="TableParagraph"/>
              <w:spacing w:line="285" w:lineRule="auto" w:before="121"/>
              <w:ind w:left="200" w:right="127"/>
              <w:rPr>
                <w:b/>
                <w:sz w:val="21"/>
              </w:rPr>
            </w:pPr>
            <w:r>
              <w:rPr>
                <w:b/>
                <w:sz w:val="21"/>
              </w:rPr>
              <w:t>14.双目失明</w:t>
            </w:r>
          </w:p>
        </w:tc>
        <w:tc>
          <w:tcPr>
            <w:tcW w:w="7929" w:type="dxa"/>
            <w:shd w:val="clear" w:color="auto" w:fill="CCFFCC"/>
          </w:tcPr>
          <w:p>
            <w:pPr>
              <w:pStyle w:val="TableParagraph"/>
              <w:spacing w:line="273" w:lineRule="auto" w:before="140"/>
              <w:ind w:left="86" w:right="309"/>
              <w:rPr>
                <w:sz w:val="21"/>
              </w:rPr>
            </w:pPr>
            <w:r>
              <w:rPr>
                <w:spacing w:val="-6"/>
                <w:sz w:val="21"/>
              </w:rPr>
              <w:t>指因疾病或意外伤害导致双眼视力永久不可逆性丧失，双眼中较好眼须满足下列至</w:t>
            </w:r>
            <w:r>
              <w:rPr>
                <w:spacing w:val="-5"/>
                <w:sz w:val="21"/>
              </w:rPr>
              <w:t>少一项条件：</w:t>
            </w:r>
          </w:p>
          <w:p>
            <w:pPr>
              <w:pStyle w:val="TableParagraph"/>
              <w:spacing w:before="7"/>
              <w:ind w:left="86"/>
              <w:rPr>
                <w:sz w:val="21"/>
              </w:rPr>
            </w:pPr>
            <w:r>
              <w:rPr>
                <w:sz w:val="21"/>
              </w:rPr>
              <w:t>（1）眼球缺失或摘除；</w:t>
            </w:r>
          </w:p>
          <w:p>
            <w:pPr>
              <w:pStyle w:val="TableParagraph"/>
              <w:spacing w:before="37"/>
              <w:ind w:left="86"/>
              <w:rPr>
                <w:sz w:val="21"/>
              </w:rPr>
            </w:pPr>
            <w:r>
              <w:rPr>
                <w:w w:val="100"/>
                <w:sz w:val="21"/>
              </w:rPr>
              <w:t>（2</w:t>
            </w:r>
            <w:r>
              <w:rPr>
                <w:spacing w:val="-63"/>
                <w:w w:val="100"/>
                <w:sz w:val="21"/>
              </w:rPr>
              <w:t>）</w:t>
            </w:r>
            <w:r>
              <w:rPr>
                <w:spacing w:val="-2"/>
                <w:w w:val="100"/>
                <w:sz w:val="21"/>
              </w:rPr>
              <w:t>矫正视力低于</w:t>
            </w:r>
            <w:r>
              <w:rPr>
                <w:spacing w:val="-52"/>
                <w:sz w:val="21"/>
              </w:rPr>
              <w:t> </w:t>
            </w:r>
            <w:r>
              <w:rPr>
                <w:spacing w:val="-5"/>
                <w:w w:val="100"/>
                <w:sz w:val="21"/>
              </w:rPr>
              <w:t>0</w:t>
            </w:r>
            <w:r>
              <w:rPr>
                <w:w w:val="100"/>
                <w:sz w:val="21"/>
              </w:rPr>
              <w:t>.0</w:t>
            </w:r>
            <w:r>
              <w:rPr>
                <w:spacing w:val="-63"/>
                <w:w w:val="100"/>
                <w:sz w:val="21"/>
              </w:rPr>
              <w:t>2</w:t>
            </w:r>
            <w:r>
              <w:rPr>
                <w:w w:val="100"/>
                <w:sz w:val="21"/>
              </w:rPr>
              <w:t>（</w:t>
            </w:r>
            <w:r>
              <w:rPr>
                <w:spacing w:val="-10"/>
                <w:w w:val="100"/>
                <w:sz w:val="21"/>
              </w:rPr>
              <w:t>采用国际标准视力表，如果使用其它视力表应进行换算</w:t>
            </w:r>
            <w:r>
              <w:rPr>
                <w:spacing w:val="-106"/>
                <w:w w:val="100"/>
                <w:sz w:val="21"/>
              </w:rPr>
              <w:t>）</w:t>
            </w:r>
            <w:r>
              <w:rPr>
                <w:w w:val="100"/>
                <w:sz w:val="21"/>
              </w:rPr>
              <w:t>；</w:t>
            </w:r>
          </w:p>
          <w:p>
            <w:pPr>
              <w:pStyle w:val="TableParagraph"/>
              <w:spacing w:before="37"/>
              <w:ind w:left="86"/>
              <w:rPr>
                <w:sz w:val="21"/>
              </w:rPr>
            </w:pPr>
            <w:r>
              <w:rPr>
                <w:sz w:val="21"/>
              </w:rPr>
              <w:t>（3）视野半径小于 5 度。</w:t>
            </w:r>
          </w:p>
          <w:p>
            <w:pPr>
              <w:pStyle w:val="TableParagraph"/>
              <w:spacing w:line="285" w:lineRule="auto" w:before="18"/>
              <w:ind w:left="86" w:right="304"/>
              <w:rPr>
                <w:rFonts w:ascii="黑体" w:eastAsia="黑体" w:hint="eastAsia"/>
                <w:sz w:val="21"/>
              </w:rPr>
            </w:pPr>
            <w:r>
              <w:rPr>
                <w:rFonts w:ascii="黑体" w:eastAsia="黑体" w:hint="eastAsia"/>
                <w:spacing w:val="-6"/>
                <w:sz w:val="21"/>
              </w:rPr>
              <w:t>被保险人申请理赔时年龄必须在三周岁以上，并且提供理赔当时的视力丧失诊断及检查证据。</w:t>
            </w:r>
          </w:p>
        </w:tc>
      </w:tr>
      <w:tr>
        <w:trPr>
          <w:trHeight w:val="1181" w:hRule="atLeast"/>
        </w:trPr>
        <w:tc>
          <w:tcPr>
            <w:tcW w:w="1285" w:type="dxa"/>
            <w:shd w:val="clear" w:color="auto" w:fill="CCFFCC"/>
          </w:tcPr>
          <w:p>
            <w:pPr>
              <w:pStyle w:val="TableParagraph"/>
              <w:spacing w:before="92"/>
              <w:ind w:left="200"/>
              <w:rPr>
                <w:b/>
                <w:sz w:val="21"/>
              </w:rPr>
            </w:pPr>
            <w:r>
              <w:rPr>
                <w:b/>
                <w:sz w:val="21"/>
              </w:rPr>
              <w:t>15.瘫痪</w:t>
            </w:r>
          </w:p>
        </w:tc>
        <w:tc>
          <w:tcPr>
            <w:tcW w:w="7929" w:type="dxa"/>
            <w:shd w:val="clear" w:color="auto" w:fill="CCFFCC"/>
          </w:tcPr>
          <w:p>
            <w:pPr>
              <w:pStyle w:val="TableParagraph"/>
              <w:spacing w:line="273" w:lineRule="auto" w:before="111"/>
              <w:ind w:left="86" w:right="303"/>
              <w:jc w:val="both"/>
              <w:rPr>
                <w:sz w:val="21"/>
              </w:rPr>
            </w:pPr>
            <w:r>
              <w:rPr>
                <w:spacing w:val="-6"/>
                <w:sz w:val="21"/>
              </w:rPr>
              <w:t>指因疾病或意外伤害导致两肢或两肢以上肢体机能永久完全丧失。肢体机能永久完</w:t>
            </w:r>
            <w:r>
              <w:rPr>
                <w:spacing w:val="-11"/>
                <w:sz w:val="21"/>
              </w:rPr>
              <w:t>全丧失，指疾病确诊 </w:t>
            </w:r>
            <w:r>
              <w:rPr>
                <w:sz w:val="21"/>
              </w:rPr>
              <w:t>180</w:t>
            </w:r>
            <w:r>
              <w:rPr>
                <w:spacing w:val="-12"/>
                <w:sz w:val="21"/>
              </w:rPr>
              <w:t> 天后或意外伤害发生 </w:t>
            </w:r>
            <w:r>
              <w:rPr>
                <w:sz w:val="21"/>
              </w:rPr>
              <w:t>180</w:t>
            </w:r>
            <w:r>
              <w:rPr>
                <w:spacing w:val="-9"/>
                <w:sz w:val="21"/>
              </w:rPr>
              <w:t> 天后，每肢三大关节中的两大关</w:t>
            </w:r>
            <w:r>
              <w:rPr>
                <w:spacing w:val="-7"/>
                <w:sz w:val="21"/>
              </w:rPr>
              <w:t>节仍然完全僵硬，或不能随意识活动。</w:t>
            </w:r>
          </w:p>
        </w:tc>
      </w:tr>
      <w:tr>
        <w:trPr>
          <w:trHeight w:val="825" w:hRule="atLeast"/>
        </w:trPr>
        <w:tc>
          <w:tcPr>
            <w:tcW w:w="1285" w:type="dxa"/>
            <w:shd w:val="clear" w:color="auto" w:fill="CCFFCC"/>
          </w:tcPr>
          <w:p>
            <w:pPr>
              <w:pStyle w:val="TableParagraph"/>
              <w:spacing w:line="285" w:lineRule="auto" w:before="107"/>
              <w:ind w:left="200" w:right="127"/>
              <w:rPr>
                <w:b/>
                <w:sz w:val="21"/>
              </w:rPr>
            </w:pPr>
            <w:r>
              <w:rPr>
                <w:b/>
                <w:sz w:val="21"/>
              </w:rPr>
              <w:t>16.心脏瓣膜手术</w:t>
            </w:r>
          </w:p>
        </w:tc>
        <w:tc>
          <w:tcPr>
            <w:tcW w:w="7929" w:type="dxa"/>
            <w:shd w:val="clear" w:color="auto" w:fill="CCFFCC"/>
          </w:tcPr>
          <w:p>
            <w:pPr>
              <w:pStyle w:val="TableParagraph"/>
              <w:spacing w:before="107"/>
              <w:ind w:left="86"/>
              <w:rPr>
                <w:sz w:val="21"/>
              </w:rPr>
            </w:pPr>
            <w:r>
              <w:rPr>
                <w:sz w:val="21"/>
              </w:rPr>
              <w:t>指为治疗心脏瓣膜疾病，实际实施了开胸进行的心脏瓣膜置换或修复的手术。</w:t>
            </w:r>
          </w:p>
        </w:tc>
      </w:tr>
      <w:tr>
        <w:trPr>
          <w:trHeight w:val="2117" w:hRule="atLeast"/>
        </w:trPr>
        <w:tc>
          <w:tcPr>
            <w:tcW w:w="1285" w:type="dxa"/>
            <w:shd w:val="clear" w:color="auto" w:fill="CCFFCC"/>
          </w:tcPr>
          <w:p>
            <w:pPr>
              <w:pStyle w:val="TableParagraph"/>
              <w:spacing w:line="288" w:lineRule="auto" w:before="54"/>
              <w:ind w:left="200" w:right="84"/>
              <w:jc w:val="both"/>
              <w:rPr>
                <w:b/>
                <w:sz w:val="21"/>
              </w:rPr>
            </w:pPr>
            <w:r>
              <w:rPr>
                <w:b/>
                <w:sz w:val="21"/>
              </w:rPr>
              <w:t>17.严重阿尔茨海默病</w:t>
            </w:r>
          </w:p>
        </w:tc>
        <w:tc>
          <w:tcPr>
            <w:tcW w:w="7929" w:type="dxa"/>
            <w:shd w:val="clear" w:color="auto" w:fill="CCFFCC"/>
          </w:tcPr>
          <w:p>
            <w:pPr>
              <w:pStyle w:val="TableParagraph"/>
              <w:spacing w:line="285" w:lineRule="auto" w:before="54"/>
              <w:ind w:left="86" w:right="303"/>
              <w:jc w:val="both"/>
              <w:rPr>
                <w:sz w:val="21"/>
              </w:rPr>
            </w:pPr>
            <w:r>
              <w:rPr>
                <w:spacing w:val="-6"/>
                <w:sz w:val="21"/>
              </w:rPr>
              <w:t>指因大脑进行性、不可逆性改变导致智能严重衰退或丧失，临床表现为明显的认知</w:t>
            </w:r>
            <w:r>
              <w:rPr>
                <w:spacing w:val="-8"/>
                <w:sz w:val="21"/>
              </w:rPr>
              <w:t>能力障碍、行为异常和社交能力减退，其日常生活必须持续受到他人监护。须由头</w:t>
            </w:r>
            <w:r>
              <w:rPr>
                <w:spacing w:val="-8"/>
                <w:w w:val="100"/>
                <w:sz w:val="21"/>
              </w:rPr>
              <w:t>颅断层扫描（CT</w:t>
            </w:r>
            <w:r>
              <w:rPr>
                <w:spacing w:val="-101"/>
                <w:w w:val="100"/>
                <w:sz w:val="21"/>
              </w:rPr>
              <w:t>）</w:t>
            </w:r>
            <w:r>
              <w:rPr>
                <w:w w:val="100"/>
                <w:sz w:val="21"/>
              </w:rPr>
              <w:t>、核磁共振检查（MR</w:t>
            </w:r>
            <w:r>
              <w:rPr>
                <w:spacing w:val="3"/>
                <w:w w:val="100"/>
                <w:sz w:val="21"/>
              </w:rPr>
              <w:t>I</w:t>
            </w:r>
            <w:r>
              <w:rPr>
                <w:w w:val="100"/>
                <w:sz w:val="21"/>
              </w:rPr>
              <w:t>）或正电子发射断层扫描</w:t>
            </w:r>
            <w:r>
              <w:rPr>
                <w:spacing w:val="0"/>
                <w:w w:val="100"/>
                <w:sz w:val="21"/>
              </w:rPr>
              <w:t>（</w:t>
            </w:r>
            <w:r>
              <w:rPr>
                <w:w w:val="100"/>
                <w:sz w:val="21"/>
              </w:rPr>
              <w:t>PET</w:t>
            </w:r>
            <w:r>
              <w:rPr>
                <w:spacing w:val="3"/>
                <w:w w:val="100"/>
                <w:sz w:val="21"/>
              </w:rPr>
              <w:t>）</w:t>
            </w:r>
            <w:r>
              <w:rPr>
                <w:w w:val="100"/>
                <w:sz w:val="21"/>
              </w:rPr>
              <w:t>等影像学</w:t>
            </w:r>
            <w:r>
              <w:rPr>
                <w:spacing w:val="-6"/>
                <w:sz w:val="21"/>
              </w:rPr>
              <w:t>检查证实，且自主生活能力完全丧失，无法独立完成六项基本日常生活活动中的三</w:t>
            </w:r>
            <w:r>
              <w:rPr>
                <w:spacing w:val="-5"/>
                <w:sz w:val="21"/>
              </w:rPr>
              <w:t>项或三项以上。</w:t>
            </w:r>
          </w:p>
          <w:p>
            <w:pPr>
              <w:pStyle w:val="TableParagraph"/>
              <w:spacing w:before="12"/>
              <w:ind w:left="86"/>
              <w:jc w:val="both"/>
              <w:rPr>
                <w:rFonts w:ascii="黑体" w:eastAsia="黑体" w:hint="eastAsia"/>
                <w:sz w:val="21"/>
              </w:rPr>
            </w:pPr>
            <w:r>
              <w:rPr>
                <w:rFonts w:ascii="黑体" w:eastAsia="黑体" w:hint="eastAsia"/>
                <w:sz w:val="21"/>
              </w:rPr>
              <w:t>神经官能症和精神疾病不在保障范围内。</w:t>
            </w:r>
          </w:p>
        </w:tc>
      </w:tr>
      <w:tr>
        <w:trPr>
          <w:trHeight w:val="2811" w:hRule="atLeast"/>
        </w:trPr>
        <w:tc>
          <w:tcPr>
            <w:tcW w:w="1285" w:type="dxa"/>
            <w:shd w:val="clear" w:color="auto" w:fill="CCFFCC"/>
          </w:tcPr>
          <w:p>
            <w:pPr>
              <w:pStyle w:val="TableParagraph"/>
              <w:spacing w:line="285" w:lineRule="auto" w:before="87"/>
              <w:ind w:left="200" w:right="127"/>
              <w:rPr>
                <w:b/>
                <w:sz w:val="21"/>
              </w:rPr>
            </w:pPr>
            <w:r>
              <w:rPr>
                <w:b/>
                <w:sz w:val="21"/>
              </w:rPr>
              <w:t>18.严重脑损伤</w:t>
            </w:r>
          </w:p>
        </w:tc>
        <w:tc>
          <w:tcPr>
            <w:tcW w:w="7929" w:type="dxa"/>
            <w:shd w:val="clear" w:color="auto" w:fill="CCFFCC"/>
          </w:tcPr>
          <w:p>
            <w:pPr>
              <w:pStyle w:val="TableParagraph"/>
              <w:spacing w:line="285" w:lineRule="auto" w:before="87"/>
              <w:ind w:left="86" w:right="199"/>
              <w:rPr>
                <w:sz w:val="21"/>
              </w:rPr>
            </w:pPr>
            <w:r>
              <w:rPr>
                <w:spacing w:val="-11"/>
                <w:sz w:val="21"/>
              </w:rPr>
              <w:t>指因头部遭受机械性外力，引起脑重要部位损伤，导致神经系统永久性的功能障碍。</w:t>
            </w:r>
            <w:r>
              <w:rPr>
                <w:spacing w:val="-8"/>
                <w:w w:val="100"/>
                <w:sz w:val="21"/>
              </w:rPr>
              <w:t>须由头颅断层扫描</w:t>
            </w:r>
            <w:r>
              <w:rPr>
                <w:w w:val="100"/>
                <w:sz w:val="21"/>
              </w:rPr>
              <w:t>（CT</w:t>
            </w:r>
            <w:r>
              <w:rPr>
                <w:spacing w:val="-101"/>
                <w:w w:val="100"/>
                <w:sz w:val="21"/>
              </w:rPr>
              <w:t>）</w:t>
            </w:r>
            <w:r>
              <w:rPr>
                <w:w w:val="100"/>
                <w:sz w:val="21"/>
              </w:rPr>
              <w:t>、核磁共振检查（MRI）或正电子发射断层扫描</w:t>
            </w:r>
            <w:r>
              <w:rPr>
                <w:spacing w:val="0"/>
                <w:w w:val="100"/>
                <w:sz w:val="21"/>
              </w:rPr>
              <w:t>（</w:t>
            </w:r>
            <w:r>
              <w:rPr>
                <w:w w:val="100"/>
                <w:sz w:val="21"/>
              </w:rPr>
              <w:t>PET）等</w:t>
            </w:r>
            <w:r>
              <w:rPr>
                <w:spacing w:val="-8"/>
                <w:sz w:val="21"/>
              </w:rPr>
              <w:t>影像学检查证实。神经系统永久性的功能障碍，指脑损伤 </w:t>
            </w:r>
            <w:r>
              <w:rPr>
                <w:sz w:val="21"/>
              </w:rPr>
              <w:t>180</w:t>
            </w:r>
            <w:r>
              <w:rPr>
                <w:spacing w:val="-8"/>
                <w:sz w:val="21"/>
              </w:rPr>
              <w:t> 天后，仍遗留下列一</w:t>
            </w:r>
            <w:r>
              <w:rPr>
                <w:spacing w:val="-6"/>
                <w:sz w:val="21"/>
              </w:rPr>
              <w:t>种或一种以上障碍：</w:t>
            </w:r>
          </w:p>
          <w:p>
            <w:pPr>
              <w:pStyle w:val="TableParagraph"/>
              <w:spacing w:before="30"/>
              <w:ind w:left="86"/>
              <w:rPr>
                <w:sz w:val="21"/>
              </w:rPr>
            </w:pPr>
            <w:r>
              <w:rPr>
                <w:sz w:val="21"/>
              </w:rPr>
              <w:t>（1）一肢或一肢以上肢体机能完全丧失；</w:t>
            </w:r>
          </w:p>
          <w:p>
            <w:pPr>
              <w:pStyle w:val="TableParagraph"/>
              <w:spacing w:before="36"/>
              <w:ind w:left="86"/>
              <w:rPr>
                <w:sz w:val="21"/>
              </w:rPr>
            </w:pPr>
            <w:r>
              <w:rPr>
                <w:sz w:val="21"/>
              </w:rPr>
              <w:t>（2）语言能力或咀嚼吞咽能力完全丧失；</w:t>
            </w:r>
          </w:p>
          <w:p>
            <w:pPr>
              <w:pStyle w:val="TableParagraph"/>
              <w:spacing w:line="273" w:lineRule="auto" w:before="37"/>
              <w:ind w:left="86" w:right="381"/>
              <w:rPr>
                <w:sz w:val="21"/>
              </w:rPr>
            </w:pPr>
            <w:r>
              <w:rPr>
                <w:sz w:val="21"/>
              </w:rPr>
              <w:t>（3）自主生活能力完全丧失，无法独立完成六项基本日常生活活动中的三项或三项以上。</w:t>
            </w:r>
          </w:p>
        </w:tc>
      </w:tr>
      <w:tr>
        <w:trPr>
          <w:trHeight w:val="1690" w:hRule="atLeast"/>
        </w:trPr>
        <w:tc>
          <w:tcPr>
            <w:tcW w:w="1285" w:type="dxa"/>
            <w:shd w:val="clear" w:color="auto" w:fill="CCFFCC"/>
          </w:tcPr>
          <w:p>
            <w:pPr>
              <w:pStyle w:val="TableParagraph"/>
              <w:spacing w:line="285" w:lineRule="auto" w:before="118"/>
              <w:ind w:left="200" w:right="127"/>
              <w:rPr>
                <w:b/>
                <w:sz w:val="21"/>
              </w:rPr>
            </w:pPr>
            <w:r>
              <w:rPr>
                <w:b/>
                <w:sz w:val="21"/>
              </w:rPr>
              <w:t>19.严重帕金森病</w:t>
            </w:r>
          </w:p>
        </w:tc>
        <w:tc>
          <w:tcPr>
            <w:tcW w:w="7929" w:type="dxa"/>
            <w:shd w:val="clear" w:color="auto" w:fill="CCFFCC"/>
          </w:tcPr>
          <w:p>
            <w:pPr>
              <w:pStyle w:val="TableParagraph"/>
              <w:spacing w:line="285" w:lineRule="auto" w:before="118"/>
              <w:ind w:left="86" w:right="309"/>
              <w:rPr>
                <w:sz w:val="21"/>
              </w:rPr>
            </w:pPr>
            <w:r>
              <w:rPr>
                <w:spacing w:val="-7"/>
                <w:sz w:val="21"/>
              </w:rPr>
              <w:t>是一种中枢神经系统的退行性疾病，临床表现为震颤麻痹、共济失调等。须满足下</w:t>
            </w:r>
            <w:r>
              <w:rPr>
                <w:spacing w:val="-6"/>
                <w:sz w:val="21"/>
              </w:rPr>
              <w:t>列全部条件：</w:t>
            </w:r>
          </w:p>
          <w:p>
            <w:pPr>
              <w:pStyle w:val="TableParagraph"/>
              <w:spacing w:before="30"/>
              <w:ind w:left="86"/>
              <w:rPr>
                <w:sz w:val="21"/>
              </w:rPr>
            </w:pPr>
            <w:r>
              <w:rPr>
                <w:sz w:val="21"/>
              </w:rPr>
              <w:t>（1）药物治疗无法控制病情；</w:t>
            </w:r>
          </w:p>
          <w:p>
            <w:pPr>
              <w:pStyle w:val="TableParagraph"/>
              <w:spacing w:line="310" w:lineRule="atLeast" w:before="2"/>
              <w:ind w:left="86" w:right="381"/>
              <w:rPr>
                <w:sz w:val="21"/>
              </w:rPr>
            </w:pPr>
            <w:r>
              <w:rPr>
                <w:sz w:val="21"/>
              </w:rPr>
              <w:t>（2）自主生活能力完全丧失，无法独立完成六项基本日常生活活动中的三项或三项以上。</w:t>
            </w:r>
          </w:p>
        </w:tc>
      </w:tr>
    </w:tbl>
    <w:p>
      <w:pPr>
        <w:spacing w:after="0" w:line="310" w:lineRule="atLeast"/>
        <w:rPr>
          <w:sz w:val="21"/>
        </w:rPr>
        <w:sectPr>
          <w:headerReference w:type="default" r:id="rId15"/>
          <w:pgSz w:w="11910" w:h="16840"/>
          <w:pgMar w:header="0" w:footer="377" w:top="0" w:bottom="560" w:left="1680" w:right="7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450"/>
        <w:gridCol w:w="7938"/>
      </w:tblGrid>
      <w:tr>
        <w:trPr>
          <w:trHeight w:val="352" w:hRule="atLeast"/>
        </w:trPr>
        <w:tc>
          <w:tcPr>
            <w:tcW w:w="889" w:type="dxa"/>
            <w:shd w:val="clear" w:color="auto" w:fill="CCFFCC"/>
          </w:tcPr>
          <w:p>
            <w:pPr>
              <w:pStyle w:val="TableParagraph"/>
              <w:ind w:left="0"/>
              <w:rPr>
                <w:rFonts w:ascii="Times New Roman"/>
                <w:sz w:val="20"/>
              </w:rPr>
            </w:pPr>
          </w:p>
        </w:tc>
        <w:tc>
          <w:tcPr>
            <w:tcW w:w="1450" w:type="dxa"/>
            <w:shd w:val="clear" w:color="auto" w:fill="CCFFCC"/>
          </w:tcPr>
          <w:p>
            <w:pPr>
              <w:pStyle w:val="TableParagraph"/>
              <w:ind w:left="0"/>
              <w:rPr>
                <w:rFonts w:ascii="Times New Roman"/>
                <w:sz w:val="20"/>
              </w:rPr>
            </w:pPr>
          </w:p>
        </w:tc>
        <w:tc>
          <w:tcPr>
            <w:tcW w:w="7938" w:type="dxa"/>
            <w:shd w:val="clear" w:color="auto" w:fill="CCFFCC"/>
          </w:tcPr>
          <w:p>
            <w:pPr>
              <w:pStyle w:val="TableParagraph"/>
              <w:spacing w:line="211" w:lineRule="exact"/>
              <w:ind w:left="93"/>
              <w:rPr>
                <w:rFonts w:ascii="黑体" w:eastAsia="黑体" w:hint="eastAsia"/>
                <w:sz w:val="21"/>
              </w:rPr>
            </w:pPr>
            <w:r>
              <w:rPr>
                <w:rFonts w:ascii="黑体" w:eastAsia="黑体" w:hint="eastAsia"/>
                <w:sz w:val="21"/>
              </w:rPr>
              <w:t>继发性帕金森综合征不在保障范围内。</w:t>
            </w:r>
          </w:p>
        </w:tc>
      </w:tr>
      <w:tr>
        <w:trPr>
          <w:trHeight w:val="878" w:hRule="atLeast"/>
        </w:trPr>
        <w:tc>
          <w:tcPr>
            <w:tcW w:w="889" w:type="dxa"/>
            <w:shd w:val="clear" w:color="auto" w:fill="CCFFCC"/>
          </w:tcPr>
          <w:p>
            <w:pPr>
              <w:pStyle w:val="TableParagraph"/>
              <w:ind w:left="0"/>
              <w:rPr>
                <w:rFonts w:ascii="Times New Roman"/>
                <w:sz w:val="20"/>
              </w:rPr>
            </w:pPr>
          </w:p>
        </w:tc>
        <w:tc>
          <w:tcPr>
            <w:tcW w:w="1450" w:type="dxa"/>
            <w:shd w:val="clear" w:color="auto" w:fill="CCFFCC"/>
          </w:tcPr>
          <w:p>
            <w:pPr>
              <w:pStyle w:val="TableParagraph"/>
              <w:spacing w:line="285" w:lineRule="auto" w:before="78"/>
              <w:ind w:right="120"/>
              <w:rPr>
                <w:b/>
                <w:sz w:val="21"/>
              </w:rPr>
            </w:pPr>
            <w:r>
              <w:rPr>
                <w:b/>
                <w:sz w:val="21"/>
              </w:rPr>
              <w:t>20.严重</w:t>
            </w:r>
            <w:r>
              <w:rPr>
                <w:rFonts w:ascii="宋体" w:hAnsi="宋体" w:eastAsia="宋体" w:hint="eastAsia"/>
                <w:b/>
                <w:sz w:val="21"/>
              </w:rPr>
              <w:t>Ⅲ </w:t>
            </w:r>
            <w:r>
              <w:rPr>
                <w:b/>
                <w:sz w:val="21"/>
              </w:rPr>
              <w:t>度烧伤</w:t>
            </w:r>
          </w:p>
        </w:tc>
        <w:tc>
          <w:tcPr>
            <w:tcW w:w="7938" w:type="dxa"/>
            <w:shd w:val="clear" w:color="auto" w:fill="CCFFCC"/>
          </w:tcPr>
          <w:p>
            <w:pPr>
              <w:pStyle w:val="TableParagraph"/>
              <w:spacing w:line="285" w:lineRule="auto" w:before="78"/>
              <w:ind w:left="93" w:right="256"/>
              <w:rPr>
                <w:sz w:val="21"/>
              </w:rPr>
            </w:pPr>
            <w:r>
              <w:rPr>
                <w:sz w:val="21"/>
              </w:rPr>
              <w:t>指烧伤程度为Ⅲ度，且Ⅲ度烧伤的面积达到全身体表面积的 20％或 20％以上。体表面积根据《中国新九分法》计算。</w:t>
            </w:r>
          </w:p>
        </w:tc>
      </w:tr>
      <w:tr>
        <w:trPr>
          <w:trHeight w:val="1238" w:hRule="atLeast"/>
        </w:trPr>
        <w:tc>
          <w:tcPr>
            <w:tcW w:w="889" w:type="dxa"/>
            <w:shd w:val="clear" w:color="auto" w:fill="CCFFCC"/>
          </w:tcPr>
          <w:p>
            <w:pPr>
              <w:pStyle w:val="TableParagraph"/>
              <w:ind w:left="0"/>
              <w:rPr>
                <w:rFonts w:ascii="Times New Roman"/>
                <w:sz w:val="20"/>
              </w:rPr>
            </w:pPr>
          </w:p>
        </w:tc>
        <w:tc>
          <w:tcPr>
            <w:tcW w:w="1450" w:type="dxa"/>
            <w:shd w:val="clear" w:color="auto" w:fill="CCFFCC"/>
          </w:tcPr>
          <w:p>
            <w:pPr>
              <w:pStyle w:val="TableParagraph"/>
              <w:spacing w:line="285" w:lineRule="auto" w:before="135"/>
              <w:ind w:right="77"/>
              <w:jc w:val="both"/>
              <w:rPr>
                <w:b/>
                <w:sz w:val="21"/>
              </w:rPr>
            </w:pPr>
            <w:r>
              <w:rPr>
                <w:b/>
                <w:sz w:val="21"/>
              </w:rPr>
              <w:t>21.严重原发性肺动脉高压</w:t>
            </w:r>
          </w:p>
        </w:tc>
        <w:tc>
          <w:tcPr>
            <w:tcW w:w="7938" w:type="dxa"/>
            <w:shd w:val="clear" w:color="auto" w:fill="CCFFCC"/>
          </w:tcPr>
          <w:p>
            <w:pPr>
              <w:pStyle w:val="TableParagraph"/>
              <w:spacing w:line="285" w:lineRule="auto" w:before="135"/>
              <w:ind w:left="93" w:right="198"/>
              <w:rPr>
                <w:sz w:val="21"/>
              </w:rPr>
            </w:pPr>
            <w:r>
              <w:rPr>
                <w:spacing w:val="-6"/>
                <w:sz w:val="21"/>
              </w:rPr>
              <w:t>指不明原因的肺动脉压力持续性增高，进行性发展而导致的慢性疾病，已经造成永</w:t>
            </w:r>
            <w:r>
              <w:rPr>
                <w:spacing w:val="-8"/>
                <w:sz w:val="21"/>
              </w:rPr>
              <w:t>久不可逆性的体力活动能力受限，达到美国纽约心脏病学会心功能状态分级 </w:t>
            </w:r>
            <w:r>
              <w:rPr>
                <w:sz w:val="21"/>
              </w:rPr>
              <w:t>IV</w:t>
            </w:r>
            <w:r>
              <w:rPr>
                <w:spacing w:val="-12"/>
                <w:sz w:val="21"/>
              </w:rPr>
              <w:t> 级， </w:t>
            </w:r>
            <w:r>
              <w:rPr>
                <w:spacing w:val="-10"/>
                <w:sz w:val="21"/>
              </w:rPr>
              <w:t>且静息状态下肺动脉平均压超过 </w:t>
            </w:r>
            <w:r>
              <w:rPr>
                <w:sz w:val="21"/>
              </w:rPr>
              <w:t>30mmHg。</w:t>
            </w:r>
          </w:p>
        </w:tc>
      </w:tr>
      <w:tr>
        <w:trPr>
          <w:trHeight w:val="1289" w:hRule="atLeast"/>
        </w:trPr>
        <w:tc>
          <w:tcPr>
            <w:tcW w:w="889" w:type="dxa"/>
            <w:shd w:val="clear" w:color="auto" w:fill="CCFFCC"/>
          </w:tcPr>
          <w:p>
            <w:pPr>
              <w:pStyle w:val="TableParagraph"/>
              <w:ind w:left="0"/>
              <w:rPr>
                <w:rFonts w:ascii="Times New Roman"/>
                <w:sz w:val="20"/>
              </w:rPr>
            </w:pPr>
          </w:p>
        </w:tc>
        <w:tc>
          <w:tcPr>
            <w:tcW w:w="1450" w:type="dxa"/>
            <w:shd w:val="clear" w:color="auto" w:fill="CCFFCC"/>
          </w:tcPr>
          <w:p>
            <w:pPr>
              <w:pStyle w:val="TableParagraph"/>
              <w:spacing w:line="285" w:lineRule="auto" w:before="111"/>
              <w:ind w:right="77"/>
              <w:jc w:val="both"/>
              <w:rPr>
                <w:b/>
                <w:sz w:val="21"/>
              </w:rPr>
            </w:pPr>
            <w:r>
              <w:rPr>
                <w:b/>
                <w:sz w:val="21"/>
              </w:rPr>
              <w:t>22.严重运动神经元病</w:t>
            </w:r>
          </w:p>
        </w:tc>
        <w:tc>
          <w:tcPr>
            <w:tcW w:w="7938" w:type="dxa"/>
            <w:shd w:val="clear" w:color="auto" w:fill="CCFFCC"/>
          </w:tcPr>
          <w:p>
            <w:pPr>
              <w:pStyle w:val="TableParagraph"/>
              <w:spacing w:line="285" w:lineRule="auto" w:before="111"/>
              <w:ind w:left="93" w:right="305"/>
              <w:jc w:val="both"/>
              <w:rPr>
                <w:sz w:val="21"/>
              </w:rPr>
            </w:pPr>
            <w:r>
              <w:rPr>
                <w:spacing w:val="-7"/>
                <w:sz w:val="21"/>
              </w:rPr>
              <w:t>是一组中枢神经系统运动神经元的进行性变性疾病，包括进行性脊肌萎缩症、进行</w:t>
            </w:r>
            <w:r>
              <w:rPr>
                <w:spacing w:val="-9"/>
                <w:sz w:val="21"/>
              </w:rPr>
              <w:t>性延髓麻痹症、原发性侧索硬化症、肌萎缩性侧索硬化症。须满足自主生活能力完</w:t>
            </w:r>
            <w:r>
              <w:rPr>
                <w:spacing w:val="-7"/>
                <w:sz w:val="21"/>
              </w:rPr>
              <w:t>全丧失，无法独立完成六项基本日常生活活动中的三项或三项以上的条件。</w:t>
            </w:r>
          </w:p>
        </w:tc>
      </w:tr>
      <w:tr>
        <w:trPr>
          <w:trHeight w:val="2090" w:hRule="atLeast"/>
        </w:trPr>
        <w:tc>
          <w:tcPr>
            <w:tcW w:w="889" w:type="dxa"/>
            <w:shd w:val="clear" w:color="auto" w:fill="CCFFCC"/>
          </w:tcPr>
          <w:p>
            <w:pPr>
              <w:pStyle w:val="TableParagraph"/>
              <w:ind w:left="0"/>
              <w:rPr>
                <w:rFonts w:ascii="Times New Roman"/>
                <w:sz w:val="20"/>
              </w:rPr>
            </w:pPr>
          </w:p>
        </w:tc>
        <w:tc>
          <w:tcPr>
            <w:tcW w:w="1450" w:type="dxa"/>
            <w:shd w:val="clear" w:color="auto" w:fill="CCFFCC"/>
          </w:tcPr>
          <w:p>
            <w:pPr>
              <w:pStyle w:val="TableParagraph"/>
              <w:spacing w:before="1"/>
              <w:ind w:left="0"/>
              <w:rPr>
                <w:rFonts w:ascii="Times New Roman"/>
                <w:sz w:val="16"/>
              </w:rPr>
            </w:pPr>
          </w:p>
          <w:p>
            <w:pPr>
              <w:pStyle w:val="TableParagraph"/>
              <w:spacing w:line="326" w:lineRule="auto" w:before="1"/>
              <w:ind w:right="125"/>
              <w:rPr>
                <w:b/>
                <w:sz w:val="21"/>
              </w:rPr>
            </w:pPr>
            <w:r>
              <w:rPr>
                <w:b/>
                <w:sz w:val="21"/>
              </w:rPr>
              <w:t>23.语言能力丧失</w:t>
            </w:r>
          </w:p>
        </w:tc>
        <w:tc>
          <w:tcPr>
            <w:tcW w:w="7938" w:type="dxa"/>
            <w:shd w:val="clear" w:color="auto" w:fill="CCFFCC"/>
          </w:tcPr>
          <w:p>
            <w:pPr>
              <w:pStyle w:val="TableParagraph"/>
              <w:spacing w:before="1"/>
              <w:ind w:left="0"/>
              <w:rPr>
                <w:rFonts w:ascii="Times New Roman"/>
                <w:sz w:val="16"/>
              </w:rPr>
            </w:pPr>
          </w:p>
          <w:p>
            <w:pPr>
              <w:pStyle w:val="TableParagraph"/>
              <w:spacing w:line="326" w:lineRule="auto" w:before="1"/>
              <w:ind w:left="93" w:right="380"/>
              <w:rPr>
                <w:sz w:val="21"/>
              </w:rPr>
            </w:pPr>
            <w:r>
              <w:rPr>
                <w:spacing w:val="-6"/>
                <w:sz w:val="21"/>
              </w:rPr>
              <w:t>指因疾病或意外伤害导致完全丧失语言能力，经过积极治疗至少 </w:t>
            </w:r>
            <w:r>
              <w:rPr>
                <w:spacing w:val="-3"/>
                <w:sz w:val="21"/>
              </w:rPr>
              <w:t>12</w:t>
            </w:r>
            <w:r>
              <w:rPr>
                <w:spacing w:val="-11"/>
                <w:sz w:val="21"/>
              </w:rPr>
              <w:t> 个月</w:t>
            </w:r>
            <w:r>
              <w:rPr>
                <w:spacing w:val="-5"/>
                <w:sz w:val="21"/>
              </w:rPr>
              <w:t>（</w:t>
            </w:r>
            <w:r>
              <w:rPr>
                <w:sz w:val="21"/>
              </w:rPr>
              <w:t>声带完</w:t>
            </w:r>
            <w:r>
              <w:rPr>
                <w:spacing w:val="-2"/>
                <w:w w:val="100"/>
                <w:sz w:val="21"/>
              </w:rPr>
              <w:t>全切除不受此时间限制</w:t>
            </w:r>
            <w:r>
              <w:rPr>
                <w:spacing w:val="-106"/>
                <w:w w:val="100"/>
                <w:sz w:val="21"/>
              </w:rPr>
              <w:t>）</w:t>
            </w:r>
            <w:r>
              <w:rPr>
                <w:spacing w:val="-5"/>
                <w:w w:val="100"/>
                <w:sz w:val="21"/>
              </w:rPr>
              <w:t>，仍无法通过现有医疗手段恢复。</w:t>
            </w:r>
          </w:p>
          <w:p>
            <w:pPr>
              <w:pStyle w:val="TableParagraph"/>
              <w:spacing w:before="24"/>
              <w:ind w:left="93"/>
              <w:rPr>
                <w:rFonts w:ascii="黑体" w:eastAsia="黑体" w:hint="eastAsia"/>
                <w:sz w:val="21"/>
              </w:rPr>
            </w:pPr>
            <w:r>
              <w:rPr>
                <w:rFonts w:ascii="黑体" w:eastAsia="黑体" w:hint="eastAsia"/>
                <w:sz w:val="21"/>
              </w:rPr>
              <w:t>精神心理因素所致的语言能力丧失不在保障范围内。</w:t>
            </w:r>
          </w:p>
          <w:p>
            <w:pPr>
              <w:pStyle w:val="TableParagraph"/>
              <w:spacing w:line="285" w:lineRule="auto" w:before="46"/>
              <w:ind w:left="93" w:right="306"/>
              <w:rPr>
                <w:rFonts w:ascii="黑体" w:eastAsia="黑体" w:hint="eastAsia"/>
                <w:sz w:val="21"/>
              </w:rPr>
            </w:pPr>
            <w:r>
              <w:rPr>
                <w:rFonts w:ascii="黑体" w:eastAsia="黑体" w:hint="eastAsia"/>
                <w:spacing w:val="-6"/>
                <w:sz w:val="21"/>
              </w:rPr>
              <w:t>被保险人申请理赔时年龄必须在三周岁以上，并且提供理赔当时的语言能力丧失诊</w:t>
            </w:r>
            <w:r>
              <w:rPr>
                <w:rFonts w:ascii="黑体" w:eastAsia="黑体" w:hint="eastAsia"/>
                <w:spacing w:val="-5"/>
                <w:sz w:val="21"/>
              </w:rPr>
              <w:t>断及检查证据。</w:t>
            </w:r>
          </w:p>
        </w:tc>
      </w:tr>
      <w:tr>
        <w:trPr>
          <w:trHeight w:val="2806" w:hRule="atLeast"/>
        </w:trPr>
        <w:tc>
          <w:tcPr>
            <w:tcW w:w="889" w:type="dxa"/>
            <w:shd w:val="clear" w:color="auto" w:fill="CCFFCC"/>
          </w:tcPr>
          <w:p>
            <w:pPr>
              <w:pStyle w:val="TableParagraph"/>
              <w:ind w:left="0"/>
              <w:rPr>
                <w:rFonts w:ascii="Times New Roman"/>
                <w:sz w:val="20"/>
              </w:rPr>
            </w:pPr>
          </w:p>
        </w:tc>
        <w:tc>
          <w:tcPr>
            <w:tcW w:w="1450" w:type="dxa"/>
            <w:shd w:val="clear" w:color="auto" w:fill="CCFFCC"/>
          </w:tcPr>
          <w:p>
            <w:pPr>
              <w:pStyle w:val="TableParagraph"/>
              <w:spacing w:before="3"/>
              <w:ind w:left="0"/>
              <w:rPr>
                <w:rFonts w:ascii="Times New Roman"/>
                <w:sz w:val="19"/>
              </w:rPr>
            </w:pPr>
          </w:p>
          <w:p>
            <w:pPr>
              <w:pStyle w:val="TableParagraph"/>
              <w:spacing w:line="326" w:lineRule="auto"/>
              <w:ind w:right="125"/>
              <w:rPr>
                <w:b/>
                <w:sz w:val="21"/>
              </w:rPr>
            </w:pPr>
            <w:r>
              <w:rPr>
                <w:b/>
                <w:sz w:val="21"/>
              </w:rPr>
              <w:t>24.重型再生障碍性贫血</w:t>
            </w:r>
          </w:p>
        </w:tc>
        <w:tc>
          <w:tcPr>
            <w:tcW w:w="7938" w:type="dxa"/>
            <w:shd w:val="clear" w:color="auto" w:fill="CCFFCC"/>
          </w:tcPr>
          <w:p>
            <w:pPr>
              <w:pStyle w:val="TableParagraph"/>
              <w:spacing w:line="285" w:lineRule="auto" w:before="169"/>
              <w:ind w:left="93" w:right="306"/>
              <w:rPr>
                <w:sz w:val="21"/>
              </w:rPr>
            </w:pPr>
            <w:r>
              <w:rPr>
                <w:spacing w:val="-7"/>
                <w:sz w:val="21"/>
              </w:rPr>
              <w:t>指因骨髓造血功能慢性持续性衰竭导致的贫血、中性粒细胞减少及血小板减少。须</w:t>
            </w:r>
            <w:r>
              <w:rPr>
                <w:spacing w:val="-6"/>
                <w:sz w:val="21"/>
              </w:rPr>
              <w:t>满足下列全部条件：</w:t>
            </w:r>
          </w:p>
          <w:p>
            <w:pPr>
              <w:pStyle w:val="TableParagraph"/>
              <w:spacing w:before="7"/>
              <w:ind w:left="79"/>
              <w:rPr>
                <w:sz w:val="21"/>
              </w:rPr>
            </w:pPr>
            <w:r>
              <w:rPr>
                <w:sz w:val="21"/>
              </w:rPr>
              <w:t>（1）骨髓穿刺检查或骨髓活检结果支持诊断；</w:t>
            </w:r>
          </w:p>
          <w:p>
            <w:pPr>
              <w:pStyle w:val="TableParagraph"/>
              <w:spacing w:before="22"/>
              <w:ind w:left="93"/>
              <w:rPr>
                <w:sz w:val="21"/>
              </w:rPr>
            </w:pPr>
            <w:r>
              <w:rPr>
                <w:sz w:val="21"/>
              </w:rPr>
              <w:t>（2）外周血象须具备以下三项条件：</w:t>
            </w:r>
          </w:p>
          <w:p>
            <w:pPr>
              <w:pStyle w:val="TableParagraph"/>
              <w:spacing w:before="10"/>
              <w:ind w:left="0"/>
              <w:rPr>
                <w:rFonts w:ascii="Times New Roman"/>
                <w:sz w:val="18"/>
              </w:rPr>
            </w:pPr>
          </w:p>
          <w:p>
            <w:pPr>
              <w:pStyle w:val="TableParagraph"/>
              <w:ind w:left="305"/>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before="127"/>
              <w:ind w:left="305"/>
              <w:rPr>
                <w:sz w:val="21"/>
              </w:rPr>
            </w:pPr>
            <w:r>
              <w:rPr>
                <w:sz w:val="21"/>
              </w:rPr>
              <w:t>② 网织红细胞＜1%；</w:t>
            </w:r>
          </w:p>
          <w:p>
            <w:pPr>
              <w:pStyle w:val="TableParagraph"/>
              <w:spacing w:before="102"/>
              <w:ind w:left="305"/>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473" w:hRule="atLeast"/>
        </w:trPr>
        <w:tc>
          <w:tcPr>
            <w:tcW w:w="889" w:type="dxa"/>
            <w:shd w:val="clear" w:color="auto" w:fill="CCFFCC"/>
          </w:tcPr>
          <w:p>
            <w:pPr>
              <w:pStyle w:val="TableParagraph"/>
              <w:ind w:left="0"/>
              <w:rPr>
                <w:rFonts w:ascii="Times New Roman"/>
                <w:sz w:val="20"/>
              </w:rPr>
            </w:pPr>
          </w:p>
        </w:tc>
        <w:tc>
          <w:tcPr>
            <w:tcW w:w="1450" w:type="dxa"/>
            <w:shd w:val="clear" w:color="auto" w:fill="CCFFCC"/>
          </w:tcPr>
          <w:p>
            <w:pPr>
              <w:pStyle w:val="TableParagraph"/>
              <w:spacing w:line="285" w:lineRule="auto" w:before="61"/>
              <w:ind w:right="120"/>
              <w:rPr>
                <w:b/>
                <w:sz w:val="21"/>
              </w:rPr>
            </w:pPr>
            <w:r>
              <w:rPr>
                <w:b/>
                <w:sz w:val="21"/>
              </w:rPr>
              <w:t>25.主动脉手术</w:t>
            </w:r>
          </w:p>
        </w:tc>
        <w:tc>
          <w:tcPr>
            <w:tcW w:w="7938" w:type="dxa"/>
            <w:shd w:val="clear" w:color="auto" w:fill="CCFFCC"/>
          </w:tcPr>
          <w:p>
            <w:pPr>
              <w:pStyle w:val="TableParagraph"/>
              <w:spacing w:line="288" w:lineRule="auto" w:before="61"/>
              <w:ind w:left="93" w:right="306"/>
              <w:jc w:val="both"/>
              <w:rPr>
                <w:sz w:val="21"/>
              </w:rPr>
            </w:pPr>
            <w:r>
              <w:rPr>
                <w:spacing w:val="-7"/>
                <w:sz w:val="21"/>
              </w:rPr>
              <w:t>指为治疗主动脉疾病，实际实施了开胸或开腹进行的切除、置换、修补病损主动脉</w:t>
            </w:r>
            <w:r>
              <w:rPr>
                <w:spacing w:val="-8"/>
                <w:sz w:val="21"/>
              </w:rPr>
              <w:t>血管的手术。主动脉指胸主动脉和腹主动脉，不包括胸主动脉和腹主动脉的分支血管。</w:t>
            </w:r>
          </w:p>
          <w:p>
            <w:pPr>
              <w:pStyle w:val="TableParagraph"/>
              <w:spacing w:before="9"/>
              <w:ind w:left="93"/>
              <w:jc w:val="both"/>
              <w:rPr>
                <w:rFonts w:ascii="黑体" w:eastAsia="黑体" w:hint="eastAsia"/>
                <w:sz w:val="21"/>
              </w:rPr>
            </w:pPr>
            <w:r>
              <w:rPr>
                <w:rFonts w:ascii="黑体" w:eastAsia="黑体" w:hint="eastAsia"/>
                <w:sz w:val="21"/>
              </w:rPr>
              <w:t>动脉内血管成形术不在保障范围内。</w:t>
            </w:r>
          </w:p>
        </w:tc>
      </w:tr>
      <w:tr>
        <w:trPr>
          <w:trHeight w:val="919" w:hRule="atLeast"/>
        </w:trPr>
        <w:tc>
          <w:tcPr>
            <w:tcW w:w="889" w:type="dxa"/>
            <w:shd w:val="clear" w:color="auto" w:fill="CCFFCC"/>
          </w:tcPr>
          <w:p>
            <w:pPr>
              <w:pStyle w:val="TableParagraph"/>
              <w:spacing w:before="123"/>
              <w:ind w:left="200"/>
              <w:rPr>
                <w:b/>
                <w:sz w:val="21"/>
              </w:rPr>
            </w:pPr>
            <w:r>
              <w:rPr>
                <w:b/>
                <w:sz w:val="21"/>
              </w:rPr>
              <w:t>8.6</w:t>
            </w:r>
          </w:p>
        </w:tc>
        <w:tc>
          <w:tcPr>
            <w:tcW w:w="1450" w:type="dxa"/>
            <w:shd w:val="clear" w:color="auto" w:fill="CCFFCC"/>
          </w:tcPr>
          <w:p>
            <w:pPr>
              <w:pStyle w:val="TableParagraph"/>
              <w:spacing w:before="90"/>
              <w:rPr>
                <w:b/>
                <w:sz w:val="21"/>
              </w:rPr>
            </w:pPr>
            <w:r>
              <w:rPr>
                <w:b/>
                <w:sz w:val="21"/>
              </w:rPr>
              <w:t>周岁</w:t>
            </w:r>
          </w:p>
        </w:tc>
        <w:tc>
          <w:tcPr>
            <w:tcW w:w="7938" w:type="dxa"/>
            <w:shd w:val="clear" w:color="auto" w:fill="CCFFCC"/>
          </w:tcPr>
          <w:p>
            <w:pPr>
              <w:pStyle w:val="TableParagraph"/>
              <w:spacing w:line="326" w:lineRule="auto" w:before="123"/>
              <w:ind w:left="93" w:right="306"/>
              <w:rPr>
                <w:sz w:val="21"/>
              </w:rPr>
            </w:pPr>
            <w:r>
              <w:rPr>
                <w:spacing w:val="-7"/>
                <w:sz w:val="21"/>
              </w:rPr>
              <w:t>指按有效身份证件中记载的出生日期计算的年龄，自出生之日起为零周岁，每经过</w:t>
            </w:r>
            <w:r>
              <w:rPr>
                <w:spacing w:val="-6"/>
                <w:sz w:val="21"/>
              </w:rPr>
              <w:t>一年增加一岁，不足一年的不计。</w:t>
            </w:r>
          </w:p>
        </w:tc>
      </w:tr>
      <w:tr>
        <w:trPr>
          <w:trHeight w:val="1212" w:hRule="atLeast"/>
        </w:trPr>
        <w:tc>
          <w:tcPr>
            <w:tcW w:w="889" w:type="dxa"/>
            <w:shd w:val="clear" w:color="auto" w:fill="CCFFCC"/>
          </w:tcPr>
          <w:p>
            <w:pPr>
              <w:pStyle w:val="TableParagraph"/>
              <w:spacing w:before="116"/>
              <w:ind w:left="200"/>
              <w:rPr>
                <w:b/>
                <w:sz w:val="21"/>
              </w:rPr>
            </w:pPr>
            <w:r>
              <w:rPr>
                <w:b/>
                <w:sz w:val="21"/>
              </w:rPr>
              <w:t>8.7</w:t>
            </w:r>
          </w:p>
        </w:tc>
        <w:tc>
          <w:tcPr>
            <w:tcW w:w="1450" w:type="dxa"/>
            <w:shd w:val="clear" w:color="auto" w:fill="CCFFCC"/>
          </w:tcPr>
          <w:p>
            <w:pPr>
              <w:pStyle w:val="TableParagraph"/>
              <w:spacing w:before="82"/>
              <w:rPr>
                <w:b/>
                <w:sz w:val="21"/>
              </w:rPr>
            </w:pPr>
            <w:r>
              <w:rPr>
                <w:b/>
                <w:sz w:val="21"/>
              </w:rPr>
              <w:t>醉酒</w:t>
            </w:r>
          </w:p>
        </w:tc>
        <w:tc>
          <w:tcPr>
            <w:tcW w:w="7938" w:type="dxa"/>
            <w:shd w:val="clear" w:color="auto" w:fill="CCFFCC"/>
          </w:tcPr>
          <w:p>
            <w:pPr>
              <w:pStyle w:val="TableParagraph"/>
              <w:spacing w:line="326" w:lineRule="auto" w:before="116"/>
              <w:ind w:left="93" w:right="306"/>
              <w:rPr>
                <w:sz w:val="21"/>
              </w:rPr>
            </w:pPr>
            <w:r>
              <w:rPr>
                <w:spacing w:val="-6"/>
                <w:sz w:val="21"/>
              </w:rPr>
              <w:t>指因饮酒而表现出动作不协调、意识紊乱、舌重口吃或其他不能清醒地控制自己行</w:t>
            </w:r>
            <w:r>
              <w:rPr>
                <w:spacing w:val="-9"/>
                <w:sz w:val="21"/>
              </w:rPr>
              <w:t>为的状态。醉酒的认定，如有司法机关、公安部门的有关法律文件、医院的诊断书</w:t>
            </w:r>
          </w:p>
          <w:p>
            <w:pPr>
              <w:pStyle w:val="TableParagraph"/>
              <w:spacing w:before="24"/>
              <w:ind w:left="93"/>
              <w:rPr>
                <w:sz w:val="21"/>
              </w:rPr>
            </w:pPr>
            <w:r>
              <w:rPr>
                <w:sz w:val="21"/>
              </w:rPr>
              <w:t>等，则以上述法律文件、诊断书等为准。</w:t>
            </w:r>
          </w:p>
        </w:tc>
      </w:tr>
      <w:tr>
        <w:trPr>
          <w:trHeight w:val="856" w:hRule="atLeast"/>
        </w:trPr>
        <w:tc>
          <w:tcPr>
            <w:tcW w:w="889" w:type="dxa"/>
            <w:shd w:val="clear" w:color="auto" w:fill="CCFFCC"/>
          </w:tcPr>
          <w:p>
            <w:pPr>
              <w:pStyle w:val="TableParagraph"/>
              <w:spacing w:before="42"/>
              <w:ind w:left="200"/>
              <w:rPr>
                <w:b/>
                <w:sz w:val="21"/>
              </w:rPr>
            </w:pPr>
            <w:r>
              <w:rPr>
                <w:b/>
                <w:sz w:val="21"/>
              </w:rPr>
              <w:t>8.8</w:t>
            </w:r>
          </w:p>
        </w:tc>
        <w:tc>
          <w:tcPr>
            <w:tcW w:w="1450" w:type="dxa"/>
            <w:shd w:val="clear" w:color="auto" w:fill="CCFFCC"/>
          </w:tcPr>
          <w:p>
            <w:pPr>
              <w:pStyle w:val="TableParagraph"/>
              <w:spacing w:before="8"/>
              <w:rPr>
                <w:b/>
                <w:sz w:val="21"/>
              </w:rPr>
            </w:pPr>
            <w:r>
              <w:rPr>
                <w:b/>
                <w:sz w:val="21"/>
              </w:rPr>
              <w:t>斗殴</w:t>
            </w:r>
          </w:p>
        </w:tc>
        <w:tc>
          <w:tcPr>
            <w:tcW w:w="7938" w:type="dxa"/>
            <w:shd w:val="clear" w:color="auto" w:fill="CCFFCC"/>
          </w:tcPr>
          <w:p>
            <w:pPr>
              <w:pStyle w:val="TableParagraph"/>
              <w:spacing w:line="326" w:lineRule="auto" w:before="42"/>
              <w:ind w:left="93" w:right="201"/>
              <w:rPr>
                <w:sz w:val="21"/>
              </w:rPr>
            </w:pPr>
            <w:r>
              <w:rPr>
                <w:spacing w:val="-10"/>
                <w:sz w:val="21"/>
              </w:rPr>
              <w:t>指双方或多方通过拳脚、器械等武力以求制胜的行为。斗殴的认定，如有司法机关、</w:t>
            </w:r>
            <w:r>
              <w:rPr>
                <w:spacing w:val="-7"/>
                <w:sz w:val="21"/>
              </w:rPr>
              <w:t>公安部门的有关法律文件，则以上述法律文件为准。</w:t>
            </w:r>
          </w:p>
        </w:tc>
      </w:tr>
      <w:tr>
        <w:trPr>
          <w:trHeight w:val="751" w:hRule="atLeast"/>
        </w:trPr>
        <w:tc>
          <w:tcPr>
            <w:tcW w:w="889" w:type="dxa"/>
            <w:shd w:val="clear" w:color="auto" w:fill="CCFFCC"/>
          </w:tcPr>
          <w:p>
            <w:pPr>
              <w:pStyle w:val="TableParagraph"/>
              <w:spacing w:before="102"/>
              <w:ind w:left="200"/>
              <w:rPr>
                <w:b/>
                <w:sz w:val="21"/>
              </w:rPr>
            </w:pPr>
            <w:r>
              <w:rPr>
                <w:b/>
                <w:sz w:val="21"/>
              </w:rPr>
              <w:t>8.9</w:t>
            </w:r>
          </w:p>
        </w:tc>
        <w:tc>
          <w:tcPr>
            <w:tcW w:w="1450" w:type="dxa"/>
            <w:shd w:val="clear" w:color="auto" w:fill="CCFFCC"/>
          </w:tcPr>
          <w:p>
            <w:pPr>
              <w:pStyle w:val="TableParagraph"/>
              <w:spacing w:before="102"/>
              <w:rPr>
                <w:b/>
                <w:sz w:val="21"/>
              </w:rPr>
            </w:pPr>
            <w:r>
              <w:rPr>
                <w:b/>
                <w:sz w:val="21"/>
              </w:rPr>
              <w:t>毒品</w:t>
            </w:r>
          </w:p>
        </w:tc>
        <w:tc>
          <w:tcPr>
            <w:tcW w:w="7938" w:type="dxa"/>
            <w:shd w:val="clear" w:color="auto" w:fill="CCFFCC"/>
          </w:tcPr>
          <w:p>
            <w:pPr>
              <w:pStyle w:val="TableParagraph"/>
              <w:spacing w:line="370" w:lineRule="atLeast" w:before="6"/>
              <w:ind w:left="93" w:right="381"/>
              <w:rPr>
                <w:sz w:val="21"/>
              </w:rPr>
            </w:pPr>
            <w:r>
              <w:rPr>
                <w:spacing w:val="-3"/>
                <w:sz w:val="21"/>
              </w:rPr>
              <w:t>指鸦片、海洛因、甲基苯丙胺</w:t>
            </w:r>
            <w:r>
              <w:rPr>
                <w:sz w:val="21"/>
              </w:rPr>
              <w:t>（冰毒</w:t>
            </w:r>
            <w:r>
              <w:rPr>
                <w:spacing w:val="-106"/>
                <w:sz w:val="21"/>
              </w:rPr>
              <w:t>）</w:t>
            </w:r>
            <w:r>
              <w:rPr>
                <w:spacing w:val="-5"/>
                <w:sz w:val="21"/>
              </w:rPr>
              <w:t>、吗啡、大麻、可卡因以及索赔当时政府规定管制的其他能够使人形成瘾癖的麻醉药品和精神药品。</w:t>
            </w:r>
          </w:p>
        </w:tc>
      </w:tr>
    </w:tbl>
    <w:p>
      <w:pPr>
        <w:spacing w:after="0" w:line="370" w:lineRule="atLeast"/>
        <w:rPr>
          <w:sz w:val="21"/>
        </w:rPr>
        <w:sectPr>
          <w:headerReference w:type="default" r:id="rId16"/>
          <w:pgSz w:w="11910" w:h="16840"/>
          <w:pgMar w:header="0" w:footer="377" w:top="0" w:bottom="560" w:left="720" w:right="7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0"/>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383"/>
        <w:gridCol w:w="7945"/>
      </w:tblGrid>
      <w:tr>
        <w:trPr>
          <w:trHeight w:val="758" w:hRule="atLeast"/>
        </w:trPr>
        <w:tc>
          <w:tcPr>
            <w:tcW w:w="942" w:type="dxa"/>
            <w:shd w:val="clear" w:color="auto" w:fill="CCFFCC"/>
          </w:tcPr>
          <w:p>
            <w:pPr>
              <w:pStyle w:val="TableParagraph"/>
              <w:spacing w:line="211" w:lineRule="exact"/>
              <w:ind w:left="200"/>
              <w:rPr>
                <w:b/>
                <w:sz w:val="21"/>
              </w:rPr>
            </w:pPr>
            <w:r>
              <w:rPr>
                <w:b/>
                <w:sz w:val="21"/>
              </w:rPr>
              <w:t>8.10</w:t>
            </w:r>
          </w:p>
        </w:tc>
        <w:tc>
          <w:tcPr>
            <w:tcW w:w="1383" w:type="dxa"/>
            <w:shd w:val="clear" w:color="auto" w:fill="CCFFCC"/>
          </w:tcPr>
          <w:p>
            <w:pPr>
              <w:pStyle w:val="TableParagraph"/>
              <w:spacing w:line="211" w:lineRule="exact"/>
              <w:ind w:left="319"/>
              <w:rPr>
                <w:b/>
                <w:sz w:val="21"/>
              </w:rPr>
            </w:pPr>
            <w:r>
              <w:rPr>
                <w:b/>
                <w:sz w:val="21"/>
              </w:rPr>
              <w:t>管制药品</w:t>
            </w:r>
          </w:p>
        </w:tc>
        <w:tc>
          <w:tcPr>
            <w:tcW w:w="7945" w:type="dxa"/>
            <w:shd w:val="clear" w:color="auto" w:fill="CCFFCC"/>
          </w:tcPr>
          <w:p>
            <w:pPr>
              <w:pStyle w:val="TableParagraph"/>
              <w:spacing w:line="211" w:lineRule="exact"/>
              <w:ind w:left="107"/>
              <w:rPr>
                <w:sz w:val="21"/>
              </w:rPr>
            </w:pPr>
            <w:r>
              <w:rPr>
                <w:sz w:val="21"/>
              </w:rPr>
              <w:t>指在索赔当时，根据《中华人民共和国药品管理法》及有关法规被列为特殊管理的</w:t>
            </w:r>
          </w:p>
          <w:p>
            <w:pPr>
              <w:pStyle w:val="TableParagraph"/>
              <w:spacing w:before="99"/>
              <w:ind w:left="107"/>
              <w:rPr>
                <w:sz w:val="21"/>
              </w:rPr>
            </w:pPr>
            <w:r>
              <w:rPr>
                <w:sz w:val="21"/>
              </w:rPr>
              <w:t>药品，包括麻醉药品、精神药品、毒性药品及放射性药品。</w:t>
            </w:r>
          </w:p>
        </w:tc>
      </w:tr>
      <w:tr>
        <w:trPr>
          <w:trHeight w:val="931" w:hRule="atLeast"/>
        </w:trPr>
        <w:tc>
          <w:tcPr>
            <w:tcW w:w="942" w:type="dxa"/>
            <w:shd w:val="clear" w:color="auto" w:fill="CCFFCC"/>
          </w:tcPr>
          <w:p>
            <w:pPr>
              <w:pStyle w:val="TableParagraph"/>
              <w:spacing w:before="109"/>
              <w:ind w:left="200"/>
              <w:rPr>
                <w:b/>
                <w:sz w:val="21"/>
              </w:rPr>
            </w:pPr>
            <w:r>
              <w:rPr>
                <w:b/>
                <w:sz w:val="21"/>
              </w:rPr>
              <w:t>8.11</w:t>
            </w:r>
          </w:p>
        </w:tc>
        <w:tc>
          <w:tcPr>
            <w:tcW w:w="1383" w:type="dxa"/>
            <w:shd w:val="clear" w:color="auto" w:fill="CCFFCC"/>
          </w:tcPr>
          <w:p>
            <w:pPr>
              <w:pStyle w:val="TableParagraph"/>
              <w:spacing w:before="109"/>
              <w:ind w:left="319"/>
              <w:rPr>
                <w:b/>
                <w:sz w:val="21"/>
              </w:rPr>
            </w:pPr>
            <w:r>
              <w:rPr>
                <w:b/>
                <w:sz w:val="21"/>
              </w:rPr>
              <w:t>酒后驾驶</w:t>
            </w:r>
          </w:p>
        </w:tc>
        <w:tc>
          <w:tcPr>
            <w:tcW w:w="7945" w:type="dxa"/>
            <w:shd w:val="clear" w:color="auto" w:fill="CCFFCC"/>
          </w:tcPr>
          <w:p>
            <w:pPr>
              <w:pStyle w:val="TableParagraph"/>
              <w:spacing w:line="326" w:lineRule="auto" w:before="109"/>
              <w:ind w:left="107" w:right="299"/>
              <w:rPr>
                <w:sz w:val="21"/>
              </w:rPr>
            </w:pPr>
            <w:r>
              <w:rPr>
                <w:spacing w:val="-6"/>
                <w:sz w:val="21"/>
              </w:rPr>
              <w:t>指经检测或鉴定，发生保险事故时车辆驾驶人员每百毫升血液中的酒精含量大于或</w:t>
            </w:r>
            <w:r>
              <w:rPr>
                <w:spacing w:val="-21"/>
                <w:sz w:val="21"/>
              </w:rPr>
              <w:t>等于 </w:t>
            </w:r>
            <w:r>
              <w:rPr>
                <w:sz w:val="21"/>
              </w:rPr>
              <w:t>20</w:t>
            </w:r>
            <w:r>
              <w:rPr>
                <w:spacing w:val="-15"/>
                <w:sz w:val="21"/>
              </w:rPr>
              <w:t> 毫克。</w:t>
            </w:r>
          </w:p>
        </w:tc>
      </w:tr>
      <w:tr>
        <w:trPr>
          <w:trHeight w:val="3166" w:hRule="atLeast"/>
        </w:trPr>
        <w:tc>
          <w:tcPr>
            <w:tcW w:w="942" w:type="dxa"/>
            <w:shd w:val="clear" w:color="auto" w:fill="CCFFCC"/>
          </w:tcPr>
          <w:p>
            <w:pPr>
              <w:pStyle w:val="TableParagraph"/>
              <w:spacing w:before="109"/>
              <w:ind w:left="200"/>
              <w:rPr>
                <w:b/>
                <w:sz w:val="21"/>
              </w:rPr>
            </w:pPr>
            <w:r>
              <w:rPr>
                <w:b/>
                <w:sz w:val="21"/>
              </w:rPr>
              <w:t>8.12</w:t>
            </w:r>
          </w:p>
        </w:tc>
        <w:tc>
          <w:tcPr>
            <w:tcW w:w="1383" w:type="dxa"/>
            <w:shd w:val="clear" w:color="auto" w:fill="CCFFCC"/>
          </w:tcPr>
          <w:p>
            <w:pPr>
              <w:pStyle w:val="TableParagraph"/>
              <w:spacing w:line="326" w:lineRule="auto" w:before="109"/>
              <w:ind w:left="319" w:right="216"/>
              <w:jc w:val="both"/>
              <w:rPr>
                <w:b/>
                <w:sz w:val="21"/>
              </w:rPr>
            </w:pPr>
            <w:r>
              <w:rPr>
                <w:b/>
                <w:sz w:val="21"/>
              </w:rPr>
              <w:t>无合法有效驾驶证驾驶</w:t>
            </w:r>
          </w:p>
        </w:tc>
        <w:tc>
          <w:tcPr>
            <w:tcW w:w="7945" w:type="dxa"/>
            <w:shd w:val="clear" w:color="auto" w:fill="CCFFCC"/>
          </w:tcPr>
          <w:p>
            <w:pPr>
              <w:pStyle w:val="TableParagraph"/>
              <w:spacing w:before="109"/>
              <w:ind w:left="107"/>
              <w:rPr>
                <w:sz w:val="21"/>
              </w:rPr>
            </w:pPr>
            <w:r>
              <w:rPr>
                <w:sz w:val="21"/>
              </w:rPr>
              <w:t>指下列情形之一：</w:t>
            </w:r>
          </w:p>
          <w:p>
            <w:pPr>
              <w:pStyle w:val="TableParagraph"/>
              <w:spacing w:before="99"/>
              <w:ind w:left="107"/>
              <w:rPr>
                <w:sz w:val="21"/>
              </w:rPr>
            </w:pPr>
            <w:r>
              <w:rPr>
                <w:sz w:val="21"/>
              </w:rPr>
              <w:t>（1）没有驾驶证驾驶；</w:t>
            </w:r>
          </w:p>
          <w:p>
            <w:pPr>
              <w:pStyle w:val="TableParagraph"/>
              <w:spacing w:before="99"/>
              <w:ind w:left="107"/>
              <w:rPr>
                <w:sz w:val="21"/>
              </w:rPr>
            </w:pPr>
            <w:r>
              <w:rPr>
                <w:sz w:val="21"/>
              </w:rPr>
              <w:t>（2）驾驶与驾驶证准驾车型不相符合的车辆；</w:t>
            </w:r>
          </w:p>
          <w:p>
            <w:pPr>
              <w:pStyle w:val="TableParagraph"/>
              <w:spacing w:before="100"/>
              <w:ind w:left="107"/>
              <w:rPr>
                <w:sz w:val="21"/>
              </w:rPr>
            </w:pPr>
            <w:r>
              <w:rPr>
                <w:sz w:val="21"/>
              </w:rPr>
              <w:t>（3）驾驶员持审验不合格的驾驶证驾驶；</w:t>
            </w:r>
          </w:p>
          <w:p>
            <w:pPr>
              <w:pStyle w:val="TableParagraph"/>
              <w:spacing w:before="99"/>
              <w:ind w:left="107"/>
              <w:rPr>
                <w:sz w:val="21"/>
              </w:rPr>
            </w:pPr>
            <w:r>
              <w:rPr>
                <w:sz w:val="21"/>
              </w:rPr>
              <w:t>（4）未经公安交通管理部门同意，持未审验的驾驶证驾驶；</w:t>
            </w:r>
          </w:p>
          <w:p>
            <w:pPr>
              <w:pStyle w:val="TableParagraph"/>
              <w:spacing w:line="326" w:lineRule="auto" w:before="99"/>
              <w:ind w:left="107" w:right="376"/>
              <w:rPr>
                <w:sz w:val="21"/>
              </w:rPr>
            </w:pPr>
            <w:r>
              <w:rPr>
                <w:sz w:val="21"/>
              </w:rPr>
              <w:t>（5）持学习驾驶证学习驾车时，无教练员随车指导，或不按指定时间、路线学习驾车；</w:t>
            </w:r>
          </w:p>
          <w:p>
            <w:pPr>
              <w:pStyle w:val="TableParagraph"/>
              <w:spacing w:before="24"/>
              <w:ind w:left="107"/>
              <w:rPr>
                <w:sz w:val="21"/>
              </w:rPr>
            </w:pPr>
            <w:r>
              <w:rPr>
                <w:sz w:val="21"/>
              </w:rPr>
              <w:t>（6）公安交通管理部门规定的其他无有效驾驶证驾驶的情况。</w:t>
            </w:r>
          </w:p>
        </w:tc>
      </w:tr>
      <w:tr>
        <w:trPr>
          <w:trHeight w:val="1370" w:hRule="atLeast"/>
        </w:trPr>
        <w:tc>
          <w:tcPr>
            <w:tcW w:w="942" w:type="dxa"/>
            <w:shd w:val="clear" w:color="auto" w:fill="CCFFCC"/>
          </w:tcPr>
          <w:p>
            <w:pPr>
              <w:pStyle w:val="TableParagraph"/>
              <w:spacing w:before="97"/>
              <w:ind w:left="200"/>
              <w:rPr>
                <w:b/>
                <w:sz w:val="21"/>
              </w:rPr>
            </w:pPr>
            <w:r>
              <w:rPr>
                <w:b/>
                <w:sz w:val="21"/>
              </w:rPr>
              <w:t>8.13</w:t>
            </w:r>
          </w:p>
        </w:tc>
        <w:tc>
          <w:tcPr>
            <w:tcW w:w="1383" w:type="dxa"/>
            <w:shd w:val="clear" w:color="auto" w:fill="CCFFCC"/>
          </w:tcPr>
          <w:p>
            <w:pPr>
              <w:pStyle w:val="TableParagraph"/>
              <w:spacing w:line="326" w:lineRule="auto" w:before="97"/>
              <w:ind w:left="319" w:right="216"/>
              <w:rPr>
                <w:b/>
                <w:sz w:val="21"/>
              </w:rPr>
            </w:pPr>
            <w:r>
              <w:rPr>
                <w:b/>
                <w:sz w:val="21"/>
              </w:rPr>
              <w:t>无有效行驶证</w:t>
            </w:r>
          </w:p>
        </w:tc>
        <w:tc>
          <w:tcPr>
            <w:tcW w:w="7945" w:type="dxa"/>
            <w:shd w:val="clear" w:color="auto" w:fill="CCFFCC"/>
          </w:tcPr>
          <w:p>
            <w:pPr>
              <w:pStyle w:val="TableParagraph"/>
              <w:spacing w:before="97"/>
              <w:ind w:left="107"/>
              <w:rPr>
                <w:sz w:val="21"/>
              </w:rPr>
            </w:pPr>
            <w:r>
              <w:rPr>
                <w:sz w:val="21"/>
              </w:rPr>
              <w:t>指下列情形之一：</w:t>
            </w:r>
          </w:p>
          <w:p>
            <w:pPr>
              <w:pStyle w:val="TableParagraph"/>
              <w:spacing w:before="99"/>
              <w:ind w:left="107"/>
              <w:rPr>
                <w:sz w:val="21"/>
              </w:rPr>
            </w:pPr>
            <w:r>
              <w:rPr>
                <w:sz w:val="21"/>
              </w:rPr>
              <w:t>（1）没有机动车行驶证；</w:t>
            </w:r>
          </w:p>
          <w:p>
            <w:pPr>
              <w:pStyle w:val="TableParagraph"/>
              <w:spacing w:before="99"/>
              <w:ind w:left="107"/>
              <w:rPr>
                <w:sz w:val="21"/>
              </w:rPr>
            </w:pPr>
            <w:r>
              <w:rPr>
                <w:sz w:val="21"/>
              </w:rPr>
              <w:t>（2）未在法律规定期限内按时进行或通过安全技术检验。</w:t>
            </w:r>
          </w:p>
        </w:tc>
      </w:tr>
      <w:tr>
        <w:trPr>
          <w:trHeight w:val="1699" w:hRule="atLeast"/>
        </w:trPr>
        <w:tc>
          <w:tcPr>
            <w:tcW w:w="942" w:type="dxa"/>
            <w:shd w:val="clear" w:color="auto" w:fill="CCFFCC"/>
          </w:tcPr>
          <w:p>
            <w:pPr>
              <w:pStyle w:val="TableParagraph"/>
              <w:spacing w:before="2"/>
              <w:ind w:left="0"/>
              <w:rPr>
                <w:rFonts w:ascii="Times New Roman"/>
                <w:sz w:val="16"/>
              </w:rPr>
            </w:pPr>
          </w:p>
          <w:p>
            <w:pPr>
              <w:pStyle w:val="TableParagraph"/>
              <w:ind w:left="200"/>
              <w:rPr>
                <w:b/>
                <w:sz w:val="21"/>
              </w:rPr>
            </w:pPr>
            <w:r>
              <w:rPr>
                <w:b/>
                <w:sz w:val="21"/>
              </w:rPr>
              <w:t>8.14</w:t>
            </w:r>
          </w:p>
        </w:tc>
        <w:tc>
          <w:tcPr>
            <w:tcW w:w="1383" w:type="dxa"/>
            <w:shd w:val="clear" w:color="auto" w:fill="CCFFCC"/>
          </w:tcPr>
          <w:p>
            <w:pPr>
              <w:pStyle w:val="TableParagraph"/>
              <w:spacing w:before="2"/>
              <w:ind w:left="0"/>
              <w:rPr>
                <w:rFonts w:ascii="Times New Roman"/>
                <w:sz w:val="16"/>
              </w:rPr>
            </w:pPr>
          </w:p>
          <w:p>
            <w:pPr>
              <w:pStyle w:val="TableParagraph"/>
              <w:ind w:left="319"/>
              <w:rPr>
                <w:b/>
                <w:sz w:val="21"/>
              </w:rPr>
            </w:pPr>
            <w:r>
              <w:rPr>
                <w:b/>
                <w:sz w:val="21"/>
              </w:rPr>
              <w:t>机动车</w:t>
            </w:r>
          </w:p>
        </w:tc>
        <w:tc>
          <w:tcPr>
            <w:tcW w:w="7945" w:type="dxa"/>
            <w:shd w:val="clear" w:color="auto" w:fill="CCFFCC"/>
          </w:tcPr>
          <w:p>
            <w:pPr>
              <w:pStyle w:val="TableParagraph"/>
              <w:spacing w:before="2"/>
              <w:ind w:left="0"/>
              <w:rPr>
                <w:rFonts w:ascii="Times New Roman"/>
                <w:sz w:val="16"/>
              </w:rPr>
            </w:pPr>
          </w:p>
          <w:p>
            <w:pPr>
              <w:pStyle w:val="TableParagraph"/>
              <w:spacing w:line="326" w:lineRule="auto"/>
              <w:ind w:left="107" w:right="198"/>
              <w:rPr>
                <w:sz w:val="21"/>
              </w:rPr>
            </w:pPr>
            <w:r>
              <w:rPr>
                <w:spacing w:val="-5"/>
                <w:sz w:val="21"/>
              </w:rPr>
              <w:t>指以动力装置驱动或者牵引，能合法上道路行驶的供人员乘用的四轮及四轮以上轮</w:t>
            </w:r>
            <w:r>
              <w:rPr>
                <w:spacing w:val="-13"/>
                <w:sz w:val="21"/>
              </w:rPr>
              <w:t>式车辆，并不包括以下车辆：轨道交通车辆、警车、救护车、消防车、工程抢险车、</w:t>
            </w:r>
            <w:r>
              <w:rPr>
                <w:spacing w:val="-9"/>
                <w:sz w:val="21"/>
              </w:rPr>
              <w:t>工程作业车、公路监督检查专用车、公路养护车、清障车、救援车、洒水车、清扫</w:t>
            </w:r>
            <w:r>
              <w:rPr>
                <w:spacing w:val="-7"/>
                <w:sz w:val="21"/>
              </w:rPr>
              <w:t>车以及拖拉机等农业用途车辆。</w:t>
            </w:r>
          </w:p>
        </w:tc>
      </w:tr>
      <w:tr>
        <w:trPr>
          <w:trHeight w:val="912" w:hRule="atLeast"/>
        </w:trPr>
        <w:tc>
          <w:tcPr>
            <w:tcW w:w="942" w:type="dxa"/>
            <w:shd w:val="clear" w:color="auto" w:fill="CCFFCC"/>
          </w:tcPr>
          <w:p>
            <w:pPr>
              <w:pStyle w:val="TableParagraph"/>
              <w:spacing w:before="51"/>
              <w:ind w:left="200"/>
              <w:rPr>
                <w:b/>
                <w:sz w:val="21"/>
              </w:rPr>
            </w:pPr>
            <w:r>
              <w:rPr>
                <w:b/>
                <w:sz w:val="21"/>
              </w:rPr>
              <w:t>8.15</w:t>
            </w:r>
          </w:p>
        </w:tc>
        <w:tc>
          <w:tcPr>
            <w:tcW w:w="1383" w:type="dxa"/>
            <w:shd w:val="clear" w:color="auto" w:fill="CCFFCC"/>
          </w:tcPr>
          <w:p>
            <w:pPr>
              <w:pStyle w:val="TableParagraph"/>
              <w:spacing w:line="326" w:lineRule="auto" w:before="51"/>
              <w:ind w:left="319" w:right="216"/>
              <w:rPr>
                <w:b/>
                <w:sz w:val="21"/>
              </w:rPr>
            </w:pPr>
            <w:r>
              <w:rPr>
                <w:b/>
                <w:sz w:val="21"/>
              </w:rPr>
              <w:t>助动交通工具</w:t>
            </w:r>
          </w:p>
        </w:tc>
        <w:tc>
          <w:tcPr>
            <w:tcW w:w="7945" w:type="dxa"/>
            <w:shd w:val="clear" w:color="auto" w:fill="CCFFCC"/>
          </w:tcPr>
          <w:p>
            <w:pPr>
              <w:pStyle w:val="TableParagraph"/>
              <w:spacing w:line="326" w:lineRule="auto" w:before="51"/>
              <w:ind w:left="107" w:right="304"/>
              <w:rPr>
                <w:sz w:val="21"/>
              </w:rPr>
            </w:pPr>
            <w:r>
              <w:rPr>
                <w:spacing w:val="-8"/>
                <w:sz w:val="21"/>
              </w:rPr>
              <w:t>指依照行驶当地公安部门的有关规定须办理驾驶许可证、照，行驶许可证、照或其</w:t>
            </w:r>
            <w:r>
              <w:rPr>
                <w:spacing w:val="-6"/>
                <w:sz w:val="21"/>
              </w:rPr>
              <w:t>他相应准驶证、照的助动交通工具。</w:t>
            </w:r>
          </w:p>
        </w:tc>
      </w:tr>
      <w:tr>
        <w:trPr>
          <w:trHeight w:val="1327" w:hRule="atLeast"/>
        </w:trPr>
        <w:tc>
          <w:tcPr>
            <w:tcW w:w="942" w:type="dxa"/>
            <w:shd w:val="clear" w:color="auto" w:fill="CCFFCC"/>
          </w:tcPr>
          <w:p>
            <w:pPr>
              <w:pStyle w:val="TableParagraph"/>
              <w:spacing w:before="147"/>
              <w:ind w:left="200"/>
              <w:rPr>
                <w:b/>
                <w:sz w:val="21"/>
              </w:rPr>
            </w:pPr>
            <w:r>
              <w:rPr>
                <w:b/>
                <w:sz w:val="21"/>
              </w:rPr>
              <w:t>8.16</w:t>
            </w:r>
          </w:p>
        </w:tc>
        <w:tc>
          <w:tcPr>
            <w:tcW w:w="1383" w:type="dxa"/>
            <w:shd w:val="clear" w:color="auto" w:fill="CCFFCC"/>
          </w:tcPr>
          <w:p>
            <w:pPr>
              <w:pStyle w:val="TableParagraph"/>
              <w:spacing w:before="147"/>
              <w:ind w:left="319"/>
              <w:rPr>
                <w:b/>
                <w:sz w:val="21"/>
              </w:rPr>
            </w:pPr>
            <w:r>
              <w:rPr>
                <w:b/>
                <w:sz w:val="21"/>
              </w:rPr>
              <w:t>恐怖活动</w:t>
            </w:r>
          </w:p>
        </w:tc>
        <w:tc>
          <w:tcPr>
            <w:tcW w:w="7945" w:type="dxa"/>
            <w:shd w:val="clear" w:color="auto" w:fill="CCFFCC"/>
          </w:tcPr>
          <w:p>
            <w:pPr>
              <w:pStyle w:val="TableParagraph"/>
              <w:spacing w:line="326" w:lineRule="auto" w:before="147"/>
              <w:ind w:left="107" w:right="376"/>
              <w:rPr>
                <w:sz w:val="21"/>
              </w:rPr>
            </w:pPr>
            <w:r>
              <w:rPr>
                <w:spacing w:val="-5"/>
                <w:sz w:val="21"/>
              </w:rPr>
              <w:t>指恐怖分子制造的任何危害社会稳定、危及人的生命及财产安全的一切形式的活动，通常表现为爆炸、袭击、劫持</w:t>
            </w:r>
            <w:r>
              <w:rPr>
                <w:sz w:val="21"/>
              </w:rPr>
              <w:t>（</w:t>
            </w:r>
            <w:r>
              <w:rPr>
                <w:spacing w:val="-3"/>
                <w:sz w:val="21"/>
              </w:rPr>
              <w:t>绑架</w:t>
            </w:r>
            <w:r>
              <w:rPr>
                <w:spacing w:val="-106"/>
                <w:sz w:val="21"/>
              </w:rPr>
              <w:t>）</w:t>
            </w:r>
            <w:r>
              <w:rPr>
                <w:spacing w:val="-5"/>
                <w:sz w:val="21"/>
              </w:rPr>
              <w:t>、投放危险物质、放火等形式，与恐怖</w:t>
            </w:r>
            <w:r>
              <w:rPr>
                <w:spacing w:val="-17"/>
                <w:sz w:val="21"/>
              </w:rPr>
              <w:t>活动相关的事件通常称为“恐怖事件”、“恐怖袭击”等。</w:t>
            </w:r>
          </w:p>
        </w:tc>
      </w:tr>
      <w:tr>
        <w:trPr>
          <w:trHeight w:val="977" w:hRule="atLeast"/>
        </w:trPr>
        <w:tc>
          <w:tcPr>
            <w:tcW w:w="942" w:type="dxa"/>
            <w:shd w:val="clear" w:color="auto" w:fill="CCFFCC"/>
          </w:tcPr>
          <w:p>
            <w:pPr>
              <w:pStyle w:val="TableParagraph"/>
              <w:spacing w:before="92"/>
              <w:ind w:left="200"/>
              <w:rPr>
                <w:b/>
                <w:sz w:val="21"/>
              </w:rPr>
            </w:pPr>
            <w:r>
              <w:rPr>
                <w:b/>
                <w:sz w:val="21"/>
              </w:rPr>
              <w:t>8.17</w:t>
            </w:r>
          </w:p>
        </w:tc>
        <w:tc>
          <w:tcPr>
            <w:tcW w:w="1383" w:type="dxa"/>
            <w:shd w:val="clear" w:color="auto" w:fill="CCFFCC"/>
          </w:tcPr>
          <w:p>
            <w:pPr>
              <w:pStyle w:val="TableParagraph"/>
              <w:spacing w:line="326" w:lineRule="auto" w:before="92"/>
              <w:ind w:left="319" w:right="216"/>
              <w:rPr>
                <w:b/>
                <w:sz w:val="21"/>
              </w:rPr>
            </w:pPr>
            <w:r>
              <w:rPr>
                <w:b/>
                <w:sz w:val="21"/>
              </w:rPr>
              <w:t>遗传性疾病</w:t>
            </w:r>
          </w:p>
        </w:tc>
        <w:tc>
          <w:tcPr>
            <w:tcW w:w="7945" w:type="dxa"/>
            <w:shd w:val="clear" w:color="auto" w:fill="CCFFCC"/>
          </w:tcPr>
          <w:p>
            <w:pPr>
              <w:pStyle w:val="TableParagraph"/>
              <w:spacing w:line="326" w:lineRule="auto" w:before="92"/>
              <w:ind w:left="107" w:right="275"/>
              <w:rPr>
                <w:sz w:val="21"/>
              </w:rPr>
            </w:pPr>
            <w:r>
              <w:rPr>
                <w:sz w:val="21"/>
              </w:rPr>
              <w:t>指生殖细胞或受精卵的遗传物质（染色体和基因）发生突变或畸变所引起的疾病， 通常具有由亲代传至后代的垂直传递的特征。</w:t>
            </w:r>
          </w:p>
        </w:tc>
      </w:tr>
      <w:tr>
        <w:trPr>
          <w:trHeight w:val="1742" w:hRule="atLeast"/>
        </w:trPr>
        <w:tc>
          <w:tcPr>
            <w:tcW w:w="942" w:type="dxa"/>
            <w:shd w:val="clear" w:color="auto" w:fill="CCFFCC"/>
          </w:tcPr>
          <w:p>
            <w:pPr>
              <w:pStyle w:val="TableParagraph"/>
              <w:spacing w:before="171"/>
              <w:ind w:left="200"/>
              <w:rPr>
                <w:b/>
                <w:sz w:val="21"/>
              </w:rPr>
            </w:pPr>
            <w:r>
              <w:rPr>
                <w:b/>
                <w:sz w:val="21"/>
              </w:rPr>
              <w:t>8.18</w:t>
            </w:r>
          </w:p>
        </w:tc>
        <w:tc>
          <w:tcPr>
            <w:tcW w:w="1383" w:type="dxa"/>
            <w:shd w:val="clear" w:color="auto" w:fill="CCFFCC"/>
          </w:tcPr>
          <w:p>
            <w:pPr>
              <w:pStyle w:val="TableParagraph"/>
              <w:spacing w:line="326" w:lineRule="auto" w:before="171"/>
              <w:ind w:left="319" w:right="106"/>
              <w:rPr>
                <w:b/>
                <w:sz w:val="21"/>
              </w:rPr>
            </w:pPr>
            <w:r>
              <w:rPr>
                <w:b/>
                <w:sz w:val="21"/>
              </w:rPr>
              <w:t>先天性畸</w:t>
            </w:r>
            <w:r>
              <w:rPr>
                <w:b/>
                <w:spacing w:val="-21"/>
                <w:sz w:val="21"/>
              </w:rPr>
              <w:t>形、变形或染色体异常</w:t>
            </w:r>
          </w:p>
        </w:tc>
        <w:tc>
          <w:tcPr>
            <w:tcW w:w="7945" w:type="dxa"/>
            <w:shd w:val="clear" w:color="auto" w:fill="CCFFCC"/>
          </w:tcPr>
          <w:p>
            <w:pPr>
              <w:pStyle w:val="TableParagraph"/>
              <w:spacing w:line="326" w:lineRule="auto" w:before="171"/>
              <w:ind w:left="107" w:right="301"/>
              <w:rPr>
                <w:sz w:val="21"/>
              </w:rPr>
            </w:pPr>
            <w:r>
              <w:rPr>
                <w:spacing w:val="-7"/>
                <w:sz w:val="21"/>
              </w:rPr>
              <w:t>指被保险人出生时就具有的畸形、变形或染色体异常。先天性畸形、变形和染色体</w:t>
            </w:r>
            <w:r>
              <w:rPr>
                <w:spacing w:val="-9"/>
                <w:sz w:val="21"/>
              </w:rPr>
              <w:t>异常依照世界卫生组织《疾病和有关健康问题的国际统计分类》</w:t>
            </w:r>
            <w:r>
              <w:rPr>
                <w:sz w:val="21"/>
              </w:rPr>
              <w:t>（ICD-10）确定。</w:t>
            </w:r>
          </w:p>
        </w:tc>
      </w:tr>
      <w:tr>
        <w:trPr>
          <w:trHeight w:val="554" w:hRule="atLeast"/>
        </w:trPr>
        <w:tc>
          <w:tcPr>
            <w:tcW w:w="942" w:type="dxa"/>
            <w:shd w:val="clear" w:color="auto" w:fill="CCFFCC"/>
          </w:tcPr>
          <w:p>
            <w:pPr>
              <w:pStyle w:val="TableParagraph"/>
              <w:spacing w:before="109"/>
              <w:ind w:left="200"/>
              <w:rPr>
                <w:b/>
                <w:sz w:val="21"/>
              </w:rPr>
            </w:pPr>
            <w:r>
              <w:rPr>
                <w:b/>
                <w:sz w:val="21"/>
              </w:rPr>
              <w:t>8.19</w:t>
            </w:r>
          </w:p>
        </w:tc>
        <w:tc>
          <w:tcPr>
            <w:tcW w:w="1383" w:type="dxa"/>
            <w:shd w:val="clear" w:color="auto" w:fill="CCFFCC"/>
          </w:tcPr>
          <w:p>
            <w:pPr>
              <w:pStyle w:val="TableParagraph"/>
              <w:spacing w:before="109"/>
              <w:ind w:left="319"/>
              <w:rPr>
                <w:b/>
                <w:sz w:val="21"/>
              </w:rPr>
            </w:pPr>
            <w:r>
              <w:rPr>
                <w:b/>
                <w:sz w:val="21"/>
              </w:rPr>
              <w:t>现金价值</w:t>
            </w:r>
          </w:p>
        </w:tc>
        <w:tc>
          <w:tcPr>
            <w:tcW w:w="7945" w:type="dxa"/>
            <w:shd w:val="clear" w:color="auto" w:fill="CCFFCC"/>
          </w:tcPr>
          <w:p>
            <w:pPr>
              <w:pStyle w:val="TableParagraph"/>
              <w:spacing w:before="109"/>
              <w:ind w:left="107"/>
              <w:rPr>
                <w:sz w:val="21"/>
              </w:rPr>
            </w:pPr>
            <w:r>
              <w:rPr>
                <w:spacing w:val="-1"/>
                <w:sz w:val="21"/>
              </w:rPr>
              <w:t>现金价值</w:t>
            </w:r>
            <w:r>
              <w:rPr>
                <w:spacing w:val="-5"/>
                <w:sz w:val="21"/>
              </w:rPr>
              <w:t>＝</w:t>
            </w:r>
            <w:r>
              <w:rPr>
                <w:spacing w:val="-1"/>
                <w:sz w:val="21"/>
              </w:rPr>
              <w:t>保险费×（1－10％）×（1</w:t>
            </w:r>
            <w:r>
              <w:rPr>
                <w:spacing w:val="-4"/>
                <w:sz w:val="21"/>
              </w:rPr>
              <w:t>－本附加险合同经历的天数</w:t>
            </w:r>
            <w:r>
              <w:rPr>
                <w:sz w:val="21"/>
              </w:rPr>
              <w:t>/</w:t>
            </w:r>
            <w:r>
              <w:rPr>
                <w:spacing w:val="-2"/>
                <w:sz w:val="21"/>
              </w:rPr>
              <w:t>保险期间</w:t>
            </w:r>
            <w:r>
              <w:rPr>
                <w:spacing w:val="-106"/>
                <w:sz w:val="21"/>
              </w:rPr>
              <w:t>）</w:t>
            </w:r>
            <w:r>
              <w:rPr>
                <w:sz w:val="21"/>
              </w:rPr>
              <w:t>。</w:t>
            </w:r>
          </w:p>
        </w:tc>
      </w:tr>
      <w:tr>
        <w:trPr>
          <w:trHeight w:val="381" w:hRule="atLeast"/>
        </w:trPr>
        <w:tc>
          <w:tcPr>
            <w:tcW w:w="942" w:type="dxa"/>
            <w:shd w:val="clear" w:color="auto" w:fill="CCFFCC"/>
          </w:tcPr>
          <w:p>
            <w:pPr>
              <w:pStyle w:val="TableParagraph"/>
              <w:spacing w:line="255" w:lineRule="exact" w:before="107"/>
              <w:ind w:left="200"/>
              <w:rPr>
                <w:b/>
                <w:sz w:val="21"/>
              </w:rPr>
            </w:pPr>
            <w:r>
              <w:rPr>
                <w:b/>
                <w:sz w:val="21"/>
              </w:rPr>
              <w:t>8.20</w:t>
            </w:r>
          </w:p>
        </w:tc>
        <w:tc>
          <w:tcPr>
            <w:tcW w:w="1383" w:type="dxa"/>
            <w:shd w:val="clear" w:color="auto" w:fill="CCFFCC"/>
          </w:tcPr>
          <w:p>
            <w:pPr>
              <w:pStyle w:val="TableParagraph"/>
              <w:spacing w:line="255" w:lineRule="exact" w:before="107"/>
              <w:ind w:left="319"/>
              <w:rPr>
                <w:b/>
                <w:sz w:val="21"/>
              </w:rPr>
            </w:pPr>
            <w:r>
              <w:rPr>
                <w:b/>
                <w:sz w:val="21"/>
              </w:rPr>
              <w:t>保险事故</w:t>
            </w:r>
          </w:p>
        </w:tc>
        <w:tc>
          <w:tcPr>
            <w:tcW w:w="7945" w:type="dxa"/>
            <w:shd w:val="clear" w:color="auto" w:fill="CCFFCC"/>
          </w:tcPr>
          <w:p>
            <w:pPr>
              <w:pStyle w:val="TableParagraph"/>
              <w:spacing w:line="255" w:lineRule="exact" w:before="107"/>
              <w:ind w:left="107"/>
              <w:rPr>
                <w:sz w:val="21"/>
              </w:rPr>
            </w:pPr>
            <w:r>
              <w:rPr>
                <w:sz w:val="21"/>
              </w:rPr>
              <w:t>指本附加险合同约定的保险责任范围内的事故。</w:t>
            </w:r>
          </w:p>
        </w:tc>
      </w:tr>
    </w:tbl>
    <w:p>
      <w:pPr>
        <w:spacing w:after="0" w:line="255" w:lineRule="exact"/>
        <w:rPr>
          <w:sz w:val="21"/>
        </w:rPr>
        <w:sectPr>
          <w:headerReference w:type="default" r:id="rId17"/>
          <w:pgSz w:w="11910" w:h="16840"/>
          <w:pgMar w:header="0" w:footer="377" w:top="0" w:bottom="560" w:left="720" w:right="7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0"/>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328"/>
        <w:gridCol w:w="8003"/>
      </w:tblGrid>
      <w:tr>
        <w:trPr>
          <w:trHeight w:val="412" w:hRule="atLeast"/>
        </w:trPr>
        <w:tc>
          <w:tcPr>
            <w:tcW w:w="942" w:type="dxa"/>
            <w:shd w:val="clear" w:color="auto" w:fill="CCFFCC"/>
          </w:tcPr>
          <w:p>
            <w:pPr>
              <w:pStyle w:val="TableParagraph"/>
              <w:spacing w:line="211" w:lineRule="exact"/>
              <w:ind w:left="200"/>
              <w:rPr>
                <w:b/>
                <w:sz w:val="21"/>
              </w:rPr>
            </w:pPr>
            <w:r>
              <w:rPr>
                <w:b/>
                <w:sz w:val="21"/>
              </w:rPr>
              <w:t>8.21</w:t>
            </w:r>
          </w:p>
        </w:tc>
        <w:tc>
          <w:tcPr>
            <w:tcW w:w="1328" w:type="dxa"/>
            <w:shd w:val="clear" w:color="auto" w:fill="CCFFCC"/>
          </w:tcPr>
          <w:p>
            <w:pPr>
              <w:pStyle w:val="TableParagraph"/>
              <w:spacing w:line="211" w:lineRule="exact"/>
              <w:ind w:left="319"/>
              <w:rPr>
                <w:b/>
                <w:sz w:val="21"/>
              </w:rPr>
            </w:pPr>
            <w:r>
              <w:rPr>
                <w:b/>
                <w:sz w:val="21"/>
              </w:rPr>
              <w:t>不可抗力</w:t>
            </w:r>
          </w:p>
        </w:tc>
        <w:tc>
          <w:tcPr>
            <w:tcW w:w="8003" w:type="dxa"/>
            <w:shd w:val="clear" w:color="auto" w:fill="CCFFCC"/>
          </w:tcPr>
          <w:p>
            <w:pPr>
              <w:pStyle w:val="TableParagraph"/>
              <w:spacing w:line="211" w:lineRule="exact"/>
              <w:ind w:left="162"/>
              <w:rPr>
                <w:sz w:val="21"/>
              </w:rPr>
            </w:pPr>
            <w:r>
              <w:rPr>
                <w:sz w:val="21"/>
              </w:rPr>
              <w:t>指不能预见、不能避免、不能克服的客观情况。</w:t>
            </w:r>
          </w:p>
        </w:tc>
      </w:tr>
      <w:tr>
        <w:trPr>
          <w:trHeight w:val="1001" w:hRule="atLeast"/>
        </w:trPr>
        <w:tc>
          <w:tcPr>
            <w:tcW w:w="942" w:type="dxa"/>
            <w:shd w:val="clear" w:color="auto" w:fill="CCFFCC"/>
          </w:tcPr>
          <w:p>
            <w:pPr>
              <w:pStyle w:val="TableParagraph"/>
              <w:spacing w:before="138"/>
              <w:ind w:left="200"/>
              <w:rPr>
                <w:b/>
                <w:sz w:val="21"/>
              </w:rPr>
            </w:pPr>
            <w:r>
              <w:rPr>
                <w:b/>
                <w:sz w:val="21"/>
              </w:rPr>
              <w:t>8.22</w:t>
            </w:r>
          </w:p>
        </w:tc>
        <w:tc>
          <w:tcPr>
            <w:tcW w:w="1328" w:type="dxa"/>
            <w:shd w:val="clear" w:color="auto" w:fill="CCFFCC"/>
          </w:tcPr>
          <w:p>
            <w:pPr>
              <w:pStyle w:val="TableParagraph"/>
              <w:spacing w:line="326" w:lineRule="auto" w:before="138"/>
              <w:ind w:left="319" w:right="161"/>
              <w:rPr>
                <w:b/>
                <w:sz w:val="21"/>
              </w:rPr>
            </w:pPr>
            <w:r>
              <w:rPr>
                <w:b/>
                <w:sz w:val="21"/>
              </w:rPr>
              <w:t>法定身份证明</w:t>
            </w:r>
          </w:p>
        </w:tc>
        <w:tc>
          <w:tcPr>
            <w:tcW w:w="8003" w:type="dxa"/>
            <w:shd w:val="clear" w:color="auto" w:fill="CCFFCC"/>
          </w:tcPr>
          <w:p>
            <w:pPr>
              <w:pStyle w:val="TableParagraph"/>
              <w:spacing w:line="326" w:lineRule="auto" w:before="138"/>
              <w:ind w:left="162" w:right="302"/>
              <w:rPr>
                <w:sz w:val="21"/>
              </w:rPr>
            </w:pPr>
            <w:r>
              <w:rPr>
                <w:spacing w:val="-8"/>
                <w:sz w:val="21"/>
              </w:rPr>
              <w:t>指依据法律规定，由有权机构制作颁发的证明身份的证件、文件等，如：居民身份</w:t>
            </w:r>
            <w:r>
              <w:rPr>
                <w:spacing w:val="-6"/>
                <w:sz w:val="21"/>
              </w:rPr>
              <w:t>证、户口簿、护照、军人证等。</w:t>
            </w:r>
          </w:p>
        </w:tc>
      </w:tr>
      <w:tr>
        <w:trPr>
          <w:trHeight w:val="948" w:hRule="atLeast"/>
        </w:trPr>
        <w:tc>
          <w:tcPr>
            <w:tcW w:w="942" w:type="dxa"/>
            <w:shd w:val="clear" w:color="auto" w:fill="CCFFCC"/>
          </w:tcPr>
          <w:p>
            <w:pPr>
              <w:pStyle w:val="TableParagraph"/>
              <w:spacing w:before="150"/>
              <w:ind w:left="200"/>
              <w:rPr>
                <w:b/>
                <w:sz w:val="21"/>
              </w:rPr>
            </w:pPr>
            <w:r>
              <w:rPr>
                <w:b/>
                <w:sz w:val="21"/>
              </w:rPr>
              <w:t>8.23</w:t>
            </w:r>
          </w:p>
        </w:tc>
        <w:tc>
          <w:tcPr>
            <w:tcW w:w="1328" w:type="dxa"/>
            <w:shd w:val="clear" w:color="auto" w:fill="CCFFCC"/>
          </w:tcPr>
          <w:p>
            <w:pPr>
              <w:pStyle w:val="TableParagraph"/>
              <w:spacing w:line="326" w:lineRule="auto" w:before="150"/>
              <w:ind w:left="319" w:right="161"/>
              <w:rPr>
                <w:b/>
                <w:sz w:val="21"/>
              </w:rPr>
            </w:pPr>
            <w:r>
              <w:rPr>
                <w:b/>
                <w:sz w:val="21"/>
              </w:rPr>
              <w:t>肢体机能完全丧失</w:t>
            </w:r>
          </w:p>
        </w:tc>
        <w:tc>
          <w:tcPr>
            <w:tcW w:w="8003" w:type="dxa"/>
            <w:shd w:val="clear" w:color="auto" w:fill="CCFFCC"/>
          </w:tcPr>
          <w:p>
            <w:pPr>
              <w:pStyle w:val="TableParagraph"/>
              <w:spacing w:line="326" w:lineRule="auto" w:before="150"/>
              <w:ind w:left="162" w:right="302"/>
              <w:rPr>
                <w:sz w:val="21"/>
              </w:rPr>
            </w:pPr>
            <w:r>
              <w:rPr>
                <w:spacing w:val="-6"/>
                <w:sz w:val="21"/>
              </w:rPr>
              <w:t>指肢体的三大关节中的两大关节僵硬，或不能随意识活动。肢体是指包括肩关节的</w:t>
            </w:r>
            <w:r>
              <w:rPr>
                <w:spacing w:val="-5"/>
                <w:sz w:val="21"/>
              </w:rPr>
              <w:t>整个上肢或包括髋关节的整个下肢。</w:t>
            </w:r>
          </w:p>
        </w:tc>
      </w:tr>
      <w:tr>
        <w:trPr>
          <w:trHeight w:val="1673" w:hRule="atLeast"/>
        </w:trPr>
        <w:tc>
          <w:tcPr>
            <w:tcW w:w="942" w:type="dxa"/>
            <w:shd w:val="clear" w:color="auto" w:fill="CCFFCC"/>
          </w:tcPr>
          <w:p>
            <w:pPr>
              <w:pStyle w:val="TableParagraph"/>
              <w:spacing w:before="118"/>
              <w:ind w:left="200"/>
              <w:rPr>
                <w:b/>
                <w:sz w:val="21"/>
              </w:rPr>
            </w:pPr>
            <w:r>
              <w:rPr>
                <w:b/>
                <w:sz w:val="21"/>
              </w:rPr>
              <w:t>8.24</w:t>
            </w:r>
          </w:p>
        </w:tc>
        <w:tc>
          <w:tcPr>
            <w:tcW w:w="1328" w:type="dxa"/>
            <w:shd w:val="clear" w:color="auto" w:fill="CCFFCC"/>
          </w:tcPr>
          <w:p>
            <w:pPr>
              <w:pStyle w:val="TableParagraph"/>
              <w:spacing w:line="326" w:lineRule="auto" w:before="118"/>
              <w:ind w:left="319" w:right="161"/>
              <w:jc w:val="both"/>
              <w:rPr>
                <w:b/>
                <w:sz w:val="21"/>
              </w:rPr>
            </w:pPr>
            <w:r>
              <w:rPr>
                <w:b/>
                <w:sz w:val="21"/>
              </w:rPr>
              <w:t>语言能力或咀嚼吞咽能力完全丧失</w:t>
            </w:r>
          </w:p>
        </w:tc>
        <w:tc>
          <w:tcPr>
            <w:tcW w:w="8003" w:type="dxa"/>
            <w:shd w:val="clear" w:color="auto" w:fill="CCFFCC"/>
          </w:tcPr>
          <w:p>
            <w:pPr>
              <w:pStyle w:val="TableParagraph"/>
              <w:spacing w:line="273" w:lineRule="auto" w:before="85"/>
              <w:ind w:left="162" w:right="198"/>
              <w:rPr>
                <w:sz w:val="21"/>
              </w:rPr>
            </w:pPr>
            <w:r>
              <w:rPr>
                <w:spacing w:val="-8"/>
                <w:sz w:val="21"/>
              </w:rPr>
              <w:t>语言能力完全丧失，指无法发出四种语音</w:t>
            </w:r>
            <w:r>
              <w:rPr>
                <w:sz w:val="21"/>
              </w:rPr>
              <w:t>（</w:t>
            </w:r>
            <w:r>
              <w:rPr>
                <w:spacing w:val="-10"/>
                <w:sz w:val="21"/>
              </w:rPr>
              <w:t>包括口唇音、齿舌音、口盖音和喉头音</w:t>
            </w:r>
            <w:r>
              <w:rPr>
                <w:sz w:val="21"/>
              </w:rPr>
              <w:t>） </w:t>
            </w:r>
            <w:r>
              <w:rPr>
                <w:spacing w:val="-5"/>
                <w:sz w:val="21"/>
              </w:rPr>
              <w:t>中的任何三种、或声带全部切除，或因大脑语言中枢受伤害而患失语症。</w:t>
            </w:r>
          </w:p>
          <w:p>
            <w:pPr>
              <w:pStyle w:val="TableParagraph"/>
              <w:spacing w:line="326" w:lineRule="auto" w:before="41"/>
              <w:ind w:left="162" w:right="302"/>
              <w:rPr>
                <w:sz w:val="21"/>
              </w:rPr>
            </w:pPr>
            <w:r>
              <w:rPr>
                <w:spacing w:val="-6"/>
                <w:sz w:val="21"/>
              </w:rPr>
              <w:t>咀嚼吞咽能力完全丧失，指因牙齿以外的原因导致器质障碍或机能障碍，以致不能</w:t>
            </w:r>
            <w:r>
              <w:rPr>
                <w:spacing w:val="-5"/>
                <w:sz w:val="21"/>
              </w:rPr>
              <w:t>作咀嚼吞咽运动，除流质食物外不能摄取或吞咽的状态。</w:t>
            </w:r>
          </w:p>
        </w:tc>
      </w:tr>
      <w:tr>
        <w:trPr>
          <w:trHeight w:val="1447" w:hRule="atLeast"/>
        </w:trPr>
        <w:tc>
          <w:tcPr>
            <w:tcW w:w="942" w:type="dxa"/>
            <w:shd w:val="clear" w:color="auto" w:fill="CCFFCC"/>
          </w:tcPr>
          <w:p>
            <w:pPr>
              <w:pStyle w:val="TableParagraph"/>
              <w:spacing w:before="126"/>
              <w:ind w:left="200"/>
              <w:rPr>
                <w:b/>
                <w:sz w:val="21"/>
              </w:rPr>
            </w:pPr>
            <w:r>
              <w:rPr>
                <w:b/>
                <w:sz w:val="21"/>
              </w:rPr>
              <w:t>8.25</w:t>
            </w:r>
          </w:p>
        </w:tc>
        <w:tc>
          <w:tcPr>
            <w:tcW w:w="1328" w:type="dxa"/>
            <w:shd w:val="clear" w:color="auto" w:fill="CCFFCC"/>
          </w:tcPr>
          <w:p>
            <w:pPr>
              <w:pStyle w:val="TableParagraph"/>
              <w:spacing w:line="326" w:lineRule="auto" w:before="126"/>
              <w:ind w:left="319" w:right="161"/>
              <w:jc w:val="both"/>
              <w:rPr>
                <w:b/>
                <w:sz w:val="21"/>
              </w:rPr>
            </w:pPr>
            <w:r>
              <w:rPr>
                <w:b/>
                <w:sz w:val="21"/>
              </w:rPr>
              <w:t>六项基本日常生活活动</w:t>
            </w:r>
          </w:p>
        </w:tc>
        <w:tc>
          <w:tcPr>
            <w:tcW w:w="8003" w:type="dxa"/>
            <w:shd w:val="clear" w:color="auto" w:fill="CCFFCC"/>
          </w:tcPr>
          <w:p>
            <w:pPr>
              <w:pStyle w:val="TableParagraph"/>
              <w:spacing w:line="273" w:lineRule="auto" w:before="92"/>
              <w:ind w:left="162" w:right="275"/>
              <w:jc w:val="both"/>
              <w:rPr>
                <w:sz w:val="21"/>
              </w:rPr>
            </w:pPr>
            <w:r>
              <w:rPr>
                <w:spacing w:val="-2"/>
                <w:w w:val="100"/>
                <w:sz w:val="21"/>
              </w:rPr>
              <w:t>六项基本日常生活活动是指</w:t>
            </w:r>
            <w:r>
              <w:rPr>
                <w:spacing w:val="-116"/>
                <w:w w:val="100"/>
                <w:sz w:val="21"/>
              </w:rPr>
              <w:t>：</w:t>
            </w:r>
            <w:r>
              <w:rPr>
                <w:spacing w:val="0"/>
                <w:w w:val="100"/>
                <w:sz w:val="21"/>
              </w:rPr>
              <w:t>（</w:t>
            </w:r>
            <w:r>
              <w:rPr>
                <w:w w:val="100"/>
                <w:sz w:val="21"/>
              </w:rPr>
              <w:t>1</w:t>
            </w:r>
            <w:r>
              <w:rPr>
                <w:spacing w:val="-5"/>
                <w:w w:val="100"/>
                <w:sz w:val="21"/>
              </w:rPr>
              <w:t>）</w:t>
            </w:r>
            <w:r>
              <w:rPr>
                <w:spacing w:val="-14"/>
                <w:w w:val="100"/>
                <w:sz w:val="21"/>
              </w:rPr>
              <w:t>穿衣：自己能够穿衣及脱衣；</w:t>
            </w:r>
            <w:r>
              <w:rPr>
                <w:spacing w:val="-4"/>
                <w:w w:val="100"/>
                <w:sz w:val="21"/>
              </w:rPr>
              <w:t>（</w:t>
            </w:r>
            <w:r>
              <w:rPr>
                <w:w w:val="100"/>
                <w:sz w:val="21"/>
              </w:rPr>
              <w:t>2</w:t>
            </w:r>
            <w:r>
              <w:rPr>
                <w:spacing w:val="-5"/>
                <w:w w:val="100"/>
                <w:sz w:val="21"/>
              </w:rPr>
              <w:t>）</w:t>
            </w:r>
            <w:r>
              <w:rPr>
                <w:spacing w:val="-3"/>
                <w:w w:val="100"/>
                <w:sz w:val="21"/>
              </w:rPr>
              <w:t>移动：自己从</w:t>
            </w:r>
            <w:r>
              <w:rPr>
                <w:spacing w:val="-15"/>
                <w:w w:val="100"/>
                <w:sz w:val="21"/>
              </w:rPr>
              <w:t>一个房间到另一个房间；</w:t>
            </w:r>
            <w:r>
              <w:rPr>
                <w:spacing w:val="0"/>
                <w:w w:val="100"/>
                <w:sz w:val="21"/>
              </w:rPr>
              <w:t>（</w:t>
            </w:r>
            <w:r>
              <w:rPr>
                <w:w w:val="100"/>
                <w:sz w:val="21"/>
              </w:rPr>
              <w:t>3</w:t>
            </w:r>
            <w:r>
              <w:rPr>
                <w:spacing w:val="-10"/>
                <w:w w:val="100"/>
                <w:sz w:val="21"/>
              </w:rPr>
              <w:t>）</w:t>
            </w:r>
            <w:r>
              <w:rPr>
                <w:spacing w:val="-13"/>
                <w:w w:val="100"/>
                <w:sz w:val="21"/>
              </w:rPr>
              <w:t>行动：自己上下床或上下轮椅；</w:t>
            </w:r>
            <w:r>
              <w:rPr>
                <w:spacing w:val="0"/>
                <w:w w:val="100"/>
                <w:sz w:val="21"/>
              </w:rPr>
              <w:t>（</w:t>
            </w:r>
            <w:r>
              <w:rPr>
                <w:spacing w:val="-5"/>
                <w:w w:val="100"/>
                <w:sz w:val="21"/>
              </w:rPr>
              <w:t>4）</w:t>
            </w:r>
            <w:r>
              <w:rPr>
                <w:spacing w:val="-3"/>
                <w:w w:val="100"/>
                <w:sz w:val="21"/>
              </w:rPr>
              <w:t>如厕：自己控制</w:t>
            </w:r>
            <w:r>
              <w:rPr>
                <w:spacing w:val="-21"/>
                <w:w w:val="100"/>
                <w:sz w:val="21"/>
              </w:rPr>
              <w:t>进行大小便；</w:t>
            </w:r>
            <w:r>
              <w:rPr>
                <w:w w:val="100"/>
                <w:sz w:val="21"/>
              </w:rPr>
              <w:t>（5）</w:t>
            </w:r>
            <w:r>
              <w:rPr>
                <w:spacing w:val="-10"/>
                <w:w w:val="100"/>
                <w:sz w:val="21"/>
              </w:rPr>
              <w:t>进食：自己从已准备好的碗或碟中取食物放入口中；</w:t>
            </w:r>
            <w:r>
              <w:rPr>
                <w:spacing w:val="1"/>
                <w:w w:val="100"/>
                <w:sz w:val="21"/>
              </w:rPr>
              <w:t>（</w:t>
            </w:r>
            <w:r>
              <w:rPr>
                <w:spacing w:val="-5"/>
                <w:w w:val="100"/>
                <w:sz w:val="21"/>
              </w:rPr>
              <w:t>6</w:t>
            </w:r>
            <w:r>
              <w:rPr>
                <w:w w:val="100"/>
                <w:sz w:val="21"/>
              </w:rPr>
              <w:t>）</w:t>
            </w:r>
            <w:r>
              <w:rPr>
                <w:spacing w:val="-2"/>
                <w:w w:val="100"/>
                <w:sz w:val="21"/>
              </w:rPr>
              <w:t>洗澡：</w:t>
            </w:r>
            <w:r>
              <w:rPr>
                <w:spacing w:val="-4"/>
                <w:sz w:val="21"/>
              </w:rPr>
              <w:t>自己进行淋浴或盆浴。</w:t>
            </w:r>
          </w:p>
        </w:tc>
      </w:tr>
      <w:tr>
        <w:trPr>
          <w:trHeight w:val="763" w:hRule="atLeast"/>
        </w:trPr>
        <w:tc>
          <w:tcPr>
            <w:tcW w:w="942" w:type="dxa"/>
            <w:shd w:val="clear" w:color="auto" w:fill="CCFFCC"/>
          </w:tcPr>
          <w:p>
            <w:pPr>
              <w:pStyle w:val="TableParagraph"/>
              <w:spacing w:before="114"/>
              <w:ind w:left="200"/>
              <w:rPr>
                <w:b/>
                <w:sz w:val="21"/>
              </w:rPr>
            </w:pPr>
            <w:r>
              <w:rPr>
                <w:b/>
                <w:sz w:val="21"/>
              </w:rPr>
              <w:t>8.26</w:t>
            </w:r>
          </w:p>
        </w:tc>
        <w:tc>
          <w:tcPr>
            <w:tcW w:w="1328" w:type="dxa"/>
            <w:shd w:val="clear" w:color="auto" w:fill="CCFFCC"/>
          </w:tcPr>
          <w:p>
            <w:pPr>
              <w:pStyle w:val="TableParagraph"/>
              <w:spacing w:line="370" w:lineRule="atLeast" w:before="18"/>
              <w:ind w:left="319" w:right="161"/>
              <w:rPr>
                <w:b/>
                <w:sz w:val="21"/>
              </w:rPr>
            </w:pPr>
            <w:r>
              <w:rPr>
                <w:b/>
                <w:sz w:val="21"/>
              </w:rPr>
              <w:t>永久不可逆</w:t>
            </w:r>
          </w:p>
        </w:tc>
        <w:tc>
          <w:tcPr>
            <w:tcW w:w="8003" w:type="dxa"/>
            <w:shd w:val="clear" w:color="auto" w:fill="CCFFCC"/>
          </w:tcPr>
          <w:p>
            <w:pPr>
              <w:pStyle w:val="TableParagraph"/>
              <w:spacing w:line="273" w:lineRule="auto" w:before="80"/>
              <w:ind w:left="162" w:right="300"/>
              <w:rPr>
                <w:sz w:val="21"/>
              </w:rPr>
            </w:pPr>
            <w:r>
              <w:rPr>
                <w:spacing w:val="-7"/>
                <w:sz w:val="21"/>
              </w:rPr>
              <w:t>指自疾病确诊或意外伤害发生之日起，经过积极治疗 </w:t>
            </w:r>
            <w:r>
              <w:rPr>
                <w:sz w:val="21"/>
              </w:rPr>
              <w:t>180</w:t>
            </w:r>
            <w:r>
              <w:rPr>
                <w:spacing w:val="-8"/>
                <w:sz w:val="21"/>
              </w:rPr>
              <w:t> 天后，仍无法通过现有医</w:t>
            </w:r>
            <w:r>
              <w:rPr>
                <w:spacing w:val="-7"/>
                <w:sz w:val="21"/>
              </w:rPr>
              <w:t>疗手段恢复。</w:t>
            </w:r>
          </w:p>
        </w:tc>
      </w:tr>
    </w:tbl>
    <w:sectPr>
      <w:headerReference w:type="default" r:id="rId18"/>
      <w:pgSz w:w="11910" w:h="16840"/>
      <w:pgMar w:header="0" w:footer="377" w:top="0" w:bottom="56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99994pt;margin-top:808.049011pt;width:13.15pt;height:12.1pt;mso-position-horizontal-relative:page;mso-position-vertical-relative:page;z-index:-317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768" filled="true" fillcolor="#ccffcc"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528" filled="true" fillcolor="#ccffcc" stroked="false">
          <v:fill type="solid"/>
          <w10:wrap type="none"/>
        </v:rect>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504" filled="true" fillcolor="#ccffcc" stroked="false">
          <v:fill type="solid"/>
          <w10:wrap type="none"/>
        </v:rect>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480" filled="true" fillcolor="#ccffcc" stroked="false">
          <v:fill type="solid"/>
          <w10:wrap type="non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744" filled="true" fillcolor="#ccffcc" stroked="false">
          <v:fill type="solid"/>
          <w10:wrap type="non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696" filled="true" fillcolor="#ccffcc" stroked="false">
          <v:fill type="solid"/>
          <w10:wrap type="non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672" filled="true" fillcolor="#ccffcc" stroked="false">
          <v:fill type="solid"/>
          <w10:wrap type="none"/>
        </v:rec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648" filled="true" fillcolor="#ccffcc" stroked="false">
          <v:fill type="solid"/>
          <w10:wrap type="non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624" filled="true" fillcolor="#ccffcc" stroked="false">
          <v:fill type="solid"/>
          <w10:wrap type="none"/>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600" filled="true" fillcolor="#ccffcc" stroked="false">
          <v:fill type="solid"/>
          <w10:wrap type="none"/>
        </v:rect>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576" filled="true" fillcolor="#ccffcc" stroked="false">
          <v:fill type="solid"/>
          <w10:wrap type="none"/>
        </v:rect>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00012pt;height:841.919983pt;mso-position-horizontal-relative:page;mso-position-vertical-relative:page;z-index:-31552" filled="true" fillcolor="#ccffcc" stroked="false">
          <v:fill type="solid"/>
          <w10:wrap type="non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619" w:hanging="418"/>
        <w:jc w:val="left"/>
      </w:pPr>
      <w:rPr>
        <w:rFonts w:hint="default" w:ascii="仿宋" w:hAnsi="仿宋" w:eastAsia="仿宋" w:cs="仿宋"/>
        <w:w w:val="100"/>
        <w:sz w:val="21"/>
        <w:szCs w:val="21"/>
      </w:rPr>
    </w:lvl>
    <w:lvl w:ilvl="1">
      <w:start w:val="0"/>
      <w:numFmt w:val="bullet"/>
      <w:lvlText w:val="•"/>
      <w:lvlJc w:val="left"/>
      <w:pPr>
        <w:ind w:left="1347" w:hanging="418"/>
      </w:pPr>
      <w:rPr>
        <w:rFonts w:hint="default"/>
      </w:rPr>
    </w:lvl>
    <w:lvl w:ilvl="2">
      <w:start w:val="0"/>
      <w:numFmt w:val="bullet"/>
      <w:lvlText w:val="•"/>
      <w:lvlJc w:val="left"/>
      <w:pPr>
        <w:ind w:left="2075" w:hanging="418"/>
      </w:pPr>
      <w:rPr>
        <w:rFonts w:hint="default"/>
      </w:rPr>
    </w:lvl>
    <w:lvl w:ilvl="3">
      <w:start w:val="0"/>
      <w:numFmt w:val="bullet"/>
      <w:lvlText w:val="•"/>
      <w:lvlJc w:val="left"/>
      <w:pPr>
        <w:ind w:left="2803" w:hanging="418"/>
      </w:pPr>
      <w:rPr>
        <w:rFonts w:hint="default"/>
      </w:rPr>
    </w:lvl>
    <w:lvl w:ilvl="4">
      <w:start w:val="0"/>
      <w:numFmt w:val="bullet"/>
      <w:lvlText w:val="•"/>
      <w:lvlJc w:val="left"/>
      <w:pPr>
        <w:ind w:left="3531" w:hanging="418"/>
      </w:pPr>
      <w:rPr>
        <w:rFonts w:hint="default"/>
      </w:rPr>
    </w:lvl>
    <w:lvl w:ilvl="5">
      <w:start w:val="0"/>
      <w:numFmt w:val="bullet"/>
      <w:lvlText w:val="•"/>
      <w:lvlJc w:val="left"/>
      <w:pPr>
        <w:ind w:left="4259" w:hanging="418"/>
      </w:pPr>
      <w:rPr>
        <w:rFonts w:hint="default"/>
      </w:rPr>
    </w:lvl>
    <w:lvl w:ilvl="6">
      <w:start w:val="0"/>
      <w:numFmt w:val="bullet"/>
      <w:lvlText w:val="•"/>
      <w:lvlJc w:val="left"/>
      <w:pPr>
        <w:ind w:left="4987" w:hanging="418"/>
      </w:pPr>
      <w:rPr>
        <w:rFonts w:hint="default"/>
      </w:rPr>
    </w:lvl>
    <w:lvl w:ilvl="7">
      <w:start w:val="0"/>
      <w:numFmt w:val="bullet"/>
      <w:lvlText w:val="•"/>
      <w:lvlJc w:val="left"/>
      <w:pPr>
        <w:ind w:left="5715" w:hanging="418"/>
      </w:pPr>
      <w:rPr>
        <w:rFonts w:hint="default"/>
      </w:rPr>
    </w:lvl>
    <w:lvl w:ilvl="8">
      <w:start w:val="0"/>
      <w:numFmt w:val="bullet"/>
      <w:lvlText w:val="•"/>
      <w:lvlJc w:val="left"/>
      <w:pPr>
        <w:ind w:left="6443" w:hanging="418"/>
      </w:pPr>
      <w:rPr>
        <w:rFonts w:hint="default"/>
      </w:rPr>
    </w:lvl>
  </w:abstractNum>
  <w:abstractNum w:abstractNumId="20">
    <w:multiLevelType w:val="hybridMultilevel"/>
    <w:lvl w:ilvl="0">
      <w:start w:val="1"/>
      <w:numFmt w:val="decimal"/>
      <w:lvlText w:val="(%1)"/>
      <w:lvlJc w:val="left"/>
      <w:pPr>
        <w:ind w:left="619" w:hanging="418"/>
        <w:jc w:val="left"/>
      </w:pPr>
      <w:rPr>
        <w:rFonts w:hint="default" w:ascii="仿宋" w:hAnsi="仿宋" w:eastAsia="仿宋" w:cs="仿宋"/>
        <w:w w:val="100"/>
        <w:sz w:val="21"/>
        <w:szCs w:val="21"/>
      </w:rPr>
    </w:lvl>
    <w:lvl w:ilvl="1">
      <w:start w:val="0"/>
      <w:numFmt w:val="bullet"/>
      <w:lvlText w:val="•"/>
      <w:lvlJc w:val="left"/>
      <w:pPr>
        <w:ind w:left="1347" w:hanging="418"/>
      </w:pPr>
      <w:rPr>
        <w:rFonts w:hint="default"/>
      </w:rPr>
    </w:lvl>
    <w:lvl w:ilvl="2">
      <w:start w:val="0"/>
      <w:numFmt w:val="bullet"/>
      <w:lvlText w:val="•"/>
      <w:lvlJc w:val="left"/>
      <w:pPr>
        <w:ind w:left="2075" w:hanging="418"/>
      </w:pPr>
      <w:rPr>
        <w:rFonts w:hint="default"/>
      </w:rPr>
    </w:lvl>
    <w:lvl w:ilvl="3">
      <w:start w:val="0"/>
      <w:numFmt w:val="bullet"/>
      <w:lvlText w:val="•"/>
      <w:lvlJc w:val="left"/>
      <w:pPr>
        <w:ind w:left="2803" w:hanging="418"/>
      </w:pPr>
      <w:rPr>
        <w:rFonts w:hint="default"/>
      </w:rPr>
    </w:lvl>
    <w:lvl w:ilvl="4">
      <w:start w:val="0"/>
      <w:numFmt w:val="bullet"/>
      <w:lvlText w:val="•"/>
      <w:lvlJc w:val="left"/>
      <w:pPr>
        <w:ind w:left="3531" w:hanging="418"/>
      </w:pPr>
      <w:rPr>
        <w:rFonts w:hint="default"/>
      </w:rPr>
    </w:lvl>
    <w:lvl w:ilvl="5">
      <w:start w:val="0"/>
      <w:numFmt w:val="bullet"/>
      <w:lvlText w:val="•"/>
      <w:lvlJc w:val="left"/>
      <w:pPr>
        <w:ind w:left="4259" w:hanging="418"/>
      </w:pPr>
      <w:rPr>
        <w:rFonts w:hint="default"/>
      </w:rPr>
    </w:lvl>
    <w:lvl w:ilvl="6">
      <w:start w:val="0"/>
      <w:numFmt w:val="bullet"/>
      <w:lvlText w:val="•"/>
      <w:lvlJc w:val="left"/>
      <w:pPr>
        <w:ind w:left="4987" w:hanging="418"/>
      </w:pPr>
      <w:rPr>
        <w:rFonts w:hint="default"/>
      </w:rPr>
    </w:lvl>
    <w:lvl w:ilvl="7">
      <w:start w:val="0"/>
      <w:numFmt w:val="bullet"/>
      <w:lvlText w:val="•"/>
      <w:lvlJc w:val="left"/>
      <w:pPr>
        <w:ind w:left="5715" w:hanging="418"/>
      </w:pPr>
      <w:rPr>
        <w:rFonts w:hint="default"/>
      </w:rPr>
    </w:lvl>
    <w:lvl w:ilvl="8">
      <w:start w:val="0"/>
      <w:numFmt w:val="bullet"/>
      <w:lvlText w:val="•"/>
      <w:lvlJc w:val="left"/>
      <w:pPr>
        <w:ind w:left="6443" w:hanging="418"/>
      </w:pPr>
      <w:rPr>
        <w:rFonts w:hint="default"/>
      </w:rPr>
    </w:lvl>
  </w:abstractNum>
  <w:abstractNum w:abstractNumId="19">
    <w:multiLevelType w:val="hybridMultilevel"/>
    <w:lvl w:ilvl="0">
      <w:start w:val="1"/>
      <w:numFmt w:val="decimal"/>
      <w:lvlText w:val="(%1)"/>
      <w:lvlJc w:val="left"/>
      <w:pPr>
        <w:ind w:left="619" w:hanging="418"/>
        <w:jc w:val="left"/>
      </w:pPr>
      <w:rPr>
        <w:rFonts w:hint="default" w:ascii="仿宋" w:hAnsi="仿宋" w:eastAsia="仿宋" w:cs="仿宋"/>
        <w:w w:val="100"/>
        <w:sz w:val="21"/>
        <w:szCs w:val="21"/>
      </w:rPr>
    </w:lvl>
    <w:lvl w:ilvl="1">
      <w:start w:val="0"/>
      <w:numFmt w:val="bullet"/>
      <w:lvlText w:val="•"/>
      <w:lvlJc w:val="left"/>
      <w:pPr>
        <w:ind w:left="1347" w:hanging="418"/>
      </w:pPr>
      <w:rPr>
        <w:rFonts w:hint="default"/>
      </w:rPr>
    </w:lvl>
    <w:lvl w:ilvl="2">
      <w:start w:val="0"/>
      <w:numFmt w:val="bullet"/>
      <w:lvlText w:val="•"/>
      <w:lvlJc w:val="left"/>
      <w:pPr>
        <w:ind w:left="2075" w:hanging="418"/>
      </w:pPr>
      <w:rPr>
        <w:rFonts w:hint="default"/>
      </w:rPr>
    </w:lvl>
    <w:lvl w:ilvl="3">
      <w:start w:val="0"/>
      <w:numFmt w:val="bullet"/>
      <w:lvlText w:val="•"/>
      <w:lvlJc w:val="left"/>
      <w:pPr>
        <w:ind w:left="2803" w:hanging="418"/>
      </w:pPr>
      <w:rPr>
        <w:rFonts w:hint="default"/>
      </w:rPr>
    </w:lvl>
    <w:lvl w:ilvl="4">
      <w:start w:val="0"/>
      <w:numFmt w:val="bullet"/>
      <w:lvlText w:val="•"/>
      <w:lvlJc w:val="left"/>
      <w:pPr>
        <w:ind w:left="3531" w:hanging="418"/>
      </w:pPr>
      <w:rPr>
        <w:rFonts w:hint="default"/>
      </w:rPr>
    </w:lvl>
    <w:lvl w:ilvl="5">
      <w:start w:val="0"/>
      <w:numFmt w:val="bullet"/>
      <w:lvlText w:val="•"/>
      <w:lvlJc w:val="left"/>
      <w:pPr>
        <w:ind w:left="4259" w:hanging="418"/>
      </w:pPr>
      <w:rPr>
        <w:rFonts w:hint="default"/>
      </w:rPr>
    </w:lvl>
    <w:lvl w:ilvl="6">
      <w:start w:val="0"/>
      <w:numFmt w:val="bullet"/>
      <w:lvlText w:val="•"/>
      <w:lvlJc w:val="left"/>
      <w:pPr>
        <w:ind w:left="4987" w:hanging="418"/>
      </w:pPr>
      <w:rPr>
        <w:rFonts w:hint="default"/>
      </w:rPr>
    </w:lvl>
    <w:lvl w:ilvl="7">
      <w:start w:val="0"/>
      <w:numFmt w:val="bullet"/>
      <w:lvlText w:val="•"/>
      <w:lvlJc w:val="left"/>
      <w:pPr>
        <w:ind w:left="5715" w:hanging="418"/>
      </w:pPr>
      <w:rPr>
        <w:rFonts w:hint="default"/>
      </w:rPr>
    </w:lvl>
    <w:lvl w:ilvl="8">
      <w:start w:val="0"/>
      <w:numFmt w:val="bullet"/>
      <w:lvlText w:val="•"/>
      <w:lvlJc w:val="left"/>
      <w:pPr>
        <w:ind w:left="6443" w:hanging="418"/>
      </w:pPr>
      <w:rPr>
        <w:rFonts w:hint="default"/>
      </w:rPr>
    </w:lvl>
  </w:abstractNum>
  <w:abstractNum w:abstractNumId="18">
    <w:multiLevelType w:val="hybridMultilevel"/>
    <w:lvl w:ilvl="0">
      <w:start w:val="1"/>
      <w:numFmt w:val="decimal"/>
      <w:lvlText w:val="(%1)"/>
      <w:lvlJc w:val="left"/>
      <w:pPr>
        <w:ind w:left="619" w:hanging="418"/>
        <w:jc w:val="left"/>
      </w:pPr>
      <w:rPr>
        <w:rFonts w:hint="default" w:ascii="仿宋" w:hAnsi="仿宋" w:eastAsia="仿宋" w:cs="仿宋"/>
        <w:w w:val="100"/>
        <w:sz w:val="21"/>
        <w:szCs w:val="21"/>
      </w:rPr>
    </w:lvl>
    <w:lvl w:ilvl="1">
      <w:start w:val="0"/>
      <w:numFmt w:val="bullet"/>
      <w:lvlText w:val="•"/>
      <w:lvlJc w:val="left"/>
      <w:pPr>
        <w:ind w:left="1347" w:hanging="418"/>
      </w:pPr>
      <w:rPr>
        <w:rFonts w:hint="default"/>
      </w:rPr>
    </w:lvl>
    <w:lvl w:ilvl="2">
      <w:start w:val="0"/>
      <w:numFmt w:val="bullet"/>
      <w:lvlText w:val="•"/>
      <w:lvlJc w:val="left"/>
      <w:pPr>
        <w:ind w:left="2075" w:hanging="418"/>
      </w:pPr>
      <w:rPr>
        <w:rFonts w:hint="default"/>
      </w:rPr>
    </w:lvl>
    <w:lvl w:ilvl="3">
      <w:start w:val="0"/>
      <w:numFmt w:val="bullet"/>
      <w:lvlText w:val="•"/>
      <w:lvlJc w:val="left"/>
      <w:pPr>
        <w:ind w:left="2803" w:hanging="418"/>
      </w:pPr>
      <w:rPr>
        <w:rFonts w:hint="default"/>
      </w:rPr>
    </w:lvl>
    <w:lvl w:ilvl="4">
      <w:start w:val="0"/>
      <w:numFmt w:val="bullet"/>
      <w:lvlText w:val="•"/>
      <w:lvlJc w:val="left"/>
      <w:pPr>
        <w:ind w:left="3531" w:hanging="418"/>
      </w:pPr>
      <w:rPr>
        <w:rFonts w:hint="default"/>
      </w:rPr>
    </w:lvl>
    <w:lvl w:ilvl="5">
      <w:start w:val="0"/>
      <w:numFmt w:val="bullet"/>
      <w:lvlText w:val="•"/>
      <w:lvlJc w:val="left"/>
      <w:pPr>
        <w:ind w:left="4259" w:hanging="418"/>
      </w:pPr>
      <w:rPr>
        <w:rFonts w:hint="default"/>
      </w:rPr>
    </w:lvl>
    <w:lvl w:ilvl="6">
      <w:start w:val="0"/>
      <w:numFmt w:val="bullet"/>
      <w:lvlText w:val="•"/>
      <w:lvlJc w:val="left"/>
      <w:pPr>
        <w:ind w:left="4987" w:hanging="418"/>
      </w:pPr>
      <w:rPr>
        <w:rFonts w:hint="default"/>
      </w:rPr>
    </w:lvl>
    <w:lvl w:ilvl="7">
      <w:start w:val="0"/>
      <w:numFmt w:val="bullet"/>
      <w:lvlText w:val="•"/>
      <w:lvlJc w:val="left"/>
      <w:pPr>
        <w:ind w:left="5715" w:hanging="418"/>
      </w:pPr>
      <w:rPr>
        <w:rFonts w:hint="default"/>
      </w:rPr>
    </w:lvl>
    <w:lvl w:ilvl="8">
      <w:start w:val="0"/>
      <w:numFmt w:val="bullet"/>
      <w:lvlText w:val="•"/>
      <w:lvlJc w:val="left"/>
      <w:pPr>
        <w:ind w:left="6443" w:hanging="418"/>
      </w:pPr>
      <w:rPr>
        <w:rFonts w:hint="default"/>
      </w:rPr>
    </w:lvl>
  </w:abstractNum>
  <w:abstractNum w:abstractNumId="17">
    <w:multiLevelType w:val="hybridMultilevel"/>
    <w:lvl w:ilvl="0">
      <w:start w:val="1"/>
      <w:numFmt w:val="decimal"/>
      <w:lvlText w:val="(%1)"/>
      <w:lvlJc w:val="left"/>
      <w:pPr>
        <w:ind w:left="648" w:hanging="418"/>
        <w:jc w:val="left"/>
      </w:pPr>
      <w:rPr>
        <w:rFonts w:hint="default" w:ascii="仿宋" w:hAnsi="仿宋" w:eastAsia="仿宋" w:cs="仿宋"/>
        <w:w w:val="100"/>
        <w:sz w:val="21"/>
        <w:szCs w:val="21"/>
      </w:rPr>
    </w:lvl>
    <w:lvl w:ilvl="1">
      <w:start w:val="0"/>
      <w:numFmt w:val="bullet"/>
      <w:lvlText w:val="•"/>
      <w:lvlJc w:val="left"/>
      <w:pPr>
        <w:ind w:left="1368" w:hanging="418"/>
      </w:pPr>
      <w:rPr>
        <w:rFonts w:hint="default"/>
      </w:rPr>
    </w:lvl>
    <w:lvl w:ilvl="2">
      <w:start w:val="0"/>
      <w:numFmt w:val="bullet"/>
      <w:lvlText w:val="•"/>
      <w:lvlJc w:val="left"/>
      <w:pPr>
        <w:ind w:left="2097" w:hanging="418"/>
      </w:pPr>
      <w:rPr>
        <w:rFonts w:hint="default"/>
      </w:rPr>
    </w:lvl>
    <w:lvl w:ilvl="3">
      <w:start w:val="0"/>
      <w:numFmt w:val="bullet"/>
      <w:lvlText w:val="•"/>
      <w:lvlJc w:val="left"/>
      <w:pPr>
        <w:ind w:left="2825" w:hanging="418"/>
      </w:pPr>
      <w:rPr>
        <w:rFonts w:hint="default"/>
      </w:rPr>
    </w:lvl>
    <w:lvl w:ilvl="4">
      <w:start w:val="0"/>
      <w:numFmt w:val="bullet"/>
      <w:lvlText w:val="•"/>
      <w:lvlJc w:val="left"/>
      <w:pPr>
        <w:ind w:left="3554" w:hanging="418"/>
      </w:pPr>
      <w:rPr>
        <w:rFonts w:hint="default"/>
      </w:rPr>
    </w:lvl>
    <w:lvl w:ilvl="5">
      <w:start w:val="0"/>
      <w:numFmt w:val="bullet"/>
      <w:lvlText w:val="•"/>
      <w:lvlJc w:val="left"/>
      <w:pPr>
        <w:ind w:left="4283" w:hanging="418"/>
      </w:pPr>
      <w:rPr>
        <w:rFonts w:hint="default"/>
      </w:rPr>
    </w:lvl>
    <w:lvl w:ilvl="6">
      <w:start w:val="0"/>
      <w:numFmt w:val="bullet"/>
      <w:lvlText w:val="•"/>
      <w:lvlJc w:val="left"/>
      <w:pPr>
        <w:ind w:left="5011" w:hanging="418"/>
      </w:pPr>
      <w:rPr>
        <w:rFonts w:hint="default"/>
      </w:rPr>
    </w:lvl>
    <w:lvl w:ilvl="7">
      <w:start w:val="0"/>
      <w:numFmt w:val="bullet"/>
      <w:lvlText w:val="•"/>
      <w:lvlJc w:val="left"/>
      <w:pPr>
        <w:ind w:left="5740" w:hanging="418"/>
      </w:pPr>
      <w:rPr>
        <w:rFonts w:hint="default"/>
      </w:rPr>
    </w:lvl>
    <w:lvl w:ilvl="8">
      <w:start w:val="0"/>
      <w:numFmt w:val="bullet"/>
      <w:lvlText w:val="•"/>
      <w:lvlJc w:val="left"/>
      <w:pPr>
        <w:ind w:left="6468" w:hanging="418"/>
      </w:pPr>
      <w:rPr>
        <w:rFonts w:hint="default"/>
      </w:rPr>
    </w:lvl>
  </w:abstractNum>
  <w:abstractNum w:abstractNumId="16">
    <w:multiLevelType w:val="hybridMultilevel"/>
    <w:lvl w:ilvl="0">
      <w:start w:val="1"/>
      <w:numFmt w:val="decimal"/>
      <w:lvlText w:val="(%1)"/>
      <w:lvlJc w:val="left"/>
      <w:pPr>
        <w:ind w:left="648" w:hanging="418"/>
        <w:jc w:val="left"/>
      </w:pPr>
      <w:rPr>
        <w:rFonts w:hint="default" w:ascii="仿宋" w:hAnsi="仿宋" w:eastAsia="仿宋" w:cs="仿宋"/>
        <w:w w:val="100"/>
        <w:sz w:val="21"/>
        <w:szCs w:val="21"/>
      </w:rPr>
    </w:lvl>
    <w:lvl w:ilvl="1">
      <w:start w:val="0"/>
      <w:numFmt w:val="bullet"/>
      <w:lvlText w:val="•"/>
      <w:lvlJc w:val="left"/>
      <w:pPr>
        <w:ind w:left="1368" w:hanging="418"/>
      </w:pPr>
      <w:rPr>
        <w:rFonts w:hint="default"/>
      </w:rPr>
    </w:lvl>
    <w:lvl w:ilvl="2">
      <w:start w:val="0"/>
      <w:numFmt w:val="bullet"/>
      <w:lvlText w:val="•"/>
      <w:lvlJc w:val="left"/>
      <w:pPr>
        <w:ind w:left="2097" w:hanging="418"/>
      </w:pPr>
      <w:rPr>
        <w:rFonts w:hint="default"/>
      </w:rPr>
    </w:lvl>
    <w:lvl w:ilvl="3">
      <w:start w:val="0"/>
      <w:numFmt w:val="bullet"/>
      <w:lvlText w:val="•"/>
      <w:lvlJc w:val="left"/>
      <w:pPr>
        <w:ind w:left="2825" w:hanging="418"/>
      </w:pPr>
      <w:rPr>
        <w:rFonts w:hint="default"/>
      </w:rPr>
    </w:lvl>
    <w:lvl w:ilvl="4">
      <w:start w:val="0"/>
      <w:numFmt w:val="bullet"/>
      <w:lvlText w:val="•"/>
      <w:lvlJc w:val="left"/>
      <w:pPr>
        <w:ind w:left="3554" w:hanging="418"/>
      </w:pPr>
      <w:rPr>
        <w:rFonts w:hint="default"/>
      </w:rPr>
    </w:lvl>
    <w:lvl w:ilvl="5">
      <w:start w:val="0"/>
      <w:numFmt w:val="bullet"/>
      <w:lvlText w:val="•"/>
      <w:lvlJc w:val="left"/>
      <w:pPr>
        <w:ind w:left="4283" w:hanging="418"/>
      </w:pPr>
      <w:rPr>
        <w:rFonts w:hint="default"/>
      </w:rPr>
    </w:lvl>
    <w:lvl w:ilvl="6">
      <w:start w:val="0"/>
      <w:numFmt w:val="bullet"/>
      <w:lvlText w:val="•"/>
      <w:lvlJc w:val="left"/>
      <w:pPr>
        <w:ind w:left="5011" w:hanging="418"/>
      </w:pPr>
      <w:rPr>
        <w:rFonts w:hint="default"/>
      </w:rPr>
    </w:lvl>
    <w:lvl w:ilvl="7">
      <w:start w:val="0"/>
      <w:numFmt w:val="bullet"/>
      <w:lvlText w:val="•"/>
      <w:lvlJc w:val="left"/>
      <w:pPr>
        <w:ind w:left="5740" w:hanging="418"/>
      </w:pPr>
      <w:rPr>
        <w:rFonts w:hint="default"/>
      </w:rPr>
    </w:lvl>
    <w:lvl w:ilvl="8">
      <w:start w:val="0"/>
      <w:numFmt w:val="bullet"/>
      <w:lvlText w:val="•"/>
      <w:lvlJc w:val="left"/>
      <w:pPr>
        <w:ind w:left="6468" w:hanging="418"/>
      </w:pPr>
      <w:rPr>
        <w:rFonts w:hint="default"/>
      </w:rPr>
    </w:lvl>
  </w:abstractNum>
  <w:abstractNum w:abstractNumId="15">
    <w:multiLevelType w:val="hybridMultilevel"/>
    <w:lvl w:ilvl="0">
      <w:start w:val="1"/>
      <w:numFmt w:val="decimal"/>
      <w:lvlText w:val="(%1)"/>
      <w:lvlJc w:val="left"/>
      <w:pPr>
        <w:ind w:left="648" w:hanging="418"/>
        <w:jc w:val="left"/>
      </w:pPr>
      <w:rPr>
        <w:rFonts w:hint="default"/>
        <w:w w:val="100"/>
      </w:rPr>
    </w:lvl>
    <w:lvl w:ilvl="1">
      <w:start w:val="0"/>
      <w:numFmt w:val="bullet"/>
      <w:lvlText w:val="•"/>
      <w:lvlJc w:val="left"/>
      <w:pPr>
        <w:ind w:left="1368" w:hanging="418"/>
      </w:pPr>
      <w:rPr>
        <w:rFonts w:hint="default"/>
      </w:rPr>
    </w:lvl>
    <w:lvl w:ilvl="2">
      <w:start w:val="0"/>
      <w:numFmt w:val="bullet"/>
      <w:lvlText w:val="•"/>
      <w:lvlJc w:val="left"/>
      <w:pPr>
        <w:ind w:left="2097" w:hanging="418"/>
      </w:pPr>
      <w:rPr>
        <w:rFonts w:hint="default"/>
      </w:rPr>
    </w:lvl>
    <w:lvl w:ilvl="3">
      <w:start w:val="0"/>
      <w:numFmt w:val="bullet"/>
      <w:lvlText w:val="•"/>
      <w:lvlJc w:val="left"/>
      <w:pPr>
        <w:ind w:left="2825" w:hanging="418"/>
      </w:pPr>
      <w:rPr>
        <w:rFonts w:hint="default"/>
      </w:rPr>
    </w:lvl>
    <w:lvl w:ilvl="4">
      <w:start w:val="0"/>
      <w:numFmt w:val="bullet"/>
      <w:lvlText w:val="•"/>
      <w:lvlJc w:val="left"/>
      <w:pPr>
        <w:ind w:left="3554" w:hanging="418"/>
      </w:pPr>
      <w:rPr>
        <w:rFonts w:hint="default"/>
      </w:rPr>
    </w:lvl>
    <w:lvl w:ilvl="5">
      <w:start w:val="0"/>
      <w:numFmt w:val="bullet"/>
      <w:lvlText w:val="•"/>
      <w:lvlJc w:val="left"/>
      <w:pPr>
        <w:ind w:left="4283" w:hanging="418"/>
      </w:pPr>
      <w:rPr>
        <w:rFonts w:hint="default"/>
      </w:rPr>
    </w:lvl>
    <w:lvl w:ilvl="6">
      <w:start w:val="0"/>
      <w:numFmt w:val="bullet"/>
      <w:lvlText w:val="•"/>
      <w:lvlJc w:val="left"/>
      <w:pPr>
        <w:ind w:left="5011" w:hanging="418"/>
      </w:pPr>
      <w:rPr>
        <w:rFonts w:hint="default"/>
      </w:rPr>
    </w:lvl>
    <w:lvl w:ilvl="7">
      <w:start w:val="0"/>
      <w:numFmt w:val="bullet"/>
      <w:lvlText w:val="•"/>
      <w:lvlJc w:val="left"/>
      <w:pPr>
        <w:ind w:left="5740" w:hanging="418"/>
      </w:pPr>
      <w:rPr>
        <w:rFonts w:hint="default"/>
      </w:rPr>
    </w:lvl>
    <w:lvl w:ilvl="8">
      <w:start w:val="0"/>
      <w:numFmt w:val="bullet"/>
      <w:lvlText w:val="•"/>
      <w:lvlJc w:val="left"/>
      <w:pPr>
        <w:ind w:left="6468" w:hanging="418"/>
      </w:pPr>
      <w:rPr>
        <w:rFonts w:hint="default"/>
      </w:rPr>
    </w:lvl>
  </w:abstractNum>
  <w:abstractNum w:abstractNumId="14">
    <w:multiLevelType w:val="hybridMultilevel"/>
    <w:lvl w:ilvl="0">
      <w:start w:val="1"/>
      <w:numFmt w:val="decimal"/>
      <w:lvlText w:val="（%1）"/>
      <w:lvlJc w:val="left"/>
      <w:pPr>
        <w:ind w:left="711" w:hanging="624"/>
        <w:jc w:val="left"/>
      </w:pPr>
      <w:rPr>
        <w:rFonts w:hint="default"/>
        <w:spacing w:val="-3"/>
        <w:w w:val="100"/>
      </w:rPr>
    </w:lvl>
    <w:lvl w:ilvl="1">
      <w:start w:val="0"/>
      <w:numFmt w:val="bullet"/>
      <w:lvlText w:val="•"/>
      <w:lvlJc w:val="left"/>
      <w:pPr>
        <w:ind w:left="1420" w:hanging="624"/>
      </w:pPr>
      <w:rPr>
        <w:rFonts w:hint="default"/>
      </w:rPr>
    </w:lvl>
    <w:lvl w:ilvl="2">
      <w:start w:val="0"/>
      <w:numFmt w:val="bullet"/>
      <w:lvlText w:val="•"/>
      <w:lvlJc w:val="left"/>
      <w:pPr>
        <w:ind w:left="2121" w:hanging="624"/>
      </w:pPr>
      <w:rPr>
        <w:rFonts w:hint="default"/>
      </w:rPr>
    </w:lvl>
    <w:lvl w:ilvl="3">
      <w:start w:val="0"/>
      <w:numFmt w:val="bullet"/>
      <w:lvlText w:val="•"/>
      <w:lvlJc w:val="left"/>
      <w:pPr>
        <w:ind w:left="2821" w:hanging="624"/>
      </w:pPr>
      <w:rPr>
        <w:rFonts w:hint="default"/>
      </w:rPr>
    </w:lvl>
    <w:lvl w:ilvl="4">
      <w:start w:val="0"/>
      <w:numFmt w:val="bullet"/>
      <w:lvlText w:val="•"/>
      <w:lvlJc w:val="left"/>
      <w:pPr>
        <w:ind w:left="3522" w:hanging="624"/>
      </w:pPr>
      <w:rPr>
        <w:rFonts w:hint="default"/>
      </w:rPr>
    </w:lvl>
    <w:lvl w:ilvl="5">
      <w:start w:val="0"/>
      <w:numFmt w:val="bullet"/>
      <w:lvlText w:val="•"/>
      <w:lvlJc w:val="left"/>
      <w:pPr>
        <w:ind w:left="4223" w:hanging="624"/>
      </w:pPr>
      <w:rPr>
        <w:rFonts w:hint="default"/>
      </w:rPr>
    </w:lvl>
    <w:lvl w:ilvl="6">
      <w:start w:val="0"/>
      <w:numFmt w:val="bullet"/>
      <w:lvlText w:val="•"/>
      <w:lvlJc w:val="left"/>
      <w:pPr>
        <w:ind w:left="4923" w:hanging="624"/>
      </w:pPr>
      <w:rPr>
        <w:rFonts w:hint="default"/>
      </w:rPr>
    </w:lvl>
    <w:lvl w:ilvl="7">
      <w:start w:val="0"/>
      <w:numFmt w:val="bullet"/>
      <w:lvlText w:val="•"/>
      <w:lvlJc w:val="left"/>
      <w:pPr>
        <w:ind w:left="5624" w:hanging="624"/>
      </w:pPr>
      <w:rPr>
        <w:rFonts w:hint="default"/>
      </w:rPr>
    </w:lvl>
    <w:lvl w:ilvl="8">
      <w:start w:val="0"/>
      <w:numFmt w:val="bullet"/>
      <w:lvlText w:val="•"/>
      <w:lvlJc w:val="left"/>
      <w:pPr>
        <w:ind w:left="6324" w:hanging="624"/>
      </w:pPr>
      <w:rPr>
        <w:rFonts w:hint="default"/>
      </w:rPr>
    </w:lvl>
  </w:abstractNum>
  <w:abstractNum w:abstractNumId="13">
    <w:multiLevelType w:val="hybridMultilevel"/>
    <w:lvl w:ilvl="0">
      <w:start w:val="1"/>
      <w:numFmt w:val="decimal"/>
      <w:lvlText w:val="（%1）"/>
      <w:lvlJc w:val="left"/>
      <w:pPr>
        <w:ind w:left="788" w:hanging="624"/>
        <w:jc w:val="left"/>
      </w:pPr>
      <w:rPr>
        <w:rFonts w:hint="default" w:ascii="仿宋" w:hAnsi="仿宋" w:eastAsia="仿宋" w:cs="仿宋"/>
        <w:spacing w:val="-3"/>
        <w:w w:val="100"/>
        <w:sz w:val="21"/>
        <w:szCs w:val="21"/>
      </w:rPr>
    </w:lvl>
    <w:lvl w:ilvl="1">
      <w:start w:val="0"/>
      <w:numFmt w:val="bullet"/>
      <w:lvlText w:val="•"/>
      <w:lvlJc w:val="left"/>
      <w:pPr>
        <w:ind w:left="1482" w:hanging="624"/>
      </w:pPr>
      <w:rPr>
        <w:rFonts w:hint="default"/>
      </w:rPr>
    </w:lvl>
    <w:lvl w:ilvl="2">
      <w:start w:val="0"/>
      <w:numFmt w:val="bullet"/>
      <w:lvlText w:val="•"/>
      <w:lvlJc w:val="left"/>
      <w:pPr>
        <w:ind w:left="2184" w:hanging="624"/>
      </w:pPr>
      <w:rPr>
        <w:rFonts w:hint="default"/>
      </w:rPr>
    </w:lvl>
    <w:lvl w:ilvl="3">
      <w:start w:val="0"/>
      <w:numFmt w:val="bullet"/>
      <w:lvlText w:val="•"/>
      <w:lvlJc w:val="left"/>
      <w:pPr>
        <w:ind w:left="2886" w:hanging="624"/>
      </w:pPr>
      <w:rPr>
        <w:rFonts w:hint="default"/>
      </w:rPr>
    </w:lvl>
    <w:lvl w:ilvl="4">
      <w:start w:val="0"/>
      <w:numFmt w:val="bullet"/>
      <w:lvlText w:val="•"/>
      <w:lvlJc w:val="left"/>
      <w:pPr>
        <w:ind w:left="3589" w:hanging="624"/>
      </w:pPr>
      <w:rPr>
        <w:rFonts w:hint="default"/>
      </w:rPr>
    </w:lvl>
    <w:lvl w:ilvl="5">
      <w:start w:val="0"/>
      <w:numFmt w:val="bullet"/>
      <w:lvlText w:val="•"/>
      <w:lvlJc w:val="left"/>
      <w:pPr>
        <w:ind w:left="4291" w:hanging="624"/>
      </w:pPr>
      <w:rPr>
        <w:rFonts w:hint="default"/>
      </w:rPr>
    </w:lvl>
    <w:lvl w:ilvl="6">
      <w:start w:val="0"/>
      <w:numFmt w:val="bullet"/>
      <w:lvlText w:val="•"/>
      <w:lvlJc w:val="left"/>
      <w:pPr>
        <w:ind w:left="4993" w:hanging="624"/>
      </w:pPr>
      <w:rPr>
        <w:rFonts w:hint="default"/>
      </w:rPr>
    </w:lvl>
    <w:lvl w:ilvl="7">
      <w:start w:val="0"/>
      <w:numFmt w:val="bullet"/>
      <w:lvlText w:val="•"/>
      <w:lvlJc w:val="left"/>
      <w:pPr>
        <w:ind w:left="5696" w:hanging="624"/>
      </w:pPr>
      <w:rPr>
        <w:rFonts w:hint="default"/>
      </w:rPr>
    </w:lvl>
    <w:lvl w:ilvl="8">
      <w:start w:val="0"/>
      <w:numFmt w:val="bullet"/>
      <w:lvlText w:val="•"/>
      <w:lvlJc w:val="left"/>
      <w:pPr>
        <w:ind w:left="6398" w:hanging="624"/>
      </w:pPr>
      <w:rPr>
        <w:rFonts w:hint="default"/>
      </w:rPr>
    </w:lvl>
  </w:abstractNum>
  <w:abstractNum w:abstractNumId="12">
    <w:multiLevelType w:val="hybridMultilevel"/>
    <w:lvl w:ilvl="0">
      <w:start w:val="1"/>
      <w:numFmt w:val="decimal"/>
      <w:lvlText w:val="（%1）"/>
      <w:lvlJc w:val="left"/>
      <w:pPr>
        <w:ind w:left="788" w:hanging="624"/>
        <w:jc w:val="left"/>
      </w:pPr>
      <w:rPr>
        <w:rFonts w:hint="default" w:ascii="仿宋" w:hAnsi="仿宋" w:eastAsia="仿宋" w:cs="仿宋"/>
        <w:spacing w:val="-3"/>
        <w:w w:val="100"/>
        <w:sz w:val="21"/>
        <w:szCs w:val="21"/>
      </w:rPr>
    </w:lvl>
    <w:lvl w:ilvl="1">
      <w:start w:val="0"/>
      <w:numFmt w:val="bullet"/>
      <w:lvlText w:val="•"/>
      <w:lvlJc w:val="left"/>
      <w:pPr>
        <w:ind w:left="1482" w:hanging="624"/>
      </w:pPr>
      <w:rPr>
        <w:rFonts w:hint="default"/>
      </w:rPr>
    </w:lvl>
    <w:lvl w:ilvl="2">
      <w:start w:val="0"/>
      <w:numFmt w:val="bullet"/>
      <w:lvlText w:val="•"/>
      <w:lvlJc w:val="left"/>
      <w:pPr>
        <w:ind w:left="2184" w:hanging="624"/>
      </w:pPr>
      <w:rPr>
        <w:rFonts w:hint="default"/>
      </w:rPr>
    </w:lvl>
    <w:lvl w:ilvl="3">
      <w:start w:val="0"/>
      <w:numFmt w:val="bullet"/>
      <w:lvlText w:val="•"/>
      <w:lvlJc w:val="left"/>
      <w:pPr>
        <w:ind w:left="2886" w:hanging="624"/>
      </w:pPr>
      <w:rPr>
        <w:rFonts w:hint="default"/>
      </w:rPr>
    </w:lvl>
    <w:lvl w:ilvl="4">
      <w:start w:val="0"/>
      <w:numFmt w:val="bullet"/>
      <w:lvlText w:val="•"/>
      <w:lvlJc w:val="left"/>
      <w:pPr>
        <w:ind w:left="3589" w:hanging="624"/>
      </w:pPr>
      <w:rPr>
        <w:rFonts w:hint="default"/>
      </w:rPr>
    </w:lvl>
    <w:lvl w:ilvl="5">
      <w:start w:val="0"/>
      <w:numFmt w:val="bullet"/>
      <w:lvlText w:val="•"/>
      <w:lvlJc w:val="left"/>
      <w:pPr>
        <w:ind w:left="4291" w:hanging="624"/>
      </w:pPr>
      <w:rPr>
        <w:rFonts w:hint="default"/>
      </w:rPr>
    </w:lvl>
    <w:lvl w:ilvl="6">
      <w:start w:val="0"/>
      <w:numFmt w:val="bullet"/>
      <w:lvlText w:val="•"/>
      <w:lvlJc w:val="left"/>
      <w:pPr>
        <w:ind w:left="4993" w:hanging="624"/>
      </w:pPr>
      <w:rPr>
        <w:rFonts w:hint="default"/>
      </w:rPr>
    </w:lvl>
    <w:lvl w:ilvl="7">
      <w:start w:val="0"/>
      <w:numFmt w:val="bullet"/>
      <w:lvlText w:val="•"/>
      <w:lvlJc w:val="left"/>
      <w:pPr>
        <w:ind w:left="5696" w:hanging="624"/>
      </w:pPr>
      <w:rPr>
        <w:rFonts w:hint="default"/>
      </w:rPr>
    </w:lvl>
    <w:lvl w:ilvl="8">
      <w:start w:val="0"/>
      <w:numFmt w:val="bullet"/>
      <w:lvlText w:val="•"/>
      <w:lvlJc w:val="left"/>
      <w:pPr>
        <w:ind w:left="6398" w:hanging="624"/>
      </w:pPr>
      <w:rPr>
        <w:rFonts w:hint="default"/>
      </w:rPr>
    </w:lvl>
  </w:abstractNum>
  <w:abstractNum w:abstractNumId="11">
    <w:multiLevelType w:val="hybridMultilevel"/>
    <w:lvl w:ilvl="0">
      <w:start w:val="1"/>
      <w:numFmt w:val="decimal"/>
      <w:lvlText w:val="（%1）"/>
      <w:lvlJc w:val="left"/>
      <w:pPr>
        <w:ind w:left="788" w:hanging="624"/>
        <w:jc w:val="left"/>
      </w:pPr>
      <w:rPr>
        <w:rFonts w:hint="default" w:ascii="仿宋" w:hAnsi="仿宋" w:eastAsia="仿宋" w:cs="仿宋"/>
        <w:spacing w:val="-3"/>
        <w:w w:val="100"/>
        <w:sz w:val="21"/>
        <w:szCs w:val="21"/>
      </w:rPr>
    </w:lvl>
    <w:lvl w:ilvl="1">
      <w:start w:val="0"/>
      <w:numFmt w:val="bullet"/>
      <w:lvlText w:val="•"/>
      <w:lvlJc w:val="left"/>
      <w:pPr>
        <w:ind w:left="1482" w:hanging="624"/>
      </w:pPr>
      <w:rPr>
        <w:rFonts w:hint="default"/>
      </w:rPr>
    </w:lvl>
    <w:lvl w:ilvl="2">
      <w:start w:val="0"/>
      <w:numFmt w:val="bullet"/>
      <w:lvlText w:val="•"/>
      <w:lvlJc w:val="left"/>
      <w:pPr>
        <w:ind w:left="2184" w:hanging="624"/>
      </w:pPr>
      <w:rPr>
        <w:rFonts w:hint="default"/>
      </w:rPr>
    </w:lvl>
    <w:lvl w:ilvl="3">
      <w:start w:val="0"/>
      <w:numFmt w:val="bullet"/>
      <w:lvlText w:val="•"/>
      <w:lvlJc w:val="left"/>
      <w:pPr>
        <w:ind w:left="2886" w:hanging="624"/>
      </w:pPr>
      <w:rPr>
        <w:rFonts w:hint="default"/>
      </w:rPr>
    </w:lvl>
    <w:lvl w:ilvl="4">
      <w:start w:val="0"/>
      <w:numFmt w:val="bullet"/>
      <w:lvlText w:val="•"/>
      <w:lvlJc w:val="left"/>
      <w:pPr>
        <w:ind w:left="3589" w:hanging="624"/>
      </w:pPr>
      <w:rPr>
        <w:rFonts w:hint="default"/>
      </w:rPr>
    </w:lvl>
    <w:lvl w:ilvl="5">
      <w:start w:val="0"/>
      <w:numFmt w:val="bullet"/>
      <w:lvlText w:val="•"/>
      <w:lvlJc w:val="left"/>
      <w:pPr>
        <w:ind w:left="4291" w:hanging="624"/>
      </w:pPr>
      <w:rPr>
        <w:rFonts w:hint="default"/>
      </w:rPr>
    </w:lvl>
    <w:lvl w:ilvl="6">
      <w:start w:val="0"/>
      <w:numFmt w:val="bullet"/>
      <w:lvlText w:val="•"/>
      <w:lvlJc w:val="left"/>
      <w:pPr>
        <w:ind w:left="4993" w:hanging="624"/>
      </w:pPr>
      <w:rPr>
        <w:rFonts w:hint="default"/>
      </w:rPr>
    </w:lvl>
    <w:lvl w:ilvl="7">
      <w:start w:val="0"/>
      <w:numFmt w:val="bullet"/>
      <w:lvlText w:val="•"/>
      <w:lvlJc w:val="left"/>
      <w:pPr>
        <w:ind w:left="5696" w:hanging="624"/>
      </w:pPr>
      <w:rPr>
        <w:rFonts w:hint="default"/>
      </w:rPr>
    </w:lvl>
    <w:lvl w:ilvl="8">
      <w:start w:val="0"/>
      <w:numFmt w:val="bullet"/>
      <w:lvlText w:val="•"/>
      <w:lvlJc w:val="left"/>
      <w:pPr>
        <w:ind w:left="6398" w:hanging="624"/>
      </w:pPr>
      <w:rPr>
        <w:rFonts w:hint="default"/>
      </w:rPr>
    </w:lvl>
  </w:abstractNum>
  <w:abstractNum w:abstractNumId="10">
    <w:multiLevelType w:val="hybridMultilevel"/>
    <w:lvl w:ilvl="0">
      <w:start w:val="1"/>
      <w:numFmt w:val="decimal"/>
      <w:lvlText w:val="（%1）"/>
      <w:lvlJc w:val="left"/>
      <w:pPr>
        <w:ind w:left="788" w:hanging="624"/>
        <w:jc w:val="left"/>
      </w:pPr>
      <w:rPr>
        <w:rFonts w:hint="default" w:ascii="黑体" w:hAnsi="黑体" w:eastAsia="黑体" w:cs="黑体"/>
        <w:spacing w:val="-3"/>
        <w:w w:val="100"/>
        <w:sz w:val="21"/>
        <w:szCs w:val="21"/>
      </w:rPr>
    </w:lvl>
    <w:lvl w:ilvl="1">
      <w:start w:val="0"/>
      <w:numFmt w:val="bullet"/>
      <w:lvlText w:val="•"/>
      <w:lvlJc w:val="left"/>
      <w:pPr>
        <w:ind w:left="1482" w:hanging="624"/>
      </w:pPr>
      <w:rPr>
        <w:rFonts w:hint="default"/>
      </w:rPr>
    </w:lvl>
    <w:lvl w:ilvl="2">
      <w:start w:val="0"/>
      <w:numFmt w:val="bullet"/>
      <w:lvlText w:val="•"/>
      <w:lvlJc w:val="left"/>
      <w:pPr>
        <w:ind w:left="2184" w:hanging="624"/>
      </w:pPr>
      <w:rPr>
        <w:rFonts w:hint="default"/>
      </w:rPr>
    </w:lvl>
    <w:lvl w:ilvl="3">
      <w:start w:val="0"/>
      <w:numFmt w:val="bullet"/>
      <w:lvlText w:val="•"/>
      <w:lvlJc w:val="left"/>
      <w:pPr>
        <w:ind w:left="2886" w:hanging="624"/>
      </w:pPr>
      <w:rPr>
        <w:rFonts w:hint="default"/>
      </w:rPr>
    </w:lvl>
    <w:lvl w:ilvl="4">
      <w:start w:val="0"/>
      <w:numFmt w:val="bullet"/>
      <w:lvlText w:val="•"/>
      <w:lvlJc w:val="left"/>
      <w:pPr>
        <w:ind w:left="3589" w:hanging="624"/>
      </w:pPr>
      <w:rPr>
        <w:rFonts w:hint="default"/>
      </w:rPr>
    </w:lvl>
    <w:lvl w:ilvl="5">
      <w:start w:val="0"/>
      <w:numFmt w:val="bullet"/>
      <w:lvlText w:val="•"/>
      <w:lvlJc w:val="left"/>
      <w:pPr>
        <w:ind w:left="4291" w:hanging="624"/>
      </w:pPr>
      <w:rPr>
        <w:rFonts w:hint="default"/>
      </w:rPr>
    </w:lvl>
    <w:lvl w:ilvl="6">
      <w:start w:val="0"/>
      <w:numFmt w:val="bullet"/>
      <w:lvlText w:val="•"/>
      <w:lvlJc w:val="left"/>
      <w:pPr>
        <w:ind w:left="4993" w:hanging="624"/>
      </w:pPr>
      <w:rPr>
        <w:rFonts w:hint="default"/>
      </w:rPr>
    </w:lvl>
    <w:lvl w:ilvl="7">
      <w:start w:val="0"/>
      <w:numFmt w:val="bullet"/>
      <w:lvlText w:val="•"/>
      <w:lvlJc w:val="left"/>
      <w:pPr>
        <w:ind w:left="5696" w:hanging="624"/>
      </w:pPr>
      <w:rPr>
        <w:rFonts w:hint="default"/>
      </w:rPr>
    </w:lvl>
    <w:lvl w:ilvl="8">
      <w:start w:val="0"/>
      <w:numFmt w:val="bullet"/>
      <w:lvlText w:val="•"/>
      <w:lvlJc w:val="left"/>
      <w:pPr>
        <w:ind w:left="6398" w:hanging="624"/>
      </w:pPr>
      <w:rPr>
        <w:rFonts w:hint="default"/>
      </w:rPr>
    </w:lvl>
  </w:abstractNum>
  <w:abstractNum w:abstractNumId="5">
    <w:multiLevelType w:val="hybridMultilevel"/>
    <w:lvl w:ilvl="0">
      <w:start w:val="8"/>
      <w:numFmt w:val="decimal"/>
      <w:lvlText w:val="%1"/>
      <w:lvlJc w:val="left"/>
      <w:pPr>
        <w:ind w:left="528" w:hanging="529"/>
        <w:jc w:val="left"/>
      </w:pPr>
      <w:rPr>
        <w:rFonts w:hint="default"/>
      </w:rPr>
    </w:lvl>
    <w:lvl w:ilvl="1">
      <w:start w:val="14"/>
      <w:numFmt w:val="decimal"/>
      <w:lvlText w:val="%1.%2"/>
      <w:lvlJc w:val="left"/>
      <w:pPr>
        <w:ind w:left="629" w:hanging="529"/>
        <w:jc w:val="left"/>
      </w:pPr>
      <w:rPr>
        <w:rFonts w:hint="default" w:ascii="仿宋" w:hAnsi="仿宋" w:eastAsia="仿宋" w:cs="仿宋"/>
        <w:w w:val="100"/>
        <w:sz w:val="21"/>
        <w:szCs w:val="21"/>
      </w:rPr>
    </w:lvl>
    <w:lvl w:ilvl="2">
      <w:start w:val="0"/>
      <w:numFmt w:val="bullet"/>
      <w:lvlText w:val="•"/>
      <w:lvlJc w:val="left"/>
      <w:pPr>
        <w:ind w:left="860" w:hanging="529"/>
      </w:pPr>
      <w:rPr>
        <w:rFonts w:hint="default"/>
      </w:rPr>
    </w:lvl>
    <w:lvl w:ilvl="3">
      <w:start w:val="0"/>
      <w:numFmt w:val="bullet"/>
      <w:lvlText w:val="•"/>
      <w:lvlJc w:val="left"/>
      <w:pPr>
        <w:ind w:left="1100" w:hanging="529"/>
      </w:pPr>
      <w:rPr>
        <w:rFonts w:hint="default"/>
      </w:rPr>
    </w:lvl>
    <w:lvl w:ilvl="4">
      <w:start w:val="0"/>
      <w:numFmt w:val="bullet"/>
      <w:lvlText w:val="•"/>
      <w:lvlJc w:val="left"/>
      <w:pPr>
        <w:ind w:left="1340" w:hanging="529"/>
      </w:pPr>
      <w:rPr>
        <w:rFonts w:hint="default"/>
      </w:rPr>
    </w:lvl>
    <w:lvl w:ilvl="5">
      <w:start w:val="0"/>
      <w:numFmt w:val="bullet"/>
      <w:lvlText w:val="•"/>
      <w:lvlJc w:val="left"/>
      <w:pPr>
        <w:ind w:left="1580" w:hanging="529"/>
      </w:pPr>
      <w:rPr>
        <w:rFonts w:hint="default"/>
      </w:rPr>
    </w:lvl>
    <w:lvl w:ilvl="6">
      <w:start w:val="0"/>
      <w:numFmt w:val="bullet"/>
      <w:lvlText w:val="•"/>
      <w:lvlJc w:val="left"/>
      <w:pPr>
        <w:ind w:left="1820" w:hanging="529"/>
      </w:pPr>
      <w:rPr>
        <w:rFonts w:hint="default"/>
      </w:rPr>
    </w:lvl>
    <w:lvl w:ilvl="7">
      <w:start w:val="0"/>
      <w:numFmt w:val="bullet"/>
      <w:lvlText w:val="•"/>
      <w:lvlJc w:val="left"/>
      <w:pPr>
        <w:ind w:left="2060" w:hanging="529"/>
      </w:pPr>
      <w:rPr>
        <w:rFonts w:hint="default"/>
      </w:rPr>
    </w:lvl>
    <w:lvl w:ilvl="8">
      <w:start w:val="0"/>
      <w:numFmt w:val="bullet"/>
      <w:lvlText w:val="•"/>
      <w:lvlJc w:val="left"/>
      <w:pPr>
        <w:ind w:left="2300" w:hanging="529"/>
      </w:pPr>
      <w:rPr>
        <w:rFonts w:hint="default"/>
      </w:rPr>
    </w:lvl>
  </w:abstractNum>
  <w:abstractNum w:abstractNumId="4">
    <w:multiLevelType w:val="hybridMultilevel"/>
    <w:lvl w:ilvl="0">
      <w:start w:val="8"/>
      <w:numFmt w:val="decimal"/>
      <w:lvlText w:val="%1"/>
      <w:lvlJc w:val="left"/>
      <w:pPr>
        <w:ind w:left="422" w:hanging="423"/>
        <w:jc w:val="left"/>
      </w:pPr>
      <w:rPr>
        <w:rFonts w:hint="default"/>
      </w:rPr>
    </w:lvl>
    <w:lvl w:ilvl="1">
      <w:start w:val="1"/>
      <w:numFmt w:val="decimal"/>
      <w:lvlText w:val="%1.%2"/>
      <w:lvlJc w:val="left"/>
      <w:pPr>
        <w:ind w:left="0" w:hanging="423"/>
        <w:jc w:val="left"/>
      </w:pPr>
      <w:rPr>
        <w:rFonts w:hint="default" w:ascii="仿宋" w:hAnsi="仿宋" w:eastAsia="仿宋" w:cs="仿宋"/>
        <w:w w:val="100"/>
        <w:sz w:val="21"/>
        <w:szCs w:val="21"/>
      </w:rPr>
    </w:lvl>
    <w:lvl w:ilvl="2">
      <w:start w:val="0"/>
      <w:numFmt w:val="bullet"/>
      <w:lvlText w:val="•"/>
      <w:lvlJc w:val="left"/>
      <w:pPr>
        <w:ind w:left="696" w:hanging="423"/>
      </w:pPr>
      <w:rPr>
        <w:rFonts w:hint="default"/>
      </w:rPr>
    </w:lvl>
    <w:lvl w:ilvl="3">
      <w:start w:val="0"/>
      <w:numFmt w:val="bullet"/>
      <w:lvlText w:val="•"/>
      <w:lvlJc w:val="left"/>
      <w:pPr>
        <w:ind w:left="972" w:hanging="423"/>
      </w:pPr>
      <w:rPr>
        <w:rFonts w:hint="default"/>
      </w:rPr>
    </w:lvl>
    <w:lvl w:ilvl="4">
      <w:start w:val="0"/>
      <w:numFmt w:val="bullet"/>
      <w:lvlText w:val="•"/>
      <w:lvlJc w:val="left"/>
      <w:pPr>
        <w:ind w:left="1248" w:hanging="423"/>
      </w:pPr>
      <w:rPr>
        <w:rFonts w:hint="default"/>
      </w:rPr>
    </w:lvl>
    <w:lvl w:ilvl="5">
      <w:start w:val="0"/>
      <w:numFmt w:val="bullet"/>
      <w:lvlText w:val="•"/>
      <w:lvlJc w:val="left"/>
      <w:pPr>
        <w:ind w:left="1524" w:hanging="423"/>
      </w:pPr>
      <w:rPr>
        <w:rFonts w:hint="default"/>
      </w:rPr>
    </w:lvl>
    <w:lvl w:ilvl="6">
      <w:start w:val="0"/>
      <w:numFmt w:val="bullet"/>
      <w:lvlText w:val="•"/>
      <w:lvlJc w:val="left"/>
      <w:pPr>
        <w:ind w:left="1800" w:hanging="423"/>
      </w:pPr>
      <w:rPr>
        <w:rFonts w:hint="default"/>
      </w:rPr>
    </w:lvl>
    <w:lvl w:ilvl="7">
      <w:start w:val="0"/>
      <w:numFmt w:val="bullet"/>
      <w:lvlText w:val="•"/>
      <w:lvlJc w:val="left"/>
      <w:pPr>
        <w:ind w:left="2077" w:hanging="423"/>
      </w:pPr>
      <w:rPr>
        <w:rFonts w:hint="default"/>
      </w:rPr>
    </w:lvl>
    <w:lvl w:ilvl="8">
      <w:start w:val="0"/>
      <w:numFmt w:val="bullet"/>
      <w:lvlText w:val="•"/>
      <w:lvlJc w:val="left"/>
      <w:pPr>
        <w:ind w:left="2353" w:hanging="423"/>
      </w:pPr>
      <w:rPr>
        <w:rFonts w:hint="default"/>
      </w:rPr>
    </w:lvl>
  </w:abstractNum>
  <w:abstractNum w:abstractNumId="3">
    <w:multiLevelType w:val="hybridMultilevel"/>
    <w:lvl w:ilvl="0">
      <w:start w:val="4"/>
      <w:numFmt w:val="decimal"/>
      <w:lvlText w:val="%1"/>
      <w:lvlJc w:val="left"/>
      <w:pPr>
        <w:ind w:left="422" w:hanging="423"/>
        <w:jc w:val="left"/>
      </w:pPr>
      <w:rPr>
        <w:rFonts w:hint="default"/>
      </w:rPr>
    </w:lvl>
    <w:lvl w:ilvl="1">
      <w:start w:val="1"/>
      <w:numFmt w:val="decimal"/>
      <w:lvlText w:val="%1.%2"/>
      <w:lvlJc w:val="left"/>
      <w:pPr>
        <w:ind w:left="422" w:hanging="423"/>
        <w:jc w:val="left"/>
      </w:pPr>
      <w:rPr>
        <w:rFonts w:hint="default" w:ascii="仿宋" w:hAnsi="仿宋" w:eastAsia="仿宋" w:cs="仿宋"/>
        <w:w w:val="100"/>
        <w:sz w:val="21"/>
        <w:szCs w:val="21"/>
      </w:rPr>
    </w:lvl>
    <w:lvl w:ilvl="2">
      <w:start w:val="0"/>
      <w:numFmt w:val="bullet"/>
      <w:lvlText w:val="•"/>
      <w:lvlJc w:val="left"/>
      <w:pPr>
        <w:ind w:left="699" w:hanging="423"/>
      </w:pPr>
      <w:rPr>
        <w:rFonts w:hint="default"/>
      </w:rPr>
    </w:lvl>
    <w:lvl w:ilvl="3">
      <w:start w:val="0"/>
      <w:numFmt w:val="bullet"/>
      <w:lvlText w:val="•"/>
      <w:lvlJc w:val="left"/>
      <w:pPr>
        <w:ind w:left="838" w:hanging="423"/>
      </w:pPr>
      <w:rPr>
        <w:rFonts w:hint="default"/>
      </w:rPr>
    </w:lvl>
    <w:lvl w:ilvl="4">
      <w:start w:val="0"/>
      <w:numFmt w:val="bullet"/>
      <w:lvlText w:val="•"/>
      <w:lvlJc w:val="left"/>
      <w:pPr>
        <w:ind w:left="978" w:hanging="423"/>
      </w:pPr>
      <w:rPr>
        <w:rFonts w:hint="default"/>
      </w:rPr>
    </w:lvl>
    <w:lvl w:ilvl="5">
      <w:start w:val="0"/>
      <w:numFmt w:val="bullet"/>
      <w:lvlText w:val="•"/>
      <w:lvlJc w:val="left"/>
      <w:pPr>
        <w:ind w:left="1117" w:hanging="423"/>
      </w:pPr>
      <w:rPr>
        <w:rFonts w:hint="default"/>
      </w:rPr>
    </w:lvl>
    <w:lvl w:ilvl="6">
      <w:start w:val="0"/>
      <w:numFmt w:val="bullet"/>
      <w:lvlText w:val="•"/>
      <w:lvlJc w:val="left"/>
      <w:pPr>
        <w:ind w:left="1257" w:hanging="423"/>
      </w:pPr>
      <w:rPr>
        <w:rFonts w:hint="default"/>
      </w:rPr>
    </w:lvl>
    <w:lvl w:ilvl="7">
      <w:start w:val="0"/>
      <w:numFmt w:val="bullet"/>
      <w:lvlText w:val="•"/>
      <w:lvlJc w:val="left"/>
      <w:pPr>
        <w:ind w:left="1396" w:hanging="423"/>
      </w:pPr>
      <w:rPr>
        <w:rFonts w:hint="default"/>
      </w:rPr>
    </w:lvl>
    <w:lvl w:ilvl="8">
      <w:start w:val="0"/>
      <w:numFmt w:val="bullet"/>
      <w:lvlText w:val="•"/>
      <w:lvlJc w:val="left"/>
      <w:pPr>
        <w:ind w:left="1536" w:hanging="423"/>
      </w:pPr>
      <w:rPr>
        <w:rFonts w:hint="default"/>
      </w:rPr>
    </w:lvl>
  </w:abstractNum>
  <w:abstractNum w:abstractNumId="2">
    <w:multiLevelType w:val="hybridMultilevel"/>
    <w:lvl w:ilvl="0">
      <w:start w:val="7"/>
      <w:numFmt w:val="decimal"/>
      <w:lvlText w:val="%1"/>
      <w:lvlJc w:val="left"/>
      <w:pPr>
        <w:ind w:left="422" w:hanging="423"/>
        <w:jc w:val="left"/>
      </w:pPr>
      <w:rPr>
        <w:rFonts w:hint="default"/>
      </w:rPr>
    </w:lvl>
    <w:lvl w:ilvl="1">
      <w:start w:val="1"/>
      <w:numFmt w:val="decimal"/>
      <w:lvlText w:val="%1.%2"/>
      <w:lvlJc w:val="left"/>
      <w:pPr>
        <w:ind w:left="422" w:hanging="423"/>
        <w:jc w:val="left"/>
      </w:pPr>
      <w:rPr>
        <w:rFonts w:hint="default" w:ascii="仿宋" w:hAnsi="仿宋" w:eastAsia="仿宋" w:cs="仿宋"/>
        <w:w w:val="100"/>
        <w:sz w:val="21"/>
        <w:szCs w:val="21"/>
      </w:rPr>
    </w:lvl>
    <w:lvl w:ilvl="2">
      <w:start w:val="0"/>
      <w:numFmt w:val="bullet"/>
      <w:lvlText w:val="•"/>
      <w:lvlJc w:val="left"/>
      <w:pPr>
        <w:ind w:left="802" w:hanging="423"/>
      </w:pPr>
      <w:rPr>
        <w:rFonts w:hint="default"/>
      </w:rPr>
    </w:lvl>
    <w:lvl w:ilvl="3">
      <w:start w:val="0"/>
      <w:numFmt w:val="bullet"/>
      <w:lvlText w:val="•"/>
      <w:lvlJc w:val="left"/>
      <w:pPr>
        <w:ind w:left="994" w:hanging="423"/>
      </w:pPr>
      <w:rPr>
        <w:rFonts w:hint="default"/>
      </w:rPr>
    </w:lvl>
    <w:lvl w:ilvl="4">
      <w:start w:val="0"/>
      <w:numFmt w:val="bullet"/>
      <w:lvlText w:val="•"/>
      <w:lvlJc w:val="left"/>
      <w:pPr>
        <w:ind w:left="1185" w:hanging="423"/>
      </w:pPr>
      <w:rPr>
        <w:rFonts w:hint="default"/>
      </w:rPr>
    </w:lvl>
    <w:lvl w:ilvl="5">
      <w:start w:val="0"/>
      <w:numFmt w:val="bullet"/>
      <w:lvlText w:val="•"/>
      <w:lvlJc w:val="left"/>
      <w:pPr>
        <w:ind w:left="1376" w:hanging="423"/>
      </w:pPr>
      <w:rPr>
        <w:rFonts w:hint="default"/>
      </w:rPr>
    </w:lvl>
    <w:lvl w:ilvl="6">
      <w:start w:val="0"/>
      <w:numFmt w:val="bullet"/>
      <w:lvlText w:val="•"/>
      <w:lvlJc w:val="left"/>
      <w:pPr>
        <w:ind w:left="1568" w:hanging="423"/>
      </w:pPr>
      <w:rPr>
        <w:rFonts w:hint="default"/>
      </w:rPr>
    </w:lvl>
    <w:lvl w:ilvl="7">
      <w:start w:val="0"/>
      <w:numFmt w:val="bullet"/>
      <w:lvlText w:val="•"/>
      <w:lvlJc w:val="left"/>
      <w:pPr>
        <w:ind w:left="1759" w:hanging="423"/>
      </w:pPr>
      <w:rPr>
        <w:rFonts w:hint="default"/>
      </w:rPr>
    </w:lvl>
    <w:lvl w:ilvl="8">
      <w:start w:val="0"/>
      <w:numFmt w:val="bullet"/>
      <w:lvlText w:val="•"/>
      <w:lvlJc w:val="left"/>
      <w:pPr>
        <w:ind w:left="1951" w:hanging="423"/>
      </w:pPr>
      <w:rPr>
        <w:rFonts w:hint="default"/>
      </w:rPr>
    </w:lvl>
  </w:abstractNum>
  <w:abstractNum w:abstractNumId="1">
    <w:multiLevelType w:val="hybridMultilevel"/>
    <w:lvl w:ilvl="0">
      <w:start w:val="3"/>
      <w:numFmt w:val="decimal"/>
      <w:lvlText w:val="%1"/>
      <w:lvlJc w:val="left"/>
      <w:pPr>
        <w:ind w:left="422" w:hanging="423"/>
        <w:jc w:val="left"/>
      </w:pPr>
      <w:rPr>
        <w:rFonts w:hint="default"/>
      </w:rPr>
    </w:lvl>
    <w:lvl w:ilvl="1">
      <w:start w:val="1"/>
      <w:numFmt w:val="decimal"/>
      <w:lvlText w:val="%1.%2"/>
      <w:lvlJc w:val="left"/>
      <w:pPr>
        <w:ind w:left="422" w:hanging="423"/>
        <w:jc w:val="left"/>
      </w:pPr>
      <w:rPr>
        <w:rFonts w:hint="default" w:ascii="仿宋" w:hAnsi="仿宋" w:eastAsia="仿宋" w:cs="仿宋"/>
        <w:w w:val="100"/>
        <w:sz w:val="21"/>
        <w:szCs w:val="21"/>
      </w:rPr>
    </w:lvl>
    <w:lvl w:ilvl="2">
      <w:start w:val="0"/>
      <w:numFmt w:val="bullet"/>
      <w:lvlText w:val="•"/>
      <w:lvlJc w:val="left"/>
      <w:pPr>
        <w:ind w:left="783" w:hanging="423"/>
      </w:pPr>
      <w:rPr>
        <w:rFonts w:hint="default"/>
      </w:rPr>
    </w:lvl>
    <w:lvl w:ilvl="3">
      <w:start w:val="0"/>
      <w:numFmt w:val="bullet"/>
      <w:lvlText w:val="•"/>
      <w:lvlJc w:val="left"/>
      <w:pPr>
        <w:ind w:left="965" w:hanging="423"/>
      </w:pPr>
      <w:rPr>
        <w:rFonts w:hint="default"/>
      </w:rPr>
    </w:lvl>
    <w:lvl w:ilvl="4">
      <w:start w:val="0"/>
      <w:numFmt w:val="bullet"/>
      <w:lvlText w:val="•"/>
      <w:lvlJc w:val="left"/>
      <w:pPr>
        <w:ind w:left="1147" w:hanging="423"/>
      </w:pPr>
      <w:rPr>
        <w:rFonts w:hint="default"/>
      </w:rPr>
    </w:lvl>
    <w:lvl w:ilvl="5">
      <w:start w:val="0"/>
      <w:numFmt w:val="bullet"/>
      <w:lvlText w:val="•"/>
      <w:lvlJc w:val="left"/>
      <w:pPr>
        <w:ind w:left="1328" w:hanging="423"/>
      </w:pPr>
      <w:rPr>
        <w:rFonts w:hint="default"/>
      </w:rPr>
    </w:lvl>
    <w:lvl w:ilvl="6">
      <w:start w:val="0"/>
      <w:numFmt w:val="bullet"/>
      <w:lvlText w:val="•"/>
      <w:lvlJc w:val="left"/>
      <w:pPr>
        <w:ind w:left="1510" w:hanging="423"/>
      </w:pPr>
      <w:rPr>
        <w:rFonts w:hint="default"/>
      </w:rPr>
    </w:lvl>
    <w:lvl w:ilvl="7">
      <w:start w:val="0"/>
      <w:numFmt w:val="bullet"/>
      <w:lvlText w:val="•"/>
      <w:lvlJc w:val="left"/>
      <w:pPr>
        <w:ind w:left="1692" w:hanging="423"/>
      </w:pPr>
      <w:rPr>
        <w:rFonts w:hint="default"/>
      </w:rPr>
    </w:lvl>
    <w:lvl w:ilvl="8">
      <w:start w:val="0"/>
      <w:numFmt w:val="bullet"/>
      <w:lvlText w:val="•"/>
      <w:lvlJc w:val="left"/>
      <w:pPr>
        <w:ind w:left="1874" w:hanging="423"/>
      </w:pPr>
      <w:rPr>
        <w:rFonts w:hint="default"/>
      </w:rPr>
    </w:lvl>
  </w:abstractNum>
  <w:abstractNum w:abstractNumId="0">
    <w:multiLevelType w:val="hybridMultilevel"/>
    <w:lvl w:ilvl="0">
      <w:start w:val="2"/>
      <w:numFmt w:val="decimal"/>
      <w:lvlText w:val="%1"/>
      <w:lvlJc w:val="left"/>
      <w:pPr>
        <w:ind w:left="422" w:hanging="423"/>
        <w:jc w:val="left"/>
      </w:pPr>
      <w:rPr>
        <w:rFonts w:hint="default"/>
      </w:rPr>
    </w:lvl>
    <w:lvl w:ilvl="1">
      <w:start w:val="1"/>
      <w:numFmt w:val="decimal"/>
      <w:lvlText w:val="%1.%2"/>
      <w:lvlJc w:val="left"/>
      <w:pPr>
        <w:ind w:left="422" w:hanging="423"/>
        <w:jc w:val="left"/>
      </w:pPr>
      <w:rPr>
        <w:rFonts w:hint="default" w:ascii="仿宋" w:hAnsi="仿宋" w:eastAsia="仿宋" w:cs="仿宋"/>
        <w:w w:val="100"/>
        <w:sz w:val="21"/>
        <w:szCs w:val="21"/>
      </w:rPr>
    </w:lvl>
    <w:lvl w:ilvl="2">
      <w:start w:val="0"/>
      <w:numFmt w:val="bullet"/>
      <w:lvlText w:val="•"/>
      <w:lvlJc w:val="left"/>
      <w:pPr>
        <w:ind w:left="741" w:hanging="423"/>
      </w:pPr>
      <w:rPr>
        <w:rFonts w:hint="default"/>
      </w:rPr>
    </w:lvl>
    <w:lvl w:ilvl="3">
      <w:start w:val="0"/>
      <w:numFmt w:val="bullet"/>
      <w:lvlText w:val="•"/>
      <w:lvlJc w:val="left"/>
      <w:pPr>
        <w:ind w:left="901" w:hanging="423"/>
      </w:pPr>
      <w:rPr>
        <w:rFonts w:hint="default"/>
      </w:rPr>
    </w:lvl>
    <w:lvl w:ilvl="4">
      <w:start w:val="0"/>
      <w:numFmt w:val="bullet"/>
      <w:lvlText w:val="•"/>
      <w:lvlJc w:val="left"/>
      <w:pPr>
        <w:ind w:left="1062" w:hanging="423"/>
      </w:pPr>
      <w:rPr>
        <w:rFonts w:hint="default"/>
      </w:rPr>
    </w:lvl>
    <w:lvl w:ilvl="5">
      <w:start w:val="0"/>
      <w:numFmt w:val="bullet"/>
      <w:lvlText w:val="•"/>
      <w:lvlJc w:val="left"/>
      <w:pPr>
        <w:ind w:left="1223" w:hanging="423"/>
      </w:pPr>
      <w:rPr>
        <w:rFonts w:hint="default"/>
      </w:rPr>
    </w:lvl>
    <w:lvl w:ilvl="6">
      <w:start w:val="0"/>
      <w:numFmt w:val="bullet"/>
      <w:lvlText w:val="•"/>
      <w:lvlJc w:val="left"/>
      <w:pPr>
        <w:ind w:left="1383" w:hanging="423"/>
      </w:pPr>
      <w:rPr>
        <w:rFonts w:hint="default"/>
      </w:rPr>
    </w:lvl>
    <w:lvl w:ilvl="7">
      <w:start w:val="0"/>
      <w:numFmt w:val="bullet"/>
      <w:lvlText w:val="•"/>
      <w:lvlJc w:val="left"/>
      <w:pPr>
        <w:ind w:left="1544" w:hanging="423"/>
      </w:pPr>
      <w:rPr>
        <w:rFonts w:hint="default"/>
      </w:rPr>
    </w:lvl>
    <w:lvl w:ilvl="8">
      <w:start w:val="0"/>
      <w:numFmt w:val="bullet"/>
      <w:lvlText w:val="•"/>
      <w:lvlJc w:val="left"/>
      <w:pPr>
        <w:ind w:left="1705" w:hanging="423"/>
      </w:pPr>
      <w:rPr>
        <w:rFonts w:hint="default"/>
      </w:rPr>
    </w:lvl>
  </w:abstractNum>
  <w:abstractNum w:abstractNumId="7">
    <w:multiLevelType w:val="hybridMultilevel"/>
    <w:lvl w:ilvl="0">
      <w:start w:val="8"/>
      <w:numFmt w:val="decimal"/>
      <w:lvlText w:val="%1"/>
      <w:lvlJc w:val="left"/>
      <w:pPr>
        <w:ind w:left="528" w:hanging="529"/>
        <w:jc w:val="left"/>
      </w:pPr>
      <w:rPr>
        <w:rFonts w:hint="default"/>
      </w:rPr>
    </w:lvl>
    <w:lvl w:ilvl="1">
      <w:start w:val="7"/>
      <w:numFmt w:val="decimal"/>
      <w:lvlText w:val="%1.%2"/>
      <w:lvlJc w:val="left"/>
      <w:pPr>
        <w:ind w:left="528" w:hanging="529"/>
        <w:jc w:val="left"/>
      </w:pPr>
      <w:rPr>
        <w:rFonts w:hint="default" w:ascii="仿宋" w:hAnsi="仿宋" w:eastAsia="仿宋" w:cs="仿宋"/>
        <w:w w:val="100"/>
        <w:sz w:val="21"/>
        <w:szCs w:val="21"/>
      </w:rPr>
    </w:lvl>
    <w:lvl w:ilvl="2">
      <w:start w:val="0"/>
      <w:numFmt w:val="bullet"/>
      <w:lvlText w:val="•"/>
      <w:lvlJc w:val="left"/>
      <w:pPr>
        <w:ind w:left="967" w:hanging="529"/>
      </w:pPr>
      <w:rPr>
        <w:rFonts w:hint="default"/>
      </w:rPr>
    </w:lvl>
    <w:lvl w:ilvl="3">
      <w:start w:val="0"/>
      <w:numFmt w:val="bullet"/>
      <w:lvlText w:val="•"/>
      <w:lvlJc w:val="left"/>
      <w:pPr>
        <w:ind w:left="1190" w:hanging="529"/>
      </w:pPr>
      <w:rPr>
        <w:rFonts w:hint="default"/>
      </w:rPr>
    </w:lvl>
    <w:lvl w:ilvl="4">
      <w:start w:val="0"/>
      <w:numFmt w:val="bullet"/>
      <w:lvlText w:val="•"/>
      <w:lvlJc w:val="left"/>
      <w:pPr>
        <w:ind w:left="1414" w:hanging="529"/>
      </w:pPr>
      <w:rPr>
        <w:rFonts w:hint="default"/>
      </w:rPr>
    </w:lvl>
    <w:lvl w:ilvl="5">
      <w:start w:val="0"/>
      <w:numFmt w:val="bullet"/>
      <w:lvlText w:val="•"/>
      <w:lvlJc w:val="left"/>
      <w:pPr>
        <w:ind w:left="1638" w:hanging="529"/>
      </w:pPr>
      <w:rPr>
        <w:rFonts w:hint="default"/>
      </w:rPr>
    </w:lvl>
    <w:lvl w:ilvl="6">
      <w:start w:val="0"/>
      <w:numFmt w:val="bullet"/>
      <w:lvlText w:val="•"/>
      <w:lvlJc w:val="left"/>
      <w:pPr>
        <w:ind w:left="1861" w:hanging="529"/>
      </w:pPr>
      <w:rPr>
        <w:rFonts w:hint="default"/>
      </w:rPr>
    </w:lvl>
    <w:lvl w:ilvl="7">
      <w:start w:val="0"/>
      <w:numFmt w:val="bullet"/>
      <w:lvlText w:val="•"/>
      <w:lvlJc w:val="left"/>
      <w:pPr>
        <w:ind w:left="2085" w:hanging="529"/>
      </w:pPr>
      <w:rPr>
        <w:rFonts w:hint="default"/>
      </w:rPr>
    </w:lvl>
    <w:lvl w:ilvl="8">
      <w:start w:val="0"/>
      <w:numFmt w:val="bullet"/>
      <w:lvlText w:val="•"/>
      <w:lvlJc w:val="left"/>
      <w:pPr>
        <w:ind w:left="2309" w:hanging="529"/>
      </w:pPr>
      <w:rPr>
        <w:rFonts w:hint="default"/>
      </w:rPr>
    </w:lvl>
  </w:abstractNum>
  <w:abstractNum w:abstractNumId="9">
    <w:multiLevelType w:val="hybridMultilevel"/>
    <w:lvl w:ilvl="0">
      <w:start w:val="5"/>
      <w:numFmt w:val="decimal"/>
      <w:lvlText w:val="%1"/>
      <w:lvlJc w:val="left"/>
      <w:pPr>
        <w:ind w:left="422" w:hanging="423"/>
        <w:jc w:val="left"/>
      </w:pPr>
      <w:rPr>
        <w:rFonts w:hint="default"/>
      </w:rPr>
    </w:lvl>
    <w:lvl w:ilvl="1">
      <w:start w:val="1"/>
      <w:numFmt w:val="decimal"/>
      <w:lvlText w:val="%1.%2"/>
      <w:lvlJc w:val="left"/>
      <w:pPr>
        <w:ind w:left="422" w:hanging="423"/>
        <w:jc w:val="left"/>
      </w:pPr>
      <w:rPr>
        <w:rFonts w:hint="default" w:ascii="仿宋" w:hAnsi="仿宋" w:eastAsia="仿宋" w:cs="仿宋"/>
        <w:w w:val="100"/>
        <w:sz w:val="21"/>
        <w:szCs w:val="21"/>
      </w:rPr>
    </w:lvl>
    <w:lvl w:ilvl="2">
      <w:start w:val="0"/>
      <w:numFmt w:val="bullet"/>
      <w:lvlText w:val="•"/>
      <w:lvlJc w:val="left"/>
      <w:pPr>
        <w:ind w:left="993" w:hanging="423"/>
      </w:pPr>
      <w:rPr>
        <w:rFonts w:hint="default"/>
      </w:rPr>
    </w:lvl>
    <w:lvl w:ilvl="3">
      <w:start w:val="0"/>
      <w:numFmt w:val="bullet"/>
      <w:lvlText w:val="•"/>
      <w:lvlJc w:val="left"/>
      <w:pPr>
        <w:ind w:left="1280" w:hanging="423"/>
      </w:pPr>
      <w:rPr>
        <w:rFonts w:hint="default"/>
      </w:rPr>
    </w:lvl>
    <w:lvl w:ilvl="4">
      <w:start w:val="0"/>
      <w:numFmt w:val="bullet"/>
      <w:lvlText w:val="•"/>
      <w:lvlJc w:val="left"/>
      <w:pPr>
        <w:ind w:left="1567" w:hanging="423"/>
      </w:pPr>
      <w:rPr>
        <w:rFonts w:hint="default"/>
      </w:rPr>
    </w:lvl>
    <w:lvl w:ilvl="5">
      <w:start w:val="0"/>
      <w:numFmt w:val="bullet"/>
      <w:lvlText w:val="•"/>
      <w:lvlJc w:val="left"/>
      <w:pPr>
        <w:ind w:left="1854" w:hanging="423"/>
      </w:pPr>
      <w:rPr>
        <w:rFonts w:hint="default"/>
      </w:rPr>
    </w:lvl>
    <w:lvl w:ilvl="6">
      <w:start w:val="0"/>
      <w:numFmt w:val="bullet"/>
      <w:lvlText w:val="•"/>
      <w:lvlJc w:val="left"/>
      <w:pPr>
        <w:ind w:left="2141" w:hanging="423"/>
      </w:pPr>
      <w:rPr>
        <w:rFonts w:hint="default"/>
      </w:rPr>
    </w:lvl>
    <w:lvl w:ilvl="7">
      <w:start w:val="0"/>
      <w:numFmt w:val="bullet"/>
      <w:lvlText w:val="•"/>
      <w:lvlJc w:val="left"/>
      <w:pPr>
        <w:ind w:left="2428" w:hanging="423"/>
      </w:pPr>
      <w:rPr>
        <w:rFonts w:hint="default"/>
      </w:rPr>
    </w:lvl>
    <w:lvl w:ilvl="8">
      <w:start w:val="0"/>
      <w:numFmt w:val="bullet"/>
      <w:lvlText w:val="•"/>
      <w:lvlJc w:val="left"/>
      <w:pPr>
        <w:ind w:left="2715" w:hanging="423"/>
      </w:pPr>
      <w:rPr>
        <w:rFonts w:hint="default"/>
      </w:rPr>
    </w:lvl>
  </w:abstractNum>
  <w:abstractNum w:abstractNumId="8">
    <w:multiLevelType w:val="hybridMultilevel"/>
    <w:lvl w:ilvl="0">
      <w:start w:val="1"/>
      <w:numFmt w:val="decimal"/>
      <w:lvlText w:val="%1"/>
      <w:lvlJc w:val="left"/>
      <w:pPr>
        <w:ind w:left="422" w:hanging="423"/>
        <w:jc w:val="left"/>
      </w:pPr>
      <w:rPr>
        <w:rFonts w:hint="default"/>
      </w:rPr>
    </w:lvl>
    <w:lvl w:ilvl="1">
      <w:start w:val="1"/>
      <w:numFmt w:val="decimal"/>
      <w:lvlText w:val="%1.%2"/>
      <w:lvlJc w:val="left"/>
      <w:pPr>
        <w:ind w:left="422" w:hanging="423"/>
        <w:jc w:val="left"/>
      </w:pPr>
      <w:rPr>
        <w:rFonts w:hint="default" w:ascii="仿宋" w:hAnsi="仿宋" w:eastAsia="仿宋" w:cs="仿宋"/>
        <w:w w:val="100"/>
        <w:sz w:val="21"/>
        <w:szCs w:val="21"/>
      </w:rPr>
    </w:lvl>
    <w:lvl w:ilvl="2">
      <w:start w:val="0"/>
      <w:numFmt w:val="bullet"/>
      <w:lvlText w:val="•"/>
      <w:lvlJc w:val="left"/>
      <w:pPr>
        <w:ind w:left="825" w:hanging="423"/>
      </w:pPr>
      <w:rPr>
        <w:rFonts w:hint="default"/>
      </w:rPr>
    </w:lvl>
    <w:lvl w:ilvl="3">
      <w:start w:val="0"/>
      <w:numFmt w:val="bullet"/>
      <w:lvlText w:val="•"/>
      <w:lvlJc w:val="left"/>
      <w:pPr>
        <w:ind w:left="1028" w:hanging="423"/>
      </w:pPr>
      <w:rPr>
        <w:rFonts w:hint="default"/>
      </w:rPr>
    </w:lvl>
    <w:lvl w:ilvl="4">
      <w:start w:val="0"/>
      <w:numFmt w:val="bullet"/>
      <w:lvlText w:val="•"/>
      <w:lvlJc w:val="left"/>
      <w:pPr>
        <w:ind w:left="1231" w:hanging="423"/>
      </w:pPr>
      <w:rPr>
        <w:rFonts w:hint="default"/>
      </w:rPr>
    </w:lvl>
    <w:lvl w:ilvl="5">
      <w:start w:val="0"/>
      <w:numFmt w:val="bullet"/>
      <w:lvlText w:val="•"/>
      <w:lvlJc w:val="left"/>
      <w:pPr>
        <w:ind w:left="1434" w:hanging="423"/>
      </w:pPr>
      <w:rPr>
        <w:rFonts w:hint="default"/>
      </w:rPr>
    </w:lvl>
    <w:lvl w:ilvl="6">
      <w:start w:val="0"/>
      <w:numFmt w:val="bullet"/>
      <w:lvlText w:val="•"/>
      <w:lvlJc w:val="left"/>
      <w:pPr>
        <w:ind w:left="1637" w:hanging="423"/>
      </w:pPr>
      <w:rPr>
        <w:rFonts w:hint="default"/>
      </w:rPr>
    </w:lvl>
    <w:lvl w:ilvl="7">
      <w:start w:val="0"/>
      <w:numFmt w:val="bullet"/>
      <w:lvlText w:val="•"/>
      <w:lvlJc w:val="left"/>
      <w:pPr>
        <w:ind w:left="1840" w:hanging="423"/>
      </w:pPr>
      <w:rPr>
        <w:rFonts w:hint="default"/>
      </w:rPr>
    </w:lvl>
    <w:lvl w:ilvl="8">
      <w:start w:val="0"/>
      <w:numFmt w:val="bullet"/>
      <w:lvlText w:val="•"/>
      <w:lvlJc w:val="left"/>
      <w:pPr>
        <w:ind w:left="2043" w:hanging="423"/>
      </w:pPr>
      <w:rPr>
        <w:rFonts w:hint="default"/>
      </w:rPr>
    </w:lvl>
  </w:abstractNum>
  <w:abstractNum w:abstractNumId="6">
    <w:multiLevelType w:val="hybridMultilevel"/>
    <w:lvl w:ilvl="0">
      <w:start w:val="0"/>
      <w:numFmt w:val="bullet"/>
      <w:lvlText w:val=""/>
      <w:lvlJc w:val="left"/>
      <w:pPr>
        <w:ind w:left="1635" w:hanging="418"/>
      </w:pPr>
      <w:rPr>
        <w:rFonts w:hint="default" w:ascii="Wingdings" w:hAnsi="Wingdings" w:eastAsia="Wingdings" w:cs="Wingdings"/>
        <w:w w:val="100"/>
        <w:sz w:val="21"/>
        <w:szCs w:val="21"/>
      </w:rPr>
    </w:lvl>
    <w:lvl w:ilvl="1">
      <w:start w:val="0"/>
      <w:numFmt w:val="bullet"/>
      <w:lvlText w:val="•"/>
      <w:lvlJc w:val="left"/>
      <w:pPr>
        <w:ind w:left="2522" w:hanging="418"/>
      </w:pPr>
      <w:rPr>
        <w:rFonts w:hint="default"/>
      </w:rPr>
    </w:lvl>
    <w:lvl w:ilvl="2">
      <w:start w:val="0"/>
      <w:numFmt w:val="bullet"/>
      <w:lvlText w:val="•"/>
      <w:lvlJc w:val="left"/>
      <w:pPr>
        <w:ind w:left="3404" w:hanging="418"/>
      </w:pPr>
      <w:rPr>
        <w:rFonts w:hint="default"/>
      </w:rPr>
    </w:lvl>
    <w:lvl w:ilvl="3">
      <w:start w:val="0"/>
      <w:numFmt w:val="bullet"/>
      <w:lvlText w:val="•"/>
      <w:lvlJc w:val="left"/>
      <w:pPr>
        <w:ind w:left="4287" w:hanging="418"/>
      </w:pPr>
      <w:rPr>
        <w:rFonts w:hint="default"/>
      </w:rPr>
    </w:lvl>
    <w:lvl w:ilvl="4">
      <w:start w:val="0"/>
      <w:numFmt w:val="bullet"/>
      <w:lvlText w:val="•"/>
      <w:lvlJc w:val="left"/>
      <w:pPr>
        <w:ind w:left="5169" w:hanging="418"/>
      </w:pPr>
      <w:rPr>
        <w:rFonts w:hint="default"/>
      </w:rPr>
    </w:lvl>
    <w:lvl w:ilvl="5">
      <w:start w:val="0"/>
      <w:numFmt w:val="bullet"/>
      <w:lvlText w:val="•"/>
      <w:lvlJc w:val="left"/>
      <w:pPr>
        <w:ind w:left="6052" w:hanging="418"/>
      </w:pPr>
      <w:rPr>
        <w:rFonts w:hint="default"/>
      </w:rPr>
    </w:lvl>
    <w:lvl w:ilvl="6">
      <w:start w:val="0"/>
      <w:numFmt w:val="bullet"/>
      <w:lvlText w:val="•"/>
      <w:lvlJc w:val="left"/>
      <w:pPr>
        <w:ind w:left="6934" w:hanging="418"/>
      </w:pPr>
      <w:rPr>
        <w:rFonts w:hint="default"/>
      </w:rPr>
    </w:lvl>
    <w:lvl w:ilvl="7">
      <w:start w:val="0"/>
      <w:numFmt w:val="bullet"/>
      <w:lvlText w:val="•"/>
      <w:lvlJc w:val="left"/>
      <w:pPr>
        <w:ind w:left="7816" w:hanging="418"/>
      </w:pPr>
      <w:rPr>
        <w:rFonts w:hint="default"/>
      </w:rPr>
    </w:lvl>
    <w:lvl w:ilvl="8">
      <w:start w:val="0"/>
      <w:numFmt w:val="bullet"/>
      <w:lvlText w:val="•"/>
      <w:lvlJc w:val="left"/>
      <w:pPr>
        <w:ind w:left="8699" w:hanging="418"/>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6">
    <w:abstractNumId w:val="5"/>
  </w:num>
  <w:num w:numId="5">
    <w:abstractNumId w:val="4"/>
  </w:num>
  <w:num w:numId="4">
    <w:abstractNumId w:val="3"/>
  </w:num>
  <w:num w:numId="3">
    <w:abstractNumId w:val="2"/>
  </w:num>
  <w:num w:numId="2">
    <w:abstractNumId w:val="1"/>
  </w:num>
  <w:num w:numId="1">
    <w:abstractNumId w:val="0"/>
  </w:num>
  <w:num w:numId="8">
    <w:abstractNumId w:val="7"/>
  </w:num>
  <w:num w:numId="10">
    <w:abstractNumId w:val="9"/>
  </w:num>
  <w:num w:numId="9">
    <w:abstractNumId w:val="8"/>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BodyText" w:type="paragraph">
    <w:name w:val="Body Text"/>
    <w:basedOn w:val="Normal"/>
    <w:uiPriority w:val="1"/>
    <w:qFormat/>
    <w:pPr/>
    <w:rPr>
      <w:rFonts w:ascii="仿宋" w:hAnsi="仿宋" w:eastAsia="仿宋" w:cs="仿宋"/>
      <w:sz w:val="21"/>
      <w:szCs w:val="21"/>
    </w:rPr>
  </w:style>
  <w:style w:styleId="Heading1" w:type="paragraph">
    <w:name w:val="Heading 1"/>
    <w:basedOn w:val="Normal"/>
    <w:uiPriority w:val="1"/>
    <w:qFormat/>
    <w:pPr>
      <w:spacing w:before="2"/>
      <w:ind w:left="2743" w:right="2633"/>
      <w:outlineLvl w:val="1"/>
    </w:pPr>
    <w:rPr>
      <w:rFonts w:ascii="仿宋" w:hAnsi="仿宋" w:eastAsia="仿宋" w:cs="仿宋"/>
      <w:b/>
      <w:bCs/>
      <w:sz w:val="32"/>
      <w:szCs w:val="32"/>
    </w:rPr>
  </w:style>
  <w:style w:styleId="ListParagraph" w:type="paragraph">
    <w:name w:val="List Paragraph"/>
    <w:basedOn w:val="Normal"/>
    <w:uiPriority w:val="1"/>
    <w:qFormat/>
    <w:pPr>
      <w:spacing w:before="22"/>
      <w:ind w:left="1635" w:hanging="418"/>
    </w:pPr>
    <w:rPr>
      <w:rFonts w:ascii="仿宋" w:hAnsi="仿宋" w:eastAsia="仿宋" w:cs="仿宋"/>
    </w:rPr>
  </w:style>
  <w:style w:styleId="TableParagraph" w:type="paragraph">
    <w:name w:val="Table Paragraph"/>
    <w:basedOn w:val="Normal"/>
    <w:uiPriority w:val="1"/>
    <w:qFormat/>
    <w:pPr>
      <w:ind w:left="372"/>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zangsr</dc:creator>
  <dc:title>正德人寿保险股份有限公司条款</dc:title>
  <dcterms:created xsi:type="dcterms:W3CDTF">2018-10-20T04:22:47Z</dcterms:created>
  <dcterms:modified xsi:type="dcterms:W3CDTF">2018-10-20T04:22:47Z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2013-10-10T00:00:00Z</vt:filetime>
  </property>
  <property fmtid="{D5CDD505-2E9C-101B-9397-08002B2CF9AE}" pid="3" name="Creator">
    <vt:lpwstr>Microsoft® Word 2010</vt:lpwstr>
  </property>
  <property fmtid="{D5CDD505-2E9C-101B-9397-08002B2CF9AE}" pid="4" name="LastSaved">
    <vt:filetime>2018-10-19T00:00:00Z</vt:filetime>
  </property>
</Properties>
</file>