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3"/>
        </w:rPr>
      </w:pPr>
    </w:p>
    <w:p>
      <w:pPr>
        <w:spacing w:before="0"/>
        <w:ind w:left="352" w:right="0" w:firstLine="0"/>
        <w:jc w:val="left"/>
        <w:rPr>
          <w:rFonts w:ascii="黑体" w:eastAsia="黑体" w:hint="eastAsia"/>
          <w:sz w:val="28"/>
        </w:rPr>
      </w:pPr>
      <w:r>
        <w:rPr>
          <w:rFonts w:ascii="黑体" w:eastAsia="黑体" w:hint="eastAsia"/>
          <w:spacing w:val="-23"/>
          <w:sz w:val="28"/>
        </w:rPr>
        <w:t>附件 </w:t>
      </w:r>
      <w:r>
        <w:rPr>
          <w:rFonts w:ascii="黑体" w:eastAsia="黑体" w:hint="eastAsia"/>
          <w:sz w:val="28"/>
        </w:rPr>
        <w:t>2-4</w:t>
      </w:r>
    </w:p>
    <w:p>
      <w:pPr>
        <w:pStyle w:val="BodyText"/>
        <w:spacing w:before="10"/>
        <w:ind w:left="5456"/>
      </w:pPr>
      <w:r>
        <w:rPr/>
        <w:br w:type="column"/>
      </w:r>
      <w:r>
        <w:rPr/>
        <w:t>泰康人寿[2014]疾病保险 032 号</w:t>
      </w:r>
    </w:p>
    <w:p>
      <w:pPr>
        <w:pStyle w:val="BodyText"/>
        <w:rPr>
          <w:sz w:val="20"/>
        </w:rPr>
      </w:pPr>
    </w:p>
    <w:p>
      <w:pPr>
        <w:pStyle w:val="BodyText"/>
        <w:spacing w:before="7"/>
        <w:rPr>
          <w:sz w:val="24"/>
        </w:rPr>
      </w:pPr>
    </w:p>
    <w:p>
      <w:pPr>
        <w:pStyle w:val="Heading1"/>
        <w:spacing w:before="1"/>
        <w:ind w:left="352"/>
      </w:pPr>
      <w:r>
        <w:rPr/>
        <w:drawing>
          <wp:anchor distT="0" distB="0" distL="0" distR="0" allowOverlap="1" layoutInCell="1" locked="0" behindDoc="0" simplePos="0" relativeHeight="0">
            <wp:simplePos x="0" y="0"/>
            <wp:positionH relativeFrom="page">
              <wp:posOffset>5990590</wp:posOffset>
            </wp:positionH>
            <wp:positionV relativeFrom="paragraph">
              <wp:posOffset>-293543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泰康常安终身团体重大疾病保险条款</w:t>
      </w:r>
    </w:p>
    <w:p>
      <w:pPr>
        <w:spacing w:after="0"/>
        <w:sectPr>
          <w:type w:val="continuous"/>
          <w:pgSz w:w="11910" w:h="16840"/>
          <w:pgMar w:top="820" w:bottom="280" w:left="780" w:right="360"/>
          <w:cols w:num="2" w:equalWidth="0">
            <w:col w:w="1406" w:space="850"/>
            <w:col w:w="8514"/>
          </w:cols>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
        <w:rPr>
          <w:rFonts w:ascii="微软雅黑"/>
          <w:b/>
          <w:sz w:val="10"/>
        </w:rPr>
      </w:pPr>
      <w:r>
        <w:rPr/>
        <w:br w:type="column"/>
      </w:r>
      <w:r>
        <w:rPr>
          <w:rFonts w:ascii="微软雅黑"/>
          <w:b/>
          <w:sz w:val="10"/>
        </w:rPr>
      </w:r>
    </w:p>
    <w:p>
      <w:pPr>
        <w:pStyle w:val="BodyText"/>
        <w:spacing w:before="1"/>
        <w:ind w:left="2043"/>
      </w:pPr>
      <w:r>
        <w:rPr/>
        <w:t>请扫描以查询验证条款</w:t>
      </w:r>
    </w:p>
    <w:p>
      <w:pPr>
        <w:spacing w:after="0"/>
        <w:sectPr>
          <w:type w:val="continuous"/>
          <w:pgSz w:w="11910" w:h="16840"/>
          <w:pgMar w:top="820" w:bottom="280" w:left="780" w:right="360"/>
          <w:cols w:num="2" w:equalWidth="0">
            <w:col w:w="6055" w:space="40"/>
            <w:col w:w="4675"/>
          </w:cols>
        </w:sectPr>
      </w:pPr>
    </w:p>
    <w:p>
      <w:pPr>
        <w:pStyle w:val="BodyText"/>
        <w:spacing w:before="8"/>
        <w:rPr>
          <w:sz w:val="14"/>
        </w:rPr>
      </w:pPr>
    </w:p>
    <w:p>
      <w:pPr>
        <w:pStyle w:val="BodyText"/>
        <w:spacing w:before="36" w:after="41"/>
        <w:ind w:left="75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2"/>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3226"/>
        <w:gridCol w:w="681"/>
        <w:gridCol w:w="3575"/>
      </w:tblGrid>
      <w:tr>
        <w:trPr>
          <w:trHeight w:val="5668" w:hRule="atLeast"/>
        </w:trPr>
        <w:tc>
          <w:tcPr>
            <w:tcW w:w="10123"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07"/>
              <w:rPr>
                <w:b/>
                <w:sz w:val="21"/>
              </w:rPr>
            </w:pPr>
            <w:r>
              <w:rPr>
                <w:rFonts w:ascii="Arial" w:hAnsi="Arial" w:eastAsia="Arial"/>
                <w:b/>
                <w:w w:val="105"/>
                <w:position w:val="-11"/>
                <w:sz w:val="52"/>
              </w:rPr>
              <w:t></w:t>
              <w:tab/>
            </w:r>
            <w:r>
              <w:rPr>
                <w:b/>
                <w:spacing w:val="-1"/>
                <w:sz w:val="21"/>
              </w:rPr>
              <w:t>投保人拥有的重要权益</w:t>
            </w:r>
          </w:p>
          <w:p>
            <w:pPr>
              <w:pStyle w:val="TableParagraph"/>
              <w:numPr>
                <w:ilvl w:val="0"/>
                <w:numId w:val="1"/>
              </w:numPr>
              <w:tabs>
                <w:tab w:pos="1137" w:val="left" w:leader="none"/>
                <w:tab w:pos="1138" w:val="left" w:leader="none"/>
              </w:tabs>
              <w:spacing w:line="240" w:lineRule="auto" w:before="26" w:after="0"/>
              <w:ind w:left="1137" w:right="0" w:hanging="398"/>
              <w:jc w:val="left"/>
              <w:rPr>
                <w:sz w:val="21"/>
              </w:rPr>
            </w:pPr>
            <w:r>
              <w:rPr>
                <w:spacing w:val="-6"/>
                <w:sz w:val="21"/>
              </w:rPr>
              <w:t>签收本合同的次日零时起 </w:t>
            </w:r>
            <w:r>
              <w:rPr>
                <w:sz w:val="21"/>
              </w:rPr>
              <w:t>15</w:t>
            </w:r>
            <w:r>
              <w:rPr>
                <w:spacing w:val="-17"/>
                <w:sz w:val="21"/>
              </w:rPr>
              <w:t> 日</w:t>
            </w:r>
            <w:r>
              <w:rPr>
                <w:spacing w:val="-3"/>
                <w:sz w:val="21"/>
              </w:rPr>
              <w:t>（即犹豫期</w:t>
            </w:r>
            <w:r>
              <w:rPr>
                <w:sz w:val="21"/>
              </w:rPr>
              <w:t>）</w:t>
            </w:r>
            <w:r>
              <w:rPr>
                <w:spacing w:val="-3"/>
                <w:sz w:val="21"/>
              </w:rPr>
              <w:t>内投保人若要求退保，本公司无息退还保险费.</w:t>
            </w:r>
            <w:r>
              <w:rPr>
                <w:sz w:val="21"/>
              </w:rPr>
              <w:t>1.4</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sz w:val="21"/>
              </w:rPr>
              <w:t>投保</w:t>
            </w:r>
            <w:r>
              <w:rPr>
                <w:spacing w:val="-3"/>
                <w:sz w:val="21"/>
              </w:rPr>
              <w:t>人</w:t>
            </w:r>
            <w:r>
              <w:rPr>
                <w:sz w:val="21"/>
              </w:rPr>
              <w:t>有</w:t>
            </w:r>
            <w:r>
              <w:rPr>
                <w:spacing w:val="-3"/>
                <w:sz w:val="21"/>
              </w:rPr>
              <w:t>退</w:t>
            </w:r>
            <w:r>
              <w:rPr>
                <w:sz w:val="21"/>
              </w:rPr>
              <w:t>保</w:t>
            </w:r>
            <w:r>
              <w:rPr>
                <w:spacing w:val="-3"/>
                <w:sz w:val="21"/>
              </w:rPr>
              <w:t>的</w:t>
            </w:r>
            <w:r>
              <w:rPr>
                <w:sz w:val="21"/>
              </w:rPr>
              <w:t>权利</w:t>
              <w:tab/>
              <w:t>6.1</w:t>
            </w:r>
          </w:p>
          <w:p>
            <w:pPr>
              <w:pStyle w:val="TableParagraph"/>
              <w:tabs>
                <w:tab w:pos="1118" w:val="left" w:leader="none"/>
              </w:tabs>
              <w:spacing w:before="23"/>
              <w:ind w:left="107"/>
              <w:rPr>
                <w:b/>
                <w:sz w:val="21"/>
              </w:rPr>
            </w:pPr>
            <w:r>
              <w:rPr>
                <w:rFonts w:ascii="Arial" w:hAnsi="Arial" w:eastAsia="Arial"/>
                <w:b/>
                <w:w w:val="105"/>
                <w:position w:val="-11"/>
                <w:sz w:val="52"/>
              </w:rPr>
              <w:t></w:t>
              <w:tab/>
            </w:r>
            <w:r>
              <w:rPr>
                <w:b/>
                <w:spacing w:val="-1"/>
                <w:sz w:val="21"/>
              </w:rPr>
              <w:t>投保人应当特别注意的事项</w:t>
            </w:r>
          </w:p>
          <w:p>
            <w:pPr>
              <w:pStyle w:val="TableParagraph"/>
              <w:numPr>
                <w:ilvl w:val="0"/>
                <w:numId w:val="1"/>
              </w:numPr>
              <w:tabs>
                <w:tab w:pos="1137" w:val="left" w:leader="none"/>
                <w:tab w:pos="1138" w:val="left" w:leader="none"/>
                <w:tab w:pos="9851" w:val="right" w:leader="dot"/>
              </w:tabs>
              <w:spacing w:line="240" w:lineRule="auto" w:before="26" w:after="0"/>
              <w:ind w:left="1137"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TableParagraph"/>
              <w:numPr>
                <w:ilvl w:val="0"/>
                <w:numId w:val="1"/>
              </w:numPr>
              <w:tabs>
                <w:tab w:pos="1137" w:val="left" w:leader="none"/>
                <w:tab w:pos="1138" w:val="left" w:leader="none"/>
                <w:tab w:pos="9853" w:val="right" w:leader="dot"/>
              </w:tabs>
              <w:spacing w:line="240" w:lineRule="auto" w:before="22" w:after="0"/>
              <w:ind w:left="1137"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TableParagraph"/>
              <w:numPr>
                <w:ilvl w:val="0"/>
                <w:numId w:val="1"/>
              </w:numPr>
              <w:tabs>
                <w:tab w:pos="1128" w:val="left" w:leader="none"/>
                <w:tab w:pos="1129" w:val="left" w:leader="none"/>
                <w:tab w:pos="9844" w:val="right" w:leader="dot"/>
              </w:tabs>
              <w:spacing w:line="240" w:lineRule="auto" w:before="22" w:after="0"/>
              <w:ind w:left="1128" w:right="0" w:hanging="389"/>
              <w:jc w:val="left"/>
              <w:rPr>
                <w:sz w:val="21"/>
              </w:rPr>
            </w:pPr>
            <w:r>
              <w:rPr>
                <w:sz w:val="21"/>
              </w:rPr>
              <w:t>退保</w:t>
            </w:r>
            <w:r>
              <w:rPr>
                <w:spacing w:val="-3"/>
                <w:sz w:val="21"/>
              </w:rPr>
              <w:t>会</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w:t>
            </w:r>
            <w:r>
              <w:rPr>
                <w:sz w:val="21"/>
              </w:rPr>
              <w:t>请投</w:t>
            </w:r>
            <w:r>
              <w:rPr>
                <w:spacing w:val="-3"/>
                <w:sz w:val="21"/>
              </w:rPr>
              <w:t>保</w:t>
            </w:r>
            <w:r>
              <w:rPr>
                <w:sz w:val="21"/>
              </w:rPr>
              <w:t>人</w:t>
            </w:r>
            <w:r>
              <w:rPr>
                <w:spacing w:val="-3"/>
                <w:sz w:val="21"/>
              </w:rPr>
              <w:t>慎</w:t>
            </w:r>
            <w:r>
              <w:rPr>
                <w:sz w:val="21"/>
              </w:rPr>
              <w:t>重</w:t>
            </w:r>
            <w:r>
              <w:rPr>
                <w:spacing w:val="-3"/>
                <w:sz w:val="21"/>
              </w:rPr>
              <w:t>决</w:t>
            </w:r>
            <w:r>
              <w:rPr>
                <w:sz w:val="21"/>
              </w:rPr>
              <w:t>策</w:t>
              <w:tab/>
              <w:t>6.1</w:t>
            </w:r>
          </w:p>
          <w:p>
            <w:pPr>
              <w:pStyle w:val="TableParagraph"/>
              <w:numPr>
                <w:ilvl w:val="0"/>
                <w:numId w:val="1"/>
              </w:numPr>
              <w:tabs>
                <w:tab w:pos="1137" w:val="left" w:leader="none"/>
                <w:tab w:pos="1138" w:val="left" w:leader="none"/>
                <w:tab w:pos="9851" w:val="right" w:leader="dot"/>
              </w:tabs>
              <w:spacing w:line="240" w:lineRule="auto" w:before="22" w:after="0"/>
              <w:ind w:left="1137"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7.1</w:t>
            </w:r>
          </w:p>
          <w:p>
            <w:pPr>
              <w:pStyle w:val="TableParagraph"/>
              <w:numPr>
                <w:ilvl w:val="0"/>
                <w:numId w:val="1"/>
              </w:numPr>
              <w:tabs>
                <w:tab w:pos="1137" w:val="left" w:leader="none"/>
                <w:tab w:pos="1138" w:val="left" w:leader="none"/>
                <w:tab w:pos="9647" w:val="right" w:leader="dot"/>
              </w:tabs>
              <w:spacing w:line="240" w:lineRule="auto" w:before="22" w:after="0"/>
              <w:ind w:left="1137"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8</w:t>
            </w:r>
          </w:p>
          <w:p>
            <w:pPr>
              <w:pStyle w:val="TableParagraph"/>
              <w:numPr>
                <w:ilvl w:val="0"/>
                <w:numId w:val="1"/>
              </w:numPr>
              <w:tabs>
                <w:tab w:pos="1137" w:val="left" w:leader="none"/>
                <w:tab w:pos="1138" w:val="left" w:leader="none"/>
                <w:tab w:pos="9642" w:val="right" w:leader="dot"/>
              </w:tabs>
              <w:spacing w:line="240" w:lineRule="auto" w:before="22" w:after="0"/>
              <w:ind w:left="1137"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9</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pStyle w:val="TableParagraph"/>
              <w:tabs>
                <w:tab w:pos="1118" w:val="left" w:leader="none"/>
              </w:tabs>
              <w:spacing w:before="26"/>
              <w:ind w:left="107"/>
              <w:rPr>
                <w:b/>
                <w:sz w:val="21"/>
              </w:rPr>
            </w:pPr>
            <w:r>
              <w:rPr>
                <w:rFonts w:ascii="Arial" w:hAnsi="Arial" w:eastAsia="Arial"/>
                <w:b/>
                <w:w w:val="110"/>
                <w:position w:val="-11"/>
                <w:sz w:val="52"/>
              </w:rPr>
              <w:t></w:t>
              <w:tab/>
            </w:r>
            <w:r>
              <w:rPr>
                <w:b/>
                <w:sz w:val="21"/>
              </w:rPr>
              <w:t>条款目录</w:t>
            </w:r>
          </w:p>
        </w:tc>
      </w:tr>
      <w:tr>
        <w:trPr>
          <w:trHeight w:val="261" w:hRule="atLeast"/>
        </w:trPr>
        <w:tc>
          <w:tcPr>
            <w:tcW w:w="2641" w:type="dxa"/>
            <w:tcBorders>
              <w:left w:val="single" w:sz="4" w:space="0" w:color="000000"/>
            </w:tcBorders>
          </w:tcPr>
          <w:p>
            <w:pPr>
              <w:pStyle w:val="TableParagraph"/>
              <w:spacing w:line="211" w:lineRule="exact"/>
              <w:ind w:left="306"/>
              <w:rPr>
                <w:b/>
                <w:sz w:val="21"/>
              </w:rPr>
            </w:pPr>
            <w:r>
              <w:rPr>
                <w:b/>
                <w:sz w:val="21"/>
              </w:rPr>
              <w:t>1. 合同的订立</w:t>
            </w:r>
          </w:p>
        </w:tc>
        <w:tc>
          <w:tcPr>
            <w:tcW w:w="3226" w:type="dxa"/>
          </w:tcPr>
          <w:p>
            <w:pPr>
              <w:pStyle w:val="TableParagraph"/>
              <w:spacing w:line="211" w:lineRule="exact"/>
              <w:ind w:left="234"/>
              <w:rPr>
                <w:sz w:val="21"/>
              </w:rPr>
            </w:pPr>
            <w:r>
              <w:rPr>
                <w:sz w:val="21"/>
              </w:rPr>
              <w:t>4.2 宽限期</w:t>
            </w:r>
          </w:p>
        </w:tc>
        <w:tc>
          <w:tcPr>
            <w:tcW w:w="681" w:type="dxa"/>
          </w:tcPr>
          <w:p>
            <w:pPr>
              <w:pStyle w:val="TableParagraph"/>
              <w:spacing w:line="211" w:lineRule="exact"/>
              <w:ind w:left="263"/>
              <w:rPr>
                <w:sz w:val="21"/>
              </w:rPr>
            </w:pPr>
            <w:r>
              <w:rPr>
                <w:sz w:val="21"/>
              </w:rPr>
              <w:t>9.3</w:t>
            </w:r>
          </w:p>
        </w:tc>
        <w:tc>
          <w:tcPr>
            <w:tcW w:w="3575" w:type="dxa"/>
            <w:tcBorders>
              <w:right w:val="single" w:sz="4" w:space="0" w:color="000000"/>
            </w:tcBorders>
          </w:tcPr>
          <w:p>
            <w:pPr>
              <w:pStyle w:val="TableParagraph"/>
              <w:spacing w:line="211" w:lineRule="exact"/>
              <w:ind w:left="5"/>
              <w:rPr>
                <w:sz w:val="21"/>
              </w:rPr>
            </w:pPr>
            <w:r>
              <w:rPr>
                <w:sz w:val="21"/>
              </w:rPr>
              <w:t>保险费约定交纳日</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1.1 合同构成</w:t>
            </w:r>
          </w:p>
        </w:tc>
        <w:tc>
          <w:tcPr>
            <w:tcW w:w="3226" w:type="dxa"/>
          </w:tcPr>
          <w:p>
            <w:pPr>
              <w:pStyle w:val="TableParagraph"/>
              <w:spacing w:line="261" w:lineRule="exact"/>
              <w:ind w:left="128"/>
              <w:rPr>
                <w:b/>
                <w:sz w:val="21"/>
              </w:rPr>
            </w:pPr>
            <w:r>
              <w:rPr>
                <w:b/>
                <w:sz w:val="21"/>
              </w:rPr>
              <w:t>5．合同效力的中止及恢复</w:t>
            </w:r>
          </w:p>
        </w:tc>
        <w:tc>
          <w:tcPr>
            <w:tcW w:w="681" w:type="dxa"/>
          </w:tcPr>
          <w:p>
            <w:pPr>
              <w:pStyle w:val="TableParagraph"/>
              <w:spacing w:line="261" w:lineRule="exact"/>
              <w:ind w:left="263"/>
              <w:rPr>
                <w:sz w:val="21"/>
              </w:rPr>
            </w:pPr>
            <w:r>
              <w:rPr>
                <w:sz w:val="21"/>
              </w:rPr>
              <w:t>9.4</w:t>
            </w:r>
          </w:p>
        </w:tc>
        <w:tc>
          <w:tcPr>
            <w:tcW w:w="3575" w:type="dxa"/>
            <w:tcBorders>
              <w:right w:val="single" w:sz="4" w:space="0" w:color="000000"/>
            </w:tcBorders>
          </w:tcPr>
          <w:p>
            <w:pPr>
              <w:pStyle w:val="TableParagraph"/>
              <w:spacing w:line="261" w:lineRule="exact"/>
              <w:ind w:left="5"/>
              <w:rPr>
                <w:sz w:val="21"/>
              </w:rPr>
            </w:pPr>
            <w:r>
              <w:rPr>
                <w:sz w:val="21"/>
              </w:rPr>
              <w:t>周岁</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1.2 合同成立及生效</w:t>
            </w:r>
          </w:p>
        </w:tc>
        <w:tc>
          <w:tcPr>
            <w:tcW w:w="3226" w:type="dxa"/>
          </w:tcPr>
          <w:p>
            <w:pPr>
              <w:pStyle w:val="TableParagraph"/>
              <w:spacing w:line="261" w:lineRule="exact"/>
              <w:ind w:left="234"/>
              <w:rPr>
                <w:sz w:val="21"/>
              </w:rPr>
            </w:pPr>
            <w:r>
              <w:rPr>
                <w:sz w:val="21"/>
              </w:rPr>
              <w:t>5.1 效力中止</w:t>
            </w:r>
          </w:p>
        </w:tc>
        <w:tc>
          <w:tcPr>
            <w:tcW w:w="681" w:type="dxa"/>
          </w:tcPr>
          <w:p>
            <w:pPr>
              <w:pStyle w:val="TableParagraph"/>
              <w:spacing w:line="261" w:lineRule="exact"/>
              <w:ind w:left="263"/>
              <w:rPr>
                <w:sz w:val="21"/>
              </w:rPr>
            </w:pPr>
            <w:r>
              <w:rPr>
                <w:sz w:val="21"/>
              </w:rPr>
              <w:t>9.5</w:t>
            </w:r>
          </w:p>
        </w:tc>
        <w:tc>
          <w:tcPr>
            <w:tcW w:w="3575" w:type="dxa"/>
            <w:tcBorders>
              <w:right w:val="single" w:sz="4" w:space="0" w:color="000000"/>
            </w:tcBorders>
          </w:tcPr>
          <w:p>
            <w:pPr>
              <w:pStyle w:val="TableParagraph"/>
              <w:spacing w:line="261" w:lineRule="exact"/>
              <w:ind w:left="2"/>
              <w:rPr>
                <w:sz w:val="21"/>
              </w:rPr>
            </w:pPr>
            <w:r>
              <w:rPr>
                <w:sz w:val="21"/>
              </w:rPr>
              <w:t>有效身份证件</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1.3 投保年龄</w:t>
            </w:r>
          </w:p>
        </w:tc>
        <w:tc>
          <w:tcPr>
            <w:tcW w:w="3226" w:type="dxa"/>
          </w:tcPr>
          <w:p>
            <w:pPr>
              <w:pStyle w:val="TableParagraph"/>
              <w:spacing w:line="261" w:lineRule="exact"/>
              <w:ind w:left="234"/>
              <w:rPr>
                <w:sz w:val="21"/>
              </w:rPr>
            </w:pPr>
            <w:r>
              <w:rPr>
                <w:sz w:val="21"/>
              </w:rPr>
              <w:t>5.2 效力恢复</w:t>
            </w:r>
          </w:p>
        </w:tc>
        <w:tc>
          <w:tcPr>
            <w:tcW w:w="681" w:type="dxa"/>
          </w:tcPr>
          <w:p>
            <w:pPr>
              <w:pStyle w:val="TableParagraph"/>
              <w:spacing w:line="261" w:lineRule="exact"/>
              <w:ind w:left="263"/>
              <w:rPr>
                <w:sz w:val="21"/>
              </w:rPr>
            </w:pPr>
            <w:r>
              <w:rPr>
                <w:sz w:val="21"/>
              </w:rPr>
              <w:t>9.6</w:t>
            </w:r>
          </w:p>
        </w:tc>
        <w:tc>
          <w:tcPr>
            <w:tcW w:w="3575" w:type="dxa"/>
            <w:tcBorders>
              <w:right w:val="single" w:sz="4" w:space="0" w:color="000000"/>
            </w:tcBorders>
          </w:tcPr>
          <w:p>
            <w:pPr>
              <w:pStyle w:val="TableParagraph"/>
              <w:spacing w:line="261" w:lineRule="exact"/>
              <w:ind w:left="2"/>
              <w:rPr>
                <w:sz w:val="21"/>
              </w:rPr>
            </w:pPr>
            <w:r>
              <w:rPr>
                <w:sz w:val="21"/>
              </w:rPr>
              <w:t>医院</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1.4 犹豫期</w:t>
            </w:r>
          </w:p>
        </w:tc>
        <w:tc>
          <w:tcPr>
            <w:tcW w:w="3226" w:type="dxa"/>
          </w:tcPr>
          <w:p>
            <w:pPr>
              <w:pStyle w:val="TableParagraph"/>
              <w:spacing w:line="261" w:lineRule="exact"/>
              <w:ind w:left="128"/>
              <w:rPr>
                <w:b/>
                <w:sz w:val="21"/>
              </w:rPr>
            </w:pPr>
            <w:r>
              <w:rPr>
                <w:b/>
                <w:sz w:val="21"/>
              </w:rPr>
              <w:t>6. 合同解除</w:t>
            </w:r>
          </w:p>
        </w:tc>
        <w:tc>
          <w:tcPr>
            <w:tcW w:w="681" w:type="dxa"/>
          </w:tcPr>
          <w:p>
            <w:pPr>
              <w:pStyle w:val="TableParagraph"/>
              <w:spacing w:line="261" w:lineRule="exact"/>
              <w:ind w:left="263"/>
              <w:rPr>
                <w:sz w:val="21"/>
              </w:rPr>
            </w:pPr>
            <w:r>
              <w:rPr>
                <w:sz w:val="21"/>
              </w:rPr>
              <w:t>9.7</w:t>
            </w:r>
          </w:p>
        </w:tc>
        <w:tc>
          <w:tcPr>
            <w:tcW w:w="3575" w:type="dxa"/>
            <w:tcBorders>
              <w:right w:val="single" w:sz="4" w:space="0" w:color="000000"/>
            </w:tcBorders>
          </w:tcPr>
          <w:p>
            <w:pPr>
              <w:pStyle w:val="TableParagraph"/>
              <w:spacing w:line="261" w:lineRule="exact"/>
              <w:ind w:left="2"/>
              <w:rPr>
                <w:sz w:val="21"/>
              </w:rPr>
            </w:pPr>
            <w:r>
              <w:rPr>
                <w:sz w:val="21"/>
              </w:rPr>
              <w:t>初次确诊</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2. 提供的保障</w:t>
            </w:r>
          </w:p>
        </w:tc>
        <w:tc>
          <w:tcPr>
            <w:tcW w:w="3226" w:type="dxa"/>
          </w:tcPr>
          <w:p>
            <w:pPr>
              <w:pStyle w:val="TableParagraph"/>
              <w:spacing w:line="261" w:lineRule="exact"/>
              <w:ind w:left="234"/>
              <w:rPr>
                <w:sz w:val="21"/>
              </w:rPr>
            </w:pPr>
            <w:r>
              <w:rPr>
                <w:sz w:val="21"/>
              </w:rPr>
              <w:t>6.1 解除合同的手续及风险</w:t>
            </w:r>
          </w:p>
        </w:tc>
        <w:tc>
          <w:tcPr>
            <w:tcW w:w="681" w:type="dxa"/>
          </w:tcPr>
          <w:p>
            <w:pPr>
              <w:pStyle w:val="TableParagraph"/>
              <w:spacing w:line="261" w:lineRule="exact"/>
              <w:ind w:left="263"/>
              <w:rPr>
                <w:sz w:val="21"/>
              </w:rPr>
            </w:pPr>
            <w:r>
              <w:rPr>
                <w:sz w:val="21"/>
              </w:rPr>
              <w:t>9.8</w:t>
            </w:r>
          </w:p>
        </w:tc>
        <w:tc>
          <w:tcPr>
            <w:tcW w:w="3575" w:type="dxa"/>
            <w:tcBorders>
              <w:right w:val="single" w:sz="4" w:space="0" w:color="000000"/>
            </w:tcBorders>
          </w:tcPr>
          <w:p>
            <w:pPr>
              <w:pStyle w:val="TableParagraph"/>
              <w:spacing w:line="261" w:lineRule="exact"/>
              <w:ind w:left="5"/>
              <w:rPr>
                <w:sz w:val="21"/>
              </w:rPr>
            </w:pPr>
            <w:r>
              <w:rPr>
                <w:sz w:val="21"/>
              </w:rPr>
              <w:t>意外伤害</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2.1 保险金额</w:t>
            </w:r>
          </w:p>
        </w:tc>
        <w:tc>
          <w:tcPr>
            <w:tcW w:w="3226" w:type="dxa"/>
          </w:tcPr>
          <w:p>
            <w:pPr>
              <w:pStyle w:val="TableParagraph"/>
              <w:spacing w:line="261" w:lineRule="exact"/>
              <w:ind w:left="128"/>
              <w:rPr>
                <w:b/>
                <w:sz w:val="21"/>
              </w:rPr>
            </w:pPr>
            <w:r>
              <w:rPr>
                <w:b/>
                <w:sz w:val="21"/>
              </w:rPr>
              <w:t>7. 其他需要关注的事项</w:t>
            </w:r>
          </w:p>
        </w:tc>
        <w:tc>
          <w:tcPr>
            <w:tcW w:w="681" w:type="dxa"/>
          </w:tcPr>
          <w:p>
            <w:pPr>
              <w:pStyle w:val="TableParagraph"/>
              <w:spacing w:line="261" w:lineRule="exact"/>
              <w:ind w:left="263"/>
              <w:rPr>
                <w:sz w:val="21"/>
              </w:rPr>
            </w:pPr>
            <w:r>
              <w:rPr>
                <w:sz w:val="21"/>
              </w:rPr>
              <w:t>9.9</w:t>
            </w:r>
          </w:p>
        </w:tc>
        <w:tc>
          <w:tcPr>
            <w:tcW w:w="3575" w:type="dxa"/>
            <w:tcBorders>
              <w:right w:val="single" w:sz="4" w:space="0" w:color="000000"/>
            </w:tcBorders>
          </w:tcPr>
          <w:p>
            <w:pPr>
              <w:pStyle w:val="TableParagraph"/>
              <w:spacing w:line="261" w:lineRule="exact"/>
              <w:ind w:left="2"/>
              <w:rPr>
                <w:sz w:val="21"/>
              </w:rPr>
            </w:pPr>
            <w:r>
              <w:rPr>
                <w:sz w:val="21"/>
              </w:rPr>
              <w:t>毒品</w:t>
            </w:r>
          </w:p>
        </w:tc>
      </w:tr>
      <w:tr>
        <w:trPr>
          <w:trHeight w:val="312" w:hRule="atLeast"/>
        </w:trPr>
        <w:tc>
          <w:tcPr>
            <w:tcW w:w="2641" w:type="dxa"/>
            <w:tcBorders>
              <w:left w:val="single" w:sz="4" w:space="0" w:color="000000"/>
            </w:tcBorders>
          </w:tcPr>
          <w:p>
            <w:pPr>
              <w:pStyle w:val="TableParagraph"/>
              <w:spacing w:line="262" w:lineRule="exact"/>
              <w:ind w:left="413"/>
              <w:rPr>
                <w:sz w:val="21"/>
              </w:rPr>
            </w:pPr>
            <w:r>
              <w:rPr>
                <w:sz w:val="21"/>
              </w:rPr>
              <w:t>2.2 未成年人身故保险</w:t>
            </w:r>
          </w:p>
        </w:tc>
        <w:tc>
          <w:tcPr>
            <w:tcW w:w="3226" w:type="dxa"/>
          </w:tcPr>
          <w:p>
            <w:pPr>
              <w:pStyle w:val="TableParagraph"/>
              <w:spacing w:line="262" w:lineRule="exact"/>
              <w:ind w:left="234"/>
              <w:rPr>
                <w:sz w:val="21"/>
              </w:rPr>
            </w:pPr>
            <w:r>
              <w:rPr>
                <w:sz w:val="21"/>
              </w:rPr>
              <w:t>7.1 明确说明与如实告知</w:t>
            </w:r>
          </w:p>
        </w:tc>
        <w:tc>
          <w:tcPr>
            <w:tcW w:w="681" w:type="dxa"/>
          </w:tcPr>
          <w:p>
            <w:pPr>
              <w:pStyle w:val="TableParagraph"/>
              <w:spacing w:line="262" w:lineRule="exact"/>
              <w:ind w:left="263" w:right="-15"/>
              <w:rPr>
                <w:sz w:val="21"/>
              </w:rPr>
            </w:pPr>
            <w:r>
              <w:rPr>
                <w:sz w:val="21"/>
              </w:rPr>
              <w:t>9.10</w:t>
            </w:r>
          </w:p>
        </w:tc>
        <w:tc>
          <w:tcPr>
            <w:tcW w:w="3575" w:type="dxa"/>
            <w:tcBorders>
              <w:right w:val="single" w:sz="4" w:space="0" w:color="000000"/>
            </w:tcBorders>
          </w:tcPr>
          <w:p>
            <w:pPr>
              <w:pStyle w:val="TableParagraph"/>
              <w:spacing w:line="262" w:lineRule="exact"/>
              <w:ind w:left="108"/>
              <w:rPr>
                <w:sz w:val="21"/>
              </w:rPr>
            </w:pPr>
            <w:r>
              <w:rPr>
                <w:sz w:val="21"/>
              </w:rPr>
              <w:t>酒后驾驶</w:t>
            </w:r>
          </w:p>
        </w:tc>
      </w:tr>
      <w:tr>
        <w:trPr>
          <w:trHeight w:val="312" w:hRule="atLeast"/>
        </w:trPr>
        <w:tc>
          <w:tcPr>
            <w:tcW w:w="2641" w:type="dxa"/>
            <w:tcBorders>
              <w:left w:val="single" w:sz="4" w:space="0" w:color="000000"/>
            </w:tcBorders>
          </w:tcPr>
          <w:p>
            <w:pPr>
              <w:pStyle w:val="TableParagraph"/>
              <w:spacing w:line="261" w:lineRule="exact"/>
              <w:ind w:left="833"/>
              <w:rPr>
                <w:sz w:val="21"/>
              </w:rPr>
            </w:pPr>
            <w:r>
              <w:rPr>
                <w:sz w:val="21"/>
              </w:rPr>
              <w:t>金限制</w:t>
            </w:r>
          </w:p>
        </w:tc>
        <w:tc>
          <w:tcPr>
            <w:tcW w:w="3226" w:type="dxa"/>
          </w:tcPr>
          <w:p>
            <w:pPr>
              <w:pStyle w:val="TableParagraph"/>
              <w:spacing w:line="261" w:lineRule="exact"/>
              <w:ind w:left="234"/>
              <w:rPr>
                <w:sz w:val="21"/>
              </w:rPr>
            </w:pPr>
            <w:r>
              <w:rPr>
                <w:sz w:val="21"/>
              </w:rPr>
              <w:t>7.2 本公司合同解除权的限制</w:t>
            </w:r>
          </w:p>
        </w:tc>
        <w:tc>
          <w:tcPr>
            <w:tcW w:w="681" w:type="dxa"/>
          </w:tcPr>
          <w:p>
            <w:pPr>
              <w:pStyle w:val="TableParagraph"/>
              <w:spacing w:line="261" w:lineRule="exact"/>
              <w:ind w:left="263" w:right="-15"/>
              <w:rPr>
                <w:sz w:val="21"/>
              </w:rPr>
            </w:pPr>
            <w:r>
              <w:rPr>
                <w:sz w:val="21"/>
              </w:rPr>
              <w:t>9.11</w:t>
            </w:r>
          </w:p>
        </w:tc>
        <w:tc>
          <w:tcPr>
            <w:tcW w:w="3575" w:type="dxa"/>
            <w:tcBorders>
              <w:right w:val="single" w:sz="4" w:space="0" w:color="000000"/>
            </w:tcBorders>
          </w:tcPr>
          <w:p>
            <w:pPr>
              <w:pStyle w:val="TableParagraph"/>
              <w:spacing w:line="261" w:lineRule="exact"/>
              <w:ind w:left="108"/>
              <w:rPr>
                <w:sz w:val="21"/>
              </w:rPr>
            </w:pPr>
            <w:r>
              <w:rPr>
                <w:sz w:val="21"/>
              </w:rPr>
              <w:t>无合法有效驾驶证驾驶</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2.3 保险期间</w:t>
            </w:r>
          </w:p>
        </w:tc>
        <w:tc>
          <w:tcPr>
            <w:tcW w:w="3226" w:type="dxa"/>
          </w:tcPr>
          <w:p>
            <w:pPr>
              <w:pStyle w:val="TableParagraph"/>
              <w:spacing w:line="261" w:lineRule="exact"/>
              <w:ind w:left="234"/>
              <w:rPr>
                <w:sz w:val="21"/>
              </w:rPr>
            </w:pPr>
            <w:r>
              <w:rPr>
                <w:sz w:val="21"/>
              </w:rPr>
              <w:t>7.3 年龄性别错误</w:t>
            </w:r>
          </w:p>
        </w:tc>
        <w:tc>
          <w:tcPr>
            <w:tcW w:w="681" w:type="dxa"/>
          </w:tcPr>
          <w:p>
            <w:pPr>
              <w:pStyle w:val="TableParagraph"/>
              <w:spacing w:line="261" w:lineRule="exact"/>
              <w:ind w:left="263" w:right="-15"/>
              <w:rPr>
                <w:sz w:val="21"/>
              </w:rPr>
            </w:pPr>
            <w:r>
              <w:rPr>
                <w:sz w:val="21"/>
              </w:rPr>
              <w:t>9.12</w:t>
            </w:r>
          </w:p>
        </w:tc>
        <w:tc>
          <w:tcPr>
            <w:tcW w:w="3575" w:type="dxa"/>
            <w:tcBorders>
              <w:right w:val="single" w:sz="4" w:space="0" w:color="000000"/>
            </w:tcBorders>
          </w:tcPr>
          <w:p>
            <w:pPr>
              <w:pStyle w:val="TableParagraph"/>
              <w:spacing w:line="261" w:lineRule="exact"/>
              <w:ind w:left="108"/>
              <w:rPr>
                <w:sz w:val="21"/>
              </w:rPr>
            </w:pPr>
            <w:r>
              <w:rPr>
                <w:sz w:val="21"/>
              </w:rPr>
              <w:t>无有效行驶证</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2.4 保险责任</w:t>
            </w:r>
          </w:p>
        </w:tc>
        <w:tc>
          <w:tcPr>
            <w:tcW w:w="3226" w:type="dxa"/>
          </w:tcPr>
          <w:p>
            <w:pPr>
              <w:pStyle w:val="TableParagraph"/>
              <w:spacing w:line="261" w:lineRule="exact"/>
              <w:ind w:left="234"/>
              <w:rPr>
                <w:sz w:val="21"/>
              </w:rPr>
            </w:pPr>
            <w:r>
              <w:rPr>
                <w:sz w:val="21"/>
              </w:rPr>
              <w:t>7.4 被保险人变动</w:t>
            </w:r>
          </w:p>
        </w:tc>
        <w:tc>
          <w:tcPr>
            <w:tcW w:w="681" w:type="dxa"/>
          </w:tcPr>
          <w:p>
            <w:pPr>
              <w:pStyle w:val="TableParagraph"/>
              <w:spacing w:line="261" w:lineRule="exact"/>
              <w:ind w:left="263" w:right="-15"/>
              <w:rPr>
                <w:sz w:val="21"/>
              </w:rPr>
            </w:pPr>
            <w:r>
              <w:rPr>
                <w:sz w:val="21"/>
              </w:rPr>
              <w:t>9.13</w:t>
            </w:r>
          </w:p>
        </w:tc>
        <w:tc>
          <w:tcPr>
            <w:tcW w:w="3575" w:type="dxa"/>
            <w:tcBorders>
              <w:right w:val="single" w:sz="4" w:space="0" w:color="000000"/>
            </w:tcBorders>
          </w:tcPr>
          <w:p>
            <w:pPr>
              <w:pStyle w:val="TableParagraph"/>
              <w:spacing w:line="261" w:lineRule="exact"/>
              <w:ind w:left="108"/>
              <w:rPr>
                <w:sz w:val="21"/>
              </w:rPr>
            </w:pPr>
            <w:r>
              <w:rPr>
                <w:sz w:val="21"/>
              </w:rPr>
              <w:t>机动车</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2.5 责任免除</w:t>
            </w:r>
          </w:p>
        </w:tc>
        <w:tc>
          <w:tcPr>
            <w:tcW w:w="3226" w:type="dxa"/>
          </w:tcPr>
          <w:p>
            <w:pPr>
              <w:pStyle w:val="TableParagraph"/>
              <w:spacing w:line="261" w:lineRule="exact"/>
              <w:ind w:left="234"/>
              <w:rPr>
                <w:sz w:val="21"/>
              </w:rPr>
            </w:pPr>
            <w:r>
              <w:rPr>
                <w:sz w:val="21"/>
              </w:rPr>
              <w:t>7.5 未还款项</w:t>
            </w:r>
          </w:p>
        </w:tc>
        <w:tc>
          <w:tcPr>
            <w:tcW w:w="681" w:type="dxa"/>
          </w:tcPr>
          <w:p>
            <w:pPr>
              <w:pStyle w:val="TableParagraph"/>
              <w:spacing w:line="261" w:lineRule="exact"/>
              <w:ind w:left="263" w:right="-15"/>
              <w:rPr>
                <w:sz w:val="21"/>
              </w:rPr>
            </w:pPr>
            <w:r>
              <w:rPr>
                <w:sz w:val="21"/>
              </w:rPr>
              <w:t>9.14</w:t>
            </w:r>
          </w:p>
        </w:tc>
        <w:tc>
          <w:tcPr>
            <w:tcW w:w="3575" w:type="dxa"/>
            <w:tcBorders>
              <w:right w:val="single" w:sz="4" w:space="0" w:color="000000"/>
            </w:tcBorders>
          </w:tcPr>
          <w:p>
            <w:pPr>
              <w:pStyle w:val="TableParagraph"/>
              <w:spacing w:line="261" w:lineRule="exact"/>
              <w:ind w:left="108"/>
              <w:rPr>
                <w:sz w:val="21"/>
              </w:rPr>
            </w:pPr>
            <w:r>
              <w:rPr>
                <w:sz w:val="21"/>
              </w:rPr>
              <w:t>感染艾滋病病毒或者患艾滋病</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3. 保险金的申请</w:t>
            </w:r>
          </w:p>
        </w:tc>
        <w:tc>
          <w:tcPr>
            <w:tcW w:w="3226" w:type="dxa"/>
          </w:tcPr>
          <w:p>
            <w:pPr>
              <w:pStyle w:val="TableParagraph"/>
              <w:spacing w:line="261" w:lineRule="exact"/>
              <w:ind w:left="234"/>
              <w:rPr>
                <w:sz w:val="21"/>
              </w:rPr>
            </w:pPr>
            <w:r>
              <w:rPr>
                <w:sz w:val="21"/>
              </w:rPr>
              <w:t>7.6 转账规定</w:t>
            </w:r>
          </w:p>
        </w:tc>
        <w:tc>
          <w:tcPr>
            <w:tcW w:w="681" w:type="dxa"/>
          </w:tcPr>
          <w:p>
            <w:pPr>
              <w:pStyle w:val="TableParagraph"/>
              <w:spacing w:line="261" w:lineRule="exact"/>
              <w:ind w:left="263" w:right="-15"/>
              <w:rPr>
                <w:sz w:val="21"/>
              </w:rPr>
            </w:pPr>
            <w:r>
              <w:rPr>
                <w:sz w:val="21"/>
              </w:rPr>
              <w:t>9.15</w:t>
            </w:r>
          </w:p>
        </w:tc>
        <w:tc>
          <w:tcPr>
            <w:tcW w:w="3575" w:type="dxa"/>
            <w:tcBorders>
              <w:right w:val="single" w:sz="4" w:space="0" w:color="000000"/>
            </w:tcBorders>
          </w:tcPr>
          <w:p>
            <w:pPr>
              <w:pStyle w:val="TableParagraph"/>
              <w:spacing w:line="261" w:lineRule="exact"/>
              <w:ind w:left="108"/>
              <w:rPr>
                <w:sz w:val="21"/>
              </w:rPr>
            </w:pPr>
            <w:r>
              <w:rPr>
                <w:sz w:val="21"/>
              </w:rPr>
              <w:t>遗传性疾病</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3.1 受益人</w:t>
            </w:r>
          </w:p>
        </w:tc>
        <w:tc>
          <w:tcPr>
            <w:tcW w:w="3226" w:type="dxa"/>
          </w:tcPr>
          <w:p>
            <w:pPr>
              <w:pStyle w:val="TableParagraph"/>
              <w:spacing w:line="261" w:lineRule="exact"/>
              <w:ind w:left="234"/>
              <w:rPr>
                <w:sz w:val="21"/>
              </w:rPr>
            </w:pPr>
            <w:r>
              <w:rPr>
                <w:sz w:val="21"/>
              </w:rPr>
              <w:t>7.7 合同内容变更</w:t>
            </w:r>
          </w:p>
        </w:tc>
        <w:tc>
          <w:tcPr>
            <w:tcW w:w="681" w:type="dxa"/>
          </w:tcPr>
          <w:p>
            <w:pPr>
              <w:pStyle w:val="TableParagraph"/>
              <w:spacing w:line="261" w:lineRule="exact"/>
              <w:ind w:left="263" w:right="-15"/>
              <w:rPr>
                <w:sz w:val="21"/>
              </w:rPr>
            </w:pPr>
            <w:r>
              <w:rPr>
                <w:sz w:val="21"/>
              </w:rPr>
              <w:t>9.16</w:t>
            </w:r>
          </w:p>
        </w:tc>
        <w:tc>
          <w:tcPr>
            <w:tcW w:w="3575" w:type="dxa"/>
            <w:tcBorders>
              <w:right w:val="single" w:sz="4" w:space="0" w:color="000000"/>
            </w:tcBorders>
          </w:tcPr>
          <w:p>
            <w:pPr>
              <w:pStyle w:val="TableParagraph"/>
              <w:spacing w:line="261" w:lineRule="exact"/>
              <w:ind w:left="0" w:right="305"/>
              <w:jc w:val="right"/>
              <w:rPr>
                <w:sz w:val="21"/>
              </w:rPr>
            </w:pPr>
            <w:r>
              <w:rPr>
                <w:sz w:val="21"/>
              </w:rPr>
              <w:t>先天性畸形、变形或者染色体异常</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3.2 保险事故通知</w:t>
            </w:r>
          </w:p>
        </w:tc>
        <w:tc>
          <w:tcPr>
            <w:tcW w:w="3226" w:type="dxa"/>
          </w:tcPr>
          <w:p>
            <w:pPr>
              <w:pStyle w:val="TableParagraph"/>
              <w:spacing w:line="261" w:lineRule="exact"/>
              <w:ind w:left="234"/>
              <w:rPr>
                <w:sz w:val="21"/>
              </w:rPr>
            </w:pPr>
            <w:r>
              <w:rPr>
                <w:sz w:val="21"/>
              </w:rPr>
              <w:t>7.8 联系方式变更</w:t>
            </w:r>
          </w:p>
        </w:tc>
        <w:tc>
          <w:tcPr>
            <w:tcW w:w="681" w:type="dxa"/>
          </w:tcPr>
          <w:p>
            <w:pPr>
              <w:pStyle w:val="TableParagraph"/>
              <w:spacing w:line="261" w:lineRule="exact"/>
              <w:ind w:left="263" w:right="-15"/>
              <w:rPr>
                <w:sz w:val="21"/>
              </w:rPr>
            </w:pPr>
            <w:r>
              <w:rPr>
                <w:sz w:val="21"/>
              </w:rPr>
              <w:t>9.17</w:t>
            </w:r>
          </w:p>
        </w:tc>
        <w:tc>
          <w:tcPr>
            <w:tcW w:w="3575" w:type="dxa"/>
            <w:tcBorders>
              <w:right w:val="single" w:sz="4" w:space="0" w:color="000000"/>
            </w:tcBorders>
          </w:tcPr>
          <w:p>
            <w:pPr>
              <w:pStyle w:val="TableParagraph"/>
              <w:spacing w:line="261" w:lineRule="exact"/>
              <w:ind w:left="108"/>
              <w:rPr>
                <w:sz w:val="21"/>
              </w:rPr>
            </w:pPr>
            <w:r>
              <w:rPr>
                <w:sz w:val="21"/>
              </w:rPr>
              <w:t>现金价值</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3.3 保险金申请</w:t>
            </w:r>
          </w:p>
        </w:tc>
        <w:tc>
          <w:tcPr>
            <w:tcW w:w="3226" w:type="dxa"/>
          </w:tcPr>
          <w:p>
            <w:pPr>
              <w:pStyle w:val="TableParagraph"/>
              <w:spacing w:line="261" w:lineRule="exact"/>
              <w:ind w:left="234"/>
              <w:rPr>
                <w:sz w:val="21"/>
              </w:rPr>
            </w:pPr>
            <w:r>
              <w:rPr>
                <w:sz w:val="21"/>
              </w:rPr>
              <w:t>7.9 争议处理</w:t>
            </w:r>
          </w:p>
        </w:tc>
        <w:tc>
          <w:tcPr>
            <w:tcW w:w="681" w:type="dxa"/>
          </w:tcPr>
          <w:p>
            <w:pPr>
              <w:pStyle w:val="TableParagraph"/>
              <w:spacing w:line="261" w:lineRule="exact"/>
              <w:ind w:left="263" w:right="-15"/>
              <w:rPr>
                <w:sz w:val="21"/>
              </w:rPr>
            </w:pPr>
            <w:r>
              <w:rPr>
                <w:sz w:val="21"/>
              </w:rPr>
              <w:t>9.18</w:t>
            </w:r>
          </w:p>
        </w:tc>
        <w:tc>
          <w:tcPr>
            <w:tcW w:w="3575" w:type="dxa"/>
            <w:tcBorders>
              <w:right w:val="single" w:sz="4" w:space="0" w:color="000000"/>
            </w:tcBorders>
          </w:tcPr>
          <w:p>
            <w:pPr>
              <w:pStyle w:val="TableParagraph"/>
              <w:spacing w:line="261" w:lineRule="exact"/>
              <w:ind w:left="108"/>
              <w:rPr>
                <w:sz w:val="21"/>
              </w:rPr>
            </w:pPr>
            <w:r>
              <w:rPr>
                <w:sz w:val="21"/>
              </w:rPr>
              <w:t>专科医生</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3.4 保险金给付</w:t>
            </w:r>
          </w:p>
        </w:tc>
        <w:tc>
          <w:tcPr>
            <w:tcW w:w="3226" w:type="dxa"/>
          </w:tcPr>
          <w:p>
            <w:pPr>
              <w:pStyle w:val="TableParagraph"/>
              <w:spacing w:line="261" w:lineRule="exact"/>
              <w:ind w:left="234"/>
              <w:rPr>
                <w:sz w:val="21"/>
              </w:rPr>
            </w:pPr>
            <w:r>
              <w:rPr>
                <w:sz w:val="21"/>
              </w:rPr>
              <w:t>7.10 保险事故鉴定</w:t>
            </w:r>
          </w:p>
        </w:tc>
        <w:tc>
          <w:tcPr>
            <w:tcW w:w="681" w:type="dxa"/>
          </w:tcPr>
          <w:p>
            <w:pPr>
              <w:pStyle w:val="TableParagraph"/>
              <w:spacing w:line="261" w:lineRule="exact"/>
              <w:ind w:left="263" w:right="-15"/>
              <w:rPr>
                <w:sz w:val="21"/>
              </w:rPr>
            </w:pPr>
            <w:r>
              <w:rPr>
                <w:sz w:val="21"/>
              </w:rPr>
              <w:t>9.19</w:t>
            </w:r>
          </w:p>
        </w:tc>
        <w:tc>
          <w:tcPr>
            <w:tcW w:w="3575" w:type="dxa"/>
            <w:tcBorders>
              <w:right w:val="single" w:sz="4" w:space="0" w:color="000000"/>
            </w:tcBorders>
          </w:tcPr>
          <w:p>
            <w:pPr>
              <w:pStyle w:val="TableParagraph"/>
              <w:spacing w:line="261" w:lineRule="exact"/>
              <w:ind w:left="108"/>
              <w:rPr>
                <w:sz w:val="21"/>
              </w:rPr>
            </w:pPr>
            <w:r>
              <w:rPr>
                <w:sz w:val="21"/>
              </w:rPr>
              <w:t>肢体机能完全丧失</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3.5 宣告死亡处理</w:t>
            </w:r>
          </w:p>
        </w:tc>
        <w:tc>
          <w:tcPr>
            <w:tcW w:w="3226" w:type="dxa"/>
          </w:tcPr>
          <w:p>
            <w:pPr>
              <w:pStyle w:val="TableParagraph"/>
              <w:spacing w:line="261" w:lineRule="exact"/>
              <w:ind w:left="128"/>
              <w:rPr>
                <w:b/>
                <w:sz w:val="21"/>
              </w:rPr>
            </w:pPr>
            <w:r>
              <w:rPr>
                <w:b/>
                <w:sz w:val="21"/>
              </w:rPr>
              <w:t>8. 重大疾病定义</w:t>
            </w:r>
          </w:p>
        </w:tc>
        <w:tc>
          <w:tcPr>
            <w:tcW w:w="681" w:type="dxa"/>
          </w:tcPr>
          <w:p>
            <w:pPr>
              <w:pStyle w:val="TableParagraph"/>
              <w:spacing w:line="261" w:lineRule="exact"/>
              <w:ind w:left="263" w:right="-15"/>
              <w:rPr>
                <w:sz w:val="21"/>
              </w:rPr>
            </w:pPr>
            <w:r>
              <w:rPr>
                <w:sz w:val="21"/>
              </w:rPr>
              <w:t>9.20</w:t>
            </w:r>
          </w:p>
        </w:tc>
        <w:tc>
          <w:tcPr>
            <w:tcW w:w="3575" w:type="dxa"/>
            <w:tcBorders>
              <w:right w:val="single" w:sz="4" w:space="0" w:color="000000"/>
            </w:tcBorders>
          </w:tcPr>
          <w:p>
            <w:pPr>
              <w:pStyle w:val="TableParagraph"/>
              <w:spacing w:line="261" w:lineRule="exact"/>
              <w:ind w:left="0" w:right="305"/>
              <w:jc w:val="right"/>
              <w:rPr>
                <w:sz w:val="21"/>
              </w:rPr>
            </w:pPr>
            <w:r>
              <w:rPr>
                <w:sz w:val="21"/>
              </w:rPr>
              <w:t>语言能力或咀嚼吞咽能力完全丧失</w:t>
            </w:r>
          </w:p>
        </w:tc>
      </w:tr>
      <w:tr>
        <w:trPr>
          <w:trHeight w:val="312" w:hRule="atLeast"/>
        </w:trPr>
        <w:tc>
          <w:tcPr>
            <w:tcW w:w="2641" w:type="dxa"/>
            <w:tcBorders>
              <w:left w:val="single" w:sz="4" w:space="0" w:color="000000"/>
            </w:tcBorders>
          </w:tcPr>
          <w:p>
            <w:pPr>
              <w:pStyle w:val="TableParagraph"/>
              <w:spacing w:line="262" w:lineRule="exact"/>
              <w:ind w:left="413"/>
              <w:rPr>
                <w:sz w:val="21"/>
              </w:rPr>
            </w:pPr>
            <w:r>
              <w:rPr>
                <w:sz w:val="21"/>
              </w:rPr>
              <w:t>3.6 诉讼时效</w:t>
            </w:r>
          </w:p>
        </w:tc>
        <w:tc>
          <w:tcPr>
            <w:tcW w:w="3226" w:type="dxa"/>
          </w:tcPr>
          <w:p>
            <w:pPr>
              <w:pStyle w:val="TableParagraph"/>
              <w:spacing w:line="262" w:lineRule="exact"/>
              <w:ind w:left="128"/>
              <w:rPr>
                <w:b/>
                <w:sz w:val="21"/>
              </w:rPr>
            </w:pPr>
            <w:r>
              <w:rPr>
                <w:b/>
                <w:sz w:val="21"/>
              </w:rPr>
              <w:t>9. 释义</w:t>
            </w:r>
          </w:p>
        </w:tc>
        <w:tc>
          <w:tcPr>
            <w:tcW w:w="681" w:type="dxa"/>
          </w:tcPr>
          <w:p>
            <w:pPr>
              <w:pStyle w:val="TableParagraph"/>
              <w:spacing w:line="262" w:lineRule="exact"/>
              <w:ind w:left="263" w:right="-15"/>
              <w:rPr>
                <w:sz w:val="21"/>
              </w:rPr>
            </w:pPr>
            <w:r>
              <w:rPr>
                <w:sz w:val="21"/>
              </w:rPr>
              <w:t>9.21</w:t>
            </w:r>
          </w:p>
        </w:tc>
        <w:tc>
          <w:tcPr>
            <w:tcW w:w="3575" w:type="dxa"/>
            <w:tcBorders>
              <w:right w:val="single" w:sz="4" w:space="0" w:color="000000"/>
            </w:tcBorders>
          </w:tcPr>
          <w:p>
            <w:pPr>
              <w:pStyle w:val="TableParagraph"/>
              <w:spacing w:line="262" w:lineRule="exact"/>
              <w:ind w:left="108"/>
              <w:rPr>
                <w:sz w:val="21"/>
              </w:rPr>
            </w:pPr>
            <w:r>
              <w:rPr>
                <w:sz w:val="21"/>
              </w:rPr>
              <w:t>六项基本日常生活活动</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4. 保险费的交纳</w:t>
            </w:r>
          </w:p>
        </w:tc>
        <w:tc>
          <w:tcPr>
            <w:tcW w:w="3226" w:type="dxa"/>
          </w:tcPr>
          <w:p>
            <w:pPr>
              <w:pStyle w:val="TableParagraph"/>
              <w:spacing w:line="261" w:lineRule="exact"/>
              <w:ind w:left="234"/>
              <w:rPr>
                <w:sz w:val="21"/>
              </w:rPr>
            </w:pPr>
            <w:r>
              <w:rPr>
                <w:sz w:val="21"/>
              </w:rPr>
              <w:t>9.1 合法有效</w:t>
            </w:r>
          </w:p>
        </w:tc>
        <w:tc>
          <w:tcPr>
            <w:tcW w:w="681" w:type="dxa"/>
          </w:tcPr>
          <w:p>
            <w:pPr>
              <w:pStyle w:val="TableParagraph"/>
              <w:spacing w:line="261" w:lineRule="exact"/>
              <w:ind w:left="263" w:right="-15"/>
              <w:rPr>
                <w:sz w:val="21"/>
              </w:rPr>
            </w:pPr>
            <w:r>
              <w:rPr>
                <w:sz w:val="21"/>
              </w:rPr>
              <w:t>9.22</w:t>
            </w:r>
          </w:p>
        </w:tc>
        <w:tc>
          <w:tcPr>
            <w:tcW w:w="3575" w:type="dxa"/>
            <w:tcBorders>
              <w:right w:val="single" w:sz="4" w:space="0" w:color="000000"/>
            </w:tcBorders>
          </w:tcPr>
          <w:p>
            <w:pPr>
              <w:pStyle w:val="TableParagraph"/>
              <w:spacing w:line="261" w:lineRule="exact"/>
              <w:ind w:left="108"/>
              <w:rPr>
                <w:sz w:val="21"/>
              </w:rPr>
            </w:pPr>
            <w:r>
              <w:rPr>
                <w:sz w:val="21"/>
              </w:rPr>
              <w:t>永久不可逆</w:t>
            </w:r>
          </w:p>
        </w:tc>
      </w:tr>
      <w:tr>
        <w:trPr>
          <w:trHeight w:val="310" w:hRule="atLeast"/>
        </w:trPr>
        <w:tc>
          <w:tcPr>
            <w:tcW w:w="2641" w:type="dxa"/>
            <w:tcBorders>
              <w:left w:val="single" w:sz="4" w:space="0" w:color="000000"/>
              <w:bottom w:val="single" w:sz="4" w:space="0" w:color="000000"/>
            </w:tcBorders>
          </w:tcPr>
          <w:p>
            <w:pPr>
              <w:pStyle w:val="TableParagraph"/>
              <w:spacing w:line="261" w:lineRule="exact"/>
              <w:ind w:left="413"/>
              <w:rPr>
                <w:sz w:val="21"/>
              </w:rPr>
            </w:pPr>
            <w:r>
              <w:rPr>
                <w:sz w:val="21"/>
              </w:rPr>
              <w:t>4.1 保险费的交纳</w:t>
            </w:r>
          </w:p>
        </w:tc>
        <w:tc>
          <w:tcPr>
            <w:tcW w:w="3226" w:type="dxa"/>
            <w:tcBorders>
              <w:bottom w:val="single" w:sz="4" w:space="0" w:color="000000"/>
            </w:tcBorders>
          </w:tcPr>
          <w:p>
            <w:pPr>
              <w:pStyle w:val="TableParagraph"/>
              <w:spacing w:line="261" w:lineRule="exact"/>
              <w:ind w:left="234"/>
              <w:rPr>
                <w:sz w:val="21"/>
              </w:rPr>
            </w:pPr>
            <w:r>
              <w:rPr>
                <w:sz w:val="21"/>
              </w:rPr>
              <w:t>9.2 保单年度</w:t>
            </w:r>
          </w:p>
        </w:tc>
        <w:tc>
          <w:tcPr>
            <w:tcW w:w="681" w:type="dxa"/>
            <w:tcBorders>
              <w:bottom w:val="single" w:sz="4" w:space="0" w:color="000000"/>
            </w:tcBorders>
          </w:tcPr>
          <w:p>
            <w:pPr>
              <w:pStyle w:val="TableParagraph"/>
              <w:ind w:left="0"/>
              <w:rPr>
                <w:rFonts w:ascii="Times New Roman"/>
                <w:sz w:val="20"/>
              </w:rPr>
            </w:pPr>
          </w:p>
        </w:tc>
        <w:tc>
          <w:tcPr>
            <w:tcW w:w="3575" w:type="dxa"/>
            <w:tcBorders>
              <w:bottom w:val="single" w:sz="4" w:space="0" w:color="000000"/>
              <w:right w:val="single" w:sz="4"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820" w:bottom="280" w:left="780" w:right="360"/>
        </w:sectPr>
      </w:pPr>
    </w:p>
    <w:p>
      <w:pPr>
        <w:pStyle w:val="Heading1"/>
        <w:spacing w:line="478" w:lineRule="exact"/>
        <w:ind w:left="3110"/>
      </w:pPr>
      <w:r>
        <w:rPr/>
        <w:t>泰康人寿保险股份有限公司</w:t>
      </w:r>
    </w:p>
    <w:p>
      <w:pPr>
        <w:spacing w:before="71"/>
        <w:ind w:left="2469" w:right="0" w:firstLine="0"/>
        <w:jc w:val="left"/>
        <w:rPr>
          <w:rFonts w:ascii="微软雅黑" w:eastAsia="微软雅黑" w:hint="eastAsia"/>
          <w:b/>
          <w:sz w:val="32"/>
        </w:rPr>
      </w:pPr>
      <w:r>
        <w:rPr>
          <w:rFonts w:ascii="微软雅黑" w:eastAsia="微软雅黑" w:hint="eastAsia"/>
          <w:b/>
          <w:sz w:val="32"/>
        </w:rPr>
        <w:t>泰康常安终身团体重大疾病保险条款</w:t>
      </w:r>
    </w:p>
    <w:p>
      <w:pPr>
        <w:pStyle w:val="BodyText"/>
        <w:spacing w:before="5"/>
        <w:rPr>
          <w:rFonts w:ascii="微软雅黑"/>
          <w:b/>
          <w:sz w:val="42"/>
        </w:rPr>
      </w:pPr>
    </w:p>
    <w:p>
      <w:pPr>
        <w:pStyle w:val="BodyText"/>
        <w:spacing w:line="273" w:lineRule="auto"/>
        <w:ind w:left="212" w:right="370"/>
      </w:pPr>
      <w:r>
        <w:rPr>
          <w:spacing w:val="-6"/>
          <w:w w:val="100"/>
        </w:rPr>
        <w:t>在本条款中，“本公司”指在保险单上签章的泰康人寿保险股份有限公司的分公司，“本合同”指投保人</w:t>
      </w:r>
      <w:r>
        <w:rPr>
          <w:spacing w:val="-4"/>
        </w:rPr>
        <w:t>与本公司之间订立的“泰康常安终身团体重大疾病保险合同”。</w:t>
      </w:r>
    </w:p>
    <w:p>
      <w:pPr>
        <w:pStyle w:val="BodyText"/>
        <w:rPr>
          <w:sz w:val="20"/>
        </w:rPr>
      </w:pPr>
    </w:p>
    <w:p>
      <w:pPr>
        <w:pStyle w:val="BodyText"/>
        <w:spacing w:before="10"/>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1638" w:type="dxa"/>
            <w:tcBorders>
              <w:bottom w:val="single" w:sz="8" w:space="0" w:color="000000"/>
            </w:tcBorders>
          </w:tcPr>
          <w:p>
            <w:pPr>
              <w:pStyle w:val="TableParagraph"/>
              <w:spacing w:line="240" w:lineRule="exact"/>
              <w:ind w:left="238"/>
              <w:rPr>
                <w:b/>
                <w:sz w:val="24"/>
              </w:rPr>
            </w:pPr>
            <w:r>
              <w:rPr>
                <w:b/>
                <w:w w:val="95"/>
                <w:sz w:val="24"/>
              </w:rPr>
              <w:t>合同的订立</w:t>
            </w:r>
          </w:p>
        </w:tc>
        <w:tc>
          <w:tcPr>
            <w:tcW w:w="7625" w:type="dxa"/>
            <w:tcBorders>
              <w:bottom w:val="single" w:sz="8" w:space="0" w:color="000000"/>
            </w:tcBorders>
          </w:tcPr>
          <w:p>
            <w:pPr>
              <w:pStyle w:val="TableParagraph"/>
              <w:ind w:left="0"/>
              <w:rPr>
                <w:rFonts w:ascii="Times New Roman"/>
                <w:sz w:val="20"/>
              </w:rPr>
            </w:pPr>
          </w:p>
        </w:tc>
      </w:tr>
      <w:tr>
        <w:trPr>
          <w:trHeight w:val="128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right="133"/>
              <w:jc w:val="both"/>
              <w:rPr>
                <w:sz w:val="21"/>
              </w:rPr>
            </w:pPr>
            <w:r>
              <w:rPr>
                <w:sz w:val="21"/>
              </w:rPr>
              <w:t>本合同是投保人与本公司约定保险权利义务关系的协议，包括本保险条款、保险单或者其他保险凭证、投保单、与本合同有关的投保文件、</w:t>
            </w:r>
            <w:r>
              <w:rPr>
                <w:b/>
                <w:sz w:val="21"/>
              </w:rPr>
              <w:t>合法有效</w:t>
            </w:r>
            <w:r>
              <w:rPr>
                <w:sz w:val="21"/>
              </w:rPr>
              <w:t>（见 9.1） 的声明、批注、批单及其他投保人与本公司共同认可的书面协议。</w:t>
            </w:r>
          </w:p>
        </w:tc>
      </w:tr>
      <w:tr>
        <w:trPr>
          <w:trHeight w:val="1262"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29"/>
              <w:rPr>
                <w:b/>
                <w:sz w:val="21"/>
              </w:rPr>
            </w:pPr>
            <w:r>
              <w:rPr>
                <w:b/>
                <w:sz w:val="21"/>
              </w:rPr>
              <w:t>合同成立及生效</w:t>
            </w:r>
          </w:p>
        </w:tc>
        <w:tc>
          <w:tcPr>
            <w:tcW w:w="7625" w:type="dxa"/>
          </w:tcPr>
          <w:p>
            <w:pPr>
              <w:pStyle w:val="TableParagraph"/>
              <w:spacing w:line="271" w:lineRule="auto" w:before="111"/>
              <w:ind w:right="133"/>
              <w:rPr>
                <w:sz w:val="21"/>
              </w:rPr>
            </w:pPr>
            <w:r>
              <w:rPr>
                <w:sz w:val="21"/>
              </w:rPr>
              <w:t>投保人提出保险申请且本公司同意承保，本合同成立。本合同的成立日、生效日以保险单记载的日期为准。</w:t>
            </w:r>
          </w:p>
          <w:p>
            <w:pPr>
              <w:pStyle w:val="TableParagraph"/>
              <w:spacing w:before="88"/>
              <w:rPr>
                <w:sz w:val="21"/>
              </w:rPr>
            </w:pPr>
            <w:r>
              <w:rPr>
                <w:b/>
                <w:sz w:val="21"/>
              </w:rPr>
              <w:t>保单年度</w:t>
            </w:r>
            <w:r>
              <w:rPr>
                <w:sz w:val="21"/>
              </w:rPr>
              <w:t>(见 9.2)、</w:t>
            </w:r>
            <w:r>
              <w:rPr>
                <w:b/>
                <w:sz w:val="21"/>
              </w:rPr>
              <w:t>保险费约定交纳日</w:t>
            </w:r>
            <w:r>
              <w:rPr>
                <w:sz w:val="21"/>
              </w:rPr>
              <w:t>(见 9.3)均依据本合同的生效日确定。</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5" w:type="dxa"/>
          </w:tcPr>
          <w:p>
            <w:pPr>
              <w:pStyle w:val="TableParagraph"/>
              <w:spacing w:before="111"/>
              <w:rPr>
                <w:sz w:val="21"/>
              </w:rPr>
            </w:pPr>
            <w:r>
              <w:rPr>
                <w:sz w:val="21"/>
              </w:rPr>
              <w:t>投保年龄是指投保时被保险人的年龄，以</w:t>
            </w:r>
            <w:r>
              <w:rPr>
                <w:b/>
                <w:sz w:val="21"/>
              </w:rPr>
              <w:t>周岁</w:t>
            </w:r>
            <w:r>
              <w:rPr>
                <w:sz w:val="21"/>
              </w:rPr>
              <w:t>(见 9.4)计算。</w:t>
            </w:r>
          </w:p>
        </w:tc>
      </w:tr>
      <w:tr>
        <w:trPr>
          <w:trHeight w:val="2836"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5" w:type="dxa"/>
          </w:tcPr>
          <w:p>
            <w:pPr>
              <w:pStyle w:val="TableParagraph"/>
              <w:spacing w:line="273" w:lineRule="auto" w:before="110"/>
              <w:ind w:right="104"/>
              <w:jc w:val="both"/>
              <w:rPr>
                <w:sz w:val="21"/>
              </w:rPr>
            </w:pPr>
            <w:r>
              <w:rPr>
                <w:spacing w:val="-7"/>
                <w:sz w:val="21"/>
              </w:rPr>
              <w:t>自投保人签收本合同的次日零时起，有 </w:t>
            </w:r>
            <w:r>
              <w:rPr>
                <w:sz w:val="21"/>
              </w:rPr>
              <w:t>15</w:t>
            </w:r>
            <w:r>
              <w:rPr>
                <w:spacing w:val="-12"/>
                <w:sz w:val="21"/>
              </w:rPr>
              <w:t> 日的犹豫期。在此期间，请投保人认真</w:t>
            </w:r>
            <w:r>
              <w:rPr>
                <w:spacing w:val="-5"/>
                <w:sz w:val="21"/>
              </w:rPr>
              <w:t>审视本合同，如果投保人认为本合同与其需求不相符，投保人可以在此期间提出</w:t>
            </w:r>
            <w:r>
              <w:rPr>
                <w:spacing w:val="-3"/>
                <w:sz w:val="21"/>
              </w:rPr>
              <w:t>解除本合同，本公司将向投保人无息退还保险费。</w:t>
            </w:r>
          </w:p>
          <w:p>
            <w:pPr>
              <w:pStyle w:val="TableParagraph"/>
              <w:spacing w:line="271" w:lineRule="auto" w:before="86"/>
              <w:ind w:right="133"/>
              <w:jc w:val="both"/>
              <w:rPr>
                <w:rFonts w:ascii="黑体" w:eastAsia="黑体" w:hint="eastAsia"/>
                <w:sz w:val="21"/>
              </w:rPr>
            </w:pPr>
            <w:r>
              <w:rPr>
                <w:sz w:val="21"/>
              </w:rPr>
              <w:t>解除本合同时，投保人须提供加盖投保人法人公章（如果投保人不是法人，则为投保人单位公章，下同）的解除合同申请书、本合同、投保人所交保险费的发票原件、经办人的</w:t>
            </w:r>
            <w:r>
              <w:rPr>
                <w:b/>
                <w:sz w:val="21"/>
              </w:rPr>
              <w:t>有效身份证件</w:t>
            </w:r>
            <w:r>
              <w:rPr>
                <w:sz w:val="21"/>
              </w:rPr>
              <w:t>(见 9.5)及加盖投保人法人公章的投保人授权书。</w:t>
            </w:r>
            <w:r>
              <w:rPr>
                <w:rFonts w:ascii="黑体" w:eastAsia="黑体" w:hint="eastAsia"/>
                <w:sz w:val="21"/>
              </w:rPr>
              <w:t>自本公司收到解除合同申请书时起，本合同即被解除，对于本合同解除前发Th的保险事故，本公司不承担给付保险金的责任。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1638" w:type="dxa"/>
            <w:tcBorders>
              <w:bottom w:val="single" w:sz="8" w:space="0" w:color="000000"/>
            </w:tcBorders>
          </w:tcPr>
          <w:p>
            <w:pPr>
              <w:pStyle w:val="TableParagraph"/>
              <w:spacing w:before="116"/>
              <w:ind w:left="238"/>
              <w:rPr>
                <w:b/>
                <w:sz w:val="24"/>
              </w:rPr>
            </w:pPr>
            <w:r>
              <w:rPr>
                <w:b/>
                <w:w w:val="95"/>
                <w:sz w:val="24"/>
              </w:rPr>
              <w:t>提供的保障</w:t>
            </w:r>
          </w:p>
        </w:tc>
        <w:tc>
          <w:tcPr>
            <w:tcW w:w="7625" w:type="dxa"/>
            <w:tcBorders>
              <w:bottom w:val="single" w:sz="8" w:space="0" w:color="000000"/>
            </w:tcBorders>
          </w:tcPr>
          <w:p>
            <w:pPr>
              <w:pStyle w:val="TableParagraph"/>
              <w:ind w:left="0"/>
              <w:rPr>
                <w:rFonts w:ascii="Times New Roman"/>
                <w:sz w:val="20"/>
              </w:rPr>
            </w:pPr>
          </w:p>
        </w:tc>
      </w:tr>
      <w:tr>
        <w:trPr>
          <w:trHeight w:val="199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right="133"/>
              <w:rPr>
                <w:sz w:val="21"/>
              </w:rPr>
            </w:pPr>
            <w:r>
              <w:rPr>
                <w:sz w:val="21"/>
              </w:rPr>
              <w:t>本合同项下各被保险人名下的保险金额由投保人在投保时与本公司约定，并在保险单或者批单上载明。</w:t>
            </w:r>
          </w:p>
          <w:p>
            <w:pPr>
              <w:pStyle w:val="TableParagraph"/>
              <w:spacing w:line="273" w:lineRule="auto" w:before="88"/>
              <w:ind w:right="-15"/>
              <w:rPr>
                <w:sz w:val="21"/>
              </w:rPr>
            </w:pPr>
            <w:r>
              <w:rPr>
                <w:spacing w:val="-10"/>
                <w:sz w:val="21"/>
              </w:rPr>
              <w:t>在本合同的保险期间内，投保人可以向本公司书面申请为被保险人变更保险金额。</w:t>
            </w:r>
            <w:r>
              <w:rPr>
                <w:spacing w:val="-5"/>
                <w:sz w:val="21"/>
              </w:rPr>
              <w:t>经本公司审核同意后，保险金额可以变更，变更后的保险金额将在批单上载明； </w:t>
            </w:r>
            <w:r>
              <w:rPr>
                <w:spacing w:val="-3"/>
                <w:sz w:val="21"/>
              </w:rPr>
              <w:t>经本公司审核不同意的，保险金额不能变更。</w:t>
            </w:r>
          </w:p>
        </w:tc>
      </w:tr>
      <w:tr>
        <w:trPr>
          <w:trHeight w:val="1183"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line="271" w:lineRule="auto" w:before="111"/>
              <w:ind w:left="238" w:right="129"/>
              <w:rPr>
                <w:b/>
                <w:sz w:val="21"/>
              </w:rPr>
            </w:pPr>
            <w:r>
              <w:rPr>
                <w:b/>
                <w:sz w:val="21"/>
              </w:rPr>
              <w:t>未成年人身故保险金限制</w:t>
            </w:r>
          </w:p>
        </w:tc>
        <w:tc>
          <w:tcPr>
            <w:tcW w:w="7625" w:type="dxa"/>
          </w:tcPr>
          <w:p>
            <w:pPr>
              <w:pStyle w:val="TableParagraph"/>
              <w:spacing w:line="271" w:lineRule="auto" w:before="111"/>
              <w:ind w:right="133"/>
              <w:jc w:val="both"/>
              <w:rPr>
                <w:rFonts w:ascii="黑体" w:eastAsia="黑体" w:hint="eastAsia"/>
                <w:sz w:val="21"/>
              </w:rPr>
            </w:pPr>
            <w:r>
              <w:rPr>
                <w:rFonts w:ascii="黑体" w:eastAsia="黑体" w:hint="eastAsia"/>
                <w:sz w:val="21"/>
              </w:rPr>
              <w:t>为未成年子女投保的人身保险，因被保险人身故给付的身故保险金总和最高不得超过国务院保险监督管理机构规定的限额，身故保险金额总和约定也不得超过前述限额。</w:t>
            </w:r>
          </w:p>
        </w:tc>
      </w:tr>
      <w:tr>
        <w:trPr>
          <w:trHeight w:val="872"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保险期间</w:t>
            </w:r>
          </w:p>
        </w:tc>
        <w:tc>
          <w:tcPr>
            <w:tcW w:w="7625" w:type="dxa"/>
          </w:tcPr>
          <w:p>
            <w:pPr>
              <w:pStyle w:val="TableParagraph"/>
              <w:spacing w:line="273" w:lineRule="auto" w:before="111"/>
              <w:ind w:right="133"/>
              <w:rPr>
                <w:sz w:val="21"/>
              </w:rPr>
            </w:pPr>
            <w:r>
              <w:rPr>
                <w:sz w:val="21"/>
              </w:rPr>
              <w:t>本合同的保险期间自本合同生效日零时开始，至本合同项下所有被保险人的保险责任终止时止。</w:t>
            </w:r>
          </w:p>
        </w:tc>
      </w:tr>
      <w:tr>
        <w:trPr>
          <w:trHeight w:val="385" w:hRule="atLeast"/>
        </w:trPr>
        <w:tc>
          <w:tcPr>
            <w:tcW w:w="664" w:type="dxa"/>
          </w:tcPr>
          <w:p>
            <w:pPr>
              <w:pStyle w:val="TableParagraph"/>
              <w:spacing w:line="255" w:lineRule="exact" w:before="110"/>
              <w:ind w:left="107"/>
              <w:rPr>
                <w:b/>
                <w:sz w:val="21"/>
              </w:rPr>
            </w:pPr>
            <w:r>
              <w:rPr>
                <w:b/>
                <w:sz w:val="21"/>
              </w:rPr>
              <w:t>2.4</w:t>
            </w:r>
          </w:p>
        </w:tc>
        <w:tc>
          <w:tcPr>
            <w:tcW w:w="1638" w:type="dxa"/>
          </w:tcPr>
          <w:p>
            <w:pPr>
              <w:pStyle w:val="TableParagraph"/>
              <w:spacing w:line="255" w:lineRule="exact" w:before="110"/>
              <w:ind w:left="238"/>
              <w:rPr>
                <w:b/>
                <w:sz w:val="21"/>
              </w:rPr>
            </w:pPr>
            <w:r>
              <w:rPr>
                <w:b/>
                <w:sz w:val="21"/>
              </w:rPr>
              <w:t>保险责任</w:t>
            </w:r>
          </w:p>
        </w:tc>
        <w:tc>
          <w:tcPr>
            <w:tcW w:w="7625" w:type="dxa"/>
          </w:tcPr>
          <w:p>
            <w:pPr>
              <w:pStyle w:val="TableParagraph"/>
              <w:spacing w:line="255" w:lineRule="exact" w:before="110"/>
              <w:rPr>
                <w:sz w:val="21"/>
              </w:rPr>
            </w:pPr>
            <w:r>
              <w:rPr>
                <w:sz w:val="21"/>
              </w:rPr>
              <w:t>在本合同保险期间内，本公司承担下列保险责任：</w:t>
            </w:r>
          </w:p>
        </w:tc>
      </w:tr>
    </w:tbl>
    <w:p>
      <w:pPr>
        <w:spacing w:after="0" w:line="255" w:lineRule="exac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1"/>
        <w:gridCol w:w="7834"/>
      </w:tblGrid>
      <w:tr>
        <w:trPr>
          <w:trHeight w:val="5456" w:hRule="atLeast"/>
        </w:trPr>
        <w:tc>
          <w:tcPr>
            <w:tcW w:w="756" w:type="dxa"/>
          </w:tcPr>
          <w:p>
            <w:pPr>
              <w:pStyle w:val="TableParagraph"/>
              <w:ind w:left="0"/>
              <w:rPr>
                <w:rFonts w:ascii="Times New Roman"/>
                <w:sz w:val="20"/>
              </w:rPr>
            </w:pPr>
          </w:p>
        </w:tc>
        <w:tc>
          <w:tcPr>
            <w:tcW w:w="1631" w:type="dxa"/>
          </w:tcPr>
          <w:p>
            <w:pPr>
              <w:pStyle w:val="TableParagraph"/>
              <w:spacing w:line="204" w:lineRule="exact"/>
              <w:ind w:left="238"/>
              <w:rPr>
                <w:rFonts w:ascii="Microsoft JhengHei" w:eastAsia="Microsoft JhengHei" w:hint="eastAsia"/>
                <w:b/>
                <w:sz w:val="21"/>
              </w:rPr>
            </w:pPr>
            <w:r>
              <w:rPr>
                <w:rFonts w:ascii="Microsoft JhengHei" w:eastAsia="Microsoft JhengHei" w:hint="eastAsia"/>
                <w:b/>
                <w:sz w:val="21"/>
              </w:rPr>
              <w:t>重大疾病保险</w:t>
            </w:r>
          </w:p>
          <w:p>
            <w:pPr>
              <w:pStyle w:val="TableParagraph"/>
              <w:spacing w:line="339" w:lineRule="exact"/>
              <w:ind w:left="238"/>
              <w:rPr>
                <w:rFonts w:ascii="Microsoft JhengHei" w:eastAsia="Microsoft JhengHei" w:hint="eastAsia"/>
                <w:b/>
                <w:sz w:val="21"/>
              </w:rPr>
            </w:pPr>
            <w:r>
              <w:rPr>
                <w:rFonts w:ascii="Microsoft JhengHei" w:eastAsia="Microsoft JhengHei" w:hint="eastAsia"/>
                <w:b/>
                <w:w w:val="100"/>
                <w:sz w:val="21"/>
              </w:rPr>
              <w:t>金</w:t>
            </w:r>
          </w:p>
        </w:tc>
        <w:tc>
          <w:tcPr>
            <w:tcW w:w="7834" w:type="dxa"/>
          </w:tcPr>
          <w:p>
            <w:pPr>
              <w:pStyle w:val="TableParagraph"/>
              <w:spacing w:line="206" w:lineRule="exact"/>
              <w:ind w:left="138"/>
              <w:rPr>
                <w:sz w:val="21"/>
              </w:rPr>
            </w:pPr>
            <w:r>
              <w:rPr>
                <w:sz w:val="21"/>
              </w:rPr>
              <w:t>被保险人于本合同生效（若曾复效，则自本合同最后复效；若为本合同生效后新</w:t>
            </w:r>
          </w:p>
          <w:p>
            <w:pPr>
              <w:pStyle w:val="TableParagraph"/>
              <w:spacing w:line="264" w:lineRule="auto" w:before="37"/>
              <w:ind w:left="138" w:right="306"/>
              <w:jc w:val="both"/>
              <w:rPr>
                <w:sz w:val="21"/>
              </w:rPr>
            </w:pPr>
            <w:r>
              <w:rPr>
                <w:spacing w:val="-7"/>
                <w:sz w:val="21"/>
              </w:rPr>
              <w:t>增被保险人，则自本公司对该新增被保险人承担保险责任的起始</w:t>
            </w:r>
            <w:r>
              <w:rPr>
                <w:spacing w:val="-36"/>
                <w:sz w:val="21"/>
              </w:rPr>
              <w:t>）</w:t>
            </w:r>
            <w:r>
              <w:rPr>
                <w:spacing w:val="-12"/>
                <w:sz w:val="21"/>
              </w:rPr>
              <w:t>之日起 </w:t>
            </w:r>
            <w:r>
              <w:rPr>
                <w:rFonts w:ascii="Times New Roman" w:eastAsia="Times New Roman"/>
                <w:sz w:val="21"/>
              </w:rPr>
              <w:t>90 </w:t>
            </w:r>
            <w:r>
              <w:rPr>
                <w:sz w:val="21"/>
              </w:rPr>
              <w:t>日内</w:t>
            </w:r>
            <w:r>
              <w:rPr>
                <w:spacing w:val="-3"/>
                <w:sz w:val="21"/>
              </w:rPr>
              <w:t>经</w:t>
            </w:r>
            <w:r>
              <w:rPr>
                <w:b/>
                <w:spacing w:val="-6"/>
                <w:sz w:val="21"/>
              </w:rPr>
              <w:t>医院</w:t>
            </w:r>
            <w:r>
              <w:rPr>
                <w:spacing w:val="-3"/>
                <w:sz w:val="21"/>
              </w:rPr>
              <w:t>（</w:t>
            </w:r>
            <w:r>
              <w:rPr>
                <w:spacing w:val="-21"/>
                <w:sz w:val="21"/>
              </w:rPr>
              <w:t>见 </w:t>
            </w:r>
            <w:r>
              <w:rPr>
                <w:rFonts w:ascii="Times New Roman" w:eastAsia="Times New Roman"/>
                <w:spacing w:val="-5"/>
                <w:sz w:val="21"/>
              </w:rPr>
              <w:t>9.6</w:t>
            </w:r>
            <w:r>
              <w:rPr>
                <w:spacing w:val="-5"/>
                <w:sz w:val="21"/>
              </w:rPr>
              <w:t>）</w:t>
            </w:r>
            <w:r>
              <w:rPr>
                <w:b/>
                <w:spacing w:val="-5"/>
                <w:sz w:val="21"/>
              </w:rPr>
              <w:t>初次确诊</w:t>
            </w:r>
            <w:r>
              <w:rPr>
                <w:sz w:val="21"/>
              </w:rPr>
              <w:t>（</w:t>
            </w:r>
            <w:r>
              <w:rPr>
                <w:spacing w:val="-21"/>
                <w:sz w:val="21"/>
              </w:rPr>
              <w:t>见 </w:t>
            </w:r>
            <w:r>
              <w:rPr>
                <w:rFonts w:ascii="Times New Roman" w:eastAsia="Times New Roman"/>
                <w:spacing w:val="-5"/>
                <w:sz w:val="21"/>
              </w:rPr>
              <w:t>9.7</w:t>
            </w:r>
            <w:r>
              <w:rPr>
                <w:spacing w:val="-5"/>
                <w:sz w:val="21"/>
              </w:rPr>
              <w:t>）</w:t>
            </w:r>
            <w:r>
              <w:rPr>
                <w:spacing w:val="-2"/>
                <w:sz w:val="21"/>
              </w:rPr>
              <w:t>非因</w:t>
            </w:r>
            <w:r>
              <w:rPr>
                <w:b/>
                <w:spacing w:val="-4"/>
                <w:sz w:val="21"/>
              </w:rPr>
              <w:t>意外伤害</w:t>
            </w:r>
            <w:r>
              <w:rPr>
                <w:spacing w:val="-3"/>
                <w:sz w:val="21"/>
              </w:rPr>
              <w:t>（</w:t>
            </w:r>
            <w:r>
              <w:rPr>
                <w:spacing w:val="-21"/>
                <w:sz w:val="21"/>
              </w:rPr>
              <w:t>见 </w:t>
            </w:r>
            <w:r>
              <w:rPr>
                <w:rFonts w:ascii="Times New Roman" w:eastAsia="Times New Roman"/>
                <w:spacing w:val="-5"/>
                <w:sz w:val="21"/>
              </w:rPr>
              <w:t>9.8</w:t>
            </w:r>
            <w:r>
              <w:rPr>
                <w:spacing w:val="-5"/>
                <w:sz w:val="21"/>
              </w:rPr>
              <w:t>）</w:t>
            </w:r>
            <w:r>
              <w:rPr>
                <w:spacing w:val="-3"/>
                <w:sz w:val="21"/>
              </w:rPr>
              <w:t>导致罹患本合同所定</w:t>
            </w:r>
            <w:r>
              <w:rPr>
                <w:spacing w:val="-9"/>
                <w:sz w:val="21"/>
              </w:rPr>
              <w:t>义的重大疾病</w:t>
            </w:r>
            <w:r>
              <w:rPr>
                <w:sz w:val="21"/>
              </w:rPr>
              <w:t>（</w:t>
            </w:r>
            <w:r>
              <w:rPr>
                <w:spacing w:val="-3"/>
                <w:sz w:val="21"/>
              </w:rPr>
              <w:t>无论一种或者多种</w:t>
            </w:r>
            <w:r>
              <w:rPr>
                <w:spacing w:val="-72"/>
                <w:sz w:val="21"/>
              </w:rPr>
              <w:t>）</w:t>
            </w:r>
            <w:r>
              <w:rPr>
                <w:spacing w:val="-11"/>
                <w:sz w:val="21"/>
              </w:rPr>
              <w:t>，本公司按投保人为该被保险人已交纳的保险</w:t>
            </w:r>
            <w:r>
              <w:rPr>
                <w:spacing w:val="-6"/>
                <w:sz w:val="21"/>
              </w:rPr>
              <w:t>费数额向该被保险人的重大疾病保险金受益人给付重大疾病保险金，本公司对该</w:t>
            </w:r>
            <w:r>
              <w:rPr>
                <w:spacing w:val="-4"/>
                <w:sz w:val="21"/>
              </w:rPr>
              <w:t>被保险人的保险责任终止。</w:t>
            </w:r>
          </w:p>
          <w:p>
            <w:pPr>
              <w:pStyle w:val="TableParagraph"/>
              <w:spacing w:line="271" w:lineRule="auto" w:before="95"/>
              <w:ind w:left="138" w:right="304" w:hanging="15"/>
              <w:jc w:val="both"/>
              <w:rPr>
                <w:sz w:val="21"/>
              </w:rPr>
            </w:pPr>
            <w:r>
              <w:rPr>
                <w:spacing w:val="-3"/>
                <w:sz w:val="21"/>
              </w:rPr>
              <w:t>被保险人经医院初次确诊因意外伤害或者于本合同生效（若曾复效，则自本合同最后复效；若为本合同生效后新增被保险人，则自本公司对该新增被保险人承担保险责任的起始</w:t>
            </w:r>
            <w:r>
              <w:rPr>
                <w:spacing w:val="-75"/>
                <w:sz w:val="21"/>
              </w:rPr>
              <w:t>）</w:t>
            </w:r>
            <w:r>
              <w:rPr>
                <w:spacing w:val="-11"/>
                <w:sz w:val="21"/>
              </w:rPr>
              <w:t>之日起 </w:t>
            </w:r>
            <w:r>
              <w:rPr>
                <w:sz w:val="21"/>
              </w:rPr>
              <w:t>90</w:t>
            </w:r>
            <w:r>
              <w:rPr>
                <w:spacing w:val="-7"/>
                <w:sz w:val="21"/>
              </w:rPr>
              <w:t> 日后非因意外伤害导致罹患本合同所定义的重大疾病</w:t>
            </w:r>
          </w:p>
          <w:p>
            <w:pPr>
              <w:pStyle w:val="TableParagraph"/>
              <w:spacing w:line="273" w:lineRule="auto" w:before="10"/>
              <w:ind w:left="138" w:right="304"/>
              <w:jc w:val="both"/>
              <w:rPr>
                <w:sz w:val="21"/>
              </w:rPr>
            </w:pPr>
            <w:r>
              <w:rPr>
                <w:sz w:val="21"/>
              </w:rPr>
              <w:t>（</w:t>
            </w:r>
            <w:r>
              <w:rPr>
                <w:spacing w:val="-3"/>
                <w:sz w:val="21"/>
              </w:rPr>
              <w:t>无论一种或者多种</w:t>
            </w:r>
            <w:r>
              <w:rPr>
                <w:spacing w:val="-91"/>
                <w:sz w:val="21"/>
              </w:rPr>
              <w:t>）</w:t>
            </w:r>
            <w:r>
              <w:rPr>
                <w:spacing w:val="-11"/>
                <w:sz w:val="21"/>
              </w:rPr>
              <w:t>，本公司按该被保险人名下的保险金额向该被保险人的重大</w:t>
            </w:r>
            <w:r>
              <w:rPr>
                <w:spacing w:val="-6"/>
                <w:sz w:val="21"/>
              </w:rPr>
              <w:t>疾病保险金受益人给付重大疾病保险金，本公司对该被保险人的保险责任终止， </w:t>
            </w:r>
            <w:r>
              <w:rPr>
                <w:spacing w:val="-7"/>
                <w:sz w:val="21"/>
              </w:rPr>
              <w:t>但投保人依照本合同 </w:t>
            </w:r>
            <w:r>
              <w:rPr>
                <w:rFonts w:ascii="Times New Roman" w:eastAsia="Times New Roman"/>
                <w:sz w:val="21"/>
              </w:rPr>
              <w:t>2.1 </w:t>
            </w:r>
            <w:r>
              <w:rPr>
                <w:spacing w:val="-3"/>
                <w:sz w:val="21"/>
              </w:rPr>
              <w:t>条约定为被保险人增加保险金额，且该被保险人于保险</w:t>
            </w:r>
          </w:p>
          <w:p>
            <w:pPr>
              <w:pStyle w:val="TableParagraph"/>
              <w:spacing w:line="266" w:lineRule="auto"/>
              <w:ind w:left="138" w:right="335"/>
              <w:rPr>
                <w:sz w:val="21"/>
              </w:rPr>
            </w:pPr>
            <w:r>
              <w:rPr>
                <w:spacing w:val="-9"/>
                <w:sz w:val="21"/>
              </w:rPr>
              <w:t>金额变更之日起 </w:t>
            </w:r>
            <w:r>
              <w:rPr>
                <w:rFonts w:ascii="Times New Roman" w:eastAsia="Times New Roman"/>
                <w:sz w:val="21"/>
              </w:rPr>
              <w:t>90 </w:t>
            </w:r>
            <w:r>
              <w:rPr>
                <w:spacing w:val="-3"/>
                <w:sz w:val="21"/>
              </w:rPr>
              <w:t>日内经医院初次确诊非因意外伤害导致罹患本合同所定义的重大疾病（无论一种或者多种</w:t>
            </w:r>
            <w:r>
              <w:rPr>
                <w:sz w:val="21"/>
              </w:rPr>
              <w:t>）</w:t>
            </w:r>
            <w:r>
              <w:rPr>
                <w:spacing w:val="-3"/>
                <w:sz w:val="21"/>
              </w:rPr>
              <w:t>的，则本公司给付的重大疾病保险金数额等于变更之前的保险金额与投保人为该被保险人交纳的与保险金额增额部分所对应的保险费数额之和。</w:t>
            </w:r>
          </w:p>
          <w:p>
            <w:pPr>
              <w:pStyle w:val="TableParagraph"/>
              <w:spacing w:before="25"/>
              <w:ind w:left="138"/>
              <w:jc w:val="both"/>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4070" w:hRule="atLeast"/>
        </w:trPr>
        <w:tc>
          <w:tcPr>
            <w:tcW w:w="756" w:type="dxa"/>
          </w:tcPr>
          <w:p>
            <w:pPr>
              <w:pStyle w:val="TableParagraph"/>
              <w:ind w:left="0"/>
              <w:rPr>
                <w:rFonts w:ascii="Times New Roman"/>
                <w:sz w:val="20"/>
              </w:rPr>
            </w:pPr>
          </w:p>
        </w:tc>
        <w:tc>
          <w:tcPr>
            <w:tcW w:w="1631" w:type="dxa"/>
          </w:tcPr>
          <w:p>
            <w:pPr>
              <w:pStyle w:val="TableParagraph"/>
              <w:spacing w:before="40"/>
              <w:ind w:left="238"/>
              <w:rPr>
                <w:rFonts w:ascii="Microsoft JhengHei" w:eastAsia="Microsoft JhengHei" w:hint="eastAsia"/>
                <w:b/>
                <w:sz w:val="21"/>
              </w:rPr>
            </w:pPr>
            <w:r>
              <w:rPr>
                <w:rFonts w:ascii="Microsoft JhengHei" w:eastAsia="Microsoft JhengHei" w:hint="eastAsia"/>
                <w:b/>
                <w:sz w:val="21"/>
              </w:rPr>
              <w:t>身故保险金</w:t>
            </w:r>
          </w:p>
        </w:tc>
        <w:tc>
          <w:tcPr>
            <w:tcW w:w="7834" w:type="dxa"/>
          </w:tcPr>
          <w:p>
            <w:pPr>
              <w:pStyle w:val="TableParagraph"/>
              <w:spacing w:line="266" w:lineRule="auto" w:before="106"/>
              <w:ind w:left="138" w:right="202"/>
              <w:jc w:val="both"/>
              <w:rPr>
                <w:sz w:val="21"/>
              </w:rPr>
            </w:pPr>
            <w:r>
              <w:rPr>
                <w:spacing w:val="-3"/>
                <w:sz w:val="21"/>
              </w:rPr>
              <w:t>被保险人于本合同生效（若曾复效，则自本合同最后复效；若为本合同生效后新</w:t>
            </w:r>
            <w:r>
              <w:rPr>
                <w:spacing w:val="-8"/>
                <w:sz w:val="21"/>
              </w:rPr>
              <w:t>增被保险人，则自本公司对该新增被保险人承担保险责任的起始</w:t>
            </w:r>
            <w:r>
              <w:rPr>
                <w:spacing w:val="-36"/>
                <w:sz w:val="21"/>
              </w:rPr>
              <w:t>）</w:t>
            </w:r>
            <w:r>
              <w:rPr>
                <w:spacing w:val="-14"/>
                <w:sz w:val="21"/>
              </w:rPr>
              <w:t>之日起 </w:t>
            </w:r>
            <w:r>
              <w:rPr>
                <w:rFonts w:ascii="Times New Roman" w:eastAsia="Times New Roman"/>
                <w:sz w:val="21"/>
              </w:rPr>
              <w:t>90 </w:t>
            </w:r>
            <w:r>
              <w:rPr>
                <w:sz w:val="21"/>
              </w:rPr>
              <w:t>日内</w:t>
            </w:r>
            <w:r>
              <w:rPr>
                <w:spacing w:val="-3"/>
                <w:sz w:val="21"/>
              </w:rPr>
              <w:t>非因意外伤害身故，本公司按投保人为该被保险人已交纳的保险费数额向该被保</w:t>
            </w:r>
            <w:r>
              <w:rPr>
                <w:spacing w:val="-7"/>
                <w:sz w:val="21"/>
              </w:rPr>
              <w:t>险人的身故保险金受益人给付身故保险金，本公司对该被保险人的保险责任终止。</w:t>
            </w:r>
          </w:p>
          <w:p>
            <w:pPr>
              <w:pStyle w:val="TableParagraph"/>
              <w:spacing w:line="271" w:lineRule="auto" w:before="92"/>
              <w:ind w:left="138" w:right="198"/>
              <w:rPr>
                <w:sz w:val="21"/>
              </w:rPr>
            </w:pPr>
            <w:r>
              <w:rPr>
                <w:spacing w:val="-3"/>
                <w:sz w:val="21"/>
              </w:rPr>
              <w:t>被保险人因意外伤害或者于本合同生效（若曾复效，则自本合同最后复效；若为</w:t>
            </w:r>
            <w:r>
              <w:rPr>
                <w:spacing w:val="-9"/>
                <w:sz w:val="21"/>
              </w:rPr>
              <w:t>本合同生效后新增被保险人，则自本公司对该新增被保险人承担保险责任的起始</w:t>
            </w:r>
            <w:r>
              <w:rPr>
                <w:sz w:val="21"/>
              </w:rPr>
              <w:t>） </w:t>
            </w:r>
            <w:r>
              <w:rPr>
                <w:spacing w:val="-13"/>
                <w:sz w:val="21"/>
              </w:rPr>
              <w:t>之日起 </w:t>
            </w:r>
            <w:r>
              <w:rPr>
                <w:sz w:val="21"/>
              </w:rPr>
              <w:t>90</w:t>
            </w:r>
            <w:r>
              <w:rPr>
                <w:spacing w:val="-13"/>
                <w:sz w:val="21"/>
              </w:rPr>
              <w:t> 日后非因意外伤害身故，本公司按该被保险人名下的保险金额向该被保</w:t>
            </w:r>
            <w:r>
              <w:rPr>
                <w:spacing w:val="-12"/>
                <w:sz w:val="21"/>
              </w:rPr>
              <w:t>险人的身故保险金受益人给付身故保险金，本公司对该被保险人的保险责任终止， </w:t>
            </w:r>
            <w:r>
              <w:rPr>
                <w:spacing w:val="-9"/>
                <w:sz w:val="21"/>
              </w:rPr>
              <w:t>但投保人依照本合同 </w:t>
            </w:r>
            <w:r>
              <w:rPr>
                <w:rFonts w:ascii="Times New Roman" w:eastAsia="Times New Roman"/>
                <w:sz w:val="21"/>
              </w:rPr>
              <w:t>2.1 </w:t>
            </w:r>
            <w:r>
              <w:rPr>
                <w:spacing w:val="-3"/>
                <w:sz w:val="21"/>
              </w:rPr>
              <w:t>条约定为被保险人增加保险金额，且该被保险人于保险</w:t>
            </w:r>
          </w:p>
          <w:p>
            <w:pPr>
              <w:pStyle w:val="TableParagraph"/>
              <w:spacing w:line="264" w:lineRule="auto"/>
              <w:ind w:left="138" w:right="306"/>
              <w:jc w:val="both"/>
              <w:rPr>
                <w:sz w:val="21"/>
              </w:rPr>
            </w:pPr>
            <w:r>
              <w:rPr>
                <w:spacing w:val="-7"/>
                <w:sz w:val="21"/>
              </w:rPr>
              <w:t>金额变更之日起 </w:t>
            </w:r>
            <w:r>
              <w:rPr>
                <w:rFonts w:ascii="Times New Roman" w:eastAsia="Times New Roman"/>
                <w:sz w:val="21"/>
              </w:rPr>
              <w:t>90 </w:t>
            </w:r>
            <w:r>
              <w:rPr>
                <w:spacing w:val="-9"/>
                <w:sz w:val="21"/>
              </w:rPr>
              <w:t>日内非因意外伤害身故的，则本公司给付的身故保险金数额等</w:t>
            </w:r>
            <w:r>
              <w:rPr>
                <w:spacing w:val="-5"/>
                <w:sz w:val="21"/>
              </w:rPr>
              <w:t>于变更之前的保险金额与投保人为该被保险人交纳的与保险金额增额部分所对应</w:t>
            </w:r>
            <w:r>
              <w:rPr>
                <w:spacing w:val="-4"/>
                <w:sz w:val="21"/>
              </w:rPr>
              <w:t>的保险费数额之和。</w:t>
            </w:r>
          </w:p>
        </w:tc>
      </w:tr>
      <w:tr>
        <w:trPr>
          <w:trHeight w:val="1807" w:hRule="atLeast"/>
        </w:trPr>
        <w:tc>
          <w:tcPr>
            <w:tcW w:w="756"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834" w:type="dxa"/>
          </w:tcPr>
          <w:p>
            <w:pPr>
              <w:pStyle w:val="TableParagraph"/>
              <w:spacing w:line="271" w:lineRule="auto" w:before="106"/>
              <w:ind w:left="138" w:right="335"/>
              <w:jc w:val="both"/>
              <w:rPr>
                <w:rFonts w:ascii="黑体" w:eastAsia="黑体" w:hint="eastAsia"/>
                <w:sz w:val="21"/>
              </w:rPr>
            </w:pPr>
            <w:r>
              <w:rPr>
                <w:rFonts w:ascii="黑体" w:eastAsia="黑体" w:hint="eastAsia"/>
                <w:sz w:val="21"/>
              </w:rPr>
              <w:t>被保险人于本合同Th效日（若曾复效，则自本合同最后复效日；若为本合同Th效后新增被保险人，则自本公司对该新增被保险人承担保险责任的起始日）之前已经医院确诊罹患本合同所定义的重大疾病（无论一种或者多种）的，本公司不承担给付重大疾病保险金的责任；若因前述情形的重大疾病导致被保险人身故的， 本公司不承担给付身故保险金的责任。</w:t>
            </w:r>
          </w:p>
        </w:tc>
      </w:tr>
      <w:tr>
        <w:trPr>
          <w:trHeight w:val="2570" w:hRule="atLeast"/>
        </w:trPr>
        <w:tc>
          <w:tcPr>
            <w:tcW w:w="756" w:type="dxa"/>
          </w:tcPr>
          <w:p>
            <w:pPr>
              <w:pStyle w:val="TableParagraph"/>
              <w:spacing w:before="106"/>
              <w:ind w:left="200"/>
              <w:rPr>
                <w:b/>
                <w:sz w:val="21"/>
              </w:rPr>
            </w:pPr>
            <w:r>
              <w:rPr>
                <w:b/>
                <w:sz w:val="21"/>
              </w:rPr>
              <w:t>2.5</w:t>
            </w:r>
          </w:p>
        </w:tc>
        <w:tc>
          <w:tcPr>
            <w:tcW w:w="1631" w:type="dxa"/>
          </w:tcPr>
          <w:p>
            <w:pPr>
              <w:pStyle w:val="TableParagraph"/>
              <w:spacing w:before="106"/>
              <w:ind w:left="238"/>
              <w:rPr>
                <w:b/>
                <w:sz w:val="21"/>
              </w:rPr>
            </w:pPr>
            <w:r>
              <w:rPr>
                <w:b/>
                <w:sz w:val="21"/>
              </w:rPr>
              <w:t>责任免除</w:t>
            </w:r>
          </w:p>
        </w:tc>
        <w:tc>
          <w:tcPr>
            <w:tcW w:w="7834" w:type="dxa"/>
          </w:tcPr>
          <w:p>
            <w:pPr>
              <w:pStyle w:val="TableParagraph"/>
              <w:spacing w:line="273" w:lineRule="auto" w:before="106"/>
              <w:ind w:left="138" w:right="335"/>
              <w:rPr>
                <w:rFonts w:ascii="黑体" w:eastAsia="黑体" w:hint="eastAsia"/>
                <w:sz w:val="21"/>
              </w:rPr>
            </w:pPr>
            <w:r>
              <w:rPr>
                <w:rFonts w:ascii="黑体" w:eastAsia="黑体" w:hint="eastAsia"/>
                <w:sz w:val="21"/>
              </w:rPr>
              <w:t>因下列情形之一导致被保险人身故或者发Th本合同定义的重大疾病的，本公司不承担给付保险金的责任：</w:t>
            </w:r>
          </w:p>
          <w:p>
            <w:pPr>
              <w:pStyle w:val="TableParagraph"/>
              <w:numPr>
                <w:ilvl w:val="0"/>
                <w:numId w:val="2"/>
              </w:numPr>
              <w:tabs>
                <w:tab w:pos="873" w:val="left" w:leader="none"/>
                <w:tab w:pos="874" w:val="left" w:leader="none"/>
              </w:tabs>
              <w:spacing w:line="240" w:lineRule="auto" w:before="86" w:after="0"/>
              <w:ind w:left="874"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73" w:val="left" w:leader="none"/>
                <w:tab w:pos="874" w:val="left" w:leader="none"/>
              </w:tabs>
              <w:spacing w:line="240" w:lineRule="auto" w:before="113" w:after="0"/>
              <w:ind w:left="874"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73" w:val="left" w:leader="none"/>
                <w:tab w:pos="874" w:val="left" w:leader="none"/>
              </w:tabs>
              <w:spacing w:line="240" w:lineRule="auto" w:before="115" w:after="0"/>
              <w:ind w:left="874"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9.9)；</w:t>
            </w:r>
          </w:p>
          <w:p>
            <w:pPr>
              <w:pStyle w:val="TableParagraph"/>
              <w:numPr>
                <w:ilvl w:val="0"/>
                <w:numId w:val="2"/>
              </w:numPr>
              <w:tabs>
                <w:tab w:pos="873" w:val="left" w:leader="none"/>
                <w:tab w:pos="874" w:val="left" w:leader="none"/>
              </w:tabs>
              <w:spacing w:line="310" w:lineRule="atLeast" w:before="78" w:after="0"/>
              <w:ind w:left="874" w:right="310" w:hanging="735"/>
              <w:jc w:val="left"/>
              <w:rPr>
                <w:rFonts w:ascii="黑体" w:eastAsia="黑体" w:hint="eastAsia"/>
                <w:sz w:val="21"/>
              </w:rPr>
            </w:pPr>
            <w:r>
              <w:rPr>
                <w:rFonts w:ascii="黑体" w:eastAsia="黑体" w:hint="eastAsia"/>
                <w:spacing w:val="-3"/>
                <w:sz w:val="21"/>
              </w:rPr>
              <w:t>被保险人在本合同</w:t>
            </w:r>
            <w:r>
              <w:rPr>
                <w:rFonts w:ascii="黑体" w:eastAsia="黑体" w:hint="eastAsia"/>
                <w:sz w:val="21"/>
              </w:rPr>
              <w:t>Th</w:t>
            </w:r>
            <w:r>
              <w:rPr>
                <w:rFonts w:ascii="黑体" w:eastAsia="黑体" w:hint="eastAsia"/>
                <w:spacing w:val="-27"/>
                <w:sz w:val="21"/>
              </w:rPr>
              <w:t>效</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4"/>
                <w:sz w:val="21"/>
              </w:rPr>
              <w:t> 年内</w:t>
            </w:r>
            <w:r>
              <w:rPr>
                <w:rFonts w:ascii="黑体" w:eastAsia="黑体" w:hint="eastAsia"/>
                <w:spacing w:val="-3"/>
                <w:sz w:val="21"/>
              </w:rPr>
              <w:t>自杀，但被保险人自杀时为无民事行为能力人的除外；</w:t>
            </w:r>
          </w:p>
        </w:tc>
      </w:tr>
    </w:tbl>
    <w:p>
      <w:pPr>
        <w:spacing w:after="0" w:line="310" w:lineRule="atLeast"/>
        <w:jc w:val="left"/>
        <w:rPr>
          <w:rFonts w:ascii="黑体" w:eastAsia="黑体" w:hint="eastAsia"/>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239"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3"/>
              </w:numPr>
              <w:tabs>
                <w:tab w:pos="867" w:val="left" w:leader="none"/>
              </w:tabs>
              <w:spacing w:line="211" w:lineRule="exact" w:before="0"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9.10)</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9.11</w:t>
            </w:r>
            <w:r>
              <w:rPr>
                <w:rFonts w:ascii="黑体" w:eastAsia="黑体" w:hint="eastAsia"/>
                <w:spacing w:val="-1"/>
                <w:sz w:val="21"/>
              </w:rPr>
              <w:t>)，或者驾</w:t>
            </w:r>
          </w:p>
          <w:p>
            <w:pPr>
              <w:pStyle w:val="TableParagraph"/>
              <w:spacing w:before="37"/>
              <w:ind w:left="866"/>
              <w:rPr>
                <w:rFonts w:ascii="黑体" w:eastAsia="黑体" w:hint="eastAsia"/>
                <w:sz w:val="21"/>
              </w:rPr>
            </w:pPr>
            <w:r>
              <w:rPr>
                <w:rFonts w:ascii="黑体" w:eastAsia="黑体" w:hint="eastAsia"/>
                <w:sz w:val="21"/>
              </w:rPr>
              <w:t>驶</w:t>
            </w:r>
            <w:r>
              <w:rPr>
                <w:rFonts w:ascii="黑体" w:eastAsia="黑体" w:hint="eastAsia"/>
                <w:b/>
                <w:sz w:val="21"/>
              </w:rPr>
              <w:t>无合法有效行驶证</w:t>
            </w:r>
            <w:r>
              <w:rPr>
                <w:rFonts w:ascii="黑体" w:eastAsia="黑体" w:hint="eastAsia"/>
                <w:sz w:val="21"/>
              </w:rPr>
              <w:t>(见 9.12)的</w:t>
            </w:r>
            <w:r>
              <w:rPr>
                <w:rFonts w:ascii="黑体" w:eastAsia="黑体" w:hint="eastAsia"/>
                <w:b/>
                <w:sz w:val="21"/>
              </w:rPr>
              <w:t>机动车</w:t>
            </w:r>
            <w:r>
              <w:rPr>
                <w:rFonts w:ascii="黑体" w:eastAsia="黑体" w:hint="eastAsia"/>
                <w:sz w:val="21"/>
              </w:rPr>
              <w:t>(见 9.13)；</w:t>
            </w:r>
          </w:p>
          <w:p>
            <w:pPr>
              <w:pStyle w:val="TableParagraph"/>
              <w:numPr>
                <w:ilvl w:val="0"/>
                <w:numId w:val="3"/>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9.14)；</w:t>
            </w:r>
          </w:p>
          <w:p>
            <w:pPr>
              <w:pStyle w:val="TableParagraph"/>
              <w:numPr>
                <w:ilvl w:val="0"/>
                <w:numId w:val="3"/>
              </w:numPr>
              <w:tabs>
                <w:tab w:pos="867" w:val="left" w:leader="none"/>
              </w:tabs>
              <w:spacing w:line="240" w:lineRule="auto" w:before="114" w:after="0"/>
              <w:ind w:left="867"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3"/>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3"/>
              </w:numPr>
              <w:tabs>
                <w:tab w:pos="867" w:val="left" w:leader="none"/>
              </w:tabs>
              <w:spacing w:line="240" w:lineRule="auto" w:before="113" w:after="0"/>
              <w:ind w:left="867"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9.15)，</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9.16)。</w:t>
            </w:r>
          </w:p>
          <w:p>
            <w:pPr>
              <w:pStyle w:val="TableParagraph"/>
              <w:spacing w:line="271" w:lineRule="auto" w:before="115"/>
              <w:ind w:right="101"/>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)项情形导致被保险人身故或者发</w:t>
            </w:r>
            <w:r>
              <w:rPr>
                <w:rFonts w:ascii="黑体" w:eastAsia="黑体" w:hint="eastAsia"/>
                <w:sz w:val="21"/>
              </w:rPr>
              <w:t>Th</w:t>
            </w:r>
            <w:r>
              <w:rPr>
                <w:rFonts w:ascii="黑体" w:eastAsia="黑体" w:hint="eastAsia"/>
                <w:spacing w:val="-9"/>
                <w:sz w:val="21"/>
              </w:rPr>
              <w:t>本合同定义的重大疾病的，本公司</w:t>
            </w:r>
            <w:r>
              <w:rPr>
                <w:rFonts w:ascii="黑体" w:eastAsia="黑体" w:hint="eastAsia"/>
                <w:spacing w:val="-5"/>
                <w:sz w:val="21"/>
              </w:rPr>
              <w:t>对该被保险人的保险责任终止，本公司向该被保险人的身故保险金受益人或者重</w:t>
            </w:r>
            <w:r>
              <w:rPr>
                <w:rFonts w:ascii="黑体" w:eastAsia="黑体" w:hint="eastAsia"/>
                <w:spacing w:val="-4"/>
                <w:sz w:val="21"/>
              </w:rPr>
              <w:t>大疾病保险金受益人给付保险责任终止之日本合同项下该被保险人名下的</w:t>
            </w:r>
            <w:r>
              <w:rPr>
                <w:rFonts w:ascii="黑体" w:eastAsia="黑体" w:hint="eastAsia"/>
                <w:b/>
                <w:sz w:val="21"/>
              </w:rPr>
              <w:t>现金价值</w:t>
            </w:r>
            <w:r>
              <w:rPr>
                <w:rFonts w:ascii="黑体" w:eastAsia="黑体" w:hint="eastAsia"/>
                <w:spacing w:val="-11"/>
                <w:sz w:val="21"/>
              </w:rPr>
              <w:t>(见 </w:t>
            </w:r>
            <w:r>
              <w:rPr>
                <w:rFonts w:ascii="黑体" w:eastAsia="黑体" w:hint="eastAsia"/>
                <w:sz w:val="21"/>
              </w:rPr>
              <w:t>9.17</w:t>
            </w:r>
            <w:r>
              <w:rPr>
                <w:rFonts w:ascii="黑体" w:eastAsia="黑体" w:hint="eastAsia"/>
                <w:spacing w:val="-6"/>
                <w:sz w:val="21"/>
              </w:rPr>
              <w:t>)。因上述其他情形导致被保险人身故或者发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Th日</w:t>
            </w:r>
            <w:r>
              <w:rPr>
                <w:rFonts w:ascii="黑体" w:eastAsia="黑体" w:hint="eastAsia"/>
                <w:spacing w:val="-3"/>
                <w:sz w:val="21"/>
              </w:rPr>
              <w:t>本合同项下该被保险人名下的现金价值。</w:t>
            </w:r>
          </w:p>
        </w:tc>
      </w:tr>
      <w:tr>
        <w:trPr>
          <w:trHeight w:val="582" w:hRule="atLeast"/>
        </w:trPr>
        <w:tc>
          <w:tcPr>
            <w:tcW w:w="664" w:type="dxa"/>
            <w:tcBorders>
              <w:bottom w:val="single" w:sz="8" w:space="0" w:color="000000"/>
            </w:tcBorders>
          </w:tcPr>
          <w:p>
            <w:pPr>
              <w:pStyle w:val="TableParagraph"/>
              <w:spacing w:before="132"/>
              <w:ind w:left="107"/>
              <w:rPr>
                <w:b/>
                <w:sz w:val="24"/>
              </w:rPr>
            </w:pPr>
            <w:r>
              <w:rPr>
                <w:b/>
                <w:sz w:val="24"/>
              </w:rPr>
              <w:t>3.</w:t>
            </w:r>
          </w:p>
        </w:tc>
        <w:tc>
          <w:tcPr>
            <w:tcW w:w="1638" w:type="dxa"/>
            <w:tcBorders>
              <w:bottom w:val="single" w:sz="8" w:space="0" w:color="000000"/>
            </w:tcBorders>
          </w:tcPr>
          <w:p>
            <w:pPr>
              <w:pStyle w:val="TableParagraph"/>
              <w:spacing w:before="132"/>
              <w:ind w:left="238"/>
              <w:rPr>
                <w:b/>
                <w:sz w:val="24"/>
              </w:rPr>
            </w:pPr>
            <w:r>
              <w:rPr>
                <w:b/>
                <w:w w:val="95"/>
                <w:sz w:val="24"/>
              </w:rPr>
              <w:t>保险金的申</w:t>
            </w:r>
          </w:p>
        </w:tc>
        <w:tc>
          <w:tcPr>
            <w:tcW w:w="7624" w:type="dxa"/>
            <w:tcBorders>
              <w:bottom w:val="single" w:sz="8" w:space="0" w:color="000000"/>
            </w:tcBorders>
          </w:tcPr>
          <w:p>
            <w:pPr>
              <w:pStyle w:val="TableParagraph"/>
              <w:spacing w:before="132"/>
              <w:ind w:left="-195"/>
              <w:rPr>
                <w:b/>
                <w:sz w:val="24"/>
              </w:rPr>
            </w:pPr>
            <w:r>
              <w:rPr>
                <w:b/>
                <w:w w:val="99"/>
                <w:sz w:val="24"/>
              </w:rPr>
              <w:t>请</w:t>
            </w:r>
          </w:p>
        </w:tc>
      </w:tr>
      <w:tr>
        <w:trPr>
          <w:trHeight w:val="8934"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32"/>
              <w:jc w:val="both"/>
              <w:rPr>
                <w:sz w:val="21"/>
              </w:rPr>
            </w:pPr>
            <w:r>
              <w:rPr>
                <w:sz w:val="21"/>
              </w:rPr>
              <w:t>投保人或者被保险人可以指定一人或者多人为身故保险金受益人。身故保险金受益人为多人时，可以确定受益人顺序和受益份额；如果没有确定份额，各身故保险金受益人按照相等份额享有受益权。不得指定被保险人及其近亲属以外的人为身故保险金受益人。</w:t>
            </w:r>
          </w:p>
          <w:p>
            <w:pPr>
              <w:pStyle w:val="TableParagraph"/>
              <w:spacing w:line="271" w:lineRule="auto" w:before="86"/>
              <w:ind w:right="132"/>
              <w:jc w:val="both"/>
              <w:rPr>
                <w:sz w:val="21"/>
              </w:rPr>
            </w:pPr>
            <w:r>
              <w:rPr>
                <w:sz w:val="21"/>
              </w:rPr>
              <w:t>被保险人为无民事行为能力人或者限制民事行为能力人的，可以依法由其监护人指定身故保险金受益人。</w:t>
            </w:r>
          </w:p>
          <w:p>
            <w:pPr>
              <w:pStyle w:val="TableParagraph"/>
              <w:spacing w:line="273" w:lineRule="auto" w:before="89"/>
              <w:ind w:right="132"/>
              <w:jc w:val="both"/>
              <w:rPr>
                <w:sz w:val="21"/>
              </w:rPr>
            </w:pPr>
            <w:r>
              <w:rPr>
                <w:sz w:val="21"/>
              </w:rPr>
              <w:t>投保人或者被保险人在被保险人身故前可以变更身故保险金受益人、受益顺序或者受益份额，并书面通知本公司。本公司收到变更的书面通知后，将及时在保险单或者其他保险凭证上批注或者附贴批单，变更的生效时间以批注或者批单中载明的时间为准。</w:t>
            </w:r>
          </w:p>
          <w:p>
            <w:pPr>
              <w:pStyle w:val="TableParagraph"/>
              <w:spacing w:line="271" w:lineRule="auto" w:before="87"/>
              <w:ind w:right="132"/>
              <w:jc w:val="both"/>
              <w:rPr>
                <w:sz w:val="21"/>
              </w:rPr>
            </w:pPr>
            <w:r>
              <w:rPr>
                <w:sz w:val="21"/>
              </w:rPr>
              <w:t>投保人在指定和变更身故保险金受益人、受益顺序或者受益份额时，必须经过被保险人同意。</w:t>
            </w:r>
          </w:p>
          <w:p>
            <w:pPr>
              <w:pStyle w:val="TableParagraph"/>
              <w:spacing w:line="273" w:lineRule="auto" w:before="89"/>
              <w:ind w:right="132"/>
              <w:jc w:val="both"/>
              <w:rPr>
                <w:sz w:val="21"/>
              </w:rPr>
            </w:pPr>
            <w:r>
              <w:rPr>
                <w:sz w:val="21"/>
              </w:rPr>
              <w:t>被保险人身故后，有下列情形之一的，身故保险金作为被保险人的遗产，由本公司依照《中华人民共和国继承法》的规定履行给付身故保险金的义务：</w:t>
            </w:r>
          </w:p>
          <w:p>
            <w:pPr>
              <w:pStyle w:val="TableParagraph"/>
              <w:numPr>
                <w:ilvl w:val="0"/>
                <w:numId w:val="4"/>
              </w:numPr>
              <w:tabs>
                <w:tab w:pos="866" w:val="left" w:leader="none"/>
                <w:tab w:pos="867" w:val="left" w:leader="none"/>
              </w:tabs>
              <w:spacing w:line="271" w:lineRule="auto" w:before="87" w:after="0"/>
              <w:ind w:left="867" w:right="101" w:hanging="735"/>
              <w:jc w:val="left"/>
              <w:rPr>
                <w:sz w:val="21"/>
              </w:rPr>
            </w:pPr>
            <w:r>
              <w:rPr>
                <w:spacing w:val="-8"/>
                <w:sz w:val="21"/>
              </w:rPr>
              <w:t>没有指定身故保险金受益人的，或者身故保险金受益人指定不明无法确定的；</w:t>
            </w:r>
          </w:p>
          <w:p>
            <w:pPr>
              <w:pStyle w:val="TableParagraph"/>
              <w:numPr>
                <w:ilvl w:val="0"/>
                <w:numId w:val="4"/>
              </w:numPr>
              <w:tabs>
                <w:tab w:pos="866" w:val="left" w:leader="none"/>
                <w:tab w:pos="867" w:val="left" w:leader="none"/>
              </w:tabs>
              <w:spacing w:line="240" w:lineRule="auto" w:before="89" w:after="0"/>
              <w:ind w:left="867" w:right="0" w:hanging="735"/>
              <w:jc w:val="left"/>
              <w:rPr>
                <w:sz w:val="21"/>
              </w:rPr>
            </w:pPr>
            <w:r>
              <w:rPr>
                <w:spacing w:val="-3"/>
                <w:sz w:val="21"/>
              </w:rPr>
              <w:t>身故保险金受益人先于被保险人身故，没有其他身故保险金受益人的；</w:t>
            </w:r>
          </w:p>
          <w:p>
            <w:pPr>
              <w:pStyle w:val="TableParagraph"/>
              <w:numPr>
                <w:ilvl w:val="0"/>
                <w:numId w:val="4"/>
              </w:numPr>
              <w:tabs>
                <w:tab w:pos="866" w:val="left" w:leader="none"/>
                <w:tab w:pos="867" w:val="left" w:leader="none"/>
              </w:tabs>
              <w:spacing w:line="271" w:lineRule="auto" w:before="116" w:after="0"/>
              <w:ind w:left="867" w:right="101" w:hanging="735"/>
              <w:jc w:val="left"/>
              <w:rPr>
                <w:sz w:val="21"/>
              </w:rPr>
            </w:pPr>
            <w:r>
              <w:rPr>
                <w:spacing w:val="-7"/>
                <w:sz w:val="21"/>
              </w:rPr>
              <w:t>身故保险金受益人依法丧失受益权或者放弃受益权，没有其他身故保险金</w:t>
            </w:r>
            <w:r>
              <w:rPr>
                <w:spacing w:val="-4"/>
                <w:sz w:val="21"/>
              </w:rPr>
              <w:t>受益人的。</w:t>
            </w:r>
          </w:p>
          <w:p>
            <w:pPr>
              <w:pStyle w:val="TableParagraph"/>
              <w:spacing w:line="273" w:lineRule="auto" w:before="88"/>
              <w:ind w:right="132"/>
              <w:jc w:val="both"/>
              <w:rPr>
                <w:rFonts w:ascii="黑体" w:eastAsia="黑体" w:hint="eastAsia"/>
                <w:sz w:val="21"/>
              </w:rPr>
            </w:pPr>
            <w:r>
              <w:rPr>
                <w:rFonts w:ascii="黑体" w:eastAsia="黑体" w:hint="eastAsia"/>
                <w:sz w:val="21"/>
              </w:rPr>
              <w:t>身故保险金受益人与被保险人在同一事件中身故，且不能确定身故先后顺序的， 推定身故保险金受益人先于被保险人身故。</w:t>
            </w:r>
          </w:p>
          <w:p>
            <w:pPr>
              <w:pStyle w:val="TableParagraph"/>
              <w:spacing w:line="271" w:lineRule="auto" w:before="86"/>
              <w:ind w:right="132"/>
              <w:jc w:val="both"/>
              <w:rPr>
                <w:sz w:val="21"/>
              </w:rPr>
            </w:pPr>
            <w:r>
              <w:rPr>
                <w:sz w:val="21"/>
              </w:rPr>
              <w:t>除另有指定外，重大疾病保险金受益人为被保险人本人。不得指定被保险人及其近亲属以外的人为重大疾病保险金受益人。</w:t>
            </w:r>
          </w:p>
          <w:p>
            <w:pPr>
              <w:pStyle w:val="TableParagraph"/>
              <w:spacing w:line="273" w:lineRule="auto" w:before="89"/>
              <w:ind w:right="132"/>
              <w:jc w:val="both"/>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tc>
      </w:tr>
      <w:tr>
        <w:trPr>
          <w:trHeight w:val="386" w:hRule="atLeast"/>
        </w:trPr>
        <w:tc>
          <w:tcPr>
            <w:tcW w:w="664" w:type="dxa"/>
          </w:tcPr>
          <w:p>
            <w:pPr>
              <w:pStyle w:val="TableParagraph"/>
              <w:spacing w:line="255" w:lineRule="exact" w:before="111"/>
              <w:ind w:left="107"/>
              <w:rPr>
                <w:b/>
                <w:sz w:val="21"/>
              </w:rPr>
            </w:pPr>
            <w:r>
              <w:rPr>
                <w:b/>
                <w:sz w:val="21"/>
              </w:rPr>
              <w:t>3.2</w:t>
            </w:r>
          </w:p>
        </w:tc>
        <w:tc>
          <w:tcPr>
            <w:tcW w:w="1638" w:type="dxa"/>
          </w:tcPr>
          <w:p>
            <w:pPr>
              <w:pStyle w:val="TableParagraph"/>
              <w:spacing w:line="255" w:lineRule="exact" w:before="111"/>
              <w:ind w:left="238"/>
              <w:rPr>
                <w:b/>
                <w:sz w:val="21"/>
              </w:rPr>
            </w:pPr>
            <w:r>
              <w:rPr>
                <w:b/>
                <w:sz w:val="21"/>
              </w:rPr>
              <w:t>保险事故通知</w:t>
            </w:r>
          </w:p>
        </w:tc>
        <w:tc>
          <w:tcPr>
            <w:tcW w:w="7624" w:type="dxa"/>
          </w:tcPr>
          <w:p>
            <w:pPr>
              <w:pStyle w:val="TableParagraph"/>
              <w:spacing w:line="255" w:lineRule="exact" w:before="111"/>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13"/>
                <w:sz w:val="21"/>
              </w:rPr>
              <w:t> 日内通知本公司。故意或者因重</w:t>
            </w:r>
          </w:p>
        </w:tc>
      </w:tr>
    </w:tbl>
    <w:p>
      <w:pPr>
        <w:spacing w:after="0" w:line="255" w:lineRule="exact"/>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1322"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line="211" w:lineRule="exact"/>
              <w:rPr>
                <w:rFonts w:ascii="黑体" w:eastAsia="黑体" w:hint="eastAsia"/>
                <w:sz w:val="21"/>
              </w:rPr>
            </w:pPr>
            <w:r>
              <w:rPr>
                <w:rFonts w:ascii="黑体" w:eastAsia="黑体" w:hint="eastAsia"/>
                <w:sz w:val="21"/>
              </w:rPr>
              <w:t>大过失未及时通知，致使保险事故的性质、原因、损失程度等难以确定的，本公</w:t>
            </w:r>
          </w:p>
          <w:p>
            <w:pPr>
              <w:pStyle w:val="TableParagraph"/>
              <w:spacing w:line="273" w:lineRule="auto" w:before="37"/>
              <w:ind w:right="229"/>
              <w:jc w:val="both"/>
              <w:rPr>
                <w:rFonts w:ascii="黑体" w:eastAsia="黑体" w:hint="eastAsia"/>
                <w:sz w:val="21"/>
              </w:rPr>
            </w:pPr>
            <w:r>
              <w:rPr>
                <w:rFonts w:ascii="黑体" w:eastAsia="黑体" w:hint="eastAsia"/>
                <w:sz w:val="21"/>
              </w:rPr>
              <w:t>司对无法确定的部分不承担给付保险金的责任，但本公司通过其他途径已经及时知道或者应当及时知道保险事故发Th或者虽未及时通知但不影响本公司确定保险事故的性质、原因、损失程度的除外。</w:t>
            </w:r>
          </w:p>
        </w:tc>
      </w:tr>
      <w:tr>
        <w:trPr>
          <w:trHeight w:val="561" w:hRule="atLeast"/>
        </w:trPr>
        <w:tc>
          <w:tcPr>
            <w:tcW w:w="756" w:type="dxa"/>
          </w:tcPr>
          <w:p>
            <w:pPr>
              <w:pStyle w:val="TableParagraph"/>
              <w:spacing w:before="111"/>
              <w:ind w:left="200"/>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721" w:type="dxa"/>
          </w:tcPr>
          <w:p>
            <w:pPr>
              <w:pStyle w:val="TableParagraph"/>
              <w:spacing w:before="111"/>
              <w:rPr>
                <w:sz w:val="21"/>
              </w:rPr>
            </w:pPr>
            <w:r>
              <w:rPr>
                <w:sz w:val="21"/>
              </w:rPr>
              <w:t>在申请保险金时，请按照下列方式办理：</w:t>
            </w:r>
          </w:p>
        </w:tc>
      </w:tr>
      <w:tr>
        <w:trPr>
          <w:trHeight w:val="3057"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721" w:type="dxa"/>
          </w:tcPr>
          <w:p>
            <w:pPr>
              <w:pStyle w:val="TableParagraph"/>
              <w:spacing w:line="271" w:lineRule="auto" w:before="111"/>
              <w:ind w:right="229"/>
              <w:rPr>
                <w:sz w:val="21"/>
              </w:rPr>
            </w:pPr>
            <w:r>
              <w:rPr>
                <w:sz w:val="21"/>
              </w:rPr>
              <w:t>重大疾病保险金受益人作为申请人须填写领取保险金申请书，并须提供下列证明和资料的原件：</w:t>
            </w:r>
          </w:p>
          <w:p>
            <w:pPr>
              <w:pStyle w:val="TableParagraph"/>
              <w:numPr>
                <w:ilvl w:val="0"/>
                <w:numId w:val="5"/>
              </w:numPr>
              <w:tabs>
                <w:tab w:pos="866" w:val="left" w:leader="none"/>
                <w:tab w:pos="867" w:val="left" w:leader="none"/>
              </w:tabs>
              <w:spacing w:line="240" w:lineRule="auto" w:before="88" w:after="0"/>
              <w:ind w:left="867" w:right="0" w:hanging="735"/>
              <w:jc w:val="left"/>
              <w:rPr>
                <w:sz w:val="21"/>
              </w:rPr>
            </w:pPr>
            <w:r>
              <w:rPr>
                <w:spacing w:val="-3"/>
                <w:sz w:val="21"/>
              </w:rPr>
              <w:t>保险单或者保险凭证；</w:t>
            </w:r>
          </w:p>
          <w:p>
            <w:pPr>
              <w:pStyle w:val="TableParagraph"/>
              <w:numPr>
                <w:ilvl w:val="0"/>
                <w:numId w:val="5"/>
              </w:numPr>
              <w:tabs>
                <w:tab w:pos="866" w:val="left" w:leader="none"/>
                <w:tab w:pos="867" w:val="left" w:leader="none"/>
              </w:tabs>
              <w:spacing w:line="240" w:lineRule="auto" w:before="115" w:after="0"/>
              <w:ind w:left="867" w:right="0" w:hanging="735"/>
              <w:jc w:val="left"/>
              <w:rPr>
                <w:sz w:val="21"/>
              </w:rPr>
            </w:pPr>
            <w:r>
              <w:rPr>
                <w:spacing w:val="-3"/>
                <w:sz w:val="21"/>
              </w:rPr>
              <w:t>重大疾病保险金受益人的有效身份证件；</w:t>
            </w:r>
          </w:p>
          <w:p>
            <w:pPr>
              <w:pStyle w:val="TableParagraph"/>
              <w:numPr>
                <w:ilvl w:val="0"/>
                <w:numId w:val="5"/>
              </w:numPr>
              <w:tabs>
                <w:tab w:pos="866" w:val="left" w:leader="none"/>
                <w:tab w:pos="867" w:val="left" w:leader="none"/>
              </w:tabs>
              <w:spacing w:line="273" w:lineRule="auto" w:before="114" w:after="0"/>
              <w:ind w:left="867" w:right="198" w:hanging="735"/>
              <w:jc w:val="left"/>
              <w:rPr>
                <w:sz w:val="21"/>
              </w:rPr>
            </w:pPr>
            <w:r>
              <w:rPr>
                <w:spacing w:val="-1"/>
                <w:sz w:val="21"/>
              </w:rPr>
              <w:t>由医院</w:t>
            </w:r>
            <w:r>
              <w:rPr>
                <w:b/>
                <w:sz w:val="21"/>
              </w:rPr>
              <w:t>专科医生</w:t>
            </w:r>
            <w:r>
              <w:rPr>
                <w:spacing w:val="-16"/>
                <w:sz w:val="21"/>
              </w:rPr>
              <w:t>(见 </w:t>
            </w:r>
            <w:r>
              <w:rPr>
                <w:sz w:val="21"/>
              </w:rPr>
              <w:t>9.18</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5"/>
              </w:numPr>
              <w:tabs>
                <w:tab w:pos="866" w:val="left" w:leader="none"/>
                <w:tab w:pos="867" w:val="left" w:leader="none"/>
              </w:tabs>
              <w:spacing w:line="240" w:lineRule="auto" w:before="87" w:after="0"/>
              <w:ind w:left="867" w:right="0" w:hanging="735"/>
              <w:jc w:val="left"/>
              <w:rPr>
                <w:sz w:val="21"/>
              </w:rPr>
            </w:pPr>
            <w:r>
              <w:rPr>
                <w:spacing w:val="-3"/>
                <w:sz w:val="21"/>
              </w:rPr>
              <w:t>所能提供的与确认保险事故的性质、原因等有关的其他证明和资料。</w:t>
            </w:r>
          </w:p>
        </w:tc>
      </w:tr>
      <w:tr>
        <w:trPr>
          <w:trHeight w:val="2743"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身故保险金申请</w:t>
            </w:r>
          </w:p>
        </w:tc>
        <w:tc>
          <w:tcPr>
            <w:tcW w:w="7721" w:type="dxa"/>
          </w:tcPr>
          <w:p>
            <w:pPr>
              <w:pStyle w:val="TableParagraph"/>
              <w:spacing w:line="271" w:lineRule="auto" w:before="110"/>
              <w:ind w:right="229"/>
              <w:rPr>
                <w:sz w:val="21"/>
              </w:rPr>
            </w:pPr>
            <w:r>
              <w:rPr>
                <w:sz w:val="21"/>
              </w:rPr>
              <w:t>身故保险金受益人作为申请人须填写领取保险金申请书，并须提供下列证明和资料的原件：</w:t>
            </w:r>
          </w:p>
          <w:p>
            <w:pPr>
              <w:pStyle w:val="TableParagraph"/>
              <w:numPr>
                <w:ilvl w:val="0"/>
                <w:numId w:val="6"/>
              </w:numPr>
              <w:tabs>
                <w:tab w:pos="866" w:val="left" w:leader="none"/>
                <w:tab w:pos="867" w:val="left" w:leader="none"/>
              </w:tabs>
              <w:spacing w:line="240" w:lineRule="auto" w:before="89" w:after="0"/>
              <w:ind w:left="867" w:right="0" w:hanging="735"/>
              <w:jc w:val="left"/>
              <w:rPr>
                <w:sz w:val="21"/>
              </w:rPr>
            </w:pPr>
            <w:r>
              <w:rPr>
                <w:spacing w:val="-3"/>
                <w:sz w:val="21"/>
              </w:rPr>
              <w:t>保险单或者保险凭证；</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3"/>
                <w:sz w:val="21"/>
              </w:rPr>
              <w:t>身故保险金受益人的有效身份证件；</w:t>
            </w:r>
          </w:p>
          <w:p>
            <w:pPr>
              <w:pStyle w:val="TableParagraph"/>
              <w:numPr>
                <w:ilvl w:val="0"/>
                <w:numId w:val="6"/>
              </w:numPr>
              <w:tabs>
                <w:tab w:pos="866" w:val="left" w:leader="none"/>
                <w:tab w:pos="867" w:val="left" w:leader="none"/>
              </w:tabs>
              <w:spacing w:line="273" w:lineRule="auto" w:before="113" w:after="0"/>
              <w:ind w:left="867" w:right="197" w:hanging="735"/>
              <w:jc w:val="left"/>
              <w:rPr>
                <w:sz w:val="21"/>
              </w:rPr>
            </w:pPr>
            <w:r>
              <w:rPr>
                <w:spacing w:val="-8"/>
                <w:sz w:val="21"/>
              </w:rPr>
              <w:t>国务院卫生行政部门规定的医疗机构、公安部门或者其他有权机构出具的</w:t>
            </w:r>
            <w:r>
              <w:rPr>
                <w:spacing w:val="-5"/>
                <w:sz w:val="21"/>
              </w:rPr>
              <w:t>被保险人的死亡证明；</w:t>
            </w:r>
          </w:p>
          <w:p>
            <w:pPr>
              <w:pStyle w:val="TableParagraph"/>
              <w:numPr>
                <w:ilvl w:val="0"/>
                <w:numId w:val="6"/>
              </w:numPr>
              <w:tabs>
                <w:tab w:pos="866" w:val="left" w:leader="none"/>
                <w:tab w:pos="867" w:val="left" w:leader="none"/>
              </w:tabs>
              <w:spacing w:line="240" w:lineRule="auto" w:before="86" w:after="0"/>
              <w:ind w:left="867" w:right="0" w:hanging="735"/>
              <w:jc w:val="left"/>
              <w:rPr>
                <w:sz w:val="21"/>
              </w:rPr>
            </w:pPr>
            <w:r>
              <w:rPr>
                <w:spacing w:val="-3"/>
                <w:sz w:val="21"/>
              </w:rPr>
              <w:t>所能提供的与确认保险事故的性质、原因等有关的其他证明和资料。</w:t>
            </w:r>
          </w:p>
        </w:tc>
      </w:tr>
      <w:tr>
        <w:trPr>
          <w:trHeight w:val="5317" w:hRule="atLeast"/>
        </w:trPr>
        <w:tc>
          <w:tcPr>
            <w:tcW w:w="756" w:type="dxa"/>
          </w:tcPr>
          <w:p>
            <w:pPr>
              <w:pStyle w:val="TableParagraph"/>
              <w:ind w:left="0"/>
              <w:rPr>
                <w:rFonts w:ascii="Times New Roman"/>
                <w:sz w:val="20"/>
              </w:rPr>
            </w:pPr>
          </w:p>
        </w:tc>
        <w:tc>
          <w:tcPr>
            <w:tcW w:w="1638"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特别注意事项</w:t>
            </w:r>
          </w:p>
        </w:tc>
        <w:tc>
          <w:tcPr>
            <w:tcW w:w="7721" w:type="dxa"/>
          </w:tcPr>
          <w:p>
            <w:pPr>
              <w:pStyle w:val="TableParagraph"/>
              <w:spacing w:line="273" w:lineRule="auto" w:before="110"/>
              <w:ind w:right="229"/>
              <w:jc w:val="both"/>
              <w:rPr>
                <w:sz w:val="21"/>
              </w:rPr>
            </w:pPr>
            <w:r>
              <w:rPr>
                <w:sz w:val="21"/>
              </w:rPr>
              <w:t>以上证明和资料不完整的，本公司将及时一次性通知受益人补充提供有关的证明和资料。</w:t>
            </w:r>
          </w:p>
          <w:p>
            <w:pPr>
              <w:pStyle w:val="TableParagraph"/>
              <w:spacing w:line="271" w:lineRule="auto" w:before="86"/>
              <w:ind w:right="229"/>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229"/>
              <w:jc w:val="both"/>
              <w:rPr>
                <w:sz w:val="21"/>
              </w:rPr>
            </w:pPr>
            <w:r>
              <w:rPr>
                <w:sz w:val="21"/>
              </w:rPr>
              <w:t>保险金作为被保险人遗产时，继承人还必须提供可证明其合法继承权的相关权利文件。</w:t>
            </w:r>
          </w:p>
          <w:p>
            <w:pPr>
              <w:pStyle w:val="TableParagraph"/>
              <w:spacing w:line="271" w:lineRule="auto" w:before="86"/>
              <w:ind w:right="229"/>
              <w:jc w:val="both"/>
              <w:rPr>
                <w:sz w:val="21"/>
              </w:rPr>
            </w:pPr>
            <w:r>
              <w:rPr>
                <w:sz w:val="21"/>
              </w:rPr>
              <w:t>受益人或者继承人为无民事行为能力人或者限制行为能力人时，由其合法监护人代其申请领取保险金，其合法监护人还必须提供受益人或者继承人为无民事行为能力人或者限制行为能力人的证明和监护人具有合法监护权的证明。</w:t>
            </w:r>
          </w:p>
          <w:p>
            <w:pPr>
              <w:pStyle w:val="TableParagraph"/>
              <w:spacing w:line="273" w:lineRule="auto" w:before="88"/>
              <w:ind w:right="229"/>
              <w:jc w:val="both"/>
              <w:rPr>
                <w:sz w:val="21"/>
              </w:rPr>
            </w:pPr>
            <w:r>
              <w:rPr>
                <w:sz w:val="21"/>
              </w:rPr>
              <w:t>如果被保险人已向本公司书面申领重大疾病保险金，但在实际领取重大疾病保险金前身故，本公司仅承担向被保险人的合法继承人给付重大疾病保险金的责任， 不再承担给付身故保险金的责任。</w:t>
            </w:r>
          </w:p>
          <w:p>
            <w:pPr>
              <w:pStyle w:val="TableParagraph"/>
              <w:spacing w:line="271" w:lineRule="auto" w:before="86"/>
              <w:ind w:right="229"/>
              <w:jc w:val="both"/>
              <w:rPr>
                <w:sz w:val="21"/>
              </w:rPr>
            </w:pPr>
            <w:r>
              <w:rPr>
                <w:sz w:val="21"/>
              </w:rPr>
              <w:t>如果被保险人在提出申领重大疾病保险金书面申请之前已经身故，本公司仅承担向身故保险金受益人给付身故保险金的责任，不再承担给付重大疾病保险金的责任。</w:t>
            </w:r>
          </w:p>
        </w:tc>
      </w:tr>
      <w:tr>
        <w:trPr>
          <w:trHeight w:val="1402" w:hRule="atLeast"/>
        </w:trPr>
        <w:tc>
          <w:tcPr>
            <w:tcW w:w="756" w:type="dxa"/>
          </w:tcPr>
          <w:p>
            <w:pPr>
              <w:pStyle w:val="TableParagraph"/>
              <w:spacing w:before="111"/>
              <w:ind w:left="200"/>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721" w:type="dxa"/>
          </w:tcPr>
          <w:p>
            <w:pPr>
              <w:pStyle w:val="TableParagraph"/>
              <w:spacing w:before="111"/>
              <w:rPr>
                <w:sz w:val="21"/>
              </w:rPr>
            </w:pPr>
            <w:r>
              <w:rPr>
                <w:sz w:val="21"/>
              </w:rPr>
              <w:t>本公司在收到领取保险金申请书及本合同约定的证明和资料后，将在 5 日内作出</w:t>
            </w:r>
          </w:p>
          <w:p>
            <w:pPr>
              <w:pStyle w:val="TableParagraph"/>
              <w:spacing w:before="37"/>
              <w:rPr>
                <w:sz w:val="21"/>
              </w:rPr>
            </w:pPr>
            <w:r>
              <w:rPr>
                <w:sz w:val="21"/>
              </w:rPr>
              <w:t>核定；情形复杂的，在 30 日内作出核定。对属于保险责任的，本公司在与受益人</w:t>
            </w:r>
          </w:p>
          <w:p>
            <w:pPr>
              <w:pStyle w:val="TableParagraph"/>
              <w:spacing w:before="37"/>
              <w:rPr>
                <w:sz w:val="21"/>
              </w:rPr>
            </w:pPr>
            <w:r>
              <w:rPr>
                <w:sz w:val="21"/>
              </w:rPr>
              <w:t>达成给付保险金的协议后 10 日内，履行给付保险金义务。</w:t>
            </w:r>
          </w:p>
          <w:p>
            <w:pPr>
              <w:pStyle w:val="TableParagraph"/>
              <w:spacing w:line="255" w:lineRule="exact" w:before="116"/>
              <w:rPr>
                <w:sz w:val="21"/>
              </w:rPr>
            </w:pPr>
            <w:r>
              <w:rPr>
                <w:sz w:val="21"/>
              </w:rPr>
              <w:t>本公司未及时履行前款规定的义务的，对属于保险责任的，除支付保险金外，应</w:t>
            </w:r>
          </w:p>
        </w:tc>
      </w:tr>
    </w:tbl>
    <w:p>
      <w:pPr>
        <w:spacing w:after="0" w:line="255" w:lineRule="exac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17"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当赔偿受益人因此受到的利息损失。利息按照本公司确定的利率按单利计算，且</w:t>
            </w:r>
          </w:p>
          <w:p>
            <w:pPr>
              <w:pStyle w:val="TableParagraph"/>
              <w:spacing w:line="273" w:lineRule="auto" w:before="37"/>
              <w:ind w:right="114"/>
              <w:jc w:val="both"/>
              <w:rPr>
                <w:sz w:val="21"/>
              </w:rPr>
            </w:pPr>
            <w:r>
              <w:rPr>
                <w:sz w:val="21"/>
              </w:rPr>
              <w:t>本公司确定的利率不低于中国人民银行公布的金融机构人民币活期存款基准利率。</w:t>
            </w:r>
          </w:p>
          <w:p>
            <w:pPr>
              <w:pStyle w:val="TableParagraph"/>
              <w:spacing w:line="273" w:lineRule="auto" w:before="86"/>
              <w:ind w:right="132"/>
              <w:jc w:val="both"/>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1" w:lineRule="auto" w:before="86"/>
              <w:ind w:right="101"/>
              <w:jc w:val="both"/>
              <w:rPr>
                <w:sz w:val="21"/>
              </w:rPr>
            </w:pPr>
            <w:r>
              <w:rPr>
                <w:spacing w:val="-5"/>
                <w:sz w:val="21"/>
              </w:rPr>
              <w:t>本公司在收到领取保险金申请书及有关证明和资料之日起 </w:t>
            </w:r>
            <w:r>
              <w:rPr>
                <w:sz w:val="21"/>
              </w:rPr>
              <w:t>60</w:t>
            </w:r>
            <w:r>
              <w:rPr>
                <w:spacing w:val="-15"/>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1879" w:hRule="atLeast"/>
        </w:trPr>
        <w:tc>
          <w:tcPr>
            <w:tcW w:w="664" w:type="dxa"/>
          </w:tcPr>
          <w:p>
            <w:pPr>
              <w:pStyle w:val="TableParagraph"/>
              <w:spacing w:before="102"/>
              <w:ind w:left="107"/>
              <w:rPr>
                <w:b/>
                <w:sz w:val="21"/>
              </w:rPr>
            </w:pPr>
            <w:r>
              <w:rPr>
                <w:b/>
                <w:sz w:val="21"/>
              </w:rPr>
              <w:t>3.5</w:t>
            </w:r>
          </w:p>
        </w:tc>
        <w:tc>
          <w:tcPr>
            <w:tcW w:w="1638" w:type="dxa"/>
          </w:tcPr>
          <w:p>
            <w:pPr>
              <w:pStyle w:val="TableParagraph"/>
              <w:spacing w:before="102"/>
              <w:ind w:left="238"/>
              <w:rPr>
                <w:b/>
                <w:sz w:val="21"/>
              </w:rPr>
            </w:pPr>
            <w:r>
              <w:rPr>
                <w:b/>
                <w:sz w:val="21"/>
              </w:rPr>
              <w:t>宣告死亡处理</w:t>
            </w:r>
          </w:p>
        </w:tc>
        <w:tc>
          <w:tcPr>
            <w:tcW w:w="7624" w:type="dxa"/>
          </w:tcPr>
          <w:p>
            <w:pPr>
              <w:pStyle w:val="TableParagraph"/>
              <w:spacing w:line="273" w:lineRule="auto" w:before="121"/>
              <w:ind w:right="132"/>
              <w:jc w:val="both"/>
              <w:rPr>
                <w:sz w:val="21"/>
              </w:rPr>
            </w:pPr>
            <w:r>
              <w:rPr>
                <w:sz w:val="21"/>
              </w:rPr>
              <w:t>在本合同有效期内，如果被保险人被法院宣告死亡，本公司以法院判决宣告之日作为被保险人的死亡时间，按本合同的约定给付身故保险金，本合同终止。</w:t>
            </w:r>
          </w:p>
          <w:p>
            <w:pPr>
              <w:pStyle w:val="TableParagraph"/>
              <w:spacing w:line="273" w:lineRule="auto" w:before="68"/>
              <w:ind w:right="103"/>
              <w:jc w:val="both"/>
              <w:rPr>
                <w:sz w:val="21"/>
              </w:rPr>
            </w:pPr>
            <w:r>
              <w:rPr>
                <w:spacing w:val="-3"/>
                <w:sz w:val="21"/>
              </w:rPr>
              <w:t>如果被保险人在宣告死亡后重新出现或者确知其没有死亡，身故保险金受益人应</w:t>
            </w:r>
            <w:r>
              <w:rPr>
                <w:spacing w:val="-10"/>
                <w:sz w:val="21"/>
              </w:rPr>
              <w:t>在知道后 </w:t>
            </w:r>
            <w:r>
              <w:rPr>
                <w:sz w:val="21"/>
              </w:rPr>
              <w:t>30</w:t>
            </w:r>
            <w:r>
              <w:rPr>
                <w:spacing w:val="-12"/>
                <w:sz w:val="21"/>
              </w:rPr>
              <w:t> 日内向本公司退还已领取的身故保险金，在前述情形下，本合同的效</w:t>
            </w:r>
            <w:r>
              <w:rPr>
                <w:spacing w:val="-6"/>
                <w:sz w:val="21"/>
              </w:rPr>
              <w:t>力依法确定。</w:t>
            </w:r>
          </w:p>
        </w:tc>
      </w:tr>
      <w:tr>
        <w:trPr>
          <w:trHeight w:val="902" w:hRule="atLeast"/>
        </w:trPr>
        <w:tc>
          <w:tcPr>
            <w:tcW w:w="664" w:type="dxa"/>
          </w:tcPr>
          <w:p>
            <w:pPr>
              <w:pStyle w:val="TableParagraph"/>
              <w:spacing w:before="111"/>
              <w:ind w:left="107"/>
              <w:rPr>
                <w:b/>
                <w:sz w:val="21"/>
              </w:rPr>
            </w:pPr>
            <w:r>
              <w:rPr>
                <w:b/>
                <w:sz w:val="21"/>
              </w:rPr>
              <w:t>3.6</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right="135"/>
              <w:rPr>
                <w:sz w:val="21"/>
              </w:rPr>
            </w:pPr>
            <w:r>
              <w:rPr>
                <w:spacing w:val="-5"/>
                <w:sz w:val="21"/>
              </w:rPr>
              <w:t>受益人向本公司申请给付保险金的诉讼时效期间为 </w:t>
            </w:r>
            <w:r>
              <w:rPr>
                <w:sz w:val="21"/>
              </w:rPr>
              <w:t>5</w:t>
            </w:r>
            <w:r>
              <w:rPr>
                <w:spacing w:val="-7"/>
                <w:sz w:val="21"/>
              </w:rPr>
              <w:t> 年，自其知道或者应当知道</w:t>
            </w:r>
            <w:r>
              <w:rPr>
                <w:spacing w:val="-5"/>
                <w:sz w:val="21"/>
              </w:rPr>
              <w:t>保险事故发生之日起计算。</w:t>
            </w:r>
          </w:p>
        </w:tc>
      </w:tr>
      <w:tr>
        <w:trPr>
          <w:trHeight w:val="579" w:hRule="atLeast"/>
        </w:trPr>
        <w:tc>
          <w:tcPr>
            <w:tcW w:w="664" w:type="dxa"/>
            <w:tcBorders>
              <w:bottom w:val="single" w:sz="8" w:space="0" w:color="000000"/>
            </w:tcBorders>
          </w:tcPr>
          <w:p>
            <w:pPr>
              <w:pStyle w:val="TableParagraph"/>
              <w:spacing w:before="132"/>
              <w:ind w:left="107"/>
              <w:rPr>
                <w:b/>
                <w:sz w:val="24"/>
              </w:rPr>
            </w:pPr>
            <w:r>
              <w:rPr>
                <w:b/>
                <w:sz w:val="24"/>
              </w:rPr>
              <w:t>4.</w:t>
            </w:r>
          </w:p>
        </w:tc>
        <w:tc>
          <w:tcPr>
            <w:tcW w:w="1638" w:type="dxa"/>
            <w:tcBorders>
              <w:bottom w:val="single" w:sz="8" w:space="0" w:color="000000"/>
            </w:tcBorders>
          </w:tcPr>
          <w:p>
            <w:pPr>
              <w:pStyle w:val="TableParagraph"/>
              <w:spacing w:before="132"/>
              <w:ind w:left="238"/>
              <w:rPr>
                <w:b/>
                <w:sz w:val="24"/>
              </w:rPr>
            </w:pPr>
            <w:r>
              <w:rPr>
                <w:b/>
                <w:w w:val="95"/>
                <w:sz w:val="24"/>
              </w:rPr>
              <w:t>保险费的交</w:t>
            </w:r>
          </w:p>
        </w:tc>
        <w:tc>
          <w:tcPr>
            <w:tcW w:w="7624" w:type="dxa"/>
            <w:tcBorders>
              <w:bottom w:val="single" w:sz="8" w:space="0" w:color="000000"/>
            </w:tcBorders>
          </w:tcPr>
          <w:p>
            <w:pPr>
              <w:pStyle w:val="TableParagraph"/>
              <w:spacing w:before="132"/>
              <w:ind w:left="-195"/>
              <w:rPr>
                <w:b/>
                <w:sz w:val="24"/>
              </w:rPr>
            </w:pPr>
            <w:r>
              <w:rPr>
                <w:b/>
                <w:w w:val="99"/>
                <w:sz w:val="24"/>
              </w:rPr>
              <w:t>纳</w:t>
            </w:r>
          </w:p>
        </w:tc>
      </w:tr>
      <w:tr>
        <w:trPr>
          <w:trHeight w:val="1680"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本合同的交费方式和交费期间由投保人在投保时与本公司约定，并在保险单上载明。</w:t>
            </w:r>
          </w:p>
          <w:p>
            <w:pPr>
              <w:pStyle w:val="TableParagraph"/>
              <w:spacing w:line="271" w:lineRule="auto" w:before="87"/>
              <w:ind w:right="132"/>
              <w:rPr>
                <w:sz w:val="21"/>
              </w:rPr>
            </w:pPr>
            <w:r>
              <w:rPr>
                <w:sz w:val="21"/>
              </w:rPr>
              <w:t>分期支付保险费的，在交纳首期保险费后，投保人应当在每个保险费约定交纳日交纳其余各期的保险费。</w:t>
            </w:r>
          </w:p>
        </w:tc>
      </w:tr>
      <w:tr>
        <w:trPr>
          <w:trHeight w:val="2234"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4"/>
              <w:jc w:val="both"/>
              <w:rPr>
                <w:sz w:val="21"/>
              </w:rPr>
            </w:pPr>
            <w:r>
              <w:rPr>
                <w:spacing w:val="-9"/>
                <w:sz w:val="21"/>
              </w:rPr>
              <w:t>如果投保人到期未交纳保险费，自保险费约定交纳日的次日零时起 </w:t>
            </w:r>
            <w:r>
              <w:rPr>
                <w:sz w:val="21"/>
              </w:rPr>
              <w:t>60</w:t>
            </w:r>
            <w:r>
              <w:rPr>
                <w:spacing w:val="-10"/>
                <w:sz w:val="21"/>
              </w:rPr>
              <w:t> 日为保险费</w:t>
            </w:r>
            <w:r>
              <w:rPr>
                <w:spacing w:val="-3"/>
                <w:sz w:val="21"/>
              </w:rPr>
              <w:t>交纳的宽限期。宽限期内发生的保险事故，本公司仍承担保险责任，但在给付保险金时会扣除投保人欠交的保险费，其数额以保险单中载明的每期保险费数额为准。</w:t>
            </w:r>
          </w:p>
          <w:p>
            <w:pPr>
              <w:pStyle w:val="TableParagraph"/>
              <w:spacing w:line="273" w:lineRule="auto" w:before="88"/>
              <w:ind w:right="132"/>
              <w:jc w:val="both"/>
              <w:rPr>
                <w:rFonts w:ascii="黑体" w:eastAsia="黑体" w:hint="eastAsia"/>
                <w:sz w:val="21"/>
              </w:rPr>
            </w:pPr>
            <w:r>
              <w:rPr>
                <w:rFonts w:ascii="黑体" w:eastAsia="黑体" w:hint="eastAsia"/>
                <w:sz w:val="21"/>
              </w:rPr>
              <w:t>如果投保人在宽限期内未交纳保险费，则本合同自宽限期满的次日零时起效力中止，但本合同另有约定的除外。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9262" w:type="dxa"/>
            <w:gridSpan w:val="2"/>
            <w:tcBorders>
              <w:bottom w:val="single" w:sz="8" w:space="0" w:color="000000"/>
            </w:tcBorders>
          </w:tcPr>
          <w:p>
            <w:pPr>
              <w:pStyle w:val="TableParagraph"/>
              <w:spacing w:before="137"/>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在本合同效力中止期间，本公司不承担保险责任。</w:t>
            </w:r>
          </w:p>
        </w:tc>
      </w:tr>
      <w:tr>
        <w:trPr>
          <w:trHeight w:val="1916" w:hRule="atLeast"/>
        </w:trPr>
        <w:tc>
          <w:tcPr>
            <w:tcW w:w="664" w:type="dxa"/>
          </w:tcPr>
          <w:p>
            <w:pPr>
              <w:pStyle w:val="TableParagraph"/>
              <w:spacing w:before="110"/>
              <w:ind w:left="107"/>
              <w:rPr>
                <w:b/>
                <w:sz w:val="21"/>
              </w:rPr>
            </w:pPr>
            <w:r>
              <w:rPr>
                <w:b/>
                <w:sz w:val="21"/>
              </w:rPr>
              <w:t>5.2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01"/>
              <w:jc w:val="both"/>
              <w:rPr>
                <w:sz w:val="21"/>
              </w:rPr>
            </w:pPr>
            <w:r>
              <w:rPr>
                <w:spacing w:val="-5"/>
                <w:sz w:val="21"/>
              </w:rPr>
              <w:t>本合同效力中止之日起 </w:t>
            </w:r>
            <w:r>
              <w:rPr>
                <w:sz w:val="21"/>
              </w:rPr>
              <w:t>2</w:t>
            </w:r>
            <w:r>
              <w:rPr>
                <w:spacing w:val="-5"/>
                <w:sz w:val="21"/>
              </w:rPr>
              <w:t> 年内，投保人可以申请恢复合同效力。经投保人与本公</w:t>
            </w:r>
            <w:r>
              <w:rPr>
                <w:spacing w:val="-3"/>
                <w:sz w:val="21"/>
              </w:rPr>
              <w:t>司协商并达成协议，自投保人补交保险费之日起，本合同效力恢复。</w:t>
            </w:r>
          </w:p>
          <w:p>
            <w:pPr>
              <w:pStyle w:val="TableParagraph"/>
              <w:spacing w:line="271" w:lineRule="auto" w:before="86"/>
              <w:ind w:right="132"/>
              <w:jc w:val="both"/>
              <w:rPr>
                <w:sz w:val="21"/>
              </w:rPr>
            </w:pPr>
            <w:r>
              <w:rPr>
                <w:spacing w:val="-6"/>
                <w:sz w:val="21"/>
              </w:rPr>
              <w:t>自本合同效力中止之日起满 </w:t>
            </w:r>
            <w:r>
              <w:rPr>
                <w:sz w:val="21"/>
              </w:rPr>
              <w:t>2</w:t>
            </w:r>
            <w:r>
              <w:rPr>
                <w:spacing w:val="-7"/>
                <w:sz w:val="21"/>
              </w:rPr>
              <w:t> 年投保人和本公司未达成协议的，本公司有权解除</w:t>
            </w:r>
            <w:r>
              <w:rPr>
                <w:spacing w:val="-5"/>
                <w:sz w:val="21"/>
              </w:rPr>
              <w:t>本合同，本合同自解除之日起终止。本公司解除合同的，本公司向投保人退还本</w:t>
            </w:r>
            <w:r>
              <w:rPr>
                <w:spacing w:val="-4"/>
                <w:sz w:val="21"/>
              </w:rPr>
              <w:t>合同中止时的现金价值。</w:t>
            </w:r>
          </w:p>
        </w:tc>
      </w:tr>
      <w:tr>
        <w:trPr>
          <w:trHeight w:val="580" w:hRule="atLeast"/>
        </w:trPr>
        <w:tc>
          <w:tcPr>
            <w:tcW w:w="664" w:type="dxa"/>
            <w:tcBorders>
              <w:bottom w:val="single" w:sz="8" w:space="0" w:color="000000"/>
            </w:tcBorders>
          </w:tcPr>
          <w:p>
            <w:pPr>
              <w:pStyle w:val="TableParagraph"/>
              <w:spacing w:before="132"/>
              <w:ind w:left="107"/>
              <w:rPr>
                <w:b/>
                <w:sz w:val="24"/>
              </w:rPr>
            </w:pPr>
            <w:r>
              <w:rPr>
                <w:b/>
                <w:sz w:val="24"/>
              </w:rPr>
              <w:t>6.</w:t>
            </w:r>
          </w:p>
        </w:tc>
        <w:tc>
          <w:tcPr>
            <w:tcW w:w="1638" w:type="dxa"/>
            <w:tcBorders>
              <w:bottom w:val="single" w:sz="8" w:space="0" w:color="000000"/>
            </w:tcBorders>
          </w:tcPr>
          <w:p>
            <w:pPr>
              <w:pStyle w:val="TableParagraph"/>
              <w:spacing w:before="132"/>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line="255" w:lineRule="exact"/>
              <w:ind w:left="238"/>
              <w:rPr>
                <w:b/>
                <w:sz w:val="21"/>
              </w:rPr>
            </w:pPr>
            <w:r>
              <w:rPr>
                <w:b/>
                <w:sz w:val="21"/>
              </w:rPr>
              <w:t>解除合同的手</w:t>
            </w:r>
          </w:p>
        </w:tc>
        <w:tc>
          <w:tcPr>
            <w:tcW w:w="7624" w:type="dxa"/>
            <w:tcBorders>
              <w:top w:val="single" w:sz="8" w:space="0" w:color="000000"/>
            </w:tcBorders>
          </w:tcPr>
          <w:p>
            <w:pPr>
              <w:pStyle w:val="TableParagraph"/>
              <w:spacing w:before="8"/>
              <w:ind w:left="0"/>
              <w:rPr>
                <w:sz w:val="16"/>
              </w:rPr>
            </w:pPr>
          </w:p>
          <w:p>
            <w:pPr>
              <w:pStyle w:val="TableParagraph"/>
              <w:spacing w:line="255" w:lineRule="exact"/>
              <w:rPr>
                <w:sz w:val="21"/>
              </w:rPr>
            </w:pPr>
            <w:r>
              <w:rPr>
                <w:sz w:val="21"/>
              </w:rPr>
              <w:t>如果投保人要求解除本合同，请填写解除合同申请书并向本公司提供下列资料的</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2991" w:hRule="atLeast"/>
        </w:trPr>
        <w:tc>
          <w:tcPr>
            <w:tcW w:w="664" w:type="dxa"/>
          </w:tcPr>
          <w:p>
            <w:pPr>
              <w:pStyle w:val="TableParagraph"/>
              <w:ind w:left="0"/>
              <w:rPr>
                <w:rFonts w:ascii="Times New Roman"/>
                <w:sz w:val="20"/>
              </w:rPr>
            </w:pPr>
          </w:p>
        </w:tc>
        <w:tc>
          <w:tcPr>
            <w:tcW w:w="1638" w:type="dxa"/>
          </w:tcPr>
          <w:p>
            <w:pPr>
              <w:pStyle w:val="TableParagraph"/>
              <w:spacing w:line="211" w:lineRule="exact"/>
              <w:ind w:left="238"/>
              <w:rPr>
                <w:b/>
                <w:sz w:val="21"/>
              </w:rPr>
            </w:pPr>
            <w:r>
              <w:rPr>
                <w:b/>
                <w:sz w:val="21"/>
              </w:rPr>
              <w:t>续及风险</w:t>
            </w:r>
          </w:p>
        </w:tc>
        <w:tc>
          <w:tcPr>
            <w:tcW w:w="7626" w:type="dxa"/>
          </w:tcPr>
          <w:p>
            <w:pPr>
              <w:pStyle w:val="TableParagraph"/>
              <w:spacing w:line="211" w:lineRule="exact"/>
              <w:rPr>
                <w:sz w:val="21"/>
              </w:rPr>
            </w:pPr>
            <w:r>
              <w:rPr>
                <w:sz w:val="21"/>
              </w:rPr>
              <w:t>原件：</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1"/>
                <w:sz w:val="21"/>
              </w:rPr>
              <w:t>本合同；</w:t>
            </w:r>
          </w:p>
          <w:p>
            <w:pPr>
              <w:pStyle w:val="TableParagraph"/>
              <w:numPr>
                <w:ilvl w:val="0"/>
                <w:numId w:val="7"/>
              </w:numPr>
              <w:tabs>
                <w:tab w:pos="866" w:val="left" w:leader="none"/>
                <w:tab w:pos="867" w:val="left" w:leader="none"/>
              </w:tabs>
              <w:spacing w:line="240" w:lineRule="auto" w:before="115" w:after="0"/>
              <w:ind w:left="867" w:right="0" w:hanging="735"/>
              <w:jc w:val="left"/>
              <w:rPr>
                <w:sz w:val="21"/>
              </w:rPr>
            </w:pPr>
            <w:r>
              <w:rPr>
                <w:spacing w:val="-3"/>
                <w:sz w:val="21"/>
              </w:rPr>
              <w:t>投保人出具的加盖投保人法人公章的投保人授权书；</w:t>
            </w:r>
          </w:p>
          <w:p>
            <w:pPr>
              <w:pStyle w:val="TableParagraph"/>
              <w:numPr>
                <w:ilvl w:val="0"/>
                <w:numId w:val="7"/>
              </w:numPr>
              <w:tabs>
                <w:tab w:pos="866" w:val="left" w:leader="none"/>
                <w:tab w:pos="867" w:val="left" w:leader="none"/>
              </w:tabs>
              <w:spacing w:line="240" w:lineRule="auto" w:before="113" w:after="0"/>
              <w:ind w:left="867" w:right="0" w:hanging="735"/>
              <w:jc w:val="left"/>
              <w:rPr>
                <w:sz w:val="21"/>
              </w:rPr>
            </w:pPr>
            <w:r>
              <w:rPr>
                <w:spacing w:val="-3"/>
                <w:sz w:val="21"/>
              </w:rPr>
              <w:t>经办人的有效身份证件。</w:t>
            </w:r>
          </w:p>
          <w:p>
            <w:pPr>
              <w:pStyle w:val="TableParagraph"/>
              <w:spacing w:line="271" w:lineRule="auto" w:before="116"/>
              <w:ind w:right="134"/>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日内向投保人退还本合同项下各被保险人名下的合同终止时的现金价值。</w:t>
            </w:r>
          </w:p>
          <w:p>
            <w:pPr>
              <w:pStyle w:val="TableParagraph"/>
              <w:spacing w:before="89"/>
              <w:rPr>
                <w:rFonts w:ascii="黑体" w:eastAsia="黑体" w:hint="eastAsia"/>
                <w:sz w:val="21"/>
              </w:rPr>
            </w:pPr>
            <w:r>
              <w:rPr>
                <w:rFonts w:ascii="黑体" w:eastAsia="黑体" w:hint="eastAsia"/>
                <w:sz w:val="21"/>
              </w:rPr>
              <w:t>投保人在犹豫期后解除合同会遭受一定损失。</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7.</w:t>
            </w:r>
          </w:p>
        </w:tc>
        <w:tc>
          <w:tcPr>
            <w:tcW w:w="9264" w:type="dxa"/>
            <w:gridSpan w:val="2"/>
            <w:tcBorders>
              <w:bottom w:val="single" w:sz="8" w:space="0" w:color="000000"/>
            </w:tcBorders>
          </w:tcPr>
          <w:p>
            <w:pPr>
              <w:pStyle w:val="TableParagraph"/>
              <w:spacing w:before="130"/>
              <w:ind w:left="238"/>
              <w:rPr>
                <w:b/>
                <w:sz w:val="24"/>
              </w:rPr>
            </w:pPr>
            <w:r>
              <w:rPr>
                <w:b/>
                <w:w w:val="95"/>
                <w:sz w:val="24"/>
              </w:rPr>
              <w:t>其他需要关注的事项</w:t>
            </w:r>
          </w:p>
        </w:tc>
      </w:tr>
      <w:tr>
        <w:trPr>
          <w:trHeight w:val="573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ind w:left="238" w:right="129"/>
              <w:rPr>
                <w:b/>
                <w:sz w:val="21"/>
              </w:rPr>
            </w:pPr>
            <w:r>
              <w:rPr>
                <w:b/>
                <w:sz w:val="21"/>
              </w:rPr>
              <w:t>明确说明与如实告知</w:t>
            </w:r>
          </w:p>
        </w:tc>
        <w:tc>
          <w:tcPr>
            <w:tcW w:w="7626" w:type="dxa"/>
            <w:tcBorders>
              <w:top w:val="single" w:sz="8" w:space="0" w:color="000000"/>
            </w:tcBorders>
          </w:tcPr>
          <w:p>
            <w:pPr>
              <w:pStyle w:val="TableParagraph"/>
              <w:spacing w:before="8"/>
              <w:ind w:left="0"/>
              <w:rPr>
                <w:sz w:val="16"/>
              </w:rPr>
            </w:pPr>
          </w:p>
          <w:p>
            <w:pPr>
              <w:pStyle w:val="TableParagraph"/>
              <w:spacing w:line="271" w:lineRule="auto"/>
              <w:ind w:right="134"/>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8"/>
              <w:rPr>
                <w:sz w:val="21"/>
              </w:rPr>
            </w:pPr>
            <w:r>
              <w:rPr>
                <w:sz w:val="21"/>
              </w:rPr>
              <w:t>本公司会就投保人和被保险人的有关情况提出书面询问，投保人应当如实告知。</w:t>
            </w:r>
          </w:p>
          <w:p>
            <w:pPr>
              <w:pStyle w:val="TableParagraph"/>
              <w:spacing w:line="271" w:lineRule="auto" w:before="116"/>
              <w:ind w:right="1"/>
              <w:rPr>
                <w:sz w:val="21"/>
              </w:rPr>
            </w:pPr>
            <w:r>
              <w:rPr>
                <w:spacing w:val="-3"/>
                <w:sz w:val="21"/>
              </w:rPr>
              <w:t>如果投保人故意或者因重大过失未履行前款规定的如实告知义务，足以影响本公</w:t>
            </w:r>
            <w:r>
              <w:rPr>
                <w:spacing w:val="-7"/>
                <w:sz w:val="21"/>
              </w:rPr>
              <w:t>司决定是否同意承保或者提高保险费率的，本公司有权解除或者部分解除本合同。</w:t>
            </w:r>
          </w:p>
          <w:p>
            <w:pPr>
              <w:pStyle w:val="TableParagraph"/>
              <w:spacing w:line="273" w:lineRule="auto" w:before="89"/>
              <w:ind w:right="134"/>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271" w:lineRule="auto" w:before="87"/>
              <w:ind w:right="134"/>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3" w:lineRule="auto" w:before="89"/>
              <w:ind w:right="-15"/>
              <w:rPr>
                <w:sz w:val="21"/>
              </w:rPr>
            </w:pPr>
            <w:r>
              <w:rPr>
                <w:spacing w:val="-6"/>
                <w:sz w:val="21"/>
              </w:rPr>
              <w:t>本公司在合同订立时已经知道投保人未如实告知的情况的，本公司不得解除合同； </w:t>
            </w:r>
            <w:r>
              <w:rPr>
                <w:spacing w:val="-3"/>
                <w:sz w:val="21"/>
              </w:rPr>
              <w:t>发生保险事故的，本公司承担给付保险金的责任。</w:t>
            </w:r>
          </w:p>
        </w:tc>
      </w:tr>
      <w:tr>
        <w:trPr>
          <w:trHeight w:val="1183" w:hRule="atLeast"/>
        </w:trPr>
        <w:tc>
          <w:tcPr>
            <w:tcW w:w="664" w:type="dxa"/>
          </w:tcPr>
          <w:p>
            <w:pPr>
              <w:pStyle w:val="TableParagraph"/>
              <w:spacing w:before="111"/>
              <w:ind w:left="107"/>
              <w:rPr>
                <w:b/>
                <w:sz w:val="21"/>
              </w:rPr>
            </w:pPr>
            <w:r>
              <w:rPr>
                <w:b/>
                <w:sz w:val="21"/>
              </w:rPr>
              <w:t>7.2</w:t>
            </w:r>
          </w:p>
        </w:tc>
        <w:tc>
          <w:tcPr>
            <w:tcW w:w="1638" w:type="dxa"/>
          </w:tcPr>
          <w:p>
            <w:pPr>
              <w:pStyle w:val="TableParagraph"/>
              <w:spacing w:line="271" w:lineRule="auto" w:before="111"/>
              <w:ind w:left="238" w:right="129"/>
              <w:rPr>
                <w:b/>
                <w:sz w:val="21"/>
              </w:rPr>
            </w:pPr>
            <w:r>
              <w:rPr>
                <w:b/>
                <w:sz w:val="21"/>
              </w:rPr>
              <w:t>本公司合同解除权的限制</w:t>
            </w:r>
          </w:p>
        </w:tc>
        <w:tc>
          <w:tcPr>
            <w:tcW w:w="7626" w:type="dxa"/>
          </w:tcPr>
          <w:p>
            <w:pPr>
              <w:pStyle w:val="TableParagraph"/>
              <w:spacing w:before="111"/>
              <w:rPr>
                <w:sz w:val="21"/>
              </w:rPr>
            </w:pPr>
            <w:r>
              <w:rPr>
                <w:spacing w:val="-10"/>
                <w:sz w:val="21"/>
              </w:rPr>
              <w:t>前款规定的合同解除权，自本公司知道有解除事由之日起，超过 </w:t>
            </w:r>
            <w:r>
              <w:rPr>
                <w:sz w:val="21"/>
              </w:rPr>
              <w:t>30</w:t>
            </w:r>
            <w:r>
              <w:rPr>
                <w:spacing w:val="-7"/>
                <w:sz w:val="21"/>
              </w:rPr>
              <w:t> 日不行使而消</w:t>
            </w:r>
          </w:p>
          <w:p>
            <w:pPr>
              <w:pStyle w:val="TableParagraph"/>
              <w:spacing w:line="273" w:lineRule="auto" w:before="34"/>
              <w:ind w:right="134"/>
              <w:rPr>
                <w:sz w:val="21"/>
              </w:rPr>
            </w:pPr>
            <w:r>
              <w:rPr>
                <w:spacing w:val="-6"/>
                <w:sz w:val="21"/>
              </w:rPr>
              <w:t>灭。自本合同成立之日起超过 </w:t>
            </w:r>
            <w:r>
              <w:rPr>
                <w:sz w:val="21"/>
              </w:rPr>
              <w:t>2</w:t>
            </w:r>
            <w:r>
              <w:rPr>
                <w:spacing w:val="-8"/>
                <w:sz w:val="21"/>
              </w:rPr>
              <w:t> 年的，本公司不得解除合同；发生保险事故的， </w:t>
            </w:r>
            <w:r>
              <w:rPr>
                <w:spacing w:val="-3"/>
                <w:sz w:val="21"/>
              </w:rPr>
              <w:t>本公司承担给付保险金的责任。</w:t>
            </w:r>
          </w:p>
        </w:tc>
      </w:tr>
      <w:tr>
        <w:trPr>
          <w:trHeight w:val="3662" w:hRule="atLeast"/>
        </w:trPr>
        <w:tc>
          <w:tcPr>
            <w:tcW w:w="664" w:type="dxa"/>
          </w:tcPr>
          <w:p>
            <w:pPr>
              <w:pStyle w:val="TableParagraph"/>
              <w:spacing w:before="111"/>
              <w:ind w:left="107"/>
              <w:rPr>
                <w:b/>
                <w:sz w:val="21"/>
              </w:rPr>
            </w:pPr>
            <w:r>
              <w:rPr>
                <w:b/>
                <w:sz w:val="21"/>
              </w:rPr>
              <w:t>7.3</w:t>
            </w:r>
          </w:p>
        </w:tc>
        <w:tc>
          <w:tcPr>
            <w:tcW w:w="1638" w:type="dxa"/>
          </w:tcPr>
          <w:p>
            <w:pPr>
              <w:pStyle w:val="TableParagraph"/>
              <w:spacing w:before="111"/>
              <w:ind w:left="238"/>
              <w:rPr>
                <w:b/>
                <w:sz w:val="21"/>
              </w:rPr>
            </w:pPr>
            <w:r>
              <w:rPr>
                <w:b/>
                <w:sz w:val="21"/>
              </w:rPr>
              <w:t>年龄性别错误</w:t>
            </w:r>
          </w:p>
        </w:tc>
        <w:tc>
          <w:tcPr>
            <w:tcW w:w="7626" w:type="dxa"/>
          </w:tcPr>
          <w:p>
            <w:pPr>
              <w:pStyle w:val="TableParagraph"/>
              <w:spacing w:line="273" w:lineRule="auto" w:before="111"/>
              <w:ind w:right="134"/>
              <w:rPr>
                <w:sz w:val="21"/>
              </w:rPr>
            </w:pPr>
            <w:r>
              <w:rPr>
                <w:sz w:val="21"/>
              </w:rPr>
              <w:t>投保人在申请投保时，应提供与被保险人有效身份证件相符的被保险人的出生日期和性别的资料，如果发生错误按照下列方式办理：</w:t>
            </w:r>
          </w:p>
          <w:p>
            <w:pPr>
              <w:pStyle w:val="TableParagraph"/>
              <w:numPr>
                <w:ilvl w:val="0"/>
                <w:numId w:val="8"/>
              </w:numPr>
              <w:tabs>
                <w:tab w:pos="834" w:val="left" w:leader="none"/>
              </w:tabs>
              <w:spacing w:line="271" w:lineRule="auto" w:before="86" w:after="0"/>
              <w:ind w:left="867" w:right="31" w:hanging="735"/>
              <w:jc w:val="left"/>
              <w:rPr>
                <w:rFonts w:ascii="黑体" w:hAnsi="黑体" w:eastAsia="黑体" w:hint="eastAsia"/>
                <w:sz w:val="21"/>
              </w:rPr>
            </w:pPr>
            <w:r>
              <w:rPr>
                <w:rFonts w:ascii="黑体" w:hAnsi="黑体" w:eastAsia="黑体" w:hint="eastAsia"/>
                <w:spacing w:val="-6"/>
                <w:sz w:val="21"/>
              </w:rPr>
              <w:t>投保人申报的被保险人年龄不真实，并且其真实年龄不符合本合同约定投</w:t>
            </w:r>
            <w:r>
              <w:rPr>
                <w:rFonts w:ascii="黑体" w:hAnsi="黑体" w:eastAsia="黑体" w:hint="eastAsia"/>
                <w:spacing w:val="-10"/>
                <w:sz w:val="21"/>
              </w:rPr>
              <w:t>保年龄限制的，本公司有权终止对该被保险人的保险责任，但向投保人退</w:t>
            </w:r>
            <w:r>
              <w:rPr>
                <w:rFonts w:ascii="黑体" w:hAnsi="黑体" w:eastAsia="黑体" w:hint="eastAsia"/>
                <w:spacing w:val="-8"/>
                <w:sz w:val="21"/>
              </w:rPr>
              <w:t>还保险责任终止时本合同项下该被保险人名下的现金价值，对于该被保险</w:t>
            </w:r>
            <w:r>
              <w:rPr>
                <w:rFonts w:ascii="黑体" w:hAnsi="黑体" w:eastAsia="黑体" w:hint="eastAsia"/>
                <w:spacing w:val="-5"/>
                <w:sz w:val="21"/>
              </w:rPr>
              <w:t>人的保险责任终止前发</w:t>
            </w:r>
            <w:r>
              <w:rPr>
                <w:rFonts w:ascii="黑体" w:hAnsi="黑体" w:eastAsia="黑体" w:hint="eastAsia"/>
                <w:sz w:val="21"/>
              </w:rPr>
              <w:t>Th</w:t>
            </w:r>
            <w:r>
              <w:rPr>
                <w:rFonts w:ascii="黑体" w:hAnsi="黑体" w:eastAsia="黑体" w:hint="eastAsia"/>
                <w:spacing w:val="-3"/>
                <w:sz w:val="21"/>
              </w:rPr>
              <w:t>的保险事故，本公司不承担给付保险金的责任。</w:t>
            </w:r>
            <w:r>
              <w:rPr>
                <w:rFonts w:ascii="黑体" w:hAnsi="黑体" w:eastAsia="黑体" w:hint="eastAsia"/>
                <w:spacing w:val="-8"/>
                <w:sz w:val="21"/>
              </w:rPr>
              <w:t>对前述被保险人的保险责任终止权适用“本公司合同解除权的限制”的规定。</w:t>
            </w:r>
          </w:p>
          <w:p>
            <w:pPr>
              <w:pStyle w:val="TableParagraph"/>
              <w:numPr>
                <w:ilvl w:val="0"/>
                <w:numId w:val="8"/>
              </w:numPr>
              <w:tabs>
                <w:tab w:pos="834" w:val="left" w:leader="none"/>
              </w:tabs>
              <w:spacing w:line="310" w:lineRule="atLeast" w:before="53" w:after="0"/>
              <w:ind w:left="852" w:right="105" w:hanging="720"/>
              <w:jc w:val="both"/>
              <w:rPr>
                <w:sz w:val="21"/>
              </w:rPr>
            </w:pPr>
            <w:r>
              <w:rPr>
                <w:spacing w:val="-5"/>
                <w:sz w:val="21"/>
              </w:rPr>
              <w:t>投保人申报的被保险人年龄或者性别不真实，致使投保人实交保险费少于</w:t>
            </w:r>
            <w:r>
              <w:rPr>
                <w:spacing w:val="-12"/>
                <w:sz w:val="21"/>
              </w:rPr>
              <w:t>应交保险费的，</w:t>
            </w:r>
            <w:r>
              <w:rPr>
                <w:rFonts w:ascii="黑体" w:eastAsia="黑体" w:hint="eastAsia"/>
                <w:spacing w:val="-3"/>
                <w:sz w:val="21"/>
              </w:rPr>
              <w:t>本公司有权更正并要求投保人补交本合同项下该被保险人</w:t>
            </w:r>
            <w:r>
              <w:rPr>
                <w:rFonts w:ascii="黑体" w:eastAsia="黑体" w:hint="eastAsia"/>
                <w:spacing w:val="-7"/>
                <w:sz w:val="21"/>
              </w:rPr>
              <w:t>名下的保险费。如果已经发</w:t>
            </w:r>
            <w:r>
              <w:rPr>
                <w:rFonts w:ascii="黑体" w:eastAsia="黑体" w:hint="eastAsia"/>
                <w:sz w:val="21"/>
              </w:rPr>
              <w:t>Th</w:t>
            </w:r>
            <w:r>
              <w:rPr>
                <w:rFonts w:ascii="黑体" w:eastAsia="黑体" w:hint="eastAsia"/>
                <w:spacing w:val="-7"/>
                <w:sz w:val="21"/>
              </w:rPr>
              <w:t>保险事故，在给付保险金时按实交保险费和</w:t>
            </w:r>
          </w:p>
        </w:tc>
      </w:tr>
    </w:tbl>
    <w:p>
      <w:pPr>
        <w:spacing w:after="0" w:line="310" w:lineRule="atLeas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6"/>
      </w:tblGrid>
      <w:tr>
        <w:trPr>
          <w:trHeight w:val="1402"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6" w:type="dxa"/>
          </w:tcPr>
          <w:p>
            <w:pPr>
              <w:pStyle w:val="TableParagraph"/>
              <w:spacing w:line="211" w:lineRule="exact"/>
              <w:ind w:left="852"/>
              <w:rPr>
                <w:sz w:val="21"/>
              </w:rPr>
            </w:pPr>
            <w:r>
              <w:rPr>
                <w:rFonts w:ascii="黑体" w:eastAsia="黑体" w:hint="eastAsia"/>
                <w:sz w:val="21"/>
              </w:rPr>
              <w:t>应交保险费的比例给付</w:t>
            </w:r>
            <w:r>
              <w:rPr>
                <w:sz w:val="21"/>
              </w:rPr>
              <w:t>。</w:t>
            </w:r>
          </w:p>
          <w:p>
            <w:pPr>
              <w:pStyle w:val="TableParagraph"/>
              <w:spacing w:line="273" w:lineRule="auto" w:before="116"/>
              <w:ind w:left="850" w:right="105" w:hanging="719"/>
              <w:jc w:val="both"/>
              <w:rPr>
                <w:sz w:val="21"/>
              </w:rPr>
            </w:pPr>
            <w:r>
              <w:rPr>
                <w:sz w:val="21"/>
              </w:rPr>
              <w:t>（3）</w:t>
            </w:r>
            <w:r>
              <w:rPr>
                <w:spacing w:val="-4"/>
                <w:sz w:val="21"/>
              </w:rPr>
              <w:t> 投保人申报的被保险人年龄或者性别不真实，致使投保人实交保险费多于</w:t>
            </w:r>
            <w:r>
              <w:rPr>
                <w:spacing w:val="-9"/>
                <w:sz w:val="21"/>
              </w:rPr>
              <w:t>应交保险费的，本公司向投保人无息退还多收的本合同项下该被保险人名</w:t>
            </w:r>
            <w:r>
              <w:rPr>
                <w:spacing w:val="-5"/>
                <w:sz w:val="21"/>
              </w:rPr>
              <w:t>下的保险费。</w:t>
            </w:r>
          </w:p>
        </w:tc>
      </w:tr>
      <w:tr>
        <w:trPr>
          <w:trHeight w:val="3135" w:hRule="atLeast"/>
        </w:trPr>
        <w:tc>
          <w:tcPr>
            <w:tcW w:w="717" w:type="dxa"/>
          </w:tcPr>
          <w:p>
            <w:pPr>
              <w:pStyle w:val="TableParagraph"/>
              <w:spacing w:before="111"/>
              <w:ind w:left="107"/>
              <w:rPr>
                <w:b/>
                <w:sz w:val="21"/>
              </w:rPr>
            </w:pPr>
            <w:r>
              <w:rPr>
                <w:b/>
                <w:sz w:val="21"/>
              </w:rPr>
              <w:t>7.4</w:t>
            </w:r>
          </w:p>
        </w:tc>
        <w:tc>
          <w:tcPr>
            <w:tcW w:w="1585" w:type="dxa"/>
          </w:tcPr>
          <w:p>
            <w:pPr>
              <w:pStyle w:val="TableParagraph"/>
              <w:spacing w:before="111"/>
              <w:ind w:left="185"/>
              <w:rPr>
                <w:b/>
                <w:sz w:val="21"/>
              </w:rPr>
            </w:pPr>
            <w:r>
              <w:rPr>
                <w:b/>
                <w:sz w:val="21"/>
              </w:rPr>
              <w:t>被保险人变动</w:t>
            </w:r>
          </w:p>
        </w:tc>
        <w:tc>
          <w:tcPr>
            <w:tcW w:w="7626" w:type="dxa"/>
          </w:tcPr>
          <w:p>
            <w:pPr>
              <w:pStyle w:val="TableParagraph"/>
              <w:spacing w:line="271" w:lineRule="auto" w:before="111"/>
              <w:ind w:right="-15"/>
              <w:rPr>
                <w:sz w:val="21"/>
              </w:rPr>
            </w:pPr>
            <w:r>
              <w:rPr>
                <w:spacing w:val="-3"/>
                <w:sz w:val="21"/>
              </w:rPr>
              <w:t>投保人需要增加被保险人的，应以书面形式通知本公司。本公司审核同意并对新</w:t>
            </w:r>
            <w:r>
              <w:rPr>
                <w:spacing w:val="-8"/>
                <w:sz w:val="21"/>
              </w:rPr>
              <w:t>增加的被保险人收取保险费后，对新增加的被保险人依本合同约定承担保险责任。</w:t>
            </w:r>
            <w:r>
              <w:rPr>
                <w:spacing w:val="-5"/>
                <w:sz w:val="21"/>
              </w:rPr>
              <w:t>本公司对该新增加的被保险人承担的保险责任的起始时间在保险单上载明。</w:t>
            </w:r>
          </w:p>
          <w:p>
            <w:pPr>
              <w:pStyle w:val="TableParagraph"/>
              <w:spacing w:line="273" w:lineRule="auto" w:before="88"/>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3"/>
                <w:sz w:val="21"/>
              </w:rPr>
              <w:t> 时起终止；投保人在通知书中载</w:t>
            </w:r>
            <w:r>
              <w:rPr>
                <w:spacing w:val="-6"/>
                <w:sz w:val="21"/>
              </w:rPr>
              <w:t>明的变更被保险人日期如果晚于通知书送达本公司的日期，则本公司对该被保险</w:t>
            </w:r>
            <w:r>
              <w:rPr>
                <w:spacing w:val="-4"/>
                <w:sz w:val="21"/>
              </w:rPr>
              <w:t>人的保险责任自通知书中载明的变更被保险人日期的零时起终止。如果减少的被</w:t>
            </w:r>
            <w:r>
              <w:rPr>
                <w:spacing w:val="-3"/>
                <w:sz w:val="21"/>
              </w:rPr>
              <w:t>保险人未发生保险事故，本公司向投保人退还保险责任终止时本合同项下该被保</w:t>
            </w:r>
            <w:r>
              <w:rPr>
                <w:spacing w:val="-9"/>
                <w:sz w:val="21"/>
              </w:rPr>
              <w:t>险人名下的现金价值；如果减少的被保险人发生过保险事故，本公司无资金退还。</w:t>
            </w:r>
          </w:p>
        </w:tc>
      </w:tr>
      <w:tr>
        <w:trPr>
          <w:trHeight w:val="871" w:hRule="atLeast"/>
        </w:trPr>
        <w:tc>
          <w:tcPr>
            <w:tcW w:w="717" w:type="dxa"/>
          </w:tcPr>
          <w:p>
            <w:pPr>
              <w:pStyle w:val="TableParagraph"/>
              <w:spacing w:before="111"/>
              <w:ind w:left="107"/>
              <w:rPr>
                <w:b/>
                <w:sz w:val="21"/>
              </w:rPr>
            </w:pPr>
            <w:r>
              <w:rPr>
                <w:b/>
                <w:sz w:val="21"/>
              </w:rPr>
              <w:t>7.5</w:t>
            </w:r>
          </w:p>
        </w:tc>
        <w:tc>
          <w:tcPr>
            <w:tcW w:w="1585" w:type="dxa"/>
          </w:tcPr>
          <w:p>
            <w:pPr>
              <w:pStyle w:val="TableParagraph"/>
              <w:spacing w:before="111"/>
              <w:ind w:left="185"/>
              <w:rPr>
                <w:b/>
                <w:sz w:val="21"/>
              </w:rPr>
            </w:pPr>
            <w:r>
              <w:rPr>
                <w:b/>
                <w:sz w:val="21"/>
              </w:rPr>
              <w:t>未还款项</w:t>
            </w:r>
          </w:p>
        </w:tc>
        <w:tc>
          <w:tcPr>
            <w:tcW w:w="7626" w:type="dxa"/>
          </w:tcPr>
          <w:p>
            <w:pPr>
              <w:pStyle w:val="TableParagraph"/>
              <w:spacing w:line="271" w:lineRule="auto" w:before="111"/>
              <w:ind w:right="134"/>
              <w:rPr>
                <w:sz w:val="21"/>
              </w:rPr>
            </w:pPr>
            <w:r>
              <w:rPr>
                <w:sz w:val="21"/>
              </w:rPr>
              <w:t>本公司在给付各项保险金、退还现金价值或者返还保险费时，如果投保人有欠交的保险费或者其他各项欠款，本公司在扣除上述各项欠款及应付利息后给付。</w:t>
            </w:r>
          </w:p>
        </w:tc>
      </w:tr>
      <w:tr>
        <w:trPr>
          <w:trHeight w:val="871" w:hRule="atLeast"/>
        </w:trPr>
        <w:tc>
          <w:tcPr>
            <w:tcW w:w="717" w:type="dxa"/>
          </w:tcPr>
          <w:p>
            <w:pPr>
              <w:pStyle w:val="TableParagraph"/>
              <w:spacing w:before="111"/>
              <w:ind w:left="107"/>
              <w:rPr>
                <w:b/>
                <w:sz w:val="21"/>
              </w:rPr>
            </w:pPr>
            <w:r>
              <w:rPr>
                <w:b/>
                <w:sz w:val="21"/>
              </w:rPr>
              <w:t>7.6</w:t>
            </w:r>
          </w:p>
        </w:tc>
        <w:tc>
          <w:tcPr>
            <w:tcW w:w="1585" w:type="dxa"/>
          </w:tcPr>
          <w:p>
            <w:pPr>
              <w:pStyle w:val="TableParagraph"/>
              <w:spacing w:before="111"/>
              <w:ind w:left="185"/>
              <w:rPr>
                <w:b/>
                <w:sz w:val="21"/>
              </w:rPr>
            </w:pPr>
            <w:r>
              <w:rPr>
                <w:b/>
                <w:sz w:val="21"/>
              </w:rPr>
              <w:t>转账规定</w:t>
            </w:r>
          </w:p>
        </w:tc>
        <w:tc>
          <w:tcPr>
            <w:tcW w:w="7626" w:type="dxa"/>
          </w:tcPr>
          <w:p>
            <w:pPr>
              <w:pStyle w:val="TableParagraph"/>
              <w:spacing w:line="271" w:lineRule="auto" w:before="111"/>
              <w:ind w:right="134"/>
              <w:rPr>
                <w:sz w:val="21"/>
              </w:rPr>
            </w:pPr>
            <w:r>
              <w:rPr>
                <w:sz w:val="21"/>
              </w:rPr>
              <w:t>本合同中涉及到本公司向投保人退还保险费、现金价值时，本公司均以银行转账方式将相应金额退至投保人投保本合同时交纳保险费的账户。</w:t>
            </w:r>
          </w:p>
        </w:tc>
      </w:tr>
      <w:tr>
        <w:trPr>
          <w:trHeight w:val="1186" w:hRule="atLeast"/>
        </w:trPr>
        <w:tc>
          <w:tcPr>
            <w:tcW w:w="717" w:type="dxa"/>
          </w:tcPr>
          <w:p>
            <w:pPr>
              <w:pStyle w:val="TableParagraph"/>
              <w:spacing w:before="111"/>
              <w:ind w:left="107"/>
              <w:rPr>
                <w:b/>
                <w:sz w:val="21"/>
              </w:rPr>
            </w:pPr>
            <w:r>
              <w:rPr>
                <w:b/>
                <w:sz w:val="21"/>
              </w:rPr>
              <w:t>7.7</w:t>
            </w:r>
          </w:p>
        </w:tc>
        <w:tc>
          <w:tcPr>
            <w:tcW w:w="1585" w:type="dxa"/>
          </w:tcPr>
          <w:p>
            <w:pPr>
              <w:pStyle w:val="TableParagraph"/>
              <w:spacing w:before="111"/>
              <w:ind w:left="185"/>
              <w:rPr>
                <w:b/>
                <w:sz w:val="21"/>
              </w:rPr>
            </w:pPr>
            <w:r>
              <w:rPr>
                <w:b/>
                <w:sz w:val="21"/>
              </w:rPr>
              <w:t>合同内容变更</w:t>
            </w:r>
          </w:p>
        </w:tc>
        <w:tc>
          <w:tcPr>
            <w:tcW w:w="7626" w:type="dxa"/>
          </w:tcPr>
          <w:p>
            <w:pPr>
              <w:pStyle w:val="TableParagraph"/>
              <w:spacing w:line="273" w:lineRule="auto" w:before="111"/>
              <w:ind w:right="134"/>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5" w:hRule="atLeast"/>
        </w:trPr>
        <w:tc>
          <w:tcPr>
            <w:tcW w:w="717" w:type="dxa"/>
          </w:tcPr>
          <w:p>
            <w:pPr>
              <w:pStyle w:val="TableParagraph"/>
              <w:spacing w:before="111"/>
              <w:ind w:left="107"/>
              <w:rPr>
                <w:b/>
                <w:sz w:val="21"/>
              </w:rPr>
            </w:pPr>
            <w:r>
              <w:rPr>
                <w:b/>
                <w:sz w:val="21"/>
              </w:rPr>
              <w:t>7.8</w:t>
            </w:r>
          </w:p>
        </w:tc>
        <w:tc>
          <w:tcPr>
            <w:tcW w:w="1585" w:type="dxa"/>
          </w:tcPr>
          <w:p>
            <w:pPr>
              <w:pStyle w:val="TableParagraph"/>
              <w:spacing w:before="111"/>
              <w:ind w:left="185"/>
              <w:rPr>
                <w:b/>
                <w:sz w:val="21"/>
              </w:rPr>
            </w:pPr>
            <w:r>
              <w:rPr>
                <w:b/>
                <w:sz w:val="21"/>
              </w:rPr>
              <w:t>联系方式变更</w:t>
            </w:r>
          </w:p>
        </w:tc>
        <w:tc>
          <w:tcPr>
            <w:tcW w:w="7626" w:type="dxa"/>
          </w:tcPr>
          <w:p>
            <w:pPr>
              <w:pStyle w:val="TableParagraph"/>
              <w:spacing w:line="271" w:lineRule="auto" w:before="111"/>
              <w:ind w:right="134"/>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2275" w:hRule="atLeast"/>
        </w:trPr>
        <w:tc>
          <w:tcPr>
            <w:tcW w:w="717" w:type="dxa"/>
          </w:tcPr>
          <w:p>
            <w:pPr>
              <w:pStyle w:val="TableParagraph"/>
              <w:spacing w:before="111"/>
              <w:ind w:left="107"/>
              <w:rPr>
                <w:b/>
                <w:sz w:val="21"/>
              </w:rPr>
            </w:pPr>
            <w:r>
              <w:rPr>
                <w:b/>
                <w:sz w:val="21"/>
              </w:rPr>
              <w:t>7.9</w:t>
            </w:r>
          </w:p>
        </w:tc>
        <w:tc>
          <w:tcPr>
            <w:tcW w:w="1585" w:type="dxa"/>
          </w:tcPr>
          <w:p>
            <w:pPr>
              <w:pStyle w:val="TableParagraph"/>
              <w:spacing w:before="111"/>
              <w:ind w:left="185"/>
              <w:rPr>
                <w:b/>
                <w:sz w:val="21"/>
              </w:rPr>
            </w:pPr>
            <w:r>
              <w:rPr>
                <w:b/>
                <w:sz w:val="21"/>
              </w:rPr>
              <w:t>争议处理</w:t>
            </w:r>
          </w:p>
        </w:tc>
        <w:tc>
          <w:tcPr>
            <w:tcW w:w="7626" w:type="dxa"/>
          </w:tcPr>
          <w:p>
            <w:pPr>
              <w:pStyle w:val="TableParagraph"/>
              <w:spacing w:line="271" w:lineRule="auto" w:before="111"/>
              <w:ind w:right="134"/>
              <w:rPr>
                <w:sz w:val="21"/>
              </w:rPr>
            </w:pPr>
            <w:r>
              <w:rPr>
                <w:sz w:val="21"/>
              </w:rPr>
              <w:t>本合同履行过程中，双方发生争议时，可以从下列两种方式中选择一种争议处理方式：</w:t>
            </w:r>
          </w:p>
          <w:p>
            <w:pPr>
              <w:pStyle w:val="TableParagraph"/>
              <w:numPr>
                <w:ilvl w:val="0"/>
                <w:numId w:val="9"/>
              </w:numPr>
              <w:tabs>
                <w:tab w:pos="866" w:val="left" w:leader="none"/>
                <w:tab w:pos="867" w:val="left" w:leader="none"/>
                <w:tab w:pos="7535" w:val="left" w:leader="none"/>
              </w:tabs>
              <w:spacing w:line="273" w:lineRule="auto" w:before="88" w:after="0"/>
              <w:ind w:left="867" w:right="88"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6" w:val="left" w:leader="none"/>
                <w:tab w:pos="867" w:val="left" w:leader="none"/>
              </w:tabs>
              <w:spacing w:line="271" w:lineRule="auto" w:before="86" w:after="0"/>
              <w:ind w:left="867" w:right="105" w:hanging="735"/>
              <w:jc w:val="left"/>
              <w:rPr>
                <w:sz w:val="21"/>
              </w:rPr>
            </w:pPr>
            <w:r>
              <w:rPr>
                <w:spacing w:val="-7"/>
                <w:sz w:val="21"/>
              </w:rPr>
              <w:t>因履行本合同发生的争议，由双方协商解决，协商不成的，依法向人民法</w:t>
            </w:r>
            <w:r>
              <w:rPr>
                <w:spacing w:val="-5"/>
                <w:sz w:val="21"/>
              </w:rPr>
              <w:t>院起诉。</w:t>
            </w:r>
          </w:p>
        </w:tc>
      </w:tr>
      <w:tr>
        <w:trPr>
          <w:trHeight w:val="908" w:hRule="atLeast"/>
        </w:trPr>
        <w:tc>
          <w:tcPr>
            <w:tcW w:w="717" w:type="dxa"/>
          </w:tcPr>
          <w:p>
            <w:pPr>
              <w:pStyle w:val="TableParagraph"/>
              <w:spacing w:before="111"/>
              <w:ind w:left="107"/>
              <w:rPr>
                <w:b/>
                <w:sz w:val="21"/>
              </w:rPr>
            </w:pPr>
            <w:r>
              <w:rPr>
                <w:b/>
                <w:sz w:val="21"/>
              </w:rPr>
              <w:t>7.10</w:t>
            </w:r>
          </w:p>
        </w:tc>
        <w:tc>
          <w:tcPr>
            <w:tcW w:w="1585" w:type="dxa"/>
          </w:tcPr>
          <w:p>
            <w:pPr>
              <w:pStyle w:val="TableParagraph"/>
              <w:spacing w:before="111"/>
              <w:ind w:left="185"/>
              <w:rPr>
                <w:b/>
                <w:sz w:val="21"/>
              </w:rPr>
            </w:pPr>
            <w:r>
              <w:rPr>
                <w:b/>
                <w:sz w:val="21"/>
              </w:rPr>
              <w:t>保险事故鉴定</w:t>
            </w:r>
          </w:p>
        </w:tc>
        <w:tc>
          <w:tcPr>
            <w:tcW w:w="7626" w:type="dxa"/>
          </w:tcPr>
          <w:p>
            <w:pPr>
              <w:pStyle w:val="TableParagraph"/>
              <w:spacing w:line="273" w:lineRule="auto" w:before="111"/>
              <w:ind w:right="134"/>
              <w:rPr>
                <w:sz w:val="21"/>
              </w:rPr>
            </w:pPr>
            <w:r>
              <w:rPr>
                <w:sz w:val="21"/>
              </w:rPr>
              <w:t>如果被保险人发生保险事故，投保人和本公司均可以委托保险公估机构等依法设立的独立评估机构或者具有相关专业知识的人员，对保险事故进行评估和鉴定。</w:t>
            </w:r>
          </w:p>
        </w:tc>
      </w:tr>
      <w:tr>
        <w:trPr>
          <w:trHeight w:val="576" w:hRule="atLeast"/>
        </w:trPr>
        <w:tc>
          <w:tcPr>
            <w:tcW w:w="717" w:type="dxa"/>
            <w:tcBorders>
              <w:bottom w:val="single" w:sz="8" w:space="0" w:color="000000"/>
            </w:tcBorders>
          </w:tcPr>
          <w:p>
            <w:pPr>
              <w:pStyle w:val="TableParagraph"/>
              <w:spacing w:before="135"/>
              <w:ind w:left="107"/>
              <w:rPr>
                <w:b/>
                <w:sz w:val="24"/>
              </w:rPr>
            </w:pPr>
            <w:r>
              <w:rPr>
                <w:b/>
                <w:sz w:val="24"/>
              </w:rPr>
              <w:t>8.</w:t>
            </w:r>
          </w:p>
        </w:tc>
        <w:tc>
          <w:tcPr>
            <w:tcW w:w="1585" w:type="dxa"/>
            <w:tcBorders>
              <w:bottom w:val="single" w:sz="8" w:space="0" w:color="000000"/>
            </w:tcBorders>
          </w:tcPr>
          <w:p>
            <w:pPr>
              <w:pStyle w:val="TableParagraph"/>
              <w:spacing w:before="135"/>
              <w:ind w:left="185"/>
              <w:rPr>
                <w:b/>
                <w:sz w:val="24"/>
              </w:rPr>
            </w:pPr>
            <w:r>
              <w:rPr>
                <w:b/>
                <w:w w:val="95"/>
                <w:sz w:val="24"/>
              </w:rPr>
              <w:t>重大疾病定</w:t>
            </w:r>
          </w:p>
        </w:tc>
        <w:tc>
          <w:tcPr>
            <w:tcW w:w="7626" w:type="dxa"/>
            <w:tcBorders>
              <w:bottom w:val="single" w:sz="8" w:space="0" w:color="000000"/>
            </w:tcBorders>
          </w:tcPr>
          <w:p>
            <w:pPr>
              <w:pStyle w:val="TableParagraph"/>
              <w:spacing w:before="135"/>
              <w:ind w:left="-195"/>
              <w:rPr>
                <w:b/>
                <w:sz w:val="24"/>
              </w:rPr>
            </w:pPr>
            <w:r>
              <w:rPr>
                <w:b/>
                <w:w w:val="99"/>
                <w:sz w:val="24"/>
              </w:rPr>
              <w:t>义</w:t>
            </w:r>
          </w:p>
        </w:tc>
      </w:tr>
      <w:tr>
        <w:trPr>
          <w:trHeight w:val="1426" w:hRule="atLeast"/>
        </w:trPr>
        <w:tc>
          <w:tcPr>
            <w:tcW w:w="717" w:type="dxa"/>
            <w:tcBorders>
              <w:top w:val="single" w:sz="8" w:space="0" w:color="000000"/>
            </w:tcBorders>
          </w:tcPr>
          <w:p>
            <w:pPr>
              <w:pStyle w:val="TableParagraph"/>
              <w:ind w:left="0"/>
              <w:rPr>
                <w:rFonts w:ascii="Times New Roman"/>
                <w:sz w:val="20"/>
              </w:rPr>
            </w:pPr>
          </w:p>
        </w:tc>
        <w:tc>
          <w:tcPr>
            <w:tcW w:w="1585" w:type="dxa"/>
            <w:tcBorders>
              <w:top w:val="single" w:sz="8" w:space="0" w:color="000000"/>
            </w:tcBorders>
          </w:tcPr>
          <w:p>
            <w:pPr>
              <w:pStyle w:val="TableParagraph"/>
              <w:ind w:left="0"/>
              <w:rPr>
                <w:rFonts w:ascii="Times New Roman"/>
                <w:sz w:val="20"/>
              </w:rPr>
            </w:pPr>
          </w:p>
        </w:tc>
        <w:tc>
          <w:tcPr>
            <w:tcW w:w="7626" w:type="dxa"/>
            <w:tcBorders>
              <w:top w:val="single" w:sz="8" w:space="0" w:color="000000"/>
            </w:tcBorders>
          </w:tcPr>
          <w:p>
            <w:pPr>
              <w:pStyle w:val="TableParagraph"/>
              <w:spacing w:before="8"/>
              <w:ind w:left="0"/>
              <w:rPr>
                <w:sz w:val="16"/>
              </w:rPr>
            </w:pPr>
          </w:p>
          <w:p>
            <w:pPr>
              <w:pStyle w:val="TableParagraph"/>
              <w:spacing w:line="271" w:lineRule="auto"/>
              <w:ind w:right="107"/>
              <w:jc w:val="both"/>
              <w:rPr>
                <w:sz w:val="21"/>
              </w:rPr>
            </w:pPr>
            <w:r>
              <w:rPr>
                <w:spacing w:val="-7"/>
                <w:sz w:val="21"/>
              </w:rPr>
              <w:t>本合同所定义的重大疾病共有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2"/>
                <w:sz w:val="21"/>
              </w:rPr>
              <w:t>》</w:t>
            </w:r>
            <w:r>
              <w:rPr>
                <w:spacing w:val="-3"/>
                <w:sz w:val="21"/>
              </w:rPr>
              <w:t>（</w:t>
            </w:r>
            <w:r>
              <w:rPr>
                <w:spacing w:val="-5"/>
                <w:sz w:val="21"/>
              </w:rPr>
              <w:t>以下简称“规范”</w:t>
            </w:r>
            <w:r>
              <w:rPr>
                <w:spacing w:val="-14"/>
                <w:sz w:val="21"/>
              </w:rPr>
              <w:t>）</w:t>
            </w:r>
            <w:r>
              <w:rPr>
                <w:spacing w:val="-2"/>
                <w:sz w:val="21"/>
              </w:rPr>
              <w:t>规定的疾</w:t>
            </w:r>
            <w:r>
              <w:rPr>
                <w:spacing w:val="-5"/>
                <w:sz w:val="21"/>
              </w:rPr>
              <w:t>病，且疾病名称和疾病定义与“规范”一致，第 </w:t>
            </w:r>
            <w:r>
              <w:rPr>
                <w:sz w:val="21"/>
              </w:rPr>
              <w:t>26</w:t>
            </w:r>
            <w:r>
              <w:rPr>
                <w:spacing w:val="-31"/>
                <w:sz w:val="21"/>
              </w:rPr>
              <w:t> 至 </w:t>
            </w:r>
            <w:r>
              <w:rPr>
                <w:sz w:val="21"/>
              </w:rPr>
              <w:t>32</w:t>
            </w:r>
            <w:r>
              <w:rPr>
                <w:spacing w:val="-8"/>
                <w:sz w:val="21"/>
              </w:rPr>
              <w:t> 种重大疾病为“规范”</w:t>
            </w:r>
          </w:p>
          <w:p>
            <w:pPr>
              <w:pStyle w:val="TableParagraph"/>
              <w:spacing w:line="255" w:lineRule="exact" w:before="9"/>
              <w:jc w:val="both"/>
              <w:rPr>
                <w:sz w:val="21"/>
              </w:rPr>
            </w:pPr>
            <w:r>
              <w:rPr>
                <w:sz w:val="21"/>
              </w:rPr>
              <w:t>规定范围之外的疾病。</w:t>
            </w:r>
          </w:p>
        </w:tc>
      </w:tr>
    </w:tbl>
    <w:p>
      <w:pPr>
        <w:spacing w:after="0" w:line="255" w:lineRule="exact"/>
        <w:jc w:val="both"/>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4053" w:hRule="atLeast"/>
        </w:trPr>
        <w:tc>
          <w:tcPr>
            <w:tcW w:w="756" w:type="dxa"/>
          </w:tcPr>
          <w:p>
            <w:pPr>
              <w:pStyle w:val="TableParagraph"/>
              <w:spacing w:line="211" w:lineRule="exact"/>
              <w:ind w:left="200"/>
              <w:rPr>
                <w:b/>
                <w:sz w:val="21"/>
              </w:rPr>
            </w:pPr>
            <w:r>
              <w:rPr>
                <w:b/>
                <w:sz w:val="21"/>
              </w:rPr>
              <w:t>8.1</w:t>
            </w:r>
          </w:p>
        </w:tc>
        <w:tc>
          <w:tcPr>
            <w:tcW w:w="1638" w:type="dxa"/>
          </w:tcPr>
          <w:p>
            <w:pPr>
              <w:pStyle w:val="TableParagraph"/>
              <w:spacing w:line="211" w:lineRule="exact"/>
              <w:ind w:left="238"/>
              <w:rPr>
                <w:b/>
                <w:sz w:val="21"/>
              </w:rPr>
            </w:pPr>
            <w:r>
              <w:rPr>
                <w:b/>
                <w:sz w:val="21"/>
              </w:rPr>
              <w:t>恶性肿瘤</w:t>
            </w:r>
          </w:p>
        </w:tc>
        <w:tc>
          <w:tcPr>
            <w:tcW w:w="7824" w:type="dxa"/>
          </w:tcPr>
          <w:p>
            <w:pPr>
              <w:pStyle w:val="TableParagraph"/>
              <w:spacing w:line="211" w:lineRule="exact"/>
              <w:rPr>
                <w:sz w:val="21"/>
              </w:rPr>
            </w:pPr>
            <w:r>
              <w:rPr>
                <w:sz w:val="21"/>
              </w:rPr>
              <w:t>指恶性细胞不受控制的进行性增长和扩散，浸润和破坏周围正常组织，可以经血</w:t>
            </w:r>
          </w:p>
          <w:p>
            <w:pPr>
              <w:pStyle w:val="TableParagraph"/>
              <w:spacing w:line="273" w:lineRule="auto" w:before="37"/>
              <w:ind w:right="198"/>
              <w:rPr>
                <w:sz w:val="21"/>
              </w:rPr>
            </w:pP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29"/>
                <w:sz w:val="21"/>
              </w:rPr>
              <w:t>》</w:t>
            </w:r>
            <w:r>
              <w:rPr>
                <w:spacing w:val="-5"/>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56" w:type="dxa"/>
          </w:tcPr>
          <w:p>
            <w:pPr>
              <w:pStyle w:val="TableParagraph"/>
              <w:spacing w:before="110"/>
              <w:ind w:left="200"/>
              <w:rPr>
                <w:b/>
                <w:sz w:val="21"/>
              </w:rPr>
            </w:pPr>
            <w:r>
              <w:rPr>
                <w:b/>
                <w:sz w:val="21"/>
              </w:rPr>
              <w:t>8.2</w:t>
            </w:r>
          </w:p>
        </w:tc>
        <w:tc>
          <w:tcPr>
            <w:tcW w:w="1638" w:type="dxa"/>
          </w:tcPr>
          <w:p>
            <w:pPr>
              <w:pStyle w:val="TableParagraph"/>
              <w:spacing w:before="110"/>
              <w:ind w:left="238"/>
              <w:rPr>
                <w:b/>
                <w:sz w:val="21"/>
              </w:rPr>
            </w:pPr>
            <w:r>
              <w:rPr>
                <w:b/>
                <w:sz w:val="21"/>
              </w:rPr>
              <w:t>急性心肌梗塞</w:t>
            </w:r>
          </w:p>
        </w:tc>
        <w:tc>
          <w:tcPr>
            <w:tcW w:w="7824" w:type="dxa"/>
          </w:tcPr>
          <w:p>
            <w:pPr>
              <w:pStyle w:val="TableParagraph"/>
              <w:spacing w:line="273" w:lineRule="auto" w:before="110"/>
              <w:ind w:right="3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1"/>
              <w:ind w:left="200"/>
              <w:rPr>
                <w:b/>
                <w:sz w:val="21"/>
              </w:rPr>
            </w:pPr>
            <w:r>
              <w:rPr>
                <w:b/>
                <w:sz w:val="21"/>
              </w:rPr>
              <w:t>8.3</w:t>
            </w:r>
          </w:p>
        </w:tc>
        <w:tc>
          <w:tcPr>
            <w:tcW w:w="1638" w:type="dxa"/>
          </w:tcPr>
          <w:p>
            <w:pPr>
              <w:pStyle w:val="TableParagraph"/>
              <w:spacing w:before="111"/>
              <w:ind w:left="238"/>
              <w:rPr>
                <w:b/>
                <w:sz w:val="21"/>
              </w:rPr>
            </w:pPr>
            <w:r>
              <w:rPr>
                <w:b/>
                <w:sz w:val="21"/>
              </w:rPr>
              <w:t>脑中风后遗症</w:t>
            </w:r>
          </w:p>
        </w:tc>
        <w:tc>
          <w:tcPr>
            <w:tcW w:w="7824" w:type="dxa"/>
          </w:tcPr>
          <w:p>
            <w:pPr>
              <w:pStyle w:val="TableParagraph"/>
              <w:spacing w:line="271" w:lineRule="auto" w:before="111"/>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9.19)；</w:t>
            </w:r>
          </w:p>
          <w:p>
            <w:pPr>
              <w:pStyle w:val="TableParagraph"/>
              <w:numPr>
                <w:ilvl w:val="0"/>
                <w:numId w:val="12"/>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9.20)；</w:t>
            </w:r>
          </w:p>
          <w:p>
            <w:pPr>
              <w:pStyle w:val="TableParagraph"/>
              <w:numPr>
                <w:ilvl w:val="0"/>
                <w:numId w:val="12"/>
              </w:numPr>
              <w:tabs>
                <w:tab w:pos="869" w:val="left" w:leader="none"/>
                <w:tab w:pos="870" w:val="left" w:leader="none"/>
              </w:tabs>
              <w:spacing w:line="273" w:lineRule="auto" w:before="114" w:after="0"/>
              <w:ind w:left="852" w:right="382" w:hanging="720"/>
              <w:jc w:val="left"/>
              <w:rPr>
                <w:sz w:val="21"/>
              </w:rPr>
            </w:pPr>
            <w:r>
              <w:rPr>
                <w:spacing w:val="-3"/>
                <w:sz w:val="21"/>
              </w:rPr>
              <w:t>自主生活能力完全丧失，无法独立完成</w:t>
            </w:r>
            <w:r>
              <w:rPr>
                <w:b/>
                <w:spacing w:val="-2"/>
                <w:sz w:val="21"/>
              </w:rPr>
              <w:t>六项基本日常生活活动</w:t>
            </w:r>
            <w:r>
              <w:rPr>
                <w:spacing w:val="-13"/>
                <w:sz w:val="21"/>
              </w:rPr>
              <w:t>(见 </w:t>
            </w:r>
            <w:r>
              <w:rPr>
                <w:sz w:val="21"/>
              </w:rPr>
              <w:t>9.21) </w:t>
            </w:r>
            <w:r>
              <w:rPr>
                <w:spacing w:val="-3"/>
                <w:sz w:val="21"/>
              </w:rPr>
              <w:t>中的三项或三项以上。</w:t>
            </w:r>
          </w:p>
        </w:tc>
      </w:tr>
      <w:tr>
        <w:trPr>
          <w:trHeight w:val="1885" w:hRule="atLeast"/>
        </w:trPr>
        <w:tc>
          <w:tcPr>
            <w:tcW w:w="756" w:type="dxa"/>
          </w:tcPr>
          <w:p>
            <w:pPr>
              <w:pStyle w:val="TableParagraph"/>
              <w:spacing w:before="110"/>
              <w:ind w:left="200"/>
              <w:rPr>
                <w:b/>
                <w:sz w:val="21"/>
              </w:rPr>
            </w:pPr>
            <w:r>
              <w:rPr>
                <w:b/>
                <w:sz w:val="21"/>
              </w:rPr>
              <w:t>8.4</w:t>
            </w:r>
          </w:p>
        </w:tc>
        <w:tc>
          <w:tcPr>
            <w:tcW w:w="1638" w:type="dxa"/>
          </w:tcPr>
          <w:p>
            <w:pPr>
              <w:pStyle w:val="TableParagraph"/>
              <w:spacing w:line="273" w:lineRule="auto" w:before="110"/>
              <w:ind w:left="238" w:right="129"/>
              <w:jc w:val="both"/>
              <w:rPr>
                <w:b/>
                <w:sz w:val="21"/>
              </w:rPr>
            </w:pPr>
            <w:r>
              <w:rPr>
                <w:b/>
                <w:sz w:val="21"/>
              </w:rPr>
              <w:t>重大器官移植术或造血干细胞移植术</w:t>
            </w:r>
          </w:p>
        </w:tc>
        <w:tc>
          <w:tcPr>
            <w:tcW w:w="7824" w:type="dxa"/>
          </w:tcPr>
          <w:p>
            <w:pPr>
              <w:pStyle w:val="TableParagraph"/>
              <w:spacing w:line="273" w:lineRule="auto" w:before="110"/>
              <w:ind w:right="332"/>
              <w:jc w:val="both"/>
              <w:rPr>
                <w:sz w:val="21"/>
              </w:rPr>
            </w:pPr>
            <w:r>
              <w:rPr>
                <w:sz w:val="21"/>
              </w:rPr>
              <w:t>重大器官移植术，指因相应器官功能衰竭，已经实施了肾脏、肝脏、心脏或肺脏的异体移植手术。</w:t>
            </w:r>
          </w:p>
          <w:p>
            <w:pPr>
              <w:pStyle w:val="TableParagraph"/>
              <w:spacing w:line="271" w:lineRule="auto" w:before="87"/>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7" w:hRule="atLeast"/>
        </w:trPr>
        <w:tc>
          <w:tcPr>
            <w:tcW w:w="756" w:type="dxa"/>
          </w:tcPr>
          <w:p>
            <w:pPr>
              <w:pStyle w:val="TableParagraph"/>
              <w:spacing w:before="111"/>
              <w:ind w:left="200"/>
              <w:rPr>
                <w:b/>
                <w:sz w:val="21"/>
              </w:rPr>
            </w:pPr>
            <w:r>
              <w:rPr>
                <w:b/>
                <w:sz w:val="21"/>
              </w:rPr>
              <w:t>8.5</w:t>
            </w:r>
          </w:p>
        </w:tc>
        <w:tc>
          <w:tcPr>
            <w:tcW w:w="1638" w:type="dxa"/>
          </w:tcPr>
          <w:p>
            <w:pPr>
              <w:pStyle w:val="TableParagraph"/>
              <w:spacing w:line="273" w:lineRule="auto" w:before="111"/>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320" w:hRule="atLeast"/>
        </w:trPr>
        <w:tc>
          <w:tcPr>
            <w:tcW w:w="756" w:type="dxa"/>
          </w:tcPr>
          <w:p>
            <w:pPr>
              <w:pStyle w:val="TableParagraph"/>
              <w:spacing w:before="111"/>
              <w:ind w:left="200"/>
              <w:rPr>
                <w:b/>
                <w:sz w:val="21"/>
              </w:rPr>
            </w:pPr>
            <w:r>
              <w:rPr>
                <w:b/>
                <w:sz w:val="21"/>
              </w:rPr>
              <w:t>8.6</w:t>
            </w:r>
          </w:p>
        </w:tc>
        <w:tc>
          <w:tcPr>
            <w:tcW w:w="1638" w:type="dxa"/>
          </w:tcPr>
          <w:p>
            <w:pPr>
              <w:pStyle w:val="TableParagraph"/>
              <w:spacing w:before="111"/>
              <w:ind w:left="238"/>
              <w:rPr>
                <w:b/>
                <w:sz w:val="21"/>
              </w:rPr>
            </w:pPr>
            <w:r>
              <w:rPr>
                <w:b/>
                <w:sz w:val="21"/>
              </w:rPr>
              <w:t>终末期肾病</w:t>
            </w:r>
          </w:p>
          <w:p>
            <w:pPr>
              <w:pStyle w:val="TableParagraph"/>
              <w:spacing w:line="312" w:lineRule="exact" w:before="30"/>
              <w:ind w:left="238" w:right="129"/>
              <w:jc w:val="both"/>
              <w:rPr>
                <w:b/>
                <w:sz w:val="21"/>
              </w:rPr>
            </w:pPr>
            <w:r>
              <w:rPr>
                <w:b/>
                <w:sz w:val="21"/>
              </w:rPr>
              <w:t>（或称慢性肾功能衰竭尿毒症期）</w:t>
            </w:r>
          </w:p>
        </w:tc>
        <w:tc>
          <w:tcPr>
            <w:tcW w:w="7824" w:type="dxa"/>
          </w:tcPr>
          <w:p>
            <w:pPr>
              <w:pStyle w:val="TableParagraph"/>
              <w:spacing w:line="271"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bl>
    <w:p>
      <w:pPr>
        <w:spacing w:after="0" w:line="271" w:lineRule="auto"/>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698" w:hRule="atLeast"/>
        </w:trPr>
        <w:tc>
          <w:tcPr>
            <w:tcW w:w="809" w:type="dxa"/>
          </w:tcPr>
          <w:p>
            <w:pPr>
              <w:pStyle w:val="TableParagraph"/>
              <w:spacing w:line="211" w:lineRule="exact"/>
              <w:ind w:left="200"/>
              <w:rPr>
                <w:b/>
                <w:sz w:val="21"/>
              </w:rPr>
            </w:pPr>
            <w:r>
              <w:rPr>
                <w:b/>
                <w:sz w:val="21"/>
              </w:rPr>
              <w:t>8.7</w:t>
            </w:r>
          </w:p>
        </w:tc>
        <w:tc>
          <w:tcPr>
            <w:tcW w:w="1585" w:type="dxa"/>
          </w:tcPr>
          <w:p>
            <w:pPr>
              <w:pStyle w:val="TableParagraph"/>
              <w:spacing w:line="211" w:lineRule="exact"/>
              <w:ind w:left="185"/>
              <w:rPr>
                <w:b/>
                <w:sz w:val="21"/>
              </w:rPr>
            </w:pPr>
            <w:r>
              <w:rPr>
                <w:b/>
                <w:sz w:val="21"/>
              </w:rPr>
              <w:t>多个肢体缺失</w:t>
            </w:r>
          </w:p>
        </w:tc>
        <w:tc>
          <w:tcPr>
            <w:tcW w:w="7821" w:type="dxa"/>
          </w:tcPr>
          <w:p>
            <w:pPr>
              <w:pStyle w:val="TableParagraph"/>
              <w:spacing w:line="211" w:lineRule="exact"/>
              <w:rPr>
                <w:sz w:val="21"/>
              </w:rPr>
            </w:pPr>
            <w:r>
              <w:rPr>
                <w:sz w:val="21"/>
              </w:rPr>
              <w:t>指因疾病或意外伤害导致两个或两个以上肢体自腕关节或踝关节近端（靠近躯干</w:t>
            </w:r>
          </w:p>
          <w:p>
            <w:pPr>
              <w:pStyle w:val="TableParagraph"/>
              <w:spacing w:before="37"/>
              <w:rPr>
                <w:sz w:val="21"/>
              </w:rPr>
            </w:pPr>
            <w:r>
              <w:rPr>
                <w:sz w:val="21"/>
              </w:rPr>
              <w:t>端）以上完全性断离。</w:t>
            </w:r>
          </w:p>
        </w:tc>
      </w:tr>
      <w:tr>
        <w:trPr>
          <w:trHeight w:val="2432" w:hRule="atLeast"/>
        </w:trPr>
        <w:tc>
          <w:tcPr>
            <w:tcW w:w="809" w:type="dxa"/>
          </w:tcPr>
          <w:p>
            <w:pPr>
              <w:pStyle w:val="TableParagraph"/>
              <w:spacing w:before="111"/>
              <w:ind w:left="200"/>
              <w:rPr>
                <w:b/>
                <w:sz w:val="21"/>
              </w:rPr>
            </w:pPr>
            <w:r>
              <w:rPr>
                <w:b/>
                <w:sz w:val="21"/>
              </w:rPr>
              <w:t>8.8</w:t>
            </w:r>
          </w:p>
        </w:tc>
        <w:tc>
          <w:tcPr>
            <w:tcW w:w="1585" w:type="dxa"/>
          </w:tcPr>
          <w:p>
            <w:pPr>
              <w:pStyle w:val="TableParagraph"/>
              <w:spacing w:line="271" w:lineRule="auto" w:before="111"/>
              <w:ind w:left="185" w:right="129"/>
              <w:rPr>
                <w:b/>
                <w:sz w:val="21"/>
              </w:rPr>
            </w:pPr>
            <w:r>
              <w:rPr>
                <w:b/>
                <w:sz w:val="21"/>
              </w:rPr>
              <w:t>急性或亚急性重症肝炎</w:t>
            </w:r>
          </w:p>
        </w:tc>
        <w:tc>
          <w:tcPr>
            <w:tcW w:w="7821" w:type="dxa"/>
          </w:tcPr>
          <w:p>
            <w:pPr>
              <w:pStyle w:val="TableParagraph"/>
              <w:spacing w:line="271"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8.9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09" w:hRule="atLeast"/>
        </w:trPr>
        <w:tc>
          <w:tcPr>
            <w:tcW w:w="809" w:type="dxa"/>
          </w:tcPr>
          <w:p>
            <w:pPr>
              <w:pStyle w:val="TableParagraph"/>
              <w:spacing w:before="110"/>
              <w:ind w:left="200"/>
              <w:rPr>
                <w:b/>
                <w:sz w:val="21"/>
              </w:rPr>
            </w:pPr>
            <w:r>
              <w:rPr>
                <w:b/>
                <w:sz w:val="21"/>
              </w:rPr>
              <w:t>8.10</w:t>
            </w:r>
          </w:p>
        </w:tc>
        <w:tc>
          <w:tcPr>
            <w:tcW w:w="1585" w:type="dxa"/>
          </w:tcPr>
          <w:p>
            <w:pPr>
              <w:pStyle w:val="TableParagraph"/>
              <w:spacing w:line="271"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5"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5" w:after="0"/>
              <w:ind w:left="869" w:right="0" w:hanging="737"/>
              <w:jc w:val="left"/>
              <w:rPr>
                <w:sz w:val="21"/>
              </w:rPr>
            </w:pPr>
            <w:r>
              <w:rPr>
                <w:spacing w:val="-3"/>
                <w:sz w:val="21"/>
              </w:rPr>
              <w:t>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355" w:hRule="atLeast"/>
        </w:trPr>
        <w:tc>
          <w:tcPr>
            <w:tcW w:w="809" w:type="dxa"/>
          </w:tcPr>
          <w:p>
            <w:pPr>
              <w:pStyle w:val="TableParagraph"/>
              <w:spacing w:before="111"/>
              <w:ind w:left="200"/>
              <w:rPr>
                <w:b/>
                <w:sz w:val="21"/>
              </w:rPr>
            </w:pPr>
            <w:r>
              <w:rPr>
                <w:b/>
                <w:sz w:val="21"/>
              </w:rPr>
              <w:t>8.11</w:t>
            </w:r>
          </w:p>
        </w:tc>
        <w:tc>
          <w:tcPr>
            <w:tcW w:w="1585" w:type="dxa"/>
          </w:tcPr>
          <w:p>
            <w:pPr>
              <w:pStyle w:val="TableParagraph"/>
              <w:spacing w:line="271" w:lineRule="auto" w:before="111"/>
              <w:ind w:left="185" w:right="129"/>
              <w:rPr>
                <w:b/>
                <w:sz w:val="21"/>
              </w:rPr>
            </w:pPr>
            <w:r>
              <w:rPr>
                <w:b/>
                <w:sz w:val="21"/>
              </w:rPr>
              <w:t>脑炎后遗症或脑膜炎后遗症</w:t>
            </w:r>
          </w:p>
        </w:tc>
        <w:tc>
          <w:tcPr>
            <w:tcW w:w="7821" w:type="dxa"/>
          </w:tcPr>
          <w:p>
            <w:pPr>
              <w:pStyle w:val="TableParagraph"/>
              <w:spacing w:line="271" w:lineRule="auto" w:before="111"/>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3"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3" w:hRule="atLeast"/>
        </w:trPr>
        <w:tc>
          <w:tcPr>
            <w:tcW w:w="809" w:type="dxa"/>
          </w:tcPr>
          <w:p>
            <w:pPr>
              <w:pStyle w:val="TableParagraph"/>
              <w:spacing w:before="111"/>
              <w:ind w:left="200"/>
              <w:rPr>
                <w:b/>
                <w:sz w:val="21"/>
              </w:rPr>
            </w:pPr>
            <w:r>
              <w:rPr>
                <w:b/>
                <w:sz w:val="21"/>
              </w:rPr>
              <w:t>8.12</w:t>
            </w:r>
          </w:p>
        </w:tc>
        <w:tc>
          <w:tcPr>
            <w:tcW w:w="1585" w:type="dxa"/>
          </w:tcPr>
          <w:p>
            <w:pPr>
              <w:pStyle w:val="TableParagraph"/>
              <w:spacing w:before="111"/>
              <w:ind w:left="185"/>
              <w:rPr>
                <w:b/>
                <w:sz w:val="21"/>
              </w:rPr>
            </w:pPr>
            <w:r>
              <w:rPr>
                <w:b/>
                <w:sz w:val="21"/>
              </w:rPr>
              <w:t>深度昏迷</w:t>
            </w:r>
          </w:p>
        </w:tc>
        <w:tc>
          <w:tcPr>
            <w:tcW w:w="7821" w:type="dxa"/>
          </w:tcPr>
          <w:p>
            <w:pPr>
              <w:pStyle w:val="TableParagraph"/>
              <w:spacing w:line="271" w:lineRule="auto" w:before="111"/>
              <w:ind w:right="331"/>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88"/>
              <w:jc w:val="both"/>
              <w:rPr>
                <w:rFonts w:ascii="黑体" w:eastAsia="黑体" w:hint="eastAsia"/>
                <w:sz w:val="21"/>
              </w:rPr>
            </w:pPr>
            <w:r>
              <w:rPr>
                <w:rFonts w:ascii="黑体" w:eastAsia="黑体" w:hint="eastAsia"/>
                <w:sz w:val="21"/>
              </w:rPr>
              <w:t>因酗酒或药物滥用导致的深度昏迷不在保障范围内。</w:t>
            </w:r>
          </w:p>
        </w:tc>
      </w:tr>
      <w:tr>
        <w:trPr>
          <w:trHeight w:val="1184" w:hRule="atLeast"/>
        </w:trPr>
        <w:tc>
          <w:tcPr>
            <w:tcW w:w="809" w:type="dxa"/>
          </w:tcPr>
          <w:p>
            <w:pPr>
              <w:pStyle w:val="TableParagraph"/>
              <w:spacing w:before="110"/>
              <w:ind w:left="200"/>
              <w:rPr>
                <w:b/>
                <w:sz w:val="21"/>
              </w:rPr>
            </w:pPr>
            <w:r>
              <w:rPr>
                <w:b/>
                <w:sz w:val="21"/>
              </w:rPr>
              <w:t>8.13</w:t>
            </w:r>
          </w:p>
        </w:tc>
        <w:tc>
          <w:tcPr>
            <w:tcW w:w="1585" w:type="dxa"/>
          </w:tcPr>
          <w:p>
            <w:pPr>
              <w:pStyle w:val="TableParagraph"/>
              <w:spacing w:before="110"/>
              <w:ind w:left="185"/>
              <w:rPr>
                <w:b/>
                <w:sz w:val="21"/>
              </w:rPr>
            </w:pPr>
            <w:r>
              <w:rPr>
                <w:b/>
                <w:sz w:val="21"/>
              </w:rPr>
              <w:t>双耳失聪</w:t>
            </w:r>
          </w:p>
        </w:tc>
        <w:tc>
          <w:tcPr>
            <w:tcW w:w="7821" w:type="dxa"/>
          </w:tcPr>
          <w:p>
            <w:pPr>
              <w:pStyle w:val="TableParagraph"/>
              <w:spacing w:line="273" w:lineRule="auto" w:before="110"/>
              <w:ind w:right="300"/>
              <w:jc w:val="both"/>
              <w:rPr>
                <w:sz w:val="21"/>
              </w:rPr>
            </w:pPr>
            <w:r>
              <w:rPr>
                <w:spacing w:val="-3"/>
                <w:sz w:val="21"/>
              </w:rPr>
              <w:t>指因疾病或意外伤害导致双耳听力</w:t>
            </w:r>
            <w:r>
              <w:rPr>
                <w:b/>
                <w:sz w:val="21"/>
              </w:rPr>
              <w:t>永久不可逆</w:t>
            </w:r>
            <w:r>
              <w:rPr>
                <w:spacing w:val="-18"/>
                <w:sz w:val="21"/>
              </w:rPr>
              <w:t>(见 </w:t>
            </w:r>
            <w:r>
              <w:rPr>
                <w:sz w:val="21"/>
              </w:rPr>
              <w:t>9.22)</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w:t>
            </w:r>
            <w:r>
              <w:rPr>
                <w:spacing w:val="-5"/>
                <w:sz w:val="21"/>
              </w:rPr>
              <w:t>抗检测或听觉诱发电位检测等证实。</w:t>
            </w:r>
          </w:p>
        </w:tc>
      </w:tr>
      <w:tr>
        <w:trPr>
          <w:trHeight w:val="1087" w:hRule="atLeast"/>
        </w:trPr>
        <w:tc>
          <w:tcPr>
            <w:tcW w:w="809" w:type="dxa"/>
          </w:tcPr>
          <w:p>
            <w:pPr>
              <w:pStyle w:val="TableParagraph"/>
              <w:spacing w:before="111"/>
              <w:ind w:left="200"/>
              <w:rPr>
                <w:b/>
                <w:sz w:val="21"/>
              </w:rPr>
            </w:pPr>
            <w:r>
              <w:rPr>
                <w:b/>
                <w:sz w:val="21"/>
              </w:rPr>
              <w:t>8.14</w:t>
            </w:r>
          </w:p>
        </w:tc>
        <w:tc>
          <w:tcPr>
            <w:tcW w:w="1585" w:type="dxa"/>
          </w:tcPr>
          <w:p>
            <w:pPr>
              <w:pStyle w:val="TableParagraph"/>
              <w:spacing w:before="111"/>
              <w:ind w:left="185"/>
              <w:rPr>
                <w:b/>
                <w:sz w:val="21"/>
              </w:rPr>
            </w:pPr>
            <w:r>
              <w:rPr>
                <w:b/>
                <w:sz w:val="21"/>
              </w:rPr>
              <w:t>双目失明</w:t>
            </w:r>
          </w:p>
        </w:tc>
        <w:tc>
          <w:tcPr>
            <w:tcW w:w="7821" w:type="dxa"/>
          </w:tcPr>
          <w:p>
            <w:pPr>
              <w:pStyle w:val="TableParagraph"/>
              <w:spacing w:line="271" w:lineRule="auto" w:before="111"/>
              <w:ind w:right="329"/>
              <w:rPr>
                <w:sz w:val="21"/>
              </w:rPr>
            </w:pPr>
            <w:r>
              <w:rPr>
                <w:sz w:val="21"/>
              </w:rPr>
              <w:t>指因疾病或意外伤害导致双眼视力永久不可逆性丧失，双眼中较好眼须满足下列至少一项条件：</w:t>
            </w:r>
          </w:p>
          <w:p>
            <w:pPr>
              <w:pStyle w:val="TableParagraph"/>
              <w:tabs>
                <w:tab w:pos="869" w:val="left" w:leader="none"/>
              </w:tabs>
              <w:spacing w:line="255" w:lineRule="exact" w:before="88"/>
              <w:rPr>
                <w:sz w:val="21"/>
              </w:rPr>
            </w:pPr>
            <w:r>
              <w:rPr>
                <w:sz w:val="21"/>
              </w:rPr>
              <w:t>（1）</w:t>
              <w:tab/>
            </w:r>
            <w:r>
              <w:rPr>
                <w:spacing w:val="-3"/>
                <w:sz w:val="21"/>
              </w:rPr>
              <w:t>眼球缺失或摘除；</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08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numPr>
                <w:ilvl w:val="0"/>
                <w:numId w:val="17"/>
              </w:numPr>
              <w:tabs>
                <w:tab w:pos="869" w:val="left" w:leader="none"/>
                <w:tab w:pos="870" w:val="left" w:leader="none"/>
              </w:tabs>
              <w:spacing w:line="211" w:lineRule="exact" w:before="0" w:after="0"/>
              <w:ind w:left="869" w:right="0" w:hanging="737"/>
              <w:jc w:val="left"/>
              <w:rPr>
                <w:sz w:val="21"/>
              </w:rPr>
            </w:pPr>
            <w:r>
              <w:rPr>
                <w:spacing w:val="-6"/>
                <w:sz w:val="21"/>
              </w:rPr>
              <w:t>矫正视力低于 </w:t>
            </w:r>
            <w:r>
              <w:rPr>
                <w:sz w:val="21"/>
              </w:rPr>
              <w:t>0.02（</w:t>
            </w:r>
            <w:r>
              <w:rPr>
                <w:spacing w:val="-3"/>
                <w:sz w:val="21"/>
              </w:rPr>
              <w:t>采用国际标准视力表，如果使用其它视力表应进行</w:t>
            </w:r>
          </w:p>
          <w:p>
            <w:pPr>
              <w:pStyle w:val="TableParagraph"/>
              <w:spacing w:before="37"/>
              <w:ind w:left="852"/>
              <w:rPr>
                <w:sz w:val="21"/>
              </w:rPr>
            </w:pPr>
            <w:r>
              <w:rPr>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116" w:after="0"/>
              <w:ind w:left="869" w:right="0" w:hanging="737"/>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8.15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3"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8.16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430" w:hRule="atLeast"/>
        </w:trPr>
        <w:tc>
          <w:tcPr>
            <w:tcW w:w="809" w:type="dxa"/>
          </w:tcPr>
          <w:p>
            <w:pPr>
              <w:pStyle w:val="TableParagraph"/>
              <w:spacing w:before="110"/>
              <w:ind w:left="200"/>
              <w:rPr>
                <w:b/>
                <w:sz w:val="21"/>
              </w:rPr>
            </w:pPr>
            <w:r>
              <w:rPr>
                <w:b/>
                <w:sz w:val="21"/>
              </w:rPr>
              <w:t>8.17</w:t>
            </w:r>
          </w:p>
        </w:tc>
        <w:tc>
          <w:tcPr>
            <w:tcW w:w="1585" w:type="dxa"/>
          </w:tcPr>
          <w:p>
            <w:pPr>
              <w:pStyle w:val="TableParagraph"/>
              <w:spacing w:line="271" w:lineRule="auto" w:before="110"/>
              <w:ind w:left="185" w:right="129"/>
              <w:rPr>
                <w:b/>
                <w:sz w:val="21"/>
              </w:rPr>
            </w:pPr>
            <w:r>
              <w:rPr>
                <w:b/>
                <w:sz w:val="21"/>
              </w:rPr>
              <w:t>严重阿尔茨海默病</w:t>
            </w:r>
          </w:p>
        </w:tc>
        <w:tc>
          <w:tcPr>
            <w:tcW w:w="7824" w:type="dxa"/>
          </w:tcPr>
          <w:p>
            <w:pPr>
              <w:pStyle w:val="TableParagraph"/>
              <w:spacing w:line="271"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36"/>
              <w:jc w:val="both"/>
              <w:rPr>
                <w:rFonts w:ascii="黑体" w:eastAsia="黑体" w:hint="eastAsia"/>
                <w:sz w:val="21"/>
              </w:rPr>
            </w:pPr>
            <w:r>
              <w:rPr>
                <w:rFonts w:ascii="黑体" w:eastAsia="黑体" w:hint="eastAsia"/>
                <w:sz w:val="21"/>
              </w:rPr>
              <w:t>本公司只对被保险人在 65 周岁前被确诊患有本病承担保险责任。</w:t>
            </w:r>
          </w:p>
        </w:tc>
      </w:tr>
      <w:tr>
        <w:trPr>
          <w:trHeight w:val="2978" w:hRule="atLeast"/>
        </w:trPr>
        <w:tc>
          <w:tcPr>
            <w:tcW w:w="809" w:type="dxa"/>
          </w:tcPr>
          <w:p>
            <w:pPr>
              <w:pStyle w:val="TableParagraph"/>
              <w:spacing w:before="111"/>
              <w:ind w:left="200"/>
              <w:rPr>
                <w:b/>
                <w:sz w:val="21"/>
              </w:rPr>
            </w:pPr>
            <w:r>
              <w:rPr>
                <w:b/>
                <w:sz w:val="21"/>
              </w:rPr>
              <w:t>8.18</w:t>
            </w:r>
          </w:p>
        </w:tc>
        <w:tc>
          <w:tcPr>
            <w:tcW w:w="1585" w:type="dxa"/>
          </w:tcPr>
          <w:p>
            <w:pPr>
              <w:pStyle w:val="TableParagraph"/>
              <w:spacing w:before="111"/>
              <w:ind w:left="185"/>
              <w:rPr>
                <w:b/>
                <w:sz w:val="21"/>
              </w:rPr>
            </w:pPr>
            <w:r>
              <w:rPr>
                <w:b/>
                <w:sz w:val="21"/>
              </w:rPr>
              <w:t>严重脑损伤</w:t>
            </w:r>
          </w:p>
        </w:tc>
        <w:tc>
          <w:tcPr>
            <w:tcW w:w="7824" w:type="dxa"/>
          </w:tcPr>
          <w:p>
            <w:pPr>
              <w:pStyle w:val="TableParagraph"/>
              <w:spacing w:line="273" w:lineRule="auto" w:before="11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7"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spacing w:before="111"/>
              <w:ind w:left="200"/>
              <w:rPr>
                <w:b/>
                <w:sz w:val="21"/>
              </w:rPr>
            </w:pPr>
            <w:r>
              <w:rPr>
                <w:b/>
                <w:sz w:val="21"/>
              </w:rPr>
              <w:t>8.19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3" w:lineRule="auto" w:before="111"/>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7"/>
              <w:rPr>
                <w:rFonts w:ascii="黑体" w:eastAsia="黑体" w:hint="eastAsia"/>
                <w:sz w:val="21"/>
              </w:rPr>
            </w:pPr>
            <w:r>
              <w:rPr>
                <w:rFonts w:ascii="黑体" w:eastAsia="黑体" w:hint="eastAsia"/>
                <w:sz w:val="21"/>
              </w:rPr>
              <w:t>继发性帕金森综合征不在保障范围内。</w:t>
            </w:r>
          </w:p>
          <w:p>
            <w:pPr>
              <w:pStyle w:val="TableParagraph"/>
              <w:spacing w:before="114"/>
              <w:rPr>
                <w:rFonts w:ascii="黑体" w:eastAsia="黑体" w:hint="eastAsia"/>
                <w:sz w:val="21"/>
              </w:rPr>
            </w:pPr>
            <w:r>
              <w:rPr>
                <w:rFonts w:ascii="黑体" w:eastAsia="黑体" w:hint="eastAsia"/>
                <w:sz w:val="21"/>
              </w:rPr>
              <w:t>本公司只对被保险人在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8.20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8.21</w:t>
            </w:r>
          </w:p>
        </w:tc>
        <w:tc>
          <w:tcPr>
            <w:tcW w:w="1585" w:type="dxa"/>
          </w:tcPr>
          <w:p>
            <w:pPr>
              <w:pStyle w:val="TableParagraph"/>
              <w:spacing w:line="271" w:lineRule="auto" w:before="111"/>
              <w:ind w:left="185" w:right="129"/>
              <w:rPr>
                <w:b/>
                <w:sz w:val="21"/>
              </w:rPr>
            </w:pPr>
            <w:r>
              <w:rPr>
                <w:b/>
                <w:sz w:val="21"/>
              </w:rPr>
              <w:t>严重原发性肺动脉高压</w:t>
            </w:r>
          </w:p>
        </w:tc>
        <w:tc>
          <w:tcPr>
            <w:tcW w:w="7824" w:type="dxa"/>
          </w:tcPr>
          <w:p>
            <w:pPr>
              <w:pStyle w:val="TableParagraph"/>
              <w:spacing w:line="271"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10" w:hRule="atLeast"/>
        </w:trPr>
        <w:tc>
          <w:tcPr>
            <w:tcW w:w="809" w:type="dxa"/>
          </w:tcPr>
          <w:p>
            <w:pPr>
              <w:pStyle w:val="TableParagraph"/>
              <w:spacing w:before="111"/>
              <w:ind w:left="200"/>
              <w:rPr>
                <w:b/>
                <w:sz w:val="21"/>
              </w:rPr>
            </w:pPr>
            <w:r>
              <w:rPr>
                <w:b/>
                <w:sz w:val="21"/>
              </w:rPr>
              <w:t>8.22</w:t>
            </w:r>
          </w:p>
        </w:tc>
        <w:tc>
          <w:tcPr>
            <w:tcW w:w="1585" w:type="dxa"/>
          </w:tcPr>
          <w:p>
            <w:pPr>
              <w:pStyle w:val="TableParagraph"/>
              <w:spacing w:line="273" w:lineRule="auto" w:before="111"/>
              <w:ind w:left="185" w:right="129"/>
              <w:rPr>
                <w:b/>
                <w:sz w:val="21"/>
              </w:rPr>
            </w:pPr>
            <w:r>
              <w:rPr>
                <w:b/>
                <w:sz w:val="21"/>
              </w:rPr>
              <w:t>严重运动神经元病</w:t>
            </w:r>
          </w:p>
        </w:tc>
        <w:tc>
          <w:tcPr>
            <w:tcW w:w="7824" w:type="dxa"/>
          </w:tcPr>
          <w:p>
            <w:pPr>
              <w:pStyle w:val="TableParagraph"/>
              <w:spacing w:line="310" w:lineRule="atLeast" w:before="76"/>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088" w:hRule="atLeast"/>
        </w:trPr>
        <w:tc>
          <w:tcPr>
            <w:tcW w:w="809" w:type="dxa"/>
          </w:tcPr>
          <w:p>
            <w:pPr>
              <w:pStyle w:val="TableParagraph"/>
              <w:spacing w:line="211" w:lineRule="exact"/>
              <w:ind w:left="200"/>
              <w:rPr>
                <w:b/>
                <w:sz w:val="21"/>
              </w:rPr>
            </w:pPr>
            <w:r>
              <w:rPr>
                <w:b/>
                <w:sz w:val="21"/>
              </w:rPr>
              <w:t>8.23</w:t>
            </w:r>
          </w:p>
        </w:tc>
        <w:tc>
          <w:tcPr>
            <w:tcW w:w="1585" w:type="dxa"/>
          </w:tcPr>
          <w:p>
            <w:pPr>
              <w:pStyle w:val="TableParagraph"/>
              <w:spacing w:line="211" w:lineRule="exact"/>
              <w:ind w:left="185"/>
              <w:rPr>
                <w:b/>
                <w:sz w:val="21"/>
              </w:rPr>
            </w:pPr>
            <w:r>
              <w:rPr>
                <w:b/>
                <w:sz w:val="21"/>
              </w:rPr>
              <w:t>语言能力丧失</w:t>
            </w:r>
          </w:p>
        </w:tc>
        <w:tc>
          <w:tcPr>
            <w:tcW w:w="7824" w:type="dxa"/>
          </w:tcPr>
          <w:p>
            <w:pPr>
              <w:pStyle w:val="TableParagraph"/>
              <w:spacing w:line="211" w:lineRule="exact"/>
              <w:rPr>
                <w:sz w:val="21"/>
              </w:rPr>
            </w:pPr>
            <w:r>
              <w:rPr>
                <w:sz w:val="21"/>
              </w:rPr>
              <w:t>指因疾病或意外伤害导致完全丧失语言能力，经过积极治疗至少 12 个月（声带完</w:t>
            </w:r>
          </w:p>
          <w:p>
            <w:pPr>
              <w:pStyle w:val="TableParagraph"/>
              <w:spacing w:before="37"/>
              <w:rPr>
                <w:sz w:val="21"/>
              </w:rPr>
            </w:pP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16"/>
              <w:rPr>
                <w:rFonts w:ascii="黑体" w:eastAsia="黑体" w:hint="eastAsia"/>
                <w:sz w:val="21"/>
              </w:rPr>
            </w:pPr>
            <w:r>
              <w:rPr>
                <w:rFonts w:ascii="黑体" w:eastAsia="黑体" w:hint="eastAsia"/>
                <w:sz w:val="21"/>
              </w:rPr>
              <w:t>精神心理因素所致的语言能力丧失不在保障范围内。</w:t>
            </w:r>
          </w:p>
        </w:tc>
      </w:tr>
      <w:tr>
        <w:trPr>
          <w:trHeight w:val="2823" w:hRule="atLeast"/>
        </w:trPr>
        <w:tc>
          <w:tcPr>
            <w:tcW w:w="809" w:type="dxa"/>
          </w:tcPr>
          <w:p>
            <w:pPr>
              <w:pStyle w:val="TableParagraph"/>
              <w:spacing w:before="110"/>
              <w:ind w:left="200"/>
              <w:rPr>
                <w:b/>
                <w:sz w:val="21"/>
              </w:rPr>
            </w:pPr>
            <w:r>
              <w:rPr>
                <w:b/>
                <w:sz w:val="21"/>
              </w:rPr>
              <w:t>8.24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w:t>
            </w:r>
            <w:r>
              <w:rPr>
                <w:rFonts w:ascii="Times New Roman" w:hAnsi="Times New Roman" w:eastAsia="Times New Roman"/>
                <w:sz w:val="21"/>
              </w:rPr>
              <w:t>1%</w:t>
            </w:r>
            <w:r>
              <w:rPr>
                <w:sz w:val="21"/>
              </w:rPr>
              <w:t>；</w:t>
            </w:r>
          </w:p>
          <w:p>
            <w:pPr>
              <w:pStyle w:val="TableParagraph"/>
              <w:spacing w:before="101"/>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8.25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rFonts w:ascii="黑体" w:eastAsia="黑体" w:hint="eastAsia"/>
                <w:sz w:val="21"/>
              </w:rPr>
            </w:pPr>
            <w:r>
              <w:rPr>
                <w:rFonts w:ascii="黑体" w:eastAsia="黑体" w:hint="eastAsia"/>
                <w:sz w:val="21"/>
              </w:rPr>
              <w:t>动脉内血管成形术不在保障范围内。</w:t>
            </w:r>
          </w:p>
        </w:tc>
      </w:tr>
      <w:tr>
        <w:trPr>
          <w:trHeight w:val="1814" w:hRule="atLeast"/>
        </w:trPr>
        <w:tc>
          <w:tcPr>
            <w:tcW w:w="809" w:type="dxa"/>
          </w:tcPr>
          <w:p>
            <w:pPr>
              <w:pStyle w:val="TableParagraph"/>
              <w:spacing w:before="110"/>
              <w:ind w:left="200"/>
              <w:rPr>
                <w:b/>
                <w:sz w:val="21"/>
              </w:rPr>
            </w:pPr>
            <w:r>
              <w:rPr>
                <w:b/>
                <w:sz w:val="21"/>
              </w:rPr>
              <w:t>8.26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1"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7"/>
              <w:rPr>
                <w:sz w:val="21"/>
              </w:rPr>
            </w:pPr>
            <w:r>
              <w:rPr>
                <w:w w:val="100"/>
                <w:sz w:val="21"/>
              </w:rPr>
              <w:t>（</w:t>
            </w:r>
            <w:r>
              <w:rPr>
                <w:rFonts w:ascii="Times New Roman" w:eastAsia="Times New Roman"/>
                <w:spacing w:val="-2"/>
                <w:w w:val="100"/>
                <w:sz w:val="21"/>
              </w:rPr>
              <w:t>C</w:t>
            </w:r>
            <w:r>
              <w:rPr>
                <w:rFonts w:ascii="Times New Roman" w:eastAsia="Times New Roman"/>
                <w:spacing w:val="0"/>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1"/>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3" w:hRule="atLeast"/>
        </w:trPr>
        <w:tc>
          <w:tcPr>
            <w:tcW w:w="809" w:type="dxa"/>
          </w:tcPr>
          <w:p>
            <w:pPr>
              <w:pStyle w:val="TableParagraph"/>
              <w:spacing w:before="103"/>
              <w:ind w:left="200"/>
              <w:rPr>
                <w:b/>
                <w:sz w:val="21"/>
              </w:rPr>
            </w:pPr>
            <w:r>
              <w:rPr>
                <w:b/>
                <w:sz w:val="21"/>
              </w:rPr>
              <w:t>8.27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809" w:type="dxa"/>
          </w:tcPr>
          <w:p>
            <w:pPr>
              <w:pStyle w:val="TableParagraph"/>
              <w:spacing w:before="111"/>
              <w:ind w:left="200"/>
              <w:rPr>
                <w:b/>
                <w:sz w:val="21"/>
              </w:rPr>
            </w:pPr>
            <w:r>
              <w:rPr>
                <w:b/>
                <w:sz w:val="21"/>
              </w:rPr>
              <w:t>8.28</w:t>
            </w:r>
          </w:p>
        </w:tc>
        <w:tc>
          <w:tcPr>
            <w:tcW w:w="1585" w:type="dxa"/>
          </w:tcPr>
          <w:p>
            <w:pPr>
              <w:pStyle w:val="TableParagraph"/>
              <w:spacing w:before="111"/>
              <w:ind w:left="185"/>
              <w:rPr>
                <w:b/>
                <w:sz w:val="21"/>
              </w:rPr>
            </w:pPr>
            <w:r>
              <w:rPr>
                <w:b/>
                <w:sz w:val="21"/>
              </w:rPr>
              <w:t>颅脑手术</w:t>
            </w:r>
          </w:p>
        </w:tc>
        <w:tc>
          <w:tcPr>
            <w:tcW w:w="7824" w:type="dxa"/>
          </w:tcPr>
          <w:p>
            <w:pPr>
              <w:pStyle w:val="TableParagraph"/>
              <w:spacing w:line="271" w:lineRule="auto" w:before="111"/>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9"/>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809" w:type="dxa"/>
          </w:tcPr>
          <w:p>
            <w:pPr>
              <w:pStyle w:val="TableParagraph"/>
              <w:spacing w:before="110"/>
              <w:ind w:left="200"/>
              <w:rPr>
                <w:b/>
                <w:sz w:val="21"/>
              </w:rPr>
            </w:pPr>
            <w:r>
              <w:rPr>
                <w:b/>
                <w:sz w:val="21"/>
              </w:rPr>
              <w:t>8.29</w:t>
            </w:r>
          </w:p>
        </w:tc>
        <w:tc>
          <w:tcPr>
            <w:tcW w:w="1585" w:type="dxa"/>
          </w:tcPr>
          <w:p>
            <w:pPr>
              <w:pStyle w:val="TableParagraph"/>
              <w:spacing w:before="110"/>
              <w:ind w:left="185"/>
              <w:rPr>
                <w:b/>
                <w:sz w:val="21"/>
              </w:rPr>
            </w:pPr>
            <w:r>
              <w:rPr>
                <w:b/>
                <w:sz w:val="21"/>
              </w:rPr>
              <w:t>脊髓灰质炎</w:t>
            </w:r>
          </w:p>
        </w:tc>
        <w:tc>
          <w:tcPr>
            <w:tcW w:w="7824" w:type="dxa"/>
          </w:tcPr>
          <w:p>
            <w:pPr>
              <w:pStyle w:val="TableParagraph"/>
              <w:spacing w:line="271" w:lineRule="auto" w:before="110"/>
              <w:ind w:right="332"/>
              <w:rPr>
                <w:sz w:val="21"/>
              </w:rPr>
            </w:pPr>
            <w:r>
              <w:rPr>
                <w:sz w:val="21"/>
              </w:rPr>
              <w:t>指由本公司认可的神经专科医生确认是因脊髓灰质病毒感染以致表现出运动功能障碍或呼吸功能减弱，并造成瘫痪。</w:t>
            </w:r>
          </w:p>
          <w:p>
            <w:pPr>
              <w:pStyle w:val="TableParagraph"/>
              <w:spacing w:line="273" w:lineRule="auto" w:before="89"/>
              <w:ind w:right="3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478" w:hRule="atLeast"/>
        </w:trPr>
        <w:tc>
          <w:tcPr>
            <w:tcW w:w="809" w:type="dxa"/>
          </w:tcPr>
          <w:p>
            <w:pPr>
              <w:pStyle w:val="TableParagraph"/>
              <w:spacing w:before="111"/>
              <w:ind w:left="200"/>
              <w:rPr>
                <w:b/>
                <w:sz w:val="21"/>
              </w:rPr>
            </w:pPr>
            <w:r>
              <w:rPr>
                <w:b/>
                <w:sz w:val="21"/>
              </w:rPr>
              <w:t>8.30</w:t>
            </w:r>
          </w:p>
        </w:tc>
        <w:tc>
          <w:tcPr>
            <w:tcW w:w="1585" w:type="dxa"/>
          </w:tcPr>
          <w:p>
            <w:pPr>
              <w:pStyle w:val="TableParagraph"/>
              <w:spacing w:line="271" w:lineRule="auto" w:before="111"/>
              <w:ind w:left="185" w:right="129"/>
              <w:rPr>
                <w:b/>
                <w:sz w:val="21"/>
              </w:rPr>
            </w:pPr>
            <w:r>
              <w:rPr>
                <w:b/>
                <w:sz w:val="21"/>
              </w:rPr>
              <w:t>严重肌营养不良症</w:t>
            </w:r>
          </w:p>
        </w:tc>
        <w:tc>
          <w:tcPr>
            <w:tcW w:w="7824" w:type="dxa"/>
          </w:tcPr>
          <w:p>
            <w:pPr>
              <w:pStyle w:val="TableParagraph"/>
              <w:spacing w:line="271" w:lineRule="auto" w:before="111"/>
              <w:ind w:right="3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9" w:after="0"/>
              <w:ind w:left="869" w:right="0" w:hanging="737"/>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55" w:lineRule="exact" w:before="116" w:after="0"/>
              <w:ind w:left="833" w:right="0" w:hanging="701"/>
              <w:jc w:val="left"/>
              <w:rPr>
                <w:sz w:val="21"/>
              </w:rPr>
            </w:pPr>
            <w:r>
              <w:rPr>
                <w:spacing w:val="-6"/>
                <w:sz w:val="21"/>
              </w:rPr>
              <w:t>自主生活能力完全丧失，无法独立完成六项基本日常生活活动中的三项或</w:t>
            </w:r>
          </w:p>
        </w:tc>
      </w:tr>
    </w:tbl>
    <w:p>
      <w:pPr>
        <w:spacing w:after="0" w:line="255" w:lineRule="exact"/>
        <w:jc w:val="lef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386"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4" w:type="dxa"/>
          </w:tcPr>
          <w:p>
            <w:pPr>
              <w:pStyle w:val="TableParagraph"/>
              <w:spacing w:line="211" w:lineRule="exact"/>
              <w:ind w:left="852"/>
              <w:rPr>
                <w:sz w:val="21"/>
              </w:rPr>
            </w:pPr>
            <w:r>
              <w:rPr>
                <w:sz w:val="21"/>
              </w:rPr>
              <w:t>三项以上。</w:t>
            </w:r>
          </w:p>
        </w:tc>
      </w:tr>
      <w:tr>
        <w:trPr>
          <w:trHeight w:val="1185" w:hRule="atLeast"/>
        </w:trPr>
        <w:tc>
          <w:tcPr>
            <w:tcW w:w="717" w:type="dxa"/>
          </w:tcPr>
          <w:p>
            <w:pPr>
              <w:pStyle w:val="TableParagraph"/>
              <w:spacing w:before="111"/>
              <w:ind w:left="107"/>
              <w:rPr>
                <w:b/>
                <w:sz w:val="21"/>
              </w:rPr>
            </w:pPr>
            <w:r>
              <w:rPr>
                <w:b/>
                <w:sz w:val="21"/>
              </w:rPr>
              <w:t>8.31</w:t>
            </w:r>
          </w:p>
        </w:tc>
        <w:tc>
          <w:tcPr>
            <w:tcW w:w="1585" w:type="dxa"/>
          </w:tcPr>
          <w:p>
            <w:pPr>
              <w:pStyle w:val="TableParagraph"/>
              <w:spacing w:line="273" w:lineRule="auto" w:before="111"/>
              <w:ind w:left="185" w:right="129"/>
              <w:rPr>
                <w:b/>
                <w:sz w:val="21"/>
              </w:rPr>
            </w:pPr>
            <w:r>
              <w:rPr>
                <w:b/>
                <w:sz w:val="21"/>
              </w:rPr>
              <w:t>急性出血坏死性胰腺炎</w:t>
            </w:r>
          </w:p>
        </w:tc>
        <w:tc>
          <w:tcPr>
            <w:tcW w:w="7624" w:type="dxa"/>
          </w:tcPr>
          <w:p>
            <w:pPr>
              <w:pStyle w:val="TableParagraph"/>
              <w:spacing w:line="273" w:lineRule="auto" w:before="111"/>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8" w:hRule="atLeast"/>
        </w:trPr>
        <w:tc>
          <w:tcPr>
            <w:tcW w:w="717" w:type="dxa"/>
          </w:tcPr>
          <w:p>
            <w:pPr>
              <w:pStyle w:val="TableParagraph"/>
              <w:spacing w:before="111"/>
              <w:ind w:left="107"/>
              <w:rPr>
                <w:b/>
                <w:sz w:val="21"/>
              </w:rPr>
            </w:pPr>
            <w:r>
              <w:rPr>
                <w:b/>
                <w:sz w:val="21"/>
              </w:rPr>
              <w:t>8.32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9.</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861" w:hRule="atLeast"/>
        </w:trPr>
        <w:tc>
          <w:tcPr>
            <w:tcW w:w="717" w:type="dxa"/>
            <w:tcBorders>
              <w:top w:val="single" w:sz="8" w:space="0" w:color="000000"/>
            </w:tcBorders>
          </w:tcPr>
          <w:p>
            <w:pPr>
              <w:pStyle w:val="TableParagraph"/>
              <w:spacing w:before="139"/>
              <w:ind w:left="107"/>
              <w:rPr>
                <w:b/>
                <w:sz w:val="21"/>
              </w:rPr>
            </w:pPr>
            <w:r>
              <w:rPr>
                <w:b/>
                <w:sz w:val="21"/>
              </w:rPr>
              <w:t>9.1</w:t>
            </w:r>
          </w:p>
        </w:tc>
        <w:tc>
          <w:tcPr>
            <w:tcW w:w="1585" w:type="dxa"/>
            <w:tcBorders>
              <w:top w:val="single" w:sz="8" w:space="0" w:color="000000"/>
            </w:tcBorders>
          </w:tcPr>
          <w:p>
            <w:pPr>
              <w:pStyle w:val="TableParagraph"/>
              <w:spacing w:before="139"/>
              <w:ind w:left="185"/>
              <w:rPr>
                <w:b/>
                <w:sz w:val="21"/>
              </w:rPr>
            </w:pPr>
            <w:r>
              <w:rPr>
                <w:b/>
                <w:sz w:val="21"/>
              </w:rPr>
              <w:t>合法有效</w:t>
            </w:r>
          </w:p>
        </w:tc>
        <w:tc>
          <w:tcPr>
            <w:tcW w:w="7624" w:type="dxa"/>
            <w:tcBorders>
              <w:top w:val="single" w:sz="8" w:space="0" w:color="000000"/>
            </w:tcBorders>
          </w:tcPr>
          <w:p>
            <w:pPr>
              <w:pStyle w:val="TableParagraph"/>
              <w:spacing w:line="273" w:lineRule="auto" w:before="139"/>
              <w:rPr>
                <w:sz w:val="21"/>
              </w:rPr>
            </w:pPr>
            <w:r>
              <w:rPr>
                <w:spacing w:val="-7"/>
                <w:sz w:val="21"/>
              </w:rPr>
              <w:t>本合同所指合法有效均指以中华人民共和国法律、法规、行政法规、地方性法规、</w:t>
            </w:r>
            <w:r>
              <w:rPr>
                <w:spacing w:val="-5"/>
                <w:sz w:val="21"/>
              </w:rPr>
              <w:t>行政规章及有关规范性法律文件的规定为判定依据。</w:t>
            </w:r>
          </w:p>
        </w:tc>
      </w:tr>
      <w:tr>
        <w:trPr>
          <w:trHeight w:val="794" w:hRule="atLeast"/>
        </w:trPr>
        <w:tc>
          <w:tcPr>
            <w:tcW w:w="717" w:type="dxa"/>
          </w:tcPr>
          <w:p>
            <w:pPr>
              <w:pStyle w:val="TableParagraph"/>
              <w:spacing w:before="72"/>
              <w:ind w:left="107"/>
              <w:rPr>
                <w:b/>
                <w:sz w:val="21"/>
              </w:rPr>
            </w:pPr>
            <w:r>
              <w:rPr>
                <w:b/>
                <w:sz w:val="21"/>
              </w:rPr>
              <w:t>9.2</w:t>
            </w:r>
          </w:p>
        </w:tc>
        <w:tc>
          <w:tcPr>
            <w:tcW w:w="1585" w:type="dxa"/>
          </w:tcPr>
          <w:p>
            <w:pPr>
              <w:pStyle w:val="TableParagraph"/>
              <w:spacing w:before="72"/>
              <w:ind w:left="185"/>
              <w:rPr>
                <w:b/>
                <w:sz w:val="21"/>
              </w:rPr>
            </w:pPr>
            <w:r>
              <w:rPr>
                <w:b/>
                <w:sz w:val="21"/>
              </w:rPr>
              <w:t>保单年度</w:t>
            </w:r>
          </w:p>
        </w:tc>
        <w:tc>
          <w:tcPr>
            <w:tcW w:w="7624" w:type="dxa"/>
          </w:tcPr>
          <w:p>
            <w:pPr>
              <w:pStyle w:val="TableParagraph"/>
              <w:spacing w:line="273" w:lineRule="auto" w:before="72"/>
              <w:ind w:right="132"/>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794" w:hRule="atLeast"/>
        </w:trPr>
        <w:tc>
          <w:tcPr>
            <w:tcW w:w="717" w:type="dxa"/>
          </w:tcPr>
          <w:p>
            <w:pPr>
              <w:pStyle w:val="TableParagraph"/>
              <w:spacing w:before="72"/>
              <w:ind w:left="107"/>
              <w:rPr>
                <w:b/>
                <w:sz w:val="21"/>
              </w:rPr>
            </w:pPr>
            <w:r>
              <w:rPr>
                <w:b/>
                <w:sz w:val="21"/>
              </w:rPr>
              <w:t>9.3</w:t>
            </w:r>
          </w:p>
        </w:tc>
        <w:tc>
          <w:tcPr>
            <w:tcW w:w="1585" w:type="dxa"/>
          </w:tcPr>
          <w:p>
            <w:pPr>
              <w:pStyle w:val="TableParagraph"/>
              <w:spacing w:line="273" w:lineRule="auto" w:before="72"/>
              <w:ind w:left="185" w:right="129"/>
              <w:rPr>
                <w:b/>
                <w:sz w:val="21"/>
              </w:rPr>
            </w:pPr>
            <w:r>
              <w:rPr>
                <w:b/>
                <w:sz w:val="21"/>
              </w:rPr>
              <w:t>保险费约定交纳日</w:t>
            </w:r>
          </w:p>
        </w:tc>
        <w:tc>
          <w:tcPr>
            <w:tcW w:w="7624" w:type="dxa"/>
          </w:tcPr>
          <w:p>
            <w:pPr>
              <w:pStyle w:val="TableParagraph"/>
              <w:spacing w:line="273" w:lineRule="auto" w:before="72"/>
              <w:ind w:right="-15"/>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17" w:hRule="atLeast"/>
        </w:trPr>
        <w:tc>
          <w:tcPr>
            <w:tcW w:w="717" w:type="dxa"/>
          </w:tcPr>
          <w:p>
            <w:pPr>
              <w:pStyle w:val="TableParagraph"/>
              <w:spacing w:before="72"/>
              <w:ind w:left="107"/>
              <w:rPr>
                <w:b/>
                <w:sz w:val="21"/>
              </w:rPr>
            </w:pPr>
            <w:r>
              <w:rPr>
                <w:b/>
                <w:sz w:val="21"/>
              </w:rPr>
              <w:t>9.4</w:t>
            </w:r>
          </w:p>
        </w:tc>
        <w:tc>
          <w:tcPr>
            <w:tcW w:w="1585" w:type="dxa"/>
          </w:tcPr>
          <w:p>
            <w:pPr>
              <w:pStyle w:val="TableParagraph"/>
              <w:spacing w:before="72"/>
              <w:ind w:left="185"/>
              <w:rPr>
                <w:b/>
                <w:sz w:val="21"/>
              </w:rPr>
            </w:pPr>
            <w:r>
              <w:rPr>
                <w:b/>
                <w:sz w:val="21"/>
              </w:rPr>
              <w:t>周岁</w:t>
            </w:r>
          </w:p>
        </w:tc>
        <w:tc>
          <w:tcPr>
            <w:tcW w:w="7624" w:type="dxa"/>
          </w:tcPr>
          <w:p>
            <w:pPr>
              <w:pStyle w:val="TableParagraph"/>
              <w:spacing w:line="273" w:lineRule="auto" w:before="72"/>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8"/>
              <w:rPr>
                <w:sz w:val="21"/>
              </w:rPr>
            </w:pPr>
            <w:r>
              <w:rPr>
                <w:spacing w:val="-26"/>
                <w:sz w:val="21"/>
              </w:rPr>
              <w:t>年 </w:t>
            </w:r>
            <w:r>
              <w:rPr>
                <w:sz w:val="21"/>
              </w:rPr>
              <w:t>9</w:t>
            </w:r>
            <w:r>
              <w:rPr>
                <w:spacing w:val="-18"/>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7"/>
                <w:sz w:val="21"/>
              </w:rPr>
              <w:t> 年 </w:t>
            </w:r>
            <w:r>
              <w:rPr>
                <w:sz w:val="21"/>
              </w:rPr>
              <w:t>9</w:t>
            </w:r>
            <w:r>
              <w:rPr>
                <w:spacing w:val="-18"/>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1105" w:hRule="atLeast"/>
        </w:trPr>
        <w:tc>
          <w:tcPr>
            <w:tcW w:w="717" w:type="dxa"/>
          </w:tcPr>
          <w:p>
            <w:pPr>
              <w:pStyle w:val="TableParagraph"/>
              <w:spacing w:before="70"/>
              <w:ind w:left="107"/>
              <w:rPr>
                <w:b/>
                <w:sz w:val="21"/>
              </w:rPr>
            </w:pPr>
            <w:r>
              <w:rPr>
                <w:b/>
                <w:sz w:val="21"/>
              </w:rPr>
              <w:t>9.5</w:t>
            </w:r>
          </w:p>
        </w:tc>
        <w:tc>
          <w:tcPr>
            <w:tcW w:w="1585" w:type="dxa"/>
          </w:tcPr>
          <w:p>
            <w:pPr>
              <w:pStyle w:val="TableParagraph"/>
              <w:spacing w:before="70"/>
              <w:ind w:left="185"/>
              <w:rPr>
                <w:b/>
                <w:sz w:val="21"/>
              </w:rPr>
            </w:pPr>
            <w:r>
              <w:rPr>
                <w:b/>
                <w:sz w:val="21"/>
              </w:rPr>
              <w:t>有效身份证件</w:t>
            </w:r>
          </w:p>
        </w:tc>
        <w:tc>
          <w:tcPr>
            <w:tcW w:w="7624" w:type="dxa"/>
          </w:tcPr>
          <w:p>
            <w:pPr>
              <w:pStyle w:val="TableParagraph"/>
              <w:spacing w:line="273" w:lineRule="auto" w:before="70"/>
              <w:ind w:right="132"/>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794" w:hRule="atLeast"/>
        </w:trPr>
        <w:tc>
          <w:tcPr>
            <w:tcW w:w="717" w:type="dxa"/>
          </w:tcPr>
          <w:p>
            <w:pPr>
              <w:pStyle w:val="TableParagraph"/>
              <w:spacing w:before="72"/>
              <w:ind w:left="107"/>
              <w:rPr>
                <w:b/>
                <w:sz w:val="21"/>
              </w:rPr>
            </w:pPr>
            <w:r>
              <w:rPr>
                <w:b/>
                <w:sz w:val="21"/>
              </w:rPr>
              <w:t>9.6</w:t>
            </w:r>
          </w:p>
        </w:tc>
        <w:tc>
          <w:tcPr>
            <w:tcW w:w="1585" w:type="dxa"/>
          </w:tcPr>
          <w:p>
            <w:pPr>
              <w:pStyle w:val="TableParagraph"/>
              <w:spacing w:before="72"/>
              <w:ind w:left="185"/>
              <w:rPr>
                <w:b/>
                <w:sz w:val="21"/>
              </w:rPr>
            </w:pPr>
            <w:r>
              <w:rPr>
                <w:b/>
                <w:sz w:val="21"/>
              </w:rPr>
              <w:t>医院</w:t>
            </w:r>
          </w:p>
        </w:tc>
        <w:tc>
          <w:tcPr>
            <w:tcW w:w="7624" w:type="dxa"/>
          </w:tcPr>
          <w:p>
            <w:pPr>
              <w:pStyle w:val="TableParagraph"/>
              <w:spacing w:before="72"/>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不包括主要作为康复、护理、疗养、戒酒、戒毒或者相类似的医疗机构。</w:t>
            </w:r>
          </w:p>
        </w:tc>
      </w:tr>
      <w:tr>
        <w:trPr>
          <w:trHeight w:val="5263" w:hRule="atLeast"/>
        </w:trPr>
        <w:tc>
          <w:tcPr>
            <w:tcW w:w="717" w:type="dxa"/>
          </w:tcPr>
          <w:p>
            <w:pPr>
              <w:pStyle w:val="TableParagraph"/>
              <w:spacing w:before="72"/>
              <w:ind w:left="107"/>
              <w:rPr>
                <w:b/>
                <w:sz w:val="21"/>
              </w:rPr>
            </w:pPr>
            <w:r>
              <w:rPr>
                <w:b/>
                <w:sz w:val="21"/>
              </w:rPr>
              <w:t>9.7</w:t>
            </w:r>
          </w:p>
        </w:tc>
        <w:tc>
          <w:tcPr>
            <w:tcW w:w="1585" w:type="dxa"/>
          </w:tcPr>
          <w:p>
            <w:pPr>
              <w:pStyle w:val="TableParagraph"/>
              <w:spacing w:before="72"/>
              <w:ind w:left="185"/>
              <w:rPr>
                <w:b/>
                <w:sz w:val="21"/>
              </w:rPr>
            </w:pPr>
            <w:r>
              <w:rPr>
                <w:b/>
                <w:sz w:val="21"/>
              </w:rPr>
              <w:t>初次确诊</w:t>
            </w:r>
          </w:p>
        </w:tc>
        <w:tc>
          <w:tcPr>
            <w:tcW w:w="7624" w:type="dxa"/>
          </w:tcPr>
          <w:p>
            <w:pPr>
              <w:pStyle w:val="TableParagraph"/>
              <w:spacing w:line="264" w:lineRule="auto" w:before="72"/>
              <w:ind w:right="101"/>
              <w:jc w:val="both"/>
              <w:rPr>
                <w:sz w:val="21"/>
              </w:rPr>
            </w:pPr>
            <w:r>
              <w:rPr>
                <w:spacing w:val="-3"/>
                <w:sz w:val="21"/>
              </w:rPr>
              <w:t>指自被保险人出生之日起第一次经医院确诊患有某种疾病，而不是指自本合同生</w:t>
            </w:r>
            <w:r>
              <w:rPr>
                <w:spacing w:val="-5"/>
                <w:sz w:val="21"/>
              </w:rPr>
              <w:t>效、复效之后第一次经医院确诊患有某种疾病。例如，</w:t>
            </w:r>
            <w:r>
              <w:rPr>
                <w:rFonts w:ascii="Times New Roman" w:eastAsia="Times New Roman"/>
                <w:spacing w:val="-3"/>
                <w:sz w:val="21"/>
              </w:rPr>
              <w:t>2010 </w:t>
            </w:r>
            <w:r>
              <w:rPr>
                <w:spacing w:val="-23"/>
                <w:sz w:val="21"/>
              </w:rPr>
              <w:t>年 </w:t>
            </w:r>
            <w:r>
              <w:rPr>
                <w:rFonts w:ascii="Times New Roman" w:eastAsia="Times New Roman"/>
                <w:sz w:val="21"/>
              </w:rPr>
              <w:t>1 </w:t>
            </w:r>
            <w:r>
              <w:rPr>
                <w:spacing w:val="-23"/>
                <w:sz w:val="21"/>
              </w:rPr>
              <w:t>月 </w:t>
            </w:r>
            <w:r>
              <w:rPr>
                <w:rFonts w:ascii="Times New Roman" w:eastAsia="Times New Roman"/>
                <w:sz w:val="21"/>
              </w:rPr>
              <w:t>1 </w:t>
            </w:r>
            <w:r>
              <w:rPr>
                <w:spacing w:val="-3"/>
                <w:sz w:val="21"/>
              </w:rPr>
              <w:t>日本合同经首次投保后生效，若：</w:t>
            </w:r>
          </w:p>
          <w:p>
            <w:pPr>
              <w:pStyle w:val="TableParagraph"/>
              <w:numPr>
                <w:ilvl w:val="0"/>
                <w:numId w:val="23"/>
              </w:numPr>
              <w:tabs>
                <w:tab w:pos="889" w:val="left" w:leader="none"/>
              </w:tabs>
              <w:spacing w:line="240" w:lineRule="auto" w:before="96" w:after="0"/>
              <w:ind w:left="888"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88"/>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10</w:t>
            </w:r>
            <w:r>
              <w:rPr>
                <w:spacing w:val="-55"/>
                <w:sz w:val="21"/>
              </w:rPr>
              <w:t> </w:t>
            </w:r>
            <w:r>
              <w:rPr>
                <w:spacing w:val="-8"/>
                <w:w w:val="100"/>
                <w:sz w:val="21"/>
              </w:rPr>
              <w:t>日该被保险人再次经医院确诊罹患“恶性肿瘤”，则</w:t>
            </w:r>
            <w:r>
              <w:rPr>
                <w:spacing w:val="-52"/>
                <w:sz w:val="21"/>
              </w:rPr>
              <w:t> </w:t>
            </w:r>
            <w:r>
              <w:rPr>
                <w:w w:val="100"/>
                <w:sz w:val="21"/>
              </w:rPr>
              <w:t>2</w:t>
            </w:r>
            <w:r>
              <w:rPr>
                <w:spacing w:val="-3"/>
                <w:w w:val="100"/>
                <w:sz w:val="21"/>
              </w:rPr>
              <w:t>0</w:t>
            </w:r>
            <w:r>
              <w:rPr>
                <w:w w:val="100"/>
                <w:sz w:val="21"/>
              </w:rPr>
              <w:t>09</w:t>
            </w:r>
          </w:p>
          <w:p>
            <w:pPr>
              <w:pStyle w:val="TableParagraph"/>
              <w:spacing w:before="37"/>
              <w:ind w:left="888"/>
              <w:rPr>
                <w:sz w:val="21"/>
              </w:rPr>
            </w:pPr>
            <w:r>
              <w:rPr>
                <w:spacing w:val="-22"/>
                <w:sz w:val="21"/>
              </w:rPr>
              <w:t>年 </w:t>
            </w:r>
            <w:r>
              <w:rPr>
                <w:sz w:val="21"/>
              </w:rPr>
              <w:t>1</w:t>
            </w:r>
            <w:r>
              <w:rPr>
                <w:spacing w:val="-30"/>
                <w:sz w:val="21"/>
              </w:rPr>
              <w:t> 月 </w:t>
            </w:r>
            <w:r>
              <w:rPr>
                <w:sz w:val="21"/>
              </w:rPr>
              <w:t>1</w:t>
            </w:r>
            <w:r>
              <w:rPr>
                <w:spacing w:val="-13"/>
                <w:sz w:val="21"/>
              </w:rPr>
              <w:t> 日为该被保险人经医院初次确诊罹患“恶性肿瘤”的时间，由于</w:t>
            </w:r>
          </w:p>
          <w:p>
            <w:pPr>
              <w:pStyle w:val="TableParagraph"/>
              <w:spacing w:line="273" w:lineRule="auto" w:before="37"/>
              <w:ind w:left="888" w:right="101"/>
              <w:rPr>
                <w:sz w:val="21"/>
              </w:rPr>
            </w:pPr>
            <w:r>
              <w:rPr>
                <w:spacing w:val="-10"/>
                <w:sz w:val="21"/>
              </w:rPr>
              <w:t>“初次确诊”发生在本合同生效之前，因此不属于保险责任范围，本公司</w:t>
            </w:r>
            <w:r>
              <w:rPr>
                <w:spacing w:val="-5"/>
                <w:sz w:val="21"/>
              </w:rPr>
              <w:t>不承担向该被保险人的重大疾病保险金受益人给付重大疾病保险金的责任；</w:t>
            </w:r>
          </w:p>
          <w:p>
            <w:pPr>
              <w:pStyle w:val="TableParagraph"/>
              <w:numPr>
                <w:ilvl w:val="0"/>
                <w:numId w:val="23"/>
              </w:numPr>
              <w:tabs>
                <w:tab w:pos="889" w:val="left" w:leader="none"/>
              </w:tabs>
              <w:spacing w:line="240" w:lineRule="auto" w:before="87" w:after="0"/>
              <w:ind w:left="888" w:right="0" w:hanging="720"/>
              <w:jc w:val="left"/>
              <w:rPr>
                <w:sz w:val="21"/>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TableParagraph"/>
              <w:spacing w:before="35"/>
              <w:ind w:left="888"/>
              <w:rPr>
                <w:sz w:val="21"/>
              </w:rPr>
            </w:pPr>
            <w:r>
              <w:rPr>
                <w:spacing w:val="-21"/>
                <w:w w:val="100"/>
                <w:sz w:val="21"/>
              </w:rPr>
              <w:t>“恶性肿瘤”，</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3"/>
                <w:sz w:val="21"/>
              </w:rPr>
              <w:t> </w:t>
            </w:r>
            <w:r>
              <w:rPr>
                <w:spacing w:val="-5"/>
                <w:w w:val="100"/>
                <w:sz w:val="21"/>
              </w:rPr>
              <w:t>日该被保险人再次经医院确诊罹患“恶性肿</w:t>
            </w:r>
          </w:p>
          <w:p>
            <w:pPr>
              <w:pStyle w:val="TableParagraph"/>
              <w:spacing w:before="37"/>
              <w:ind w:left="888"/>
              <w:rPr>
                <w:sz w:val="21"/>
              </w:rPr>
            </w:pPr>
            <w:r>
              <w:rPr>
                <w:spacing w:val="-28"/>
                <w:w w:val="100"/>
                <w:sz w:val="21"/>
              </w:rPr>
              <w:t>瘤”，则</w:t>
            </w:r>
            <w:r>
              <w:rPr>
                <w:spacing w:val="-53"/>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日为该被保险人经医院初次确诊罹患“恶性肿瘤”</w:t>
            </w:r>
          </w:p>
          <w:p>
            <w:pPr>
              <w:pStyle w:val="TableParagraph"/>
              <w:spacing w:line="264" w:lineRule="auto" w:before="37"/>
              <w:ind w:left="888" w:right="113"/>
              <w:rPr>
                <w:sz w:val="21"/>
              </w:rPr>
            </w:pPr>
            <w:r>
              <w:rPr>
                <w:spacing w:val="-5"/>
                <w:sz w:val="21"/>
              </w:rPr>
              <w:t>的时间，由于“初次确诊”发生在本合同生效之日起 </w:t>
            </w:r>
            <w:r>
              <w:rPr>
                <w:rFonts w:ascii="Times New Roman" w:hAnsi="Times New Roman" w:eastAsia="Times New Roman"/>
                <w:sz w:val="21"/>
              </w:rPr>
              <w:t>90 </w:t>
            </w:r>
            <w:r>
              <w:rPr>
                <w:spacing w:val="-3"/>
                <w:sz w:val="21"/>
              </w:rPr>
              <w:t>天内，本公司按投保人为该被保险人已交纳的保险费数额向该被保险人的重大疾病保险金受益人给付重大疾病保险金，本公司对该被保险人的保险责任终止。</w:t>
            </w:r>
          </w:p>
          <w:p>
            <w:pPr>
              <w:pStyle w:val="TableParagraph"/>
              <w:numPr>
                <w:ilvl w:val="0"/>
                <w:numId w:val="23"/>
              </w:numPr>
              <w:tabs>
                <w:tab w:pos="889" w:val="left" w:leader="none"/>
              </w:tabs>
              <w:spacing w:line="255" w:lineRule="exact" w:before="95" w:after="0"/>
              <w:ind w:left="888" w:right="0" w:hanging="720"/>
              <w:jc w:val="both"/>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tc>
      </w:tr>
    </w:tbl>
    <w:p>
      <w:pPr>
        <w:spacing w:after="0" w:line="255" w:lineRule="exact"/>
        <w:jc w:val="both"/>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283"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ind w:left="888"/>
              <w:rPr>
                <w:sz w:val="21"/>
              </w:rPr>
            </w:pPr>
            <w:r>
              <w:rPr>
                <w:sz w:val="21"/>
              </w:rPr>
              <w:t>则 2011 年 5 月 5 日为该被保险人经医院初次确诊罹患“恶性肿瘤”的时</w:t>
            </w:r>
          </w:p>
          <w:p>
            <w:pPr>
              <w:pStyle w:val="TableParagraph"/>
              <w:spacing w:line="273" w:lineRule="auto" w:before="37"/>
              <w:ind w:left="888" w:right="313"/>
              <w:rPr>
                <w:sz w:val="21"/>
              </w:rPr>
            </w:pPr>
            <w:r>
              <w:rPr>
                <w:spacing w:val="-5"/>
                <w:sz w:val="21"/>
              </w:rPr>
              <w:t>间，由于“初次确诊”发生在本合同生效之日起 </w:t>
            </w:r>
            <w:r>
              <w:rPr>
                <w:sz w:val="21"/>
              </w:rPr>
              <w:t>90</w:t>
            </w:r>
            <w:r>
              <w:rPr>
                <w:spacing w:val="-8"/>
                <w:sz w:val="21"/>
              </w:rPr>
              <w:t> 天外，本公司按该被</w:t>
            </w:r>
            <w:r>
              <w:rPr>
                <w:spacing w:val="-5"/>
                <w:sz w:val="21"/>
              </w:rPr>
              <w:t>保险人名下的保险金额向该被保险人的重大疾病保险金受益人给付重大</w:t>
            </w:r>
            <w:r>
              <w:rPr>
                <w:spacing w:val="-3"/>
                <w:sz w:val="21"/>
              </w:rPr>
              <w:t>疾病保险金，本公司对该被保险人的保险责任终止。</w:t>
            </w:r>
          </w:p>
        </w:tc>
      </w:tr>
      <w:tr>
        <w:trPr>
          <w:trHeight w:val="1730" w:hRule="atLeast"/>
        </w:trPr>
        <w:tc>
          <w:tcPr>
            <w:tcW w:w="809" w:type="dxa"/>
          </w:tcPr>
          <w:p>
            <w:pPr>
              <w:pStyle w:val="TableParagraph"/>
              <w:spacing w:before="72"/>
              <w:ind w:left="200"/>
              <w:rPr>
                <w:b/>
                <w:sz w:val="21"/>
              </w:rPr>
            </w:pPr>
            <w:r>
              <w:rPr>
                <w:b/>
                <w:sz w:val="21"/>
              </w:rPr>
              <w:t>9.8</w:t>
            </w:r>
          </w:p>
        </w:tc>
        <w:tc>
          <w:tcPr>
            <w:tcW w:w="1585" w:type="dxa"/>
          </w:tcPr>
          <w:p>
            <w:pPr>
              <w:pStyle w:val="TableParagraph"/>
              <w:spacing w:before="72"/>
              <w:ind w:left="185"/>
              <w:rPr>
                <w:b/>
                <w:sz w:val="21"/>
              </w:rPr>
            </w:pPr>
            <w:r>
              <w:rPr>
                <w:b/>
                <w:sz w:val="21"/>
              </w:rPr>
              <w:t>意外伤害</w:t>
            </w:r>
          </w:p>
        </w:tc>
        <w:tc>
          <w:tcPr>
            <w:tcW w:w="7824" w:type="dxa"/>
          </w:tcPr>
          <w:p>
            <w:pPr>
              <w:pStyle w:val="TableParagraph"/>
              <w:spacing w:line="273" w:lineRule="auto" w:before="72"/>
              <w:ind w:right="332"/>
              <w:jc w:val="both"/>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8"/>
                <w:sz w:val="21"/>
              </w:rPr>
              <w:t>猝死、自</w:t>
            </w:r>
            <w:r>
              <w:rPr>
                <w:rFonts w:ascii="黑体" w:eastAsia="黑体" w:hint="eastAsia"/>
                <w:spacing w:val="-3"/>
                <w:sz w:val="21"/>
              </w:rPr>
              <w:t>杀以及自伤均不属于意外伤害。</w:t>
            </w:r>
          </w:p>
          <w:p>
            <w:pPr>
              <w:pStyle w:val="TableParagraph"/>
              <w:spacing w:line="273" w:lineRule="auto" w:before="8"/>
              <w:ind w:right="307"/>
              <w:jc w:val="both"/>
              <w:rPr>
                <w:rFonts w:ascii="黑体" w:eastAsia="黑体" w:hint="eastAsia"/>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r>
              <w:rPr>
                <w:rFonts w:ascii="黑体" w:eastAsia="黑体" w:hint="eastAsia"/>
                <w:sz w:val="21"/>
              </w:rPr>
              <w:t>。</w:t>
            </w:r>
          </w:p>
        </w:tc>
      </w:tr>
      <w:tr>
        <w:trPr>
          <w:trHeight w:val="1106" w:hRule="atLeast"/>
        </w:trPr>
        <w:tc>
          <w:tcPr>
            <w:tcW w:w="809" w:type="dxa"/>
          </w:tcPr>
          <w:p>
            <w:pPr>
              <w:pStyle w:val="TableParagraph"/>
              <w:spacing w:before="72"/>
              <w:ind w:left="200"/>
              <w:rPr>
                <w:b/>
                <w:sz w:val="21"/>
              </w:rPr>
            </w:pPr>
            <w:r>
              <w:rPr>
                <w:b/>
                <w:sz w:val="21"/>
              </w:rPr>
              <w:t>9.9</w:t>
            </w:r>
          </w:p>
        </w:tc>
        <w:tc>
          <w:tcPr>
            <w:tcW w:w="1585" w:type="dxa"/>
          </w:tcPr>
          <w:p>
            <w:pPr>
              <w:pStyle w:val="TableParagraph"/>
              <w:spacing w:before="72"/>
              <w:ind w:left="185"/>
              <w:rPr>
                <w:b/>
                <w:sz w:val="21"/>
              </w:rPr>
            </w:pPr>
            <w:r>
              <w:rPr>
                <w:b/>
                <w:sz w:val="21"/>
              </w:rPr>
              <w:t>毒品</w:t>
            </w:r>
          </w:p>
        </w:tc>
        <w:tc>
          <w:tcPr>
            <w:tcW w:w="7824" w:type="dxa"/>
          </w:tcPr>
          <w:p>
            <w:pPr>
              <w:pStyle w:val="TableParagraph"/>
              <w:spacing w:line="273" w:lineRule="auto" w:before="72"/>
              <w:ind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8" w:hRule="atLeast"/>
        </w:trPr>
        <w:tc>
          <w:tcPr>
            <w:tcW w:w="809" w:type="dxa"/>
          </w:tcPr>
          <w:p>
            <w:pPr>
              <w:pStyle w:val="TableParagraph"/>
              <w:spacing w:before="72"/>
              <w:ind w:left="200"/>
              <w:rPr>
                <w:b/>
                <w:sz w:val="21"/>
              </w:rPr>
            </w:pPr>
            <w:r>
              <w:rPr>
                <w:b/>
                <w:sz w:val="21"/>
              </w:rPr>
              <w:t>9.10</w:t>
            </w:r>
          </w:p>
        </w:tc>
        <w:tc>
          <w:tcPr>
            <w:tcW w:w="1585" w:type="dxa"/>
          </w:tcPr>
          <w:p>
            <w:pPr>
              <w:pStyle w:val="TableParagraph"/>
              <w:spacing w:before="72"/>
              <w:ind w:left="185"/>
              <w:rPr>
                <w:b/>
                <w:sz w:val="21"/>
              </w:rPr>
            </w:pPr>
            <w:r>
              <w:rPr>
                <w:b/>
                <w:sz w:val="21"/>
              </w:rPr>
              <w:t>酒后驾驶</w:t>
            </w:r>
          </w:p>
        </w:tc>
        <w:tc>
          <w:tcPr>
            <w:tcW w:w="7824" w:type="dxa"/>
          </w:tcPr>
          <w:p>
            <w:pPr>
              <w:pStyle w:val="TableParagraph"/>
              <w:spacing w:line="273" w:lineRule="auto" w:before="72"/>
              <w:ind w:right="332"/>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354" w:hRule="atLeast"/>
        </w:trPr>
        <w:tc>
          <w:tcPr>
            <w:tcW w:w="809" w:type="dxa"/>
          </w:tcPr>
          <w:p>
            <w:pPr>
              <w:pStyle w:val="TableParagraph"/>
              <w:spacing w:before="72"/>
              <w:ind w:left="200"/>
              <w:rPr>
                <w:b/>
                <w:sz w:val="21"/>
              </w:rPr>
            </w:pPr>
            <w:r>
              <w:rPr>
                <w:b/>
                <w:sz w:val="21"/>
              </w:rPr>
              <w:t>9.11</w:t>
            </w:r>
          </w:p>
        </w:tc>
        <w:tc>
          <w:tcPr>
            <w:tcW w:w="1585" w:type="dxa"/>
          </w:tcPr>
          <w:p>
            <w:pPr>
              <w:pStyle w:val="TableParagraph"/>
              <w:spacing w:line="273" w:lineRule="auto" w:before="72"/>
              <w:ind w:left="185" w:right="129"/>
              <w:rPr>
                <w:b/>
                <w:sz w:val="21"/>
              </w:rPr>
            </w:pPr>
            <w:r>
              <w:rPr>
                <w:b/>
                <w:sz w:val="21"/>
              </w:rPr>
              <w:t>无合法有效驾驶证驾驶</w:t>
            </w:r>
          </w:p>
        </w:tc>
        <w:tc>
          <w:tcPr>
            <w:tcW w:w="7824" w:type="dxa"/>
          </w:tcPr>
          <w:p>
            <w:pPr>
              <w:pStyle w:val="TableParagraph"/>
              <w:spacing w:before="72"/>
              <w:rPr>
                <w:sz w:val="21"/>
              </w:rPr>
            </w:pPr>
            <w:r>
              <w:rPr>
                <w:sz w:val="21"/>
              </w:rPr>
              <w:t>指下列情形之一：</w:t>
            </w:r>
          </w:p>
          <w:p>
            <w:pPr>
              <w:pStyle w:val="TableParagraph"/>
              <w:numPr>
                <w:ilvl w:val="0"/>
                <w:numId w:val="24"/>
              </w:numPr>
              <w:tabs>
                <w:tab w:pos="866" w:val="left" w:leader="none"/>
                <w:tab w:pos="867" w:val="left" w:leader="none"/>
              </w:tabs>
              <w:spacing w:line="240" w:lineRule="auto" w:before="37" w:after="0"/>
              <w:ind w:left="867" w:right="0" w:hanging="735"/>
              <w:jc w:val="left"/>
              <w:rPr>
                <w:sz w:val="21"/>
              </w:rPr>
            </w:pPr>
            <w:r>
              <w:rPr>
                <w:spacing w:val="-3"/>
                <w:sz w:val="21"/>
              </w:rPr>
              <w:t>没有取得中华人民共和国有关主管部门颁发或者认可的驾驶资格证书；</w:t>
            </w:r>
          </w:p>
          <w:p>
            <w:pPr>
              <w:pStyle w:val="TableParagraph"/>
              <w:numPr>
                <w:ilvl w:val="0"/>
                <w:numId w:val="24"/>
              </w:numPr>
              <w:tabs>
                <w:tab w:pos="866" w:val="left" w:leader="none"/>
                <w:tab w:pos="867" w:val="left" w:leader="none"/>
              </w:tabs>
              <w:spacing w:line="240" w:lineRule="auto" w:before="37" w:after="0"/>
              <w:ind w:left="867" w:right="0" w:hanging="735"/>
              <w:jc w:val="left"/>
              <w:rPr>
                <w:sz w:val="21"/>
              </w:rPr>
            </w:pPr>
            <w:r>
              <w:rPr>
                <w:spacing w:val="-3"/>
                <w:sz w:val="21"/>
              </w:rPr>
              <w:t>驾驶与合法有效驾驶证准驾车型不相符合的车辆；</w:t>
            </w:r>
          </w:p>
          <w:p>
            <w:pPr>
              <w:pStyle w:val="TableParagraph"/>
              <w:numPr>
                <w:ilvl w:val="0"/>
                <w:numId w:val="24"/>
              </w:numPr>
              <w:tabs>
                <w:tab w:pos="866" w:val="left" w:leader="none"/>
                <w:tab w:pos="867" w:val="left" w:leader="none"/>
              </w:tabs>
              <w:spacing w:line="240" w:lineRule="auto" w:before="37" w:after="0"/>
              <w:ind w:left="867" w:right="0" w:hanging="735"/>
              <w:jc w:val="left"/>
              <w:rPr>
                <w:sz w:val="21"/>
              </w:rPr>
            </w:pPr>
            <w:r>
              <w:rPr>
                <w:spacing w:val="-3"/>
                <w:sz w:val="21"/>
              </w:rPr>
              <w:t>持审验不合格的驾驶证驾驶；</w:t>
            </w:r>
          </w:p>
          <w:p>
            <w:pPr>
              <w:pStyle w:val="TableParagraph"/>
              <w:numPr>
                <w:ilvl w:val="0"/>
                <w:numId w:val="24"/>
              </w:numPr>
              <w:tabs>
                <w:tab w:pos="866" w:val="left" w:leader="none"/>
                <w:tab w:pos="867" w:val="left" w:leader="none"/>
              </w:tabs>
              <w:spacing w:line="273" w:lineRule="auto" w:before="37" w:after="0"/>
              <w:ind w:left="867" w:right="303" w:hanging="735"/>
              <w:jc w:val="left"/>
              <w:rPr>
                <w:sz w:val="21"/>
              </w:rPr>
            </w:pPr>
            <w:r>
              <w:rPr>
                <w:spacing w:val="-7"/>
                <w:sz w:val="21"/>
              </w:rPr>
              <w:t>在驾驶证有效期内未按照中华人民共和国法律、行政法规的规定，定期对</w:t>
            </w:r>
            <w:r>
              <w:rPr>
                <w:spacing w:val="-5"/>
                <w:sz w:val="21"/>
              </w:rPr>
              <w:t>机动车驾驶证实施审验的；</w:t>
            </w:r>
          </w:p>
          <w:p>
            <w:pPr>
              <w:pStyle w:val="TableParagraph"/>
              <w:numPr>
                <w:ilvl w:val="0"/>
                <w:numId w:val="24"/>
              </w:numPr>
              <w:tabs>
                <w:tab w:pos="866" w:val="left" w:leader="none"/>
                <w:tab w:pos="867" w:val="left" w:leader="none"/>
              </w:tabs>
              <w:spacing w:line="240" w:lineRule="auto" w:before="7" w:after="0"/>
              <w:ind w:left="867" w:right="0" w:hanging="735"/>
              <w:jc w:val="left"/>
              <w:rPr>
                <w:sz w:val="21"/>
              </w:rPr>
            </w:pPr>
            <w:r>
              <w:rPr>
                <w:spacing w:val="-3"/>
                <w:sz w:val="21"/>
              </w:rPr>
              <w:t>驾驶证已过有效期的。</w:t>
            </w:r>
          </w:p>
        </w:tc>
      </w:tr>
      <w:tr>
        <w:trPr>
          <w:trHeight w:val="1729" w:hRule="atLeast"/>
        </w:trPr>
        <w:tc>
          <w:tcPr>
            <w:tcW w:w="809" w:type="dxa"/>
          </w:tcPr>
          <w:p>
            <w:pPr>
              <w:pStyle w:val="TableParagraph"/>
              <w:spacing w:before="72"/>
              <w:ind w:left="200"/>
              <w:rPr>
                <w:b/>
                <w:sz w:val="21"/>
              </w:rPr>
            </w:pPr>
            <w:r>
              <w:rPr>
                <w:b/>
                <w:sz w:val="21"/>
              </w:rPr>
              <w:t>9.12</w:t>
            </w:r>
          </w:p>
        </w:tc>
        <w:tc>
          <w:tcPr>
            <w:tcW w:w="1585" w:type="dxa"/>
          </w:tcPr>
          <w:p>
            <w:pPr>
              <w:pStyle w:val="TableParagraph"/>
              <w:spacing w:line="273" w:lineRule="auto" w:before="72"/>
              <w:ind w:left="185" w:right="131"/>
              <w:rPr>
                <w:b/>
                <w:sz w:val="21"/>
              </w:rPr>
            </w:pPr>
            <w:r>
              <w:rPr>
                <w:b/>
                <w:sz w:val="21"/>
              </w:rPr>
              <w:t>无合法有效行驶证</w:t>
            </w:r>
          </w:p>
        </w:tc>
        <w:tc>
          <w:tcPr>
            <w:tcW w:w="7824" w:type="dxa"/>
          </w:tcPr>
          <w:p>
            <w:pPr>
              <w:pStyle w:val="TableParagraph"/>
              <w:spacing w:line="273" w:lineRule="auto" w:before="72"/>
              <w:ind w:right="332"/>
              <w:rPr>
                <w:sz w:val="21"/>
              </w:rPr>
            </w:pPr>
            <w:r>
              <w:rPr>
                <w:sz w:val="21"/>
              </w:rPr>
              <w:t>指发生保险事故时没有按照公安机关交通管理部门机动车等级制度的规定进行登记并领取机动车行驶证或者临时通行牌证等法定证件。包括下列情形之一：</w:t>
            </w:r>
          </w:p>
          <w:p>
            <w:pPr>
              <w:pStyle w:val="TableParagraph"/>
              <w:numPr>
                <w:ilvl w:val="0"/>
                <w:numId w:val="25"/>
              </w:numPr>
              <w:tabs>
                <w:tab w:pos="866" w:val="left" w:leader="none"/>
                <w:tab w:pos="867" w:val="left" w:leader="none"/>
              </w:tabs>
              <w:spacing w:line="240" w:lineRule="auto" w:before="8" w:after="0"/>
              <w:ind w:left="867" w:right="0" w:hanging="735"/>
              <w:jc w:val="left"/>
              <w:rPr>
                <w:sz w:val="21"/>
              </w:rPr>
            </w:pPr>
            <w:r>
              <w:rPr>
                <w:spacing w:val="-3"/>
                <w:sz w:val="21"/>
              </w:rPr>
              <w:t>未办理行驶证或者行驶证在申办过程中的；</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机动车行驶证被依法注销登记的；</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未在行驶证有效期内依法按时进行或者未通过机动车安全技术检验的。</w:t>
            </w:r>
          </w:p>
        </w:tc>
      </w:tr>
      <w:tr>
        <w:trPr>
          <w:trHeight w:val="793" w:hRule="atLeast"/>
        </w:trPr>
        <w:tc>
          <w:tcPr>
            <w:tcW w:w="809" w:type="dxa"/>
          </w:tcPr>
          <w:p>
            <w:pPr>
              <w:pStyle w:val="TableParagraph"/>
              <w:spacing w:before="70"/>
              <w:ind w:left="200"/>
              <w:rPr>
                <w:b/>
                <w:sz w:val="21"/>
              </w:rPr>
            </w:pPr>
            <w:r>
              <w:rPr>
                <w:b/>
                <w:sz w:val="21"/>
              </w:rPr>
              <w:t>9.13</w:t>
            </w:r>
          </w:p>
        </w:tc>
        <w:tc>
          <w:tcPr>
            <w:tcW w:w="1585" w:type="dxa"/>
          </w:tcPr>
          <w:p>
            <w:pPr>
              <w:pStyle w:val="TableParagraph"/>
              <w:spacing w:before="70"/>
              <w:ind w:left="185"/>
              <w:rPr>
                <w:b/>
                <w:sz w:val="21"/>
              </w:rPr>
            </w:pPr>
            <w:r>
              <w:rPr>
                <w:b/>
                <w:sz w:val="21"/>
              </w:rPr>
              <w:t>机动车</w:t>
            </w:r>
          </w:p>
        </w:tc>
        <w:tc>
          <w:tcPr>
            <w:tcW w:w="7824" w:type="dxa"/>
          </w:tcPr>
          <w:p>
            <w:pPr>
              <w:pStyle w:val="TableParagraph"/>
              <w:spacing w:line="273" w:lineRule="auto" w:before="70"/>
              <w:ind w:right="332"/>
              <w:rPr>
                <w:sz w:val="21"/>
              </w:rPr>
            </w:pPr>
            <w:r>
              <w:rPr>
                <w:sz w:val="21"/>
              </w:rPr>
              <w:t>指以动力装置驱动或者牵引，上道路行驶的供人员乘用或者用于运送物品以及进行工程专项作业的轮式车辆。</w:t>
            </w:r>
          </w:p>
        </w:tc>
      </w:tr>
      <w:tr>
        <w:trPr>
          <w:trHeight w:val="1730" w:hRule="atLeast"/>
        </w:trPr>
        <w:tc>
          <w:tcPr>
            <w:tcW w:w="809" w:type="dxa"/>
          </w:tcPr>
          <w:p>
            <w:pPr>
              <w:pStyle w:val="TableParagraph"/>
              <w:spacing w:before="72"/>
              <w:ind w:left="200"/>
              <w:rPr>
                <w:b/>
                <w:sz w:val="21"/>
              </w:rPr>
            </w:pPr>
            <w:r>
              <w:rPr>
                <w:b/>
                <w:sz w:val="21"/>
              </w:rPr>
              <w:t>9.14</w:t>
            </w:r>
          </w:p>
        </w:tc>
        <w:tc>
          <w:tcPr>
            <w:tcW w:w="1585" w:type="dxa"/>
          </w:tcPr>
          <w:p>
            <w:pPr>
              <w:pStyle w:val="TableParagraph"/>
              <w:spacing w:line="273" w:lineRule="auto" w:before="72"/>
              <w:ind w:left="185" w:right="129"/>
              <w:jc w:val="both"/>
              <w:rPr>
                <w:b/>
                <w:sz w:val="21"/>
              </w:rPr>
            </w:pPr>
            <w:r>
              <w:rPr>
                <w:b/>
                <w:sz w:val="21"/>
              </w:rPr>
              <w:t>感染艾滋病病毒或者患艾滋病</w:t>
            </w:r>
          </w:p>
        </w:tc>
        <w:tc>
          <w:tcPr>
            <w:tcW w:w="7824" w:type="dxa"/>
          </w:tcPr>
          <w:p>
            <w:pPr>
              <w:pStyle w:val="TableParagraph"/>
              <w:spacing w:line="273" w:lineRule="auto" w:before="72"/>
              <w:ind w:right="323"/>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94" w:hRule="atLeast"/>
        </w:trPr>
        <w:tc>
          <w:tcPr>
            <w:tcW w:w="809" w:type="dxa"/>
          </w:tcPr>
          <w:p>
            <w:pPr>
              <w:pStyle w:val="TableParagraph"/>
              <w:spacing w:before="72"/>
              <w:ind w:left="200"/>
              <w:rPr>
                <w:b/>
                <w:sz w:val="21"/>
              </w:rPr>
            </w:pPr>
            <w:r>
              <w:rPr>
                <w:b/>
                <w:sz w:val="21"/>
              </w:rPr>
              <w:t>9.15</w:t>
            </w:r>
          </w:p>
        </w:tc>
        <w:tc>
          <w:tcPr>
            <w:tcW w:w="1585" w:type="dxa"/>
          </w:tcPr>
          <w:p>
            <w:pPr>
              <w:pStyle w:val="TableParagraph"/>
              <w:spacing w:before="72"/>
              <w:ind w:left="185"/>
              <w:rPr>
                <w:b/>
                <w:sz w:val="21"/>
              </w:rPr>
            </w:pPr>
            <w:r>
              <w:rPr>
                <w:b/>
                <w:sz w:val="21"/>
              </w:rPr>
              <w:t>遗传性疾病</w:t>
            </w:r>
          </w:p>
        </w:tc>
        <w:tc>
          <w:tcPr>
            <w:tcW w:w="7824" w:type="dxa"/>
          </w:tcPr>
          <w:p>
            <w:pPr>
              <w:pStyle w:val="TableParagraph"/>
              <w:spacing w:line="273" w:lineRule="auto" w:before="72"/>
              <w:ind w:right="332"/>
              <w:rPr>
                <w:sz w:val="21"/>
              </w:rPr>
            </w:pPr>
            <w:r>
              <w:rPr>
                <w:sz w:val="21"/>
              </w:rPr>
              <w:t>指生殖细胞或者受精卵的遗传物质（染色体和基因）发生突变或者畸变所引起的疾病，通常具有由亲代传至后代的垂直传递的特征。</w:t>
            </w:r>
          </w:p>
        </w:tc>
      </w:tr>
      <w:tr>
        <w:trPr>
          <w:trHeight w:val="1106" w:hRule="atLeast"/>
        </w:trPr>
        <w:tc>
          <w:tcPr>
            <w:tcW w:w="809" w:type="dxa"/>
          </w:tcPr>
          <w:p>
            <w:pPr>
              <w:pStyle w:val="TableParagraph"/>
              <w:spacing w:before="72"/>
              <w:ind w:left="200"/>
              <w:rPr>
                <w:b/>
                <w:sz w:val="21"/>
              </w:rPr>
            </w:pPr>
            <w:r>
              <w:rPr>
                <w:b/>
                <w:sz w:val="21"/>
              </w:rPr>
              <w:t>9.16</w:t>
            </w:r>
          </w:p>
        </w:tc>
        <w:tc>
          <w:tcPr>
            <w:tcW w:w="1585" w:type="dxa"/>
          </w:tcPr>
          <w:p>
            <w:pPr>
              <w:pStyle w:val="TableParagraph"/>
              <w:spacing w:line="273" w:lineRule="auto" w:before="72"/>
              <w:ind w:left="185" w:right="129"/>
              <w:jc w:val="both"/>
              <w:rPr>
                <w:b/>
                <w:sz w:val="21"/>
              </w:rPr>
            </w:pPr>
            <w:r>
              <w:rPr>
                <w:b/>
                <w:sz w:val="21"/>
              </w:rPr>
              <w:t>先天性畸形、变形或者染色体异常</w:t>
            </w:r>
          </w:p>
        </w:tc>
        <w:tc>
          <w:tcPr>
            <w:tcW w:w="7824" w:type="dxa"/>
          </w:tcPr>
          <w:p>
            <w:pPr>
              <w:pStyle w:val="TableParagraph"/>
              <w:spacing w:line="273" w:lineRule="auto" w:before="72"/>
              <w:ind w:right="327"/>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346" w:hRule="atLeast"/>
        </w:trPr>
        <w:tc>
          <w:tcPr>
            <w:tcW w:w="809" w:type="dxa"/>
          </w:tcPr>
          <w:p>
            <w:pPr>
              <w:pStyle w:val="TableParagraph"/>
              <w:spacing w:line="255" w:lineRule="exact" w:before="72"/>
              <w:ind w:left="200"/>
              <w:rPr>
                <w:b/>
                <w:sz w:val="21"/>
              </w:rPr>
            </w:pPr>
            <w:r>
              <w:rPr>
                <w:b/>
                <w:sz w:val="21"/>
              </w:rPr>
              <w:t>9.17</w:t>
            </w:r>
          </w:p>
        </w:tc>
        <w:tc>
          <w:tcPr>
            <w:tcW w:w="1585" w:type="dxa"/>
          </w:tcPr>
          <w:p>
            <w:pPr>
              <w:pStyle w:val="TableParagraph"/>
              <w:spacing w:line="255" w:lineRule="exact" w:before="72"/>
              <w:ind w:left="185"/>
              <w:rPr>
                <w:b/>
                <w:sz w:val="21"/>
              </w:rPr>
            </w:pPr>
            <w:r>
              <w:rPr>
                <w:b/>
                <w:sz w:val="21"/>
              </w:rPr>
              <w:t>现金价值</w:t>
            </w:r>
          </w:p>
        </w:tc>
        <w:tc>
          <w:tcPr>
            <w:tcW w:w="7824" w:type="dxa"/>
          </w:tcPr>
          <w:p>
            <w:pPr>
              <w:pStyle w:val="TableParagraph"/>
              <w:spacing w:line="255" w:lineRule="exact" w:before="72"/>
              <w:rPr>
                <w:sz w:val="21"/>
              </w:rPr>
            </w:pPr>
            <w:r>
              <w:rPr>
                <w:sz w:val="21"/>
              </w:rPr>
              <w:t>指保险合同所具有的价值，通常体现为解除合同时，根据精算原理计算的，由本</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4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公司退还的那部分金额。</w:t>
            </w:r>
          </w:p>
        </w:tc>
      </w:tr>
      <w:tr>
        <w:trPr>
          <w:trHeight w:val="2354" w:hRule="atLeast"/>
        </w:trPr>
        <w:tc>
          <w:tcPr>
            <w:tcW w:w="809" w:type="dxa"/>
          </w:tcPr>
          <w:p>
            <w:pPr>
              <w:pStyle w:val="TableParagraph"/>
              <w:spacing w:before="72"/>
              <w:ind w:left="200"/>
              <w:rPr>
                <w:b/>
                <w:sz w:val="21"/>
              </w:rPr>
            </w:pPr>
            <w:r>
              <w:rPr>
                <w:b/>
                <w:sz w:val="21"/>
              </w:rPr>
              <w:t>9.18</w:t>
            </w:r>
          </w:p>
        </w:tc>
        <w:tc>
          <w:tcPr>
            <w:tcW w:w="1585" w:type="dxa"/>
          </w:tcPr>
          <w:p>
            <w:pPr>
              <w:pStyle w:val="TableParagraph"/>
              <w:spacing w:before="72"/>
              <w:ind w:left="185"/>
              <w:rPr>
                <w:b/>
                <w:sz w:val="21"/>
              </w:rPr>
            </w:pPr>
            <w:r>
              <w:rPr>
                <w:b/>
                <w:sz w:val="21"/>
              </w:rPr>
              <w:t>专科医生</w:t>
            </w:r>
          </w:p>
        </w:tc>
        <w:tc>
          <w:tcPr>
            <w:tcW w:w="7824" w:type="dxa"/>
          </w:tcPr>
          <w:p>
            <w:pPr>
              <w:pStyle w:val="TableParagraph"/>
              <w:spacing w:before="72"/>
              <w:rPr>
                <w:sz w:val="21"/>
              </w:rPr>
            </w:pPr>
            <w:r>
              <w:rPr>
                <w:sz w:val="21"/>
              </w:rPr>
              <w:t>专科医生应当同时满足以下四项资格条件：</w:t>
            </w:r>
          </w:p>
          <w:p>
            <w:pPr>
              <w:pStyle w:val="TableParagraph"/>
              <w:numPr>
                <w:ilvl w:val="0"/>
                <w:numId w:val="26"/>
              </w:numPr>
              <w:tabs>
                <w:tab w:pos="869" w:val="left" w:leader="none"/>
                <w:tab w:pos="870" w:val="left" w:leader="none"/>
              </w:tabs>
              <w:spacing w:line="240" w:lineRule="auto" w:before="37" w:after="0"/>
              <w:ind w:left="852" w:right="0" w:hanging="720"/>
              <w:jc w:val="left"/>
              <w:rPr>
                <w:sz w:val="21"/>
              </w:rPr>
            </w:pPr>
            <w:r>
              <w:rPr>
                <w:spacing w:val="-9"/>
                <w:sz w:val="21"/>
              </w:rPr>
              <w:t>具有有效的中华人民共和国《医师资格证书》；</w:t>
            </w:r>
          </w:p>
          <w:p>
            <w:pPr>
              <w:pStyle w:val="TableParagraph"/>
              <w:numPr>
                <w:ilvl w:val="0"/>
                <w:numId w:val="26"/>
              </w:numPr>
              <w:tabs>
                <w:tab w:pos="869" w:val="left" w:leader="none"/>
                <w:tab w:pos="870" w:val="left" w:leader="none"/>
              </w:tabs>
              <w:spacing w:line="273" w:lineRule="auto" w:before="37" w:after="0"/>
              <w:ind w:left="852" w:right="336" w:hanging="720"/>
              <w:jc w:val="left"/>
              <w:rPr>
                <w:sz w:val="21"/>
              </w:rPr>
            </w:pPr>
            <w:r>
              <w:rPr>
                <w:spacing w:val="-9"/>
                <w:sz w:val="21"/>
              </w:rPr>
              <w:t>具有有效的中华人民共和国《医师执业证书》，并按期到相关部门登记注册；</w:t>
            </w:r>
          </w:p>
          <w:p>
            <w:pPr>
              <w:pStyle w:val="TableParagraph"/>
              <w:numPr>
                <w:ilvl w:val="0"/>
                <w:numId w:val="26"/>
              </w:numPr>
              <w:tabs>
                <w:tab w:pos="834" w:val="left" w:leader="none"/>
              </w:tabs>
              <w:spacing w:line="273" w:lineRule="auto" w:before="7" w:after="0"/>
              <w:ind w:left="852" w:right="303"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6"/>
              </w:numPr>
              <w:tabs>
                <w:tab w:pos="869" w:val="left" w:leader="none"/>
                <w:tab w:pos="870" w:val="left" w:leader="none"/>
              </w:tabs>
              <w:spacing w:line="240" w:lineRule="auto" w:before="7" w:after="0"/>
              <w:ind w:left="852" w:right="0" w:hanging="720"/>
              <w:jc w:val="left"/>
              <w:rPr>
                <w:sz w:val="21"/>
              </w:rPr>
            </w:pPr>
            <w:r>
              <w:rPr>
                <w:spacing w:val="-3"/>
                <w:sz w:val="21"/>
              </w:rPr>
              <w:t>在二级或者二级以上医院的相应科室从事临床工作三年以上。</w:t>
            </w:r>
          </w:p>
        </w:tc>
      </w:tr>
      <w:tr>
        <w:trPr>
          <w:trHeight w:val="794" w:hRule="atLeast"/>
        </w:trPr>
        <w:tc>
          <w:tcPr>
            <w:tcW w:w="809" w:type="dxa"/>
          </w:tcPr>
          <w:p>
            <w:pPr>
              <w:pStyle w:val="TableParagraph"/>
              <w:spacing w:before="72"/>
              <w:ind w:left="200"/>
              <w:rPr>
                <w:b/>
                <w:sz w:val="21"/>
              </w:rPr>
            </w:pPr>
            <w:r>
              <w:rPr>
                <w:b/>
                <w:sz w:val="21"/>
              </w:rPr>
              <w:t>9.19</w:t>
            </w:r>
          </w:p>
        </w:tc>
        <w:tc>
          <w:tcPr>
            <w:tcW w:w="1585" w:type="dxa"/>
          </w:tcPr>
          <w:p>
            <w:pPr>
              <w:pStyle w:val="TableParagraph"/>
              <w:spacing w:line="273" w:lineRule="auto" w:before="72"/>
              <w:ind w:left="185" w:right="129"/>
              <w:rPr>
                <w:b/>
                <w:sz w:val="21"/>
              </w:rPr>
            </w:pPr>
            <w:r>
              <w:rPr>
                <w:b/>
                <w:sz w:val="21"/>
              </w:rPr>
              <w:t>肢体机能完全丧失</w:t>
            </w:r>
          </w:p>
        </w:tc>
        <w:tc>
          <w:tcPr>
            <w:tcW w:w="7824" w:type="dxa"/>
          </w:tcPr>
          <w:p>
            <w:pPr>
              <w:pStyle w:val="TableParagraph"/>
              <w:spacing w:line="273" w:lineRule="auto" w:before="72"/>
              <w:ind w:right="332"/>
              <w:rPr>
                <w:sz w:val="21"/>
              </w:rPr>
            </w:pPr>
            <w:r>
              <w:rPr>
                <w:sz w:val="21"/>
              </w:rPr>
              <w:t>指肢体的三大关节中的两大关节僵硬，或者不能随意识活动。肢体是指包括肩关节的整个上肢或者包括髋关节的整个下肢。</w:t>
            </w:r>
          </w:p>
        </w:tc>
      </w:tr>
      <w:tr>
        <w:trPr>
          <w:trHeight w:val="1418" w:hRule="atLeast"/>
        </w:trPr>
        <w:tc>
          <w:tcPr>
            <w:tcW w:w="809" w:type="dxa"/>
          </w:tcPr>
          <w:p>
            <w:pPr>
              <w:pStyle w:val="TableParagraph"/>
              <w:spacing w:before="72"/>
              <w:ind w:left="200"/>
              <w:rPr>
                <w:b/>
                <w:sz w:val="21"/>
              </w:rPr>
            </w:pPr>
            <w:r>
              <w:rPr>
                <w:b/>
                <w:sz w:val="21"/>
              </w:rPr>
              <w:t>9.20</w:t>
            </w:r>
          </w:p>
        </w:tc>
        <w:tc>
          <w:tcPr>
            <w:tcW w:w="1585" w:type="dxa"/>
          </w:tcPr>
          <w:p>
            <w:pPr>
              <w:pStyle w:val="TableParagraph"/>
              <w:spacing w:line="273" w:lineRule="auto" w:before="72"/>
              <w:ind w:left="185" w:right="129"/>
              <w:jc w:val="both"/>
              <w:rPr>
                <w:b/>
                <w:sz w:val="21"/>
              </w:rPr>
            </w:pPr>
            <w:r>
              <w:rPr>
                <w:b/>
                <w:sz w:val="21"/>
              </w:rPr>
              <w:t>语言能力或咀嚼吞咽能力完全丧失</w:t>
            </w:r>
          </w:p>
        </w:tc>
        <w:tc>
          <w:tcPr>
            <w:tcW w:w="7824" w:type="dxa"/>
          </w:tcPr>
          <w:p>
            <w:pPr>
              <w:pStyle w:val="TableParagraph"/>
              <w:spacing w:line="273" w:lineRule="auto" w:before="72"/>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4" w:hRule="atLeast"/>
        </w:trPr>
        <w:tc>
          <w:tcPr>
            <w:tcW w:w="809" w:type="dxa"/>
          </w:tcPr>
          <w:p>
            <w:pPr>
              <w:pStyle w:val="TableParagraph"/>
              <w:spacing w:before="72"/>
              <w:ind w:left="200"/>
              <w:rPr>
                <w:b/>
                <w:sz w:val="21"/>
              </w:rPr>
            </w:pPr>
            <w:r>
              <w:rPr>
                <w:b/>
                <w:sz w:val="21"/>
              </w:rPr>
              <w:t>9.21</w:t>
            </w:r>
          </w:p>
        </w:tc>
        <w:tc>
          <w:tcPr>
            <w:tcW w:w="1585" w:type="dxa"/>
          </w:tcPr>
          <w:p>
            <w:pPr>
              <w:pStyle w:val="TableParagraph"/>
              <w:spacing w:line="273" w:lineRule="auto" w:before="72"/>
              <w:ind w:left="185" w:right="129"/>
              <w:rPr>
                <w:b/>
                <w:sz w:val="21"/>
              </w:rPr>
            </w:pPr>
            <w:r>
              <w:rPr>
                <w:b/>
                <w:sz w:val="21"/>
              </w:rPr>
              <w:t>六项基本日常生活活动</w:t>
            </w:r>
          </w:p>
        </w:tc>
        <w:tc>
          <w:tcPr>
            <w:tcW w:w="7824" w:type="dxa"/>
          </w:tcPr>
          <w:p>
            <w:pPr>
              <w:pStyle w:val="TableParagraph"/>
              <w:spacing w:before="72"/>
              <w:rPr>
                <w:sz w:val="21"/>
              </w:rPr>
            </w:pPr>
            <w:r>
              <w:rPr>
                <w:sz w:val="21"/>
              </w:rPr>
              <w:t>六项基本日常生活活动是指：</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穿衣：自己能够穿衣及脱衣；</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移动：自己从一个房间到另一个房间；</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行动：自己上下床或者上下轮椅；</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如厕：自己控制进行大小便；</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进食：自己从已准备好的碗或者碟中取食物放入口中；</w:t>
            </w:r>
          </w:p>
          <w:p>
            <w:pPr>
              <w:pStyle w:val="TableParagraph"/>
              <w:numPr>
                <w:ilvl w:val="0"/>
                <w:numId w:val="27"/>
              </w:numPr>
              <w:tabs>
                <w:tab w:pos="869" w:val="left" w:leader="none"/>
                <w:tab w:pos="870" w:val="left" w:leader="none"/>
              </w:tabs>
              <w:spacing w:line="240" w:lineRule="auto" w:before="37" w:after="0"/>
              <w:ind w:left="869" w:right="0" w:hanging="737"/>
              <w:jc w:val="left"/>
              <w:rPr>
                <w:sz w:val="21"/>
              </w:rPr>
            </w:pPr>
            <w:r>
              <w:rPr>
                <w:spacing w:val="-3"/>
                <w:sz w:val="21"/>
              </w:rPr>
              <w:t>洗澡：自己进行淋浴或者盆浴。</w:t>
            </w:r>
          </w:p>
        </w:tc>
      </w:tr>
      <w:tr>
        <w:trPr>
          <w:trHeight w:val="658" w:hRule="atLeast"/>
        </w:trPr>
        <w:tc>
          <w:tcPr>
            <w:tcW w:w="809" w:type="dxa"/>
          </w:tcPr>
          <w:p>
            <w:pPr>
              <w:pStyle w:val="TableParagraph"/>
              <w:spacing w:before="72"/>
              <w:ind w:left="200"/>
              <w:rPr>
                <w:b/>
                <w:sz w:val="21"/>
              </w:rPr>
            </w:pPr>
            <w:r>
              <w:rPr>
                <w:b/>
                <w:sz w:val="21"/>
              </w:rPr>
              <w:t>9.22</w:t>
            </w:r>
          </w:p>
        </w:tc>
        <w:tc>
          <w:tcPr>
            <w:tcW w:w="1585" w:type="dxa"/>
          </w:tcPr>
          <w:p>
            <w:pPr>
              <w:pStyle w:val="TableParagraph"/>
              <w:spacing w:before="72"/>
              <w:ind w:left="185"/>
              <w:rPr>
                <w:b/>
                <w:sz w:val="21"/>
              </w:rPr>
            </w:pPr>
            <w:r>
              <w:rPr>
                <w:b/>
                <w:sz w:val="21"/>
              </w:rPr>
              <w:t>永久不可逆</w:t>
            </w:r>
          </w:p>
        </w:tc>
        <w:tc>
          <w:tcPr>
            <w:tcW w:w="7824" w:type="dxa"/>
          </w:tcPr>
          <w:p>
            <w:pPr>
              <w:pStyle w:val="TableParagraph"/>
              <w:spacing w:line="310" w:lineRule="atLeast" w:before="36"/>
              <w:ind w:right="332"/>
              <w:rPr>
                <w:sz w:val="21"/>
              </w:rPr>
            </w:pPr>
            <w:r>
              <w:rPr>
                <w:spacing w:val="-5"/>
                <w:sz w:val="21"/>
              </w:rPr>
              <w:t>指自疾病确诊或者意外伤害发生之日起，经过积极治疗 </w:t>
            </w:r>
            <w:r>
              <w:rPr>
                <w:sz w:val="21"/>
              </w:rPr>
              <w:t>180</w:t>
            </w:r>
            <w:r>
              <w:rPr>
                <w:spacing w:val="-7"/>
                <w:sz w:val="21"/>
              </w:rPr>
              <w:t> 天后，仍无法通过现</w:t>
            </w:r>
            <w:r>
              <w:rPr>
                <w:spacing w:val="-3"/>
                <w:sz w:val="21"/>
              </w:rPr>
              <w:t>有医疗手段恢复。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2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22">
    <w:multiLevelType w:val="hybridMultilevel"/>
    <w:lvl w:ilvl="0">
      <w:start w:val="1"/>
      <w:numFmt w:val="decimal"/>
      <w:lvlText w:val="（%1）"/>
      <w:lvlJc w:val="left"/>
      <w:pPr>
        <w:ind w:left="888" w:hanging="721"/>
        <w:jc w:val="left"/>
      </w:pPr>
      <w:rPr>
        <w:rFonts w:hint="default" w:ascii="宋体" w:hAnsi="宋体" w:eastAsia="宋体" w:cs="宋体"/>
        <w:w w:val="100"/>
        <w:sz w:val="21"/>
        <w:szCs w:val="21"/>
      </w:rPr>
    </w:lvl>
    <w:lvl w:ilvl="1">
      <w:start w:val="0"/>
      <w:numFmt w:val="bullet"/>
      <w:lvlText w:val="•"/>
      <w:lvlJc w:val="left"/>
      <w:pPr>
        <w:ind w:left="155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03" w:hanging="721"/>
      </w:pPr>
      <w:rPr>
        <w:rFonts w:hint="default"/>
      </w:rPr>
    </w:lvl>
    <w:lvl w:ilvl="4">
      <w:start w:val="0"/>
      <w:numFmt w:val="bullet"/>
      <w:lvlText w:val="•"/>
      <w:lvlJc w:val="left"/>
      <w:pPr>
        <w:ind w:left="3577" w:hanging="721"/>
      </w:pPr>
      <w:rPr>
        <w:rFonts w:hint="default"/>
      </w:rPr>
    </w:lvl>
    <w:lvl w:ilvl="5">
      <w:start w:val="0"/>
      <w:numFmt w:val="bullet"/>
      <w:lvlText w:val="•"/>
      <w:lvlJc w:val="left"/>
      <w:pPr>
        <w:ind w:left="4252" w:hanging="721"/>
      </w:pPr>
      <w:rPr>
        <w:rFonts w:hint="default"/>
      </w:rPr>
    </w:lvl>
    <w:lvl w:ilvl="6">
      <w:start w:val="0"/>
      <w:numFmt w:val="bullet"/>
      <w:lvlText w:val="•"/>
      <w:lvlJc w:val="left"/>
      <w:pPr>
        <w:ind w:left="4926" w:hanging="721"/>
      </w:pPr>
      <w:rPr>
        <w:rFonts w:hint="default"/>
      </w:rPr>
    </w:lvl>
    <w:lvl w:ilvl="7">
      <w:start w:val="0"/>
      <w:numFmt w:val="bullet"/>
      <w:lvlText w:val="•"/>
      <w:lvlJc w:val="left"/>
      <w:pPr>
        <w:ind w:left="5600" w:hanging="721"/>
      </w:pPr>
      <w:rPr>
        <w:rFonts w:hint="default"/>
      </w:rPr>
    </w:lvl>
    <w:lvl w:ilvl="8">
      <w:start w:val="0"/>
      <w:numFmt w:val="bullet"/>
      <w:lvlText w:val="•"/>
      <w:lvlJc w:val="left"/>
      <w:pPr>
        <w:ind w:left="6275" w:hanging="721"/>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2"/>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7">
    <w:multiLevelType w:val="hybridMultilevel"/>
    <w:lvl w:ilvl="0">
      <w:start w:val="1"/>
      <w:numFmt w:val="decimal"/>
      <w:lvlText w:val="（%1）"/>
      <w:lvlJc w:val="left"/>
      <w:pPr>
        <w:ind w:left="867" w:hanging="702"/>
        <w:jc w:val="left"/>
      </w:pPr>
      <w:rPr>
        <w:rFonts w:hint="default"/>
        <w:w w:val="100"/>
      </w:rPr>
    </w:lvl>
    <w:lvl w:ilvl="1">
      <w:start w:val="0"/>
      <w:numFmt w:val="bullet"/>
      <w:lvlText w:val="•"/>
      <w:lvlJc w:val="left"/>
      <w:pPr>
        <w:ind w:left="1536" w:hanging="702"/>
      </w:pPr>
      <w:rPr>
        <w:rFonts w:hint="default"/>
      </w:rPr>
    </w:lvl>
    <w:lvl w:ilvl="2">
      <w:start w:val="0"/>
      <w:numFmt w:val="bullet"/>
      <w:lvlText w:val="•"/>
      <w:lvlJc w:val="left"/>
      <w:pPr>
        <w:ind w:left="2213" w:hanging="702"/>
      </w:pPr>
      <w:rPr>
        <w:rFonts w:hint="default"/>
      </w:rPr>
    </w:lvl>
    <w:lvl w:ilvl="3">
      <w:start w:val="0"/>
      <w:numFmt w:val="bullet"/>
      <w:lvlText w:val="•"/>
      <w:lvlJc w:val="left"/>
      <w:pPr>
        <w:ind w:left="2889" w:hanging="702"/>
      </w:pPr>
      <w:rPr>
        <w:rFonts w:hint="default"/>
      </w:rPr>
    </w:lvl>
    <w:lvl w:ilvl="4">
      <w:start w:val="0"/>
      <w:numFmt w:val="bullet"/>
      <w:lvlText w:val="•"/>
      <w:lvlJc w:val="left"/>
      <w:pPr>
        <w:ind w:left="3566" w:hanging="702"/>
      </w:pPr>
      <w:rPr>
        <w:rFonts w:hint="default"/>
      </w:rPr>
    </w:lvl>
    <w:lvl w:ilvl="5">
      <w:start w:val="0"/>
      <w:numFmt w:val="bullet"/>
      <w:lvlText w:val="•"/>
      <w:lvlJc w:val="left"/>
      <w:pPr>
        <w:ind w:left="4243" w:hanging="702"/>
      </w:pPr>
      <w:rPr>
        <w:rFonts w:hint="default"/>
      </w:rPr>
    </w:lvl>
    <w:lvl w:ilvl="6">
      <w:start w:val="0"/>
      <w:numFmt w:val="bullet"/>
      <w:lvlText w:val="•"/>
      <w:lvlJc w:val="left"/>
      <w:pPr>
        <w:ind w:left="4919" w:hanging="702"/>
      </w:pPr>
      <w:rPr>
        <w:rFonts w:hint="default"/>
      </w:rPr>
    </w:lvl>
    <w:lvl w:ilvl="7">
      <w:start w:val="0"/>
      <w:numFmt w:val="bullet"/>
      <w:lvlText w:val="•"/>
      <w:lvlJc w:val="left"/>
      <w:pPr>
        <w:ind w:left="5596" w:hanging="702"/>
      </w:pPr>
      <w:rPr>
        <w:rFonts w:hint="default"/>
      </w:rPr>
    </w:lvl>
    <w:lvl w:ilvl="8">
      <w:start w:val="0"/>
      <w:numFmt w:val="bullet"/>
      <w:lvlText w:val="•"/>
      <w:lvlJc w:val="left"/>
      <w:pPr>
        <w:ind w:left="6272" w:hanging="702"/>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5"/>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6" w:hanging="735"/>
      </w:pPr>
      <w:rPr>
        <w:rFonts w:hint="default"/>
      </w:rPr>
    </w:lvl>
    <w:lvl w:ilvl="4">
      <w:start w:val="0"/>
      <w:numFmt w:val="bullet"/>
      <w:lvlText w:val="•"/>
      <w:lvlJc w:val="left"/>
      <w:pPr>
        <w:ind w:left="3661" w:hanging="735"/>
      </w:pPr>
      <w:rPr>
        <w:rFonts w:hint="default"/>
      </w:rPr>
    </w:lvl>
    <w:lvl w:ilvl="5">
      <w:start w:val="0"/>
      <w:numFmt w:val="bullet"/>
      <w:lvlText w:val="•"/>
      <w:lvlJc w:val="left"/>
      <w:pPr>
        <w:ind w:left="4357" w:hanging="735"/>
      </w:pPr>
      <w:rPr>
        <w:rFonts w:hint="default"/>
      </w:rPr>
    </w:lvl>
    <w:lvl w:ilvl="6">
      <w:start w:val="0"/>
      <w:numFmt w:val="bullet"/>
      <w:lvlText w:val="•"/>
      <w:lvlJc w:val="left"/>
      <w:pPr>
        <w:ind w:left="5052" w:hanging="735"/>
      </w:pPr>
      <w:rPr>
        <w:rFonts w:hint="default"/>
      </w:rPr>
    </w:lvl>
    <w:lvl w:ilvl="7">
      <w:start w:val="0"/>
      <w:numFmt w:val="bullet"/>
      <w:lvlText w:val="•"/>
      <w:lvlJc w:val="left"/>
      <w:pPr>
        <w:ind w:left="5747" w:hanging="735"/>
      </w:pPr>
      <w:rPr>
        <w:rFonts w:hint="default"/>
      </w:rPr>
    </w:lvl>
    <w:lvl w:ilvl="8">
      <w:start w:val="0"/>
      <w:numFmt w:val="bullet"/>
      <w:lvlText w:val="•"/>
      <w:lvlJc w:val="left"/>
      <w:pPr>
        <w:ind w:left="6443" w:hanging="735"/>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037" w:hanging="399"/>
      </w:pPr>
      <w:rPr>
        <w:rFonts w:hint="default"/>
      </w:rPr>
    </w:lvl>
    <w:lvl w:ilvl="2">
      <w:start w:val="0"/>
      <w:numFmt w:val="bullet"/>
      <w:lvlText w:val="•"/>
      <w:lvlJc w:val="left"/>
      <w:pPr>
        <w:ind w:left="2934" w:hanging="399"/>
      </w:pPr>
      <w:rPr>
        <w:rFonts w:hint="default"/>
      </w:rPr>
    </w:lvl>
    <w:lvl w:ilvl="3">
      <w:start w:val="0"/>
      <w:numFmt w:val="bullet"/>
      <w:lvlText w:val="•"/>
      <w:lvlJc w:val="left"/>
      <w:pPr>
        <w:ind w:left="3831" w:hanging="399"/>
      </w:pPr>
      <w:rPr>
        <w:rFonts w:hint="default"/>
      </w:rPr>
    </w:lvl>
    <w:lvl w:ilvl="4">
      <w:start w:val="0"/>
      <w:numFmt w:val="bullet"/>
      <w:lvlText w:val="•"/>
      <w:lvlJc w:val="left"/>
      <w:pPr>
        <w:ind w:left="4729" w:hanging="399"/>
      </w:pPr>
      <w:rPr>
        <w:rFonts w:hint="default"/>
      </w:rPr>
    </w:lvl>
    <w:lvl w:ilvl="5">
      <w:start w:val="0"/>
      <w:numFmt w:val="bullet"/>
      <w:lvlText w:val="•"/>
      <w:lvlJc w:val="left"/>
      <w:pPr>
        <w:ind w:left="5626" w:hanging="399"/>
      </w:pPr>
      <w:rPr>
        <w:rFonts w:hint="default"/>
      </w:rPr>
    </w:lvl>
    <w:lvl w:ilvl="6">
      <w:start w:val="0"/>
      <w:numFmt w:val="bullet"/>
      <w:lvlText w:val="•"/>
      <w:lvlJc w:val="left"/>
      <w:pPr>
        <w:ind w:left="6523" w:hanging="399"/>
      </w:pPr>
      <w:rPr>
        <w:rFonts w:hint="default"/>
      </w:rPr>
    </w:lvl>
    <w:lvl w:ilvl="7">
      <w:start w:val="0"/>
      <w:numFmt w:val="bullet"/>
      <w:lvlText w:val="•"/>
      <w:lvlJc w:val="left"/>
      <w:pPr>
        <w:ind w:left="7421" w:hanging="399"/>
      </w:pPr>
      <w:rPr>
        <w:rFonts w:hint="default"/>
      </w:rPr>
    </w:lvl>
    <w:lvl w:ilvl="8">
      <w:start w:val="0"/>
      <w:numFmt w:val="bullet"/>
      <w:lvlText w:val="•"/>
      <w:lvlJc w:val="left"/>
      <w:pPr>
        <w:ind w:left="8318" w:hanging="399"/>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2018-10-20T04:24:56Z</dcterms:created>
  <dcterms:modified xsi:type="dcterms:W3CDTF">2018-10-20T04:24:56Z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2014-03-25T00:00:00Z</vt:filetime>
  </property>
  <property fmtid="{D5CDD505-2E9C-101B-9397-08002B2CF9AE}" pid="3" name="Creator">
    <vt:lpwstr>Microsoft® Office Word 2007</vt:lpwstr>
  </property>
  <property fmtid="{D5CDD505-2E9C-101B-9397-08002B2CF9AE}" pid="4" name="LastSaved">
    <vt:filetime>2018-10-19T00:00:00Z</vt:filetime>
  </property>
</Properties>
</file>