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311"/>
        <w:jc w:val="right"/>
      </w:pPr>
      <w:r>
        <w:rPr/>
        <w:drawing>
          <wp:anchor distT="0" distB="0" distL="0" distR="0" allowOverlap="1" layoutInCell="1" locked="0" behindDoc="0" simplePos="0" relativeHeight="0">
            <wp:simplePos x="0" y="0"/>
            <wp:positionH relativeFrom="page">
              <wp:posOffset>6187440</wp:posOffset>
            </wp:positionH>
            <wp:positionV relativeFrom="paragraph">
              <wp:posOffset>202983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交银康联[2014]疾病保险 016 号</w:t>
      </w:r>
    </w:p>
    <w:p>
      <w:pPr>
        <w:pStyle w:val="BodyText"/>
        <w:ind w:right="311"/>
        <w:jc w:val="right"/>
      </w:pPr>
      <w:r>
        <w:rPr/>
        <w:t>请扫描以查询验证条款</w:t>
      </w:r>
    </w:p>
    <w:p>
      <w:pPr>
        <w:pStyle w:val="Heading1"/>
        <w:spacing w:before="15"/>
        <w:ind w:right="285"/>
        <w:jc w:val="right"/>
      </w:pPr>
      <w:r>
        <w:rPr/>
        <w:pict>
          <v:line style="position:absolute;mso-position-horizontal-relative:page;mso-position-vertical-relative:paragraph;z-index:-48064" from="49.559998pt,2.835645pt" to="545.639986pt,2.835645pt" stroked="true" strokeweight=".72pt" strokecolor="#000000">
            <v:stroke dashstyle="solid"/>
            <w10:wrap type="none"/>
          </v:line>
        </w:pict>
      </w:r>
      <w:r>
        <w:rPr>
          <w:w w:val="95"/>
        </w:rPr>
        <w:t>交银康联附加交银健康人生重大疾病保险（安享版）条款</w:t>
      </w:r>
      <w:r>
        <w:rPr>
          <w:w w:val="95"/>
          <w:vertAlign w:val="subscript"/>
        </w:rPr>
        <w:t>（</w:t>
      </w:r>
      <w:r>
        <w:rPr>
          <w:w w:val="95"/>
          <w:vertAlign w:val="baseline"/>
        </w:rPr>
      </w:r>
      <w:r>
        <w:rPr>
          <w:w w:val="95"/>
          <w:vertAlign w:val="subscript"/>
        </w:rPr>
        <w:t>2</w:t>
      </w:r>
      <w:r>
        <w:rPr>
          <w:w w:val="95"/>
          <w:vertAlign w:val="baseline"/>
        </w:rPr>
      </w:r>
      <w:r>
        <w:rPr>
          <w:w w:val="95"/>
          <w:vertAlign w:val="subscript"/>
        </w:rPr>
        <w:t>0</w:t>
      </w:r>
      <w:r>
        <w:rPr>
          <w:w w:val="95"/>
          <w:vertAlign w:val="baseline"/>
        </w:rPr>
      </w:r>
      <w:r>
        <w:rPr>
          <w:w w:val="95"/>
          <w:vertAlign w:val="subscript"/>
        </w:rPr>
        <w:t>1</w:t>
      </w:r>
      <w:r>
        <w:rPr>
          <w:w w:val="95"/>
          <w:vertAlign w:val="baseline"/>
        </w:rPr>
      </w:r>
      <w:r>
        <w:rPr>
          <w:w w:val="95"/>
          <w:vertAlign w:val="subscript"/>
        </w:rPr>
        <w:t>4</w:t>
      </w:r>
      <w:r>
        <w:rPr>
          <w:w w:val="95"/>
          <w:vertAlign w:val="baseline"/>
        </w:rPr>
        <w:t> 年 </w:t>
      </w:r>
      <w:r>
        <w:rPr>
          <w:w w:val="95"/>
          <w:vertAlign w:val="subscript"/>
        </w:rPr>
        <w:t>5</w:t>
      </w:r>
      <w:r>
        <w:rPr>
          <w:w w:val="95"/>
          <w:vertAlign w:val="baseline"/>
        </w:rPr>
        <w:t> 月</w:t>
      </w:r>
      <w:r>
        <w:rPr>
          <w:w w:val="95"/>
          <w:vertAlign w:val="subscript"/>
        </w:rPr>
        <w:t>）</w:t>
      </w:r>
      <w:r>
        <w:rPr>
          <w:w w:val="95"/>
          <w:vertAlign w:val="baseline"/>
        </w:rPr>
      </w:r>
    </w:p>
    <w:p>
      <w:pPr>
        <w:spacing w:before="71"/>
        <w:ind w:left="4174" w:right="4348"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61" w:lineRule="auto" w:before="110"/>
        <w:ind w:left="140" w:right="249" w:hanging="1"/>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5"/>
          <w:w w:val="100"/>
          <w:position w:val="-7"/>
        </w:rPr>
        <w:t>．</w:t>
      </w:r>
      <w:r>
        <w:rPr>
          <w:spacing w:val="-149"/>
          <w:w w:val="100"/>
        </w:rPr>
        <w:t>对</w:t>
      </w:r>
      <w:r>
        <w:rPr>
          <w:spacing w:val="-65"/>
          <w:w w:val="100"/>
          <w:position w:val="-7"/>
        </w:rPr>
        <w:t>．</w:t>
      </w:r>
      <w:r>
        <w:rPr>
          <w:spacing w:val="-149"/>
          <w:w w:val="100"/>
        </w:rPr>
        <w:t>“</w:t>
      </w:r>
      <w:r>
        <w:rPr>
          <w:spacing w:val="-63"/>
          <w:w w:val="100"/>
          <w:position w:val="-7"/>
        </w:rPr>
        <w:t>．</w:t>
      </w:r>
      <w:r>
        <w:rPr>
          <w:spacing w:val="-152"/>
          <w:w w:val="100"/>
        </w:rPr>
        <w:t>交</w:t>
      </w:r>
      <w:r>
        <w:rPr>
          <w:spacing w:val="-63"/>
          <w:w w:val="100"/>
          <w:position w:val="-7"/>
        </w:rPr>
        <w:t>．</w:t>
      </w:r>
      <w:r>
        <w:rPr>
          <w:spacing w:val="-149"/>
          <w:w w:val="100"/>
        </w:rPr>
        <w:t>银</w:t>
      </w:r>
      <w:r>
        <w:rPr>
          <w:spacing w:val="-63"/>
          <w:w w:val="100"/>
          <w:position w:val="-7"/>
        </w:rPr>
        <w:t>．</w:t>
      </w:r>
      <w:r>
        <w:rPr>
          <w:spacing w:val="-152"/>
          <w:w w:val="100"/>
        </w:rPr>
        <w:t>康</w:t>
      </w:r>
      <w:r>
        <w:rPr>
          <w:spacing w:val="-63"/>
          <w:w w:val="100"/>
          <w:position w:val="-7"/>
        </w:rPr>
        <w:t>．</w:t>
      </w:r>
      <w:r>
        <w:rPr>
          <w:spacing w:val="-149"/>
          <w:w w:val="100"/>
        </w:rPr>
        <w:t>联</w:t>
      </w:r>
      <w:r>
        <w:rPr>
          <w:spacing w:val="-63"/>
          <w:w w:val="100"/>
          <w:position w:val="-7"/>
        </w:rPr>
        <w:t>．</w:t>
      </w:r>
      <w:r>
        <w:rPr>
          <w:spacing w:val="-152"/>
          <w:w w:val="100"/>
        </w:rPr>
        <w:t>附</w:t>
      </w:r>
      <w:r>
        <w:rPr>
          <w:spacing w:val="-63"/>
          <w:w w:val="100"/>
          <w:position w:val="-7"/>
        </w:rPr>
        <w:t>．</w:t>
      </w:r>
      <w:r>
        <w:rPr>
          <w:spacing w:val="-152"/>
          <w:w w:val="100"/>
        </w:rPr>
        <w:t>加</w:t>
      </w:r>
      <w:r>
        <w:rPr>
          <w:spacing w:val="-63"/>
          <w:w w:val="100"/>
          <w:position w:val="-7"/>
        </w:rPr>
        <w:t>．</w:t>
      </w:r>
      <w:r>
        <w:rPr>
          <w:spacing w:val="-149"/>
          <w:w w:val="100"/>
        </w:rPr>
        <w:t>交</w:t>
      </w:r>
      <w:r>
        <w:rPr>
          <w:spacing w:val="-63"/>
          <w:w w:val="100"/>
          <w:position w:val="-7"/>
        </w:rPr>
        <w:t>．</w:t>
      </w:r>
      <w:r>
        <w:rPr>
          <w:spacing w:val="-149"/>
          <w:w w:val="100"/>
        </w:rPr>
        <w:t>银</w:t>
      </w:r>
      <w:r>
        <w:rPr>
          <w:spacing w:val="-63"/>
          <w:w w:val="100"/>
          <w:position w:val="-7"/>
        </w:rPr>
        <w:t>．</w:t>
      </w:r>
      <w:r>
        <w:rPr>
          <w:spacing w:val="-152"/>
          <w:w w:val="100"/>
        </w:rPr>
        <w:t>健</w:t>
      </w:r>
      <w:r>
        <w:rPr>
          <w:spacing w:val="-63"/>
          <w:w w:val="100"/>
          <w:position w:val="-7"/>
        </w:rPr>
        <w:t>．</w:t>
      </w:r>
      <w:r>
        <w:rPr>
          <w:spacing w:val="-149"/>
          <w:w w:val="100"/>
        </w:rPr>
        <w:t>康</w:t>
      </w:r>
      <w:r>
        <w:rPr>
          <w:spacing w:val="-63"/>
          <w:w w:val="100"/>
          <w:position w:val="-7"/>
        </w:rPr>
        <w:t>．</w:t>
      </w:r>
      <w:r>
        <w:rPr>
          <w:spacing w:val="-152"/>
          <w:w w:val="100"/>
        </w:rPr>
        <w:t>人</w:t>
      </w:r>
      <w:r>
        <w:rPr>
          <w:spacing w:val="-63"/>
          <w:w w:val="100"/>
          <w:position w:val="-7"/>
        </w:rPr>
        <w:t>．</w:t>
      </w:r>
      <w:r>
        <w:rPr>
          <w:spacing w:val="-149"/>
          <w:w w:val="100"/>
        </w:rPr>
        <w:t>生</w:t>
      </w:r>
      <w:r>
        <w:rPr>
          <w:spacing w:val="-63"/>
          <w:w w:val="100"/>
          <w:position w:val="-7"/>
        </w:rPr>
        <w:t>．</w:t>
      </w:r>
      <w:r>
        <w:rPr>
          <w:spacing w:val="-152"/>
          <w:w w:val="100"/>
        </w:rPr>
        <w:t>重</w:t>
      </w:r>
      <w:r>
        <w:rPr>
          <w:spacing w:val="-63"/>
          <w:w w:val="100"/>
          <w:position w:val="-7"/>
        </w:rPr>
        <w:t>．</w:t>
      </w:r>
      <w:r>
        <w:rPr>
          <w:spacing w:val="-149"/>
          <w:w w:val="100"/>
        </w:rPr>
        <w:t>大</w:t>
      </w:r>
      <w:r>
        <w:rPr>
          <w:spacing w:val="-63"/>
          <w:w w:val="100"/>
          <w:position w:val="-7"/>
        </w:rPr>
        <w:t>．</w:t>
      </w:r>
      <w:r>
        <w:rPr>
          <w:spacing w:val="-152"/>
          <w:w w:val="100"/>
        </w:rPr>
        <w:t>疾</w:t>
      </w:r>
      <w:r>
        <w:rPr>
          <w:spacing w:val="-63"/>
          <w:w w:val="100"/>
          <w:position w:val="-7"/>
        </w:rPr>
        <w:t>．</w:t>
      </w:r>
      <w:r>
        <w:rPr>
          <w:spacing w:val="-149"/>
          <w:w w:val="100"/>
        </w:rPr>
        <w:t>病</w:t>
      </w:r>
      <w:r>
        <w:rPr>
          <w:spacing w:val="-63"/>
          <w:w w:val="100"/>
          <w:position w:val="-7"/>
        </w:rPr>
        <w:t>．</w:t>
      </w:r>
      <w:r>
        <w:rPr>
          <w:spacing w:val="-152"/>
          <w:w w:val="100"/>
        </w:rPr>
        <w:t>保</w:t>
      </w:r>
      <w:r>
        <w:rPr>
          <w:spacing w:val="-63"/>
          <w:w w:val="100"/>
          <w:position w:val="-7"/>
        </w:rPr>
        <w:t>．</w:t>
      </w:r>
      <w:r>
        <w:rPr>
          <w:spacing w:val="-149"/>
          <w:w w:val="100"/>
        </w:rPr>
        <w:t>险</w:t>
      </w:r>
      <w:r>
        <w:rPr>
          <w:spacing w:val="-65"/>
          <w:w w:val="100"/>
          <w:position w:val="-7"/>
        </w:rPr>
        <w:t>．</w:t>
      </w:r>
      <w:r>
        <w:rPr>
          <w:spacing w:val="-149"/>
          <w:w w:val="100"/>
        </w:rPr>
        <w:t>（</w:t>
      </w:r>
      <w:r>
        <w:rPr>
          <w:spacing w:val="-63"/>
          <w:w w:val="100"/>
          <w:position w:val="-7"/>
        </w:rPr>
        <w:t>．</w:t>
      </w:r>
      <w:r>
        <w:rPr>
          <w:spacing w:val="-152"/>
          <w:w w:val="100"/>
        </w:rPr>
        <w:t>安</w:t>
      </w:r>
      <w:r>
        <w:rPr>
          <w:spacing w:val="-63"/>
          <w:w w:val="100"/>
          <w:position w:val="-7"/>
        </w:rPr>
        <w:t>．</w:t>
      </w:r>
      <w:r>
        <w:rPr>
          <w:spacing w:val="-149"/>
          <w:w w:val="100"/>
        </w:rPr>
        <w:t>享</w:t>
      </w:r>
      <w:r>
        <w:rPr>
          <w:spacing w:val="-63"/>
          <w:w w:val="100"/>
          <w:position w:val="-7"/>
        </w:rPr>
        <w:t>．</w:t>
      </w:r>
      <w:r>
        <w:rPr>
          <w:spacing w:val="-149"/>
          <w:w w:val="100"/>
        </w:rPr>
        <w:t>版</w:t>
      </w:r>
      <w:r>
        <w:rPr>
          <w:spacing w:val="-63"/>
          <w:w w:val="100"/>
          <w:position w:val="-7"/>
        </w:rPr>
        <w:t>．</w:t>
      </w:r>
      <w:r>
        <w:rPr>
          <w:spacing w:val="-152"/>
          <w:w w:val="100"/>
        </w:rPr>
        <w:t>）</w:t>
      </w:r>
      <w:r>
        <w:rPr>
          <w:spacing w:val="-65"/>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w w:val="100"/>
          <w:position w:val="-7"/>
        </w:rPr>
        <w:t>．</w:t>
      </w:r>
      <w:r>
        <w:rPr>
          <w:spacing w:val="-149"/>
        </w:rPr>
        <w:t>以</w:t>
      </w:r>
      <w:r>
        <w:rPr>
          <w:spacing w:val="-63"/>
          <w:position w:val="-7"/>
        </w:rPr>
        <w:t>．</w:t>
      </w:r>
      <w:r>
        <w:rPr>
          <w:spacing w:val="-149"/>
        </w:rPr>
        <w:t>条</w:t>
      </w:r>
      <w:r>
        <w:rPr>
          <w:spacing w:val="-63"/>
          <w:position w:val="-7"/>
        </w:rPr>
        <w:t>．</w:t>
      </w:r>
      <w:r>
        <w:rPr>
          <w:spacing w:val="-152"/>
        </w:rPr>
        <w:t>款</w:t>
      </w:r>
      <w:r>
        <w:rPr>
          <w:spacing w:val="-63"/>
          <w:position w:val="-7"/>
        </w:rPr>
        <w:t>．</w:t>
      </w:r>
      <w:r>
        <w:rPr>
          <w:spacing w:val="-149"/>
        </w:rPr>
        <w:t>为</w:t>
      </w:r>
      <w:r>
        <w:rPr>
          <w:spacing w:val="-63"/>
          <w:position w:val="-7"/>
        </w:rPr>
        <w:t>．</w:t>
      </w:r>
      <w:r>
        <w:rPr>
          <w:spacing w:val="-152"/>
        </w:rPr>
        <w:t>准</w:t>
      </w:r>
      <w:r>
        <w:rPr>
          <w:spacing w:val="-63"/>
          <w:position w:val="-7"/>
        </w:rPr>
        <w:t>．</w:t>
      </w:r>
      <w:r>
        <w:rPr/>
        <w:t>。</w:t>
      </w:r>
    </w:p>
    <w:p>
      <w:pPr>
        <w:pStyle w:val="Heading3"/>
        <w:tabs>
          <w:tab w:pos="1315" w:val="left" w:leader="none"/>
        </w:tabs>
        <w:spacing w:line="596" w:lineRule="exact"/>
        <w:ind w:left="305"/>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1"/>
        </w:rPr>
        <w:t>您拥有的重要权益</w:t>
      </w:r>
    </w:p>
    <w:p>
      <w:pPr>
        <w:pStyle w:val="ListParagraph"/>
        <w:numPr>
          <w:ilvl w:val="0"/>
          <w:numId w:val="1"/>
        </w:numPr>
        <w:tabs>
          <w:tab w:pos="1697" w:val="left" w:leader="none"/>
          <w:tab w:pos="1698" w:val="left" w:leader="none"/>
        </w:tabs>
        <w:spacing w:line="240" w:lineRule="auto" w:before="26" w:after="0"/>
        <w:ind w:left="1697" w:right="0" w:hanging="420"/>
        <w:jc w:val="left"/>
        <w:rPr>
          <w:sz w:val="21"/>
        </w:rPr>
      </w:pPr>
      <w:r>
        <w:rPr>
          <w:spacing w:val="-3"/>
          <w:w w:val="100"/>
          <w:sz w:val="21"/>
        </w:rPr>
        <w:t>本附加合同必须与《交银康联交银健康人生两全保险</w:t>
      </w:r>
      <w:r>
        <w:rPr>
          <w:w w:val="100"/>
          <w:sz w:val="21"/>
        </w:rPr>
        <w:t>（</w:t>
      </w:r>
      <w:r>
        <w:rPr>
          <w:spacing w:val="-3"/>
          <w:w w:val="100"/>
          <w:sz w:val="21"/>
        </w:rPr>
        <w:t>安享版</w:t>
      </w:r>
      <w:r>
        <w:rPr>
          <w:spacing w:val="-106"/>
          <w:w w:val="100"/>
          <w:sz w:val="21"/>
        </w:rPr>
        <w:t>）</w:t>
      </w:r>
      <w:r>
        <w:rPr>
          <w:spacing w:val="-3"/>
          <w:w w:val="100"/>
          <w:sz w:val="21"/>
        </w:rPr>
        <w:t>（</w:t>
      </w:r>
      <w:r>
        <w:rPr>
          <w:spacing w:val="-2"/>
          <w:w w:val="100"/>
          <w:sz w:val="21"/>
        </w:rPr>
        <w:t>分红型</w:t>
      </w:r>
      <w:r>
        <w:rPr>
          <w:spacing w:val="-106"/>
          <w:w w:val="100"/>
          <w:sz w:val="21"/>
        </w:rPr>
        <w:t>）</w:t>
      </w:r>
      <w:r>
        <w:rPr>
          <w:spacing w:val="-3"/>
          <w:w w:val="100"/>
          <w:sz w:val="21"/>
        </w:rPr>
        <w:t>》同时投保.1</w:t>
      </w:r>
      <w:r>
        <w:rPr>
          <w:w w:val="100"/>
          <w:sz w:val="21"/>
        </w:rPr>
        <w:t>.1</w:t>
      </w:r>
    </w:p>
    <w:p>
      <w:pPr>
        <w:pStyle w:val="ListParagraph"/>
        <w:numPr>
          <w:ilvl w:val="0"/>
          <w:numId w:val="1"/>
        </w:numPr>
        <w:tabs>
          <w:tab w:pos="1697" w:val="left" w:leader="none"/>
          <w:tab w:pos="1698" w:val="left" w:leader="none"/>
          <w:tab w:pos="9891" w:val="right" w:leader="dot"/>
        </w:tabs>
        <w:spacing w:line="240" w:lineRule="auto" w:before="22" w:after="0"/>
        <w:ind w:left="169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2.2</w:t>
      </w:r>
    </w:p>
    <w:p>
      <w:pPr>
        <w:pStyle w:val="ListParagraph"/>
        <w:numPr>
          <w:ilvl w:val="0"/>
          <w:numId w:val="1"/>
        </w:numPr>
        <w:tabs>
          <w:tab w:pos="1697" w:val="left" w:leader="none"/>
          <w:tab w:pos="1698" w:val="left" w:leader="none"/>
          <w:tab w:pos="9888" w:val="right" w:leader="dot"/>
        </w:tabs>
        <w:spacing w:line="240" w:lineRule="auto" w:before="22" w:after="0"/>
        <w:ind w:left="169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pStyle w:val="Heading3"/>
        <w:tabs>
          <w:tab w:pos="1315" w:val="left" w:leader="none"/>
        </w:tabs>
        <w:spacing w:line="240" w:lineRule="auto" w:before="22"/>
        <w:ind w:left="305"/>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1"/>
        </w:rPr>
        <w:t>您应当特别注意的事项</w:t>
      </w:r>
    </w:p>
    <w:p>
      <w:pPr>
        <w:pStyle w:val="ListParagraph"/>
        <w:numPr>
          <w:ilvl w:val="0"/>
          <w:numId w:val="1"/>
        </w:numPr>
        <w:tabs>
          <w:tab w:pos="1697" w:val="left" w:leader="none"/>
          <w:tab w:pos="1698" w:val="left" w:leader="none"/>
          <w:tab w:pos="9891" w:val="right" w:leader="dot"/>
        </w:tabs>
        <w:spacing w:line="240" w:lineRule="auto" w:before="26" w:after="0"/>
        <w:ind w:left="1697" w:right="0" w:hanging="420"/>
        <w:jc w:val="left"/>
        <w:rPr>
          <w:sz w:val="21"/>
        </w:rPr>
      </w:pPr>
      <w:r>
        <w:rPr>
          <w:sz w:val="21"/>
        </w:rPr>
        <w:t>有些</w:t>
      </w:r>
      <w:r>
        <w:rPr>
          <w:spacing w:val="-3"/>
          <w:sz w:val="21"/>
        </w:rPr>
        <w:t>情</w:t>
      </w:r>
      <w:r>
        <w:rPr>
          <w:sz w:val="21"/>
        </w:rPr>
        <w:t>况</w:t>
      </w:r>
      <w:r>
        <w:rPr>
          <w:spacing w:val="-3"/>
          <w:sz w:val="21"/>
        </w:rPr>
        <w:t>本</w:t>
      </w:r>
      <w:r>
        <w:rPr>
          <w:sz w:val="21"/>
        </w:rPr>
        <w:t>公</w:t>
      </w:r>
      <w:r>
        <w:rPr>
          <w:spacing w:val="-3"/>
          <w:sz w:val="21"/>
        </w:rPr>
        <w:t>司</w:t>
      </w:r>
      <w:r>
        <w:rPr>
          <w:sz w:val="21"/>
        </w:rPr>
        <w:t>不</w:t>
      </w:r>
      <w:r>
        <w:rPr>
          <w:spacing w:val="-3"/>
          <w:sz w:val="21"/>
        </w:rPr>
        <w:t>承</w:t>
      </w:r>
      <w:r>
        <w:rPr>
          <w:sz w:val="21"/>
        </w:rPr>
        <w:t>担</w:t>
      </w:r>
      <w:r>
        <w:rPr>
          <w:spacing w:val="-3"/>
          <w:sz w:val="21"/>
        </w:rPr>
        <w:t>保</w:t>
      </w:r>
      <w:r>
        <w:rPr>
          <w:sz w:val="21"/>
        </w:rPr>
        <w:t>险责</w:t>
      </w:r>
      <w:r>
        <w:rPr>
          <w:spacing w:val="-3"/>
          <w:sz w:val="21"/>
        </w:rPr>
        <w:t>任</w:t>
      </w:r>
      <w:r>
        <w:rPr>
          <w:sz w:val="21"/>
        </w:rPr>
        <w:t>，</w:t>
      </w:r>
      <w:r>
        <w:rPr>
          <w:spacing w:val="-3"/>
          <w:sz w:val="21"/>
        </w:rPr>
        <w:t>请</w:t>
      </w:r>
      <w:r>
        <w:rPr>
          <w:sz w:val="21"/>
        </w:rPr>
        <w:t>您</w:t>
      </w:r>
      <w:r>
        <w:rPr>
          <w:spacing w:val="-3"/>
          <w:sz w:val="21"/>
        </w:rPr>
        <w:t>仔</w:t>
      </w:r>
      <w:r>
        <w:rPr>
          <w:sz w:val="21"/>
        </w:rPr>
        <w:t>细</w:t>
      </w:r>
      <w:r>
        <w:rPr>
          <w:spacing w:val="-3"/>
          <w:sz w:val="21"/>
        </w:rPr>
        <w:t>阅</w:t>
      </w:r>
      <w:r>
        <w:rPr>
          <w:sz w:val="21"/>
        </w:rPr>
        <w:t>读</w:t>
      </w:r>
      <w:r>
        <w:rPr>
          <w:spacing w:val="-3"/>
          <w:sz w:val="21"/>
        </w:rPr>
        <w:t>责</w:t>
      </w:r>
      <w:r>
        <w:rPr>
          <w:sz w:val="21"/>
        </w:rPr>
        <w:t>任免</w:t>
      </w:r>
      <w:r>
        <w:rPr>
          <w:spacing w:val="-3"/>
          <w:sz w:val="21"/>
        </w:rPr>
        <w:t>除</w:t>
      </w:r>
      <w:r>
        <w:rPr>
          <w:sz w:val="21"/>
        </w:rPr>
        <w:t>条款</w:t>
        <w:tab/>
        <w:t>2.3</w:t>
      </w:r>
    </w:p>
    <w:p>
      <w:pPr>
        <w:pStyle w:val="ListParagraph"/>
        <w:numPr>
          <w:ilvl w:val="0"/>
          <w:numId w:val="1"/>
        </w:numPr>
        <w:tabs>
          <w:tab w:pos="1697" w:val="left" w:leader="none"/>
          <w:tab w:pos="1698" w:val="left" w:leader="none"/>
          <w:tab w:pos="9888" w:val="right" w:leader="dot"/>
        </w:tabs>
        <w:spacing w:line="240" w:lineRule="auto" w:before="22" w:after="0"/>
        <w:ind w:left="1697"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97" w:val="left" w:leader="none"/>
          <w:tab w:pos="1698" w:val="left" w:leader="none"/>
          <w:tab w:pos="9891" w:val="right" w:leader="dot"/>
        </w:tabs>
        <w:spacing w:line="240" w:lineRule="auto" w:before="22" w:after="0"/>
        <w:ind w:left="169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97" w:val="left" w:leader="none"/>
          <w:tab w:pos="1698" w:val="left" w:leader="none"/>
          <w:tab w:pos="9891" w:val="right" w:leader="dot"/>
        </w:tabs>
        <w:spacing w:line="240" w:lineRule="auto" w:before="22" w:after="0"/>
        <w:ind w:left="1697" w:right="0" w:hanging="420"/>
        <w:jc w:val="left"/>
        <w:rPr>
          <w:sz w:val="21"/>
        </w:rPr>
      </w:pPr>
      <w:r>
        <w:rPr>
          <w:sz w:val="21"/>
        </w:rPr>
        <w:t>主合</w:t>
      </w:r>
      <w:r>
        <w:rPr>
          <w:spacing w:val="-3"/>
          <w:sz w:val="21"/>
        </w:rPr>
        <w:t>同</w:t>
      </w:r>
      <w:r>
        <w:rPr>
          <w:sz w:val="21"/>
        </w:rPr>
        <w:t>的</w:t>
      </w:r>
      <w:r>
        <w:rPr>
          <w:spacing w:val="-3"/>
          <w:sz w:val="21"/>
        </w:rPr>
        <w:t>部</w:t>
      </w:r>
      <w:r>
        <w:rPr>
          <w:sz w:val="21"/>
        </w:rPr>
        <w:t>分</w:t>
      </w:r>
      <w:r>
        <w:rPr>
          <w:spacing w:val="-3"/>
          <w:sz w:val="21"/>
        </w:rPr>
        <w:t>条</w:t>
      </w:r>
      <w:r>
        <w:rPr>
          <w:sz w:val="21"/>
        </w:rPr>
        <w:t>款</w:t>
      </w:r>
      <w:r>
        <w:rPr>
          <w:spacing w:val="-3"/>
          <w:sz w:val="21"/>
        </w:rPr>
        <w:t>适</w:t>
      </w:r>
      <w:r>
        <w:rPr>
          <w:sz w:val="21"/>
        </w:rPr>
        <w:t>用</w:t>
      </w:r>
      <w:r>
        <w:rPr>
          <w:spacing w:val="-3"/>
          <w:sz w:val="21"/>
        </w:rPr>
        <w:t>于</w:t>
      </w:r>
      <w:r>
        <w:rPr>
          <w:sz w:val="21"/>
        </w:rPr>
        <w:t>本附</w:t>
      </w:r>
      <w:r>
        <w:rPr>
          <w:spacing w:val="-3"/>
          <w:sz w:val="21"/>
        </w:rPr>
        <w:t>加</w:t>
      </w:r>
      <w:r>
        <w:rPr>
          <w:sz w:val="21"/>
        </w:rPr>
        <w:t>合</w:t>
      </w:r>
      <w:r>
        <w:rPr>
          <w:spacing w:val="-3"/>
          <w:sz w:val="21"/>
        </w:rPr>
        <w:t>同</w:t>
      </w:r>
      <w:r>
        <w:rPr>
          <w:sz w:val="21"/>
        </w:rPr>
        <w:t>，</w:t>
      </w:r>
      <w:r>
        <w:rPr>
          <w:spacing w:val="-3"/>
          <w:sz w:val="21"/>
        </w:rPr>
        <w:t>请</w:t>
      </w:r>
      <w:r>
        <w:rPr>
          <w:sz w:val="21"/>
        </w:rPr>
        <w:t>您</w:t>
      </w:r>
      <w:r>
        <w:rPr>
          <w:spacing w:val="-3"/>
          <w:sz w:val="21"/>
        </w:rPr>
        <w:t>仔</w:t>
      </w:r>
      <w:r>
        <w:rPr>
          <w:sz w:val="21"/>
        </w:rPr>
        <w:t>细</w:t>
      </w:r>
      <w:r>
        <w:rPr>
          <w:spacing w:val="-3"/>
          <w:sz w:val="21"/>
        </w:rPr>
        <w:t>阅</w:t>
      </w:r>
      <w:r>
        <w:rPr>
          <w:sz w:val="21"/>
        </w:rPr>
        <w:t>读</w:t>
        <w:tab/>
        <w:t>8.3</w:t>
      </w:r>
    </w:p>
    <w:p>
      <w:pPr>
        <w:pStyle w:val="ListParagraph"/>
        <w:numPr>
          <w:ilvl w:val="0"/>
          <w:numId w:val="1"/>
        </w:numPr>
        <w:tabs>
          <w:tab w:pos="1697" w:val="left" w:leader="none"/>
          <w:tab w:pos="1698" w:val="left" w:leader="none"/>
          <w:tab w:pos="9682" w:val="right" w:leader="dot"/>
        </w:tabs>
        <w:spacing w:line="240" w:lineRule="auto" w:before="22" w:after="0"/>
        <w:ind w:left="1697"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9</w:t>
      </w:r>
    </w:p>
    <w:p>
      <w:pPr>
        <w:pStyle w:val="ListParagraph"/>
        <w:numPr>
          <w:ilvl w:val="0"/>
          <w:numId w:val="1"/>
        </w:numPr>
        <w:tabs>
          <w:tab w:pos="1697" w:val="left" w:leader="none"/>
          <w:tab w:pos="1698" w:val="left" w:leader="none"/>
        </w:tabs>
        <w:spacing w:line="240" w:lineRule="auto" w:before="22" w:after="0"/>
        <w:ind w:left="1697" w:right="0" w:hanging="420"/>
        <w:jc w:val="left"/>
        <w:rPr>
          <w:sz w:val="21"/>
        </w:rPr>
      </w:pPr>
      <w:r>
        <w:rPr>
          <w:spacing w:val="-3"/>
          <w:sz w:val="21"/>
        </w:rPr>
        <w:t>本公司对保障范围内的重大疾病做了定义，请您仔细阅读.........................附录一</w:t>
      </w:r>
    </w:p>
    <w:p>
      <w:pPr>
        <w:pStyle w:val="Heading3"/>
        <w:tabs>
          <w:tab w:pos="1315" w:val="left" w:leader="none"/>
        </w:tabs>
        <w:spacing w:line="240" w:lineRule="auto" w:before="22"/>
        <w:ind w:left="305"/>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3"/>
        </w:rPr>
        <w:t>条款是保险合同的重要内容，为充分保障您的权益，请您仔细阅读本条款。</w:t>
      </w:r>
    </w:p>
    <w:p>
      <w:pPr>
        <w:tabs>
          <w:tab w:pos="1315" w:val="left" w:leader="none"/>
        </w:tabs>
        <w:spacing w:before="24"/>
        <w:ind w:left="305" w:right="0" w:firstLine="0"/>
        <w:jc w:val="left"/>
        <w:rPr>
          <w:rFonts w:ascii="微软雅黑" w:hAnsi="微软雅黑" w:eastAsia="微软雅黑" w:hint="eastAsia"/>
          <w:b/>
          <w:sz w:val="21"/>
        </w:rPr>
      </w:pPr>
      <w:r>
        <w:rPr/>
        <w:pict>
          <v:rect style="position:absolute;margin-left:77.159996pt;margin-top:24.627388pt;width:459.59999pt;height:285.239994pt;mso-position-horizontal-relative:page;mso-position-vertical-relative:paragraph;z-index:-48040" filled="false" stroked="true" strokeweight=".75pt" strokecolor="#000000">
            <v:stroke dashstyle="dot"/>
            <w10:wrap type="none"/>
          </v:rect>
        </w:pict>
      </w: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00" w:h="16840"/>
          <w:pgMar w:top="520" w:bottom="280" w:left="880" w:right="700"/>
        </w:sectPr>
      </w:pPr>
    </w:p>
    <w:p>
      <w:pPr>
        <w:pStyle w:val="Heading3"/>
        <w:spacing w:line="341" w:lineRule="exact" w:before="31"/>
        <w:rPr>
          <w:rFonts w:ascii="Microsoft JhengHei" w:eastAsia="Microsoft JhengHei" w:hint="eastAsia"/>
        </w:rPr>
      </w:pPr>
      <w:r>
        <w:rPr>
          <w:rFonts w:ascii="Microsoft JhengHei" w:eastAsia="Microsoft JhengHei" w:hint="eastAsia"/>
          <w:w w:val="95"/>
        </w:rPr>
        <w:t>1．您与本公司订立的合同</w:t>
      </w:r>
    </w:p>
    <w:p>
      <w:pPr>
        <w:pStyle w:val="BodyText"/>
        <w:spacing w:line="204" w:lineRule="exact"/>
        <w:ind w:left="1330"/>
      </w:pPr>
      <w:r>
        <w:rPr/>
        <w:t>1.1 合同构成</w:t>
      </w:r>
    </w:p>
    <w:p>
      <w:pPr>
        <w:pStyle w:val="Heading3"/>
        <w:spacing w:line="296" w:lineRule="exact"/>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2"/>
        </w:numPr>
        <w:tabs>
          <w:tab w:pos="1753" w:val="left" w:leader="none"/>
        </w:tabs>
        <w:spacing w:line="239" w:lineRule="exact" w:before="0" w:after="0"/>
        <w:ind w:left="1752" w:right="0" w:hanging="422"/>
        <w:jc w:val="left"/>
        <w:rPr>
          <w:sz w:val="21"/>
        </w:rPr>
      </w:pPr>
      <w:r>
        <w:rPr>
          <w:spacing w:val="-3"/>
          <w:sz w:val="21"/>
        </w:rPr>
        <w:t>基本保险金额</w:t>
      </w:r>
    </w:p>
    <w:p>
      <w:pPr>
        <w:pStyle w:val="ListParagraph"/>
        <w:numPr>
          <w:ilvl w:val="1"/>
          <w:numId w:val="2"/>
        </w:numPr>
        <w:tabs>
          <w:tab w:pos="1753" w:val="left" w:leader="none"/>
        </w:tabs>
        <w:spacing w:line="250" w:lineRule="exact" w:before="0" w:after="0"/>
        <w:ind w:left="1752" w:right="0" w:hanging="422"/>
        <w:jc w:val="left"/>
        <w:rPr>
          <w:sz w:val="21"/>
        </w:rPr>
      </w:pPr>
      <w:r>
        <w:rPr>
          <w:spacing w:val="-3"/>
          <w:sz w:val="21"/>
        </w:rPr>
        <w:t>保险责任</w:t>
      </w:r>
    </w:p>
    <w:p>
      <w:pPr>
        <w:pStyle w:val="ListParagraph"/>
        <w:numPr>
          <w:ilvl w:val="1"/>
          <w:numId w:val="2"/>
        </w:numPr>
        <w:tabs>
          <w:tab w:pos="1753" w:val="left" w:leader="none"/>
        </w:tabs>
        <w:spacing w:line="216" w:lineRule="exact" w:before="0" w:after="0"/>
        <w:ind w:left="1752" w:right="0" w:hanging="422"/>
        <w:jc w:val="left"/>
        <w:rPr>
          <w:sz w:val="21"/>
        </w:rPr>
      </w:pPr>
      <w:r>
        <w:rPr>
          <w:spacing w:val="-3"/>
          <w:sz w:val="21"/>
        </w:rPr>
        <w:t>责任免除</w:t>
      </w:r>
    </w:p>
    <w:p>
      <w:pPr>
        <w:pStyle w:val="Heading3"/>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3"/>
        </w:numPr>
        <w:tabs>
          <w:tab w:pos="1753" w:val="left" w:leader="none"/>
        </w:tabs>
        <w:spacing w:line="238" w:lineRule="exact" w:before="0" w:after="0"/>
        <w:ind w:left="1752" w:right="0" w:hanging="422"/>
        <w:jc w:val="left"/>
        <w:rPr>
          <w:sz w:val="21"/>
        </w:rPr>
      </w:pPr>
      <w:r>
        <w:rPr>
          <w:spacing w:val="-2"/>
          <w:sz w:val="21"/>
        </w:rPr>
        <w:t>受益人</w:t>
      </w:r>
    </w:p>
    <w:p>
      <w:pPr>
        <w:pStyle w:val="ListParagraph"/>
        <w:numPr>
          <w:ilvl w:val="1"/>
          <w:numId w:val="3"/>
        </w:numPr>
        <w:tabs>
          <w:tab w:pos="1753" w:val="left" w:leader="none"/>
        </w:tabs>
        <w:spacing w:line="251" w:lineRule="exact" w:before="0" w:after="0"/>
        <w:ind w:left="1752" w:right="0" w:hanging="422"/>
        <w:jc w:val="left"/>
        <w:rPr>
          <w:sz w:val="21"/>
        </w:rPr>
      </w:pPr>
      <w:r>
        <w:rPr>
          <w:spacing w:val="-3"/>
          <w:sz w:val="21"/>
        </w:rPr>
        <w:t>保险金申请</w:t>
      </w:r>
    </w:p>
    <w:p>
      <w:pPr>
        <w:pStyle w:val="ListParagraph"/>
        <w:numPr>
          <w:ilvl w:val="1"/>
          <w:numId w:val="3"/>
        </w:numPr>
        <w:tabs>
          <w:tab w:pos="1753" w:val="left" w:leader="none"/>
        </w:tabs>
        <w:spacing w:line="217" w:lineRule="exact" w:before="0" w:after="0"/>
        <w:ind w:left="1752" w:right="0" w:hanging="422"/>
        <w:jc w:val="left"/>
        <w:rPr>
          <w:sz w:val="21"/>
        </w:rPr>
      </w:pPr>
      <w:r>
        <w:rPr>
          <w:spacing w:val="-3"/>
          <w:sz w:val="21"/>
        </w:rPr>
        <w:t>诉讼时效</w:t>
      </w:r>
    </w:p>
    <w:p>
      <w:pPr>
        <w:pStyle w:val="Heading3"/>
        <w:numPr>
          <w:ilvl w:val="0"/>
          <w:numId w:val="4"/>
        </w:numPr>
        <w:tabs>
          <w:tab w:pos="1436" w:val="left" w:leader="none"/>
        </w:tabs>
        <w:spacing w:line="295" w:lineRule="exact" w:before="0" w:after="0"/>
        <w:ind w:left="1436" w:right="0" w:hanging="317"/>
        <w:jc w:val="left"/>
        <w:rPr>
          <w:rFonts w:ascii="Microsoft JhengHei" w:eastAsia="Microsoft JhengHei" w:hint="eastAsia"/>
        </w:rPr>
      </w:pPr>
      <w:r>
        <w:rPr>
          <w:rFonts w:ascii="Microsoft JhengHei" w:eastAsia="Microsoft JhengHei" w:hint="eastAsia"/>
        </w:rPr>
        <w:t>保险费的交纳</w:t>
      </w:r>
    </w:p>
    <w:p>
      <w:pPr>
        <w:pStyle w:val="ListParagraph"/>
        <w:numPr>
          <w:ilvl w:val="1"/>
          <w:numId w:val="4"/>
        </w:numPr>
        <w:tabs>
          <w:tab w:pos="1753" w:val="left" w:leader="none"/>
        </w:tabs>
        <w:spacing w:line="238" w:lineRule="exact" w:before="0" w:after="0"/>
        <w:ind w:left="1752" w:right="0" w:hanging="422"/>
        <w:jc w:val="left"/>
        <w:rPr>
          <w:sz w:val="21"/>
        </w:rPr>
      </w:pPr>
      <w:r>
        <w:rPr>
          <w:spacing w:val="-3"/>
          <w:sz w:val="21"/>
        </w:rPr>
        <w:t>保险费的交纳</w:t>
      </w:r>
    </w:p>
    <w:p>
      <w:pPr>
        <w:pStyle w:val="ListParagraph"/>
        <w:numPr>
          <w:ilvl w:val="1"/>
          <w:numId w:val="4"/>
        </w:numPr>
        <w:tabs>
          <w:tab w:pos="1753" w:val="left" w:leader="none"/>
        </w:tabs>
        <w:spacing w:line="216" w:lineRule="exact" w:before="0" w:after="0"/>
        <w:ind w:left="1752" w:right="0" w:hanging="422"/>
        <w:jc w:val="left"/>
        <w:rPr>
          <w:sz w:val="21"/>
        </w:rPr>
      </w:pPr>
      <w:r>
        <w:rPr>
          <w:spacing w:val="-2"/>
          <w:sz w:val="21"/>
        </w:rPr>
        <w:t>宽限期</w:t>
      </w:r>
    </w:p>
    <w:p>
      <w:pPr>
        <w:pStyle w:val="Heading3"/>
        <w:rPr>
          <w:rFonts w:ascii="Microsoft JhengHei" w:eastAsia="Microsoft JhengHei" w:hint="eastAsia"/>
        </w:rPr>
      </w:pPr>
      <w:r>
        <w:rPr>
          <w:rFonts w:ascii="宋体" w:eastAsia="宋体" w:hint="eastAsia"/>
          <w:b w:val="0"/>
        </w:rPr>
        <w:t>5</w:t>
      </w:r>
      <w:r>
        <w:rPr>
          <w:rFonts w:ascii="Microsoft JhengHei" w:eastAsia="Microsoft JhengHei" w:hint="eastAsia"/>
        </w:rPr>
        <w:t>．现金价值权益</w:t>
      </w:r>
    </w:p>
    <w:p>
      <w:pPr>
        <w:pStyle w:val="BodyText"/>
        <w:spacing w:line="205" w:lineRule="exact"/>
        <w:ind w:left="1330"/>
      </w:pPr>
      <w:r>
        <w:rPr/>
        <w:t>5.1 现金价值</w:t>
      </w:r>
    </w:p>
    <w:p>
      <w:pPr>
        <w:pStyle w:val="Heading3"/>
        <w:spacing w:line="296" w:lineRule="exact"/>
        <w:rPr>
          <w:rFonts w:ascii="Microsoft JhengHei" w:eastAsia="Microsoft JhengHei" w:hint="eastAsia"/>
        </w:rPr>
      </w:pPr>
      <w:r>
        <w:rPr>
          <w:rFonts w:ascii="Microsoft JhengHei" w:eastAsia="Microsoft JhengHei" w:hint="eastAsia"/>
          <w:w w:val="95"/>
        </w:rPr>
        <w:t>6．合同效力的中止及恢复</w:t>
      </w:r>
    </w:p>
    <w:p>
      <w:pPr>
        <w:pStyle w:val="ListParagraph"/>
        <w:numPr>
          <w:ilvl w:val="1"/>
          <w:numId w:val="5"/>
        </w:numPr>
        <w:tabs>
          <w:tab w:pos="1753" w:val="left" w:leader="none"/>
        </w:tabs>
        <w:spacing w:line="238" w:lineRule="exact" w:before="0" w:after="0"/>
        <w:ind w:left="1752" w:right="0" w:hanging="422"/>
        <w:jc w:val="left"/>
        <w:rPr>
          <w:sz w:val="21"/>
        </w:rPr>
      </w:pPr>
      <w:r>
        <w:rPr>
          <w:spacing w:val="-3"/>
          <w:sz w:val="21"/>
        </w:rPr>
        <w:t>效力中止</w:t>
      </w:r>
    </w:p>
    <w:p>
      <w:pPr>
        <w:pStyle w:val="ListParagraph"/>
        <w:numPr>
          <w:ilvl w:val="1"/>
          <w:numId w:val="5"/>
        </w:numPr>
        <w:tabs>
          <w:tab w:pos="1753" w:val="left" w:leader="none"/>
        </w:tabs>
        <w:spacing w:line="262" w:lineRule="exact" w:before="0" w:after="0"/>
        <w:ind w:left="1752" w:right="0" w:hanging="422"/>
        <w:jc w:val="left"/>
        <w:rPr>
          <w:sz w:val="21"/>
        </w:rPr>
      </w:pPr>
      <w:r>
        <w:rPr>
          <w:spacing w:val="-3"/>
          <w:sz w:val="21"/>
        </w:rPr>
        <w:t>效力恢复</w:t>
      </w:r>
    </w:p>
    <w:p>
      <w:pPr>
        <w:pStyle w:val="Heading3"/>
        <w:spacing w:line="341" w:lineRule="exact" w:before="31"/>
        <w:ind w:left="370"/>
        <w:rPr>
          <w:rFonts w:ascii="Microsoft JhengHei" w:eastAsia="Microsoft JhengHei" w:hint="eastAsia"/>
        </w:rPr>
      </w:pPr>
      <w:r>
        <w:rPr>
          <w:b w:val="0"/>
        </w:rPr>
        <w:br w:type="column"/>
      </w:r>
      <w:r>
        <w:rPr>
          <w:rFonts w:ascii="Microsoft JhengHei" w:eastAsia="Microsoft JhengHei" w:hint="eastAsia"/>
          <w:w w:val="95"/>
        </w:rPr>
        <w:t>7．合同解除</w:t>
      </w:r>
    </w:p>
    <w:p>
      <w:pPr>
        <w:pStyle w:val="BodyText"/>
        <w:spacing w:line="218" w:lineRule="auto"/>
        <w:ind w:left="1001" w:right="3628" w:hanging="420"/>
      </w:pPr>
      <w:r>
        <w:rPr/>
        <w:t>7.1 您解除合同的手续及风险</w:t>
      </w:r>
    </w:p>
    <w:p>
      <w:pPr>
        <w:pStyle w:val="Heading3"/>
        <w:spacing w:line="249" w:lineRule="exact"/>
        <w:ind w:left="370"/>
        <w:rPr>
          <w:rFonts w:ascii="Microsoft JhengHei" w:eastAsia="Microsoft JhengHei" w:hint="eastAsia"/>
        </w:rPr>
      </w:pPr>
      <w:r>
        <w:rPr>
          <w:rFonts w:ascii="Microsoft JhengHei" w:eastAsia="Microsoft JhengHei" w:hint="eastAsia"/>
          <w:w w:val="95"/>
        </w:rPr>
        <w:t>8．其他需要关注的事项</w:t>
      </w:r>
    </w:p>
    <w:p>
      <w:pPr>
        <w:pStyle w:val="ListParagraph"/>
        <w:numPr>
          <w:ilvl w:val="1"/>
          <w:numId w:val="6"/>
        </w:numPr>
        <w:tabs>
          <w:tab w:pos="1005" w:val="left" w:leader="none"/>
        </w:tabs>
        <w:spacing w:line="239" w:lineRule="exact" w:before="0" w:after="0"/>
        <w:ind w:left="1004" w:right="0" w:hanging="423"/>
        <w:jc w:val="left"/>
        <w:rPr>
          <w:sz w:val="21"/>
        </w:rPr>
      </w:pPr>
      <w:r>
        <w:rPr>
          <w:spacing w:val="-3"/>
          <w:sz w:val="21"/>
        </w:rPr>
        <w:t>就医安排</w:t>
      </w:r>
    </w:p>
    <w:p>
      <w:pPr>
        <w:pStyle w:val="ListParagraph"/>
        <w:numPr>
          <w:ilvl w:val="1"/>
          <w:numId w:val="6"/>
        </w:numPr>
        <w:tabs>
          <w:tab w:pos="1005" w:val="left" w:leader="none"/>
        </w:tabs>
        <w:spacing w:line="251" w:lineRule="exact" w:before="0" w:after="0"/>
        <w:ind w:left="1004" w:right="0" w:hanging="423"/>
        <w:jc w:val="left"/>
        <w:rPr>
          <w:sz w:val="21"/>
        </w:rPr>
      </w:pPr>
      <w:r>
        <w:rPr>
          <w:spacing w:val="-3"/>
          <w:sz w:val="21"/>
        </w:rPr>
        <w:t>效力终止</w:t>
      </w:r>
    </w:p>
    <w:p>
      <w:pPr>
        <w:pStyle w:val="ListParagraph"/>
        <w:numPr>
          <w:ilvl w:val="1"/>
          <w:numId w:val="6"/>
        </w:numPr>
        <w:tabs>
          <w:tab w:pos="1005" w:val="left" w:leader="none"/>
        </w:tabs>
        <w:spacing w:line="216" w:lineRule="exact" w:before="0" w:after="0"/>
        <w:ind w:left="1004" w:right="0" w:hanging="423"/>
        <w:jc w:val="left"/>
        <w:rPr>
          <w:sz w:val="21"/>
        </w:rPr>
      </w:pPr>
      <w:r>
        <w:rPr>
          <w:spacing w:val="-3"/>
          <w:sz w:val="21"/>
        </w:rPr>
        <w:t>适用主合同条款</w:t>
      </w:r>
    </w:p>
    <w:p>
      <w:pPr>
        <w:pStyle w:val="Heading3"/>
        <w:ind w:left="370"/>
        <w:rPr>
          <w:rFonts w:ascii="Microsoft JhengHei" w:eastAsia="Microsoft JhengHei" w:hint="eastAsia"/>
        </w:rPr>
      </w:pPr>
      <w:r>
        <w:rPr>
          <w:rFonts w:ascii="Microsoft JhengHei" w:eastAsia="Microsoft JhengHei" w:hint="eastAsia"/>
          <w:w w:val="95"/>
        </w:rPr>
        <w:t>9．释义</w:t>
      </w:r>
    </w:p>
    <w:p>
      <w:pPr>
        <w:pStyle w:val="ListParagraph"/>
        <w:numPr>
          <w:ilvl w:val="1"/>
          <w:numId w:val="7"/>
        </w:numPr>
        <w:tabs>
          <w:tab w:pos="1005" w:val="left" w:leader="none"/>
        </w:tabs>
        <w:spacing w:line="238" w:lineRule="exact" w:before="0" w:after="0"/>
        <w:ind w:left="1001" w:right="0" w:hanging="420"/>
        <w:jc w:val="left"/>
        <w:rPr>
          <w:sz w:val="21"/>
        </w:rPr>
      </w:pPr>
      <w:r>
        <w:rPr>
          <w:spacing w:val="-2"/>
          <w:sz w:val="21"/>
        </w:rPr>
        <w:t>医院</w:t>
      </w:r>
    </w:p>
    <w:p>
      <w:pPr>
        <w:pStyle w:val="ListParagraph"/>
        <w:numPr>
          <w:ilvl w:val="1"/>
          <w:numId w:val="7"/>
        </w:numPr>
        <w:tabs>
          <w:tab w:pos="1005" w:val="left" w:leader="none"/>
        </w:tabs>
        <w:spacing w:line="250" w:lineRule="exact" w:before="0" w:after="0"/>
        <w:ind w:left="1001" w:right="0" w:hanging="420"/>
        <w:jc w:val="left"/>
        <w:rPr>
          <w:sz w:val="21"/>
        </w:rPr>
      </w:pPr>
      <w:r>
        <w:rPr>
          <w:spacing w:val="-3"/>
          <w:sz w:val="21"/>
        </w:rPr>
        <w:t>专科医生</w:t>
      </w:r>
    </w:p>
    <w:p>
      <w:pPr>
        <w:pStyle w:val="ListParagraph"/>
        <w:numPr>
          <w:ilvl w:val="1"/>
          <w:numId w:val="7"/>
        </w:numPr>
        <w:tabs>
          <w:tab w:pos="1005" w:val="left" w:leader="none"/>
        </w:tabs>
        <w:spacing w:line="251" w:lineRule="exact" w:before="0" w:after="0"/>
        <w:ind w:left="1001" w:right="0" w:hanging="420"/>
        <w:jc w:val="left"/>
        <w:rPr>
          <w:sz w:val="21"/>
        </w:rPr>
      </w:pPr>
      <w:r>
        <w:rPr>
          <w:spacing w:val="-3"/>
          <w:sz w:val="21"/>
        </w:rPr>
        <w:t>意外伤害事故</w:t>
      </w:r>
    </w:p>
    <w:p>
      <w:pPr>
        <w:pStyle w:val="ListParagraph"/>
        <w:numPr>
          <w:ilvl w:val="1"/>
          <w:numId w:val="7"/>
        </w:numPr>
        <w:tabs>
          <w:tab w:pos="1024" w:val="left" w:leader="none"/>
        </w:tabs>
        <w:spacing w:line="218" w:lineRule="auto" w:before="13" w:after="0"/>
        <w:ind w:left="1001" w:right="3419" w:hanging="420"/>
        <w:jc w:val="left"/>
        <w:rPr>
          <w:sz w:val="21"/>
        </w:rPr>
      </w:pPr>
      <w:r>
        <w:rPr>
          <w:spacing w:val="15"/>
          <w:sz w:val="21"/>
        </w:rPr>
        <w:t>感染艾滋病病毒或患艾滋病</w:t>
      </w:r>
    </w:p>
    <w:p>
      <w:pPr>
        <w:pStyle w:val="ListParagraph"/>
        <w:numPr>
          <w:ilvl w:val="1"/>
          <w:numId w:val="7"/>
        </w:numPr>
        <w:tabs>
          <w:tab w:pos="1005" w:val="left" w:leader="none"/>
        </w:tabs>
        <w:spacing w:line="237" w:lineRule="exact" w:before="0" w:after="0"/>
        <w:ind w:left="1001" w:right="0" w:hanging="420"/>
        <w:jc w:val="left"/>
        <w:rPr>
          <w:sz w:val="21"/>
        </w:rPr>
      </w:pPr>
      <w:r>
        <w:rPr>
          <w:spacing w:val="-3"/>
          <w:sz w:val="21"/>
        </w:rPr>
        <w:t>遗传性疾病</w:t>
      </w:r>
    </w:p>
    <w:p>
      <w:pPr>
        <w:pStyle w:val="ListParagraph"/>
        <w:numPr>
          <w:ilvl w:val="1"/>
          <w:numId w:val="7"/>
        </w:numPr>
        <w:tabs>
          <w:tab w:pos="1005" w:val="left" w:leader="none"/>
        </w:tabs>
        <w:spacing w:line="218" w:lineRule="auto" w:before="12" w:after="0"/>
        <w:ind w:left="1001" w:right="3419" w:hanging="420"/>
        <w:jc w:val="left"/>
        <w:rPr>
          <w:sz w:val="21"/>
        </w:rPr>
      </w:pPr>
      <w:r>
        <w:rPr>
          <w:spacing w:val="-3"/>
          <w:sz w:val="21"/>
        </w:rPr>
        <w:t>先天性畸形、变形或染色体异常</w:t>
      </w:r>
    </w:p>
    <w:p>
      <w:pPr>
        <w:pStyle w:val="ListParagraph"/>
        <w:numPr>
          <w:ilvl w:val="1"/>
          <w:numId w:val="7"/>
        </w:numPr>
        <w:tabs>
          <w:tab w:pos="1005" w:val="left" w:leader="none"/>
        </w:tabs>
        <w:spacing w:line="177" w:lineRule="auto" w:before="45" w:after="0"/>
        <w:ind w:left="370" w:right="4257" w:firstLine="211"/>
        <w:jc w:val="left"/>
        <w:rPr>
          <w:rFonts w:ascii="Microsoft JhengHei" w:eastAsia="Microsoft JhengHei" w:hint="eastAsia"/>
          <w:b/>
          <w:sz w:val="21"/>
        </w:rPr>
      </w:pPr>
      <w:r>
        <w:rPr>
          <w:spacing w:val="-3"/>
          <w:sz w:val="21"/>
        </w:rPr>
        <w:t>适用主合同释义</w:t>
      </w:r>
      <w:r>
        <w:rPr>
          <w:rFonts w:ascii="Microsoft JhengHei" w:eastAsia="Microsoft JhengHei" w:hint="eastAsia"/>
          <w:b/>
          <w:spacing w:val="-3"/>
          <w:sz w:val="21"/>
        </w:rPr>
        <w:t>附录一重大疾病列表</w:t>
      </w:r>
    </w:p>
    <w:p>
      <w:pPr>
        <w:spacing w:after="0" w:line="177" w:lineRule="auto"/>
        <w:jc w:val="left"/>
        <w:rPr>
          <w:rFonts w:ascii="Microsoft JhengHei" w:eastAsia="Microsoft JhengHei" w:hint="eastAsia"/>
          <w:sz w:val="21"/>
        </w:rPr>
        <w:sectPr>
          <w:type w:val="continuous"/>
          <w:pgSz w:w="11900" w:h="16840"/>
          <w:pgMar w:top="520" w:bottom="280" w:left="880" w:right="700"/>
          <w:cols w:num="2" w:equalWidth="0">
            <w:col w:w="3546" w:space="40"/>
            <w:col w:w="6734"/>
          </w:cols>
        </w:sectPr>
      </w:pPr>
    </w:p>
    <w:p>
      <w:pPr>
        <w:pStyle w:val="Heading1"/>
        <w:spacing w:line="477" w:lineRule="exact"/>
        <w:ind w:left="3229"/>
      </w:pPr>
      <w:r>
        <w:rPr>
          <w:w w:val="95"/>
        </w:rPr>
        <w:t>交银康联人寿保险有限公司</w:t>
      </w:r>
    </w:p>
    <w:p>
      <w:pPr>
        <w:spacing w:line="283" w:lineRule="auto" w:before="71"/>
        <w:ind w:left="219" w:right="205" w:hanging="1"/>
        <w:jc w:val="left"/>
        <w:rPr>
          <w:sz w:val="21"/>
        </w:rPr>
      </w:pPr>
      <w:r>
        <w:rPr>
          <w:rFonts w:ascii="微软雅黑" w:hAnsi="微软雅黑" w:eastAsia="微软雅黑" w:hint="eastAsia"/>
          <w:b/>
          <w:sz w:val="32"/>
        </w:rPr>
        <w:t>交银康联附加交银健康人生重大疾病保险（安享版）条款</w:t>
      </w:r>
      <w:r>
        <w:rPr>
          <w:rFonts w:ascii="微软雅黑" w:hAnsi="微软雅黑" w:eastAsia="微软雅黑" w:hint="eastAsia"/>
          <w:b/>
          <w:sz w:val="32"/>
          <w:vertAlign w:val="subscript"/>
        </w:rPr>
        <w:t>（</w:t>
      </w:r>
      <w:r>
        <w:rPr>
          <w:rFonts w:ascii="微软雅黑" w:hAnsi="微软雅黑" w:eastAsia="微软雅黑" w:hint="eastAsia"/>
          <w:b/>
          <w:sz w:val="32"/>
          <w:vertAlign w:val="baseline"/>
        </w:rPr>
      </w:r>
      <w:r>
        <w:rPr>
          <w:rFonts w:ascii="微软雅黑" w:hAnsi="微软雅黑" w:eastAsia="微软雅黑" w:hint="eastAsia"/>
          <w:b/>
          <w:sz w:val="32"/>
          <w:vertAlign w:val="subscript"/>
        </w:rPr>
        <w:t>2</w:t>
      </w:r>
      <w:r>
        <w:rPr>
          <w:rFonts w:ascii="微软雅黑" w:hAnsi="微软雅黑" w:eastAsia="微软雅黑" w:hint="eastAsia"/>
          <w:b/>
          <w:sz w:val="32"/>
          <w:vertAlign w:val="baseline"/>
        </w:rPr>
      </w:r>
      <w:r>
        <w:rPr>
          <w:rFonts w:ascii="微软雅黑" w:hAnsi="微软雅黑" w:eastAsia="微软雅黑" w:hint="eastAsia"/>
          <w:b/>
          <w:sz w:val="32"/>
          <w:vertAlign w:val="subscript"/>
        </w:rPr>
        <w:t>0</w:t>
      </w:r>
      <w:r>
        <w:rPr>
          <w:rFonts w:ascii="微软雅黑" w:hAnsi="微软雅黑" w:eastAsia="微软雅黑" w:hint="eastAsia"/>
          <w:b/>
          <w:sz w:val="32"/>
          <w:vertAlign w:val="baseline"/>
        </w:rPr>
      </w:r>
      <w:r>
        <w:rPr>
          <w:rFonts w:ascii="微软雅黑" w:hAnsi="微软雅黑" w:eastAsia="微软雅黑" w:hint="eastAsia"/>
          <w:b/>
          <w:sz w:val="32"/>
          <w:vertAlign w:val="subscript"/>
        </w:rPr>
        <w:t>1</w:t>
      </w:r>
      <w:r>
        <w:rPr>
          <w:rFonts w:ascii="微软雅黑" w:hAnsi="微软雅黑" w:eastAsia="微软雅黑" w:hint="eastAsia"/>
          <w:b/>
          <w:sz w:val="32"/>
          <w:vertAlign w:val="baseline"/>
        </w:rPr>
      </w:r>
      <w:r>
        <w:rPr>
          <w:rFonts w:ascii="微软雅黑" w:hAnsi="微软雅黑" w:eastAsia="微软雅黑" w:hint="eastAsia"/>
          <w:b/>
          <w:sz w:val="32"/>
          <w:vertAlign w:val="subscript"/>
        </w:rPr>
        <w:t>4</w:t>
      </w:r>
      <w:r>
        <w:rPr>
          <w:rFonts w:ascii="微软雅黑" w:hAnsi="微软雅黑" w:eastAsia="微软雅黑" w:hint="eastAsia"/>
          <w:b/>
          <w:spacing w:val="-37"/>
          <w:sz w:val="32"/>
          <w:vertAlign w:val="baseline"/>
        </w:rPr>
        <w:t> 年 </w:t>
      </w:r>
      <w:r>
        <w:rPr>
          <w:rFonts w:ascii="微软雅黑" w:hAnsi="微软雅黑" w:eastAsia="微软雅黑" w:hint="eastAsia"/>
          <w:b/>
          <w:sz w:val="32"/>
          <w:vertAlign w:val="subscript"/>
        </w:rPr>
        <w:t>5</w:t>
      </w:r>
      <w:r>
        <w:rPr>
          <w:rFonts w:ascii="微软雅黑" w:hAnsi="微软雅黑" w:eastAsia="微软雅黑" w:hint="eastAsia"/>
          <w:b/>
          <w:spacing w:val="-28"/>
          <w:sz w:val="32"/>
          <w:vertAlign w:val="baseline"/>
        </w:rPr>
        <w:t> 月</w:t>
      </w:r>
      <w:r>
        <w:rPr>
          <w:rFonts w:ascii="微软雅黑" w:hAnsi="微软雅黑" w:eastAsia="微软雅黑" w:hint="eastAsia"/>
          <w:b/>
          <w:sz w:val="32"/>
          <w:vertAlign w:val="subscript"/>
        </w:rPr>
        <w:t>）</w:t>
      </w:r>
      <w:r>
        <w:rPr>
          <w:rFonts w:ascii="微软雅黑" w:hAnsi="微软雅黑" w:eastAsia="微软雅黑" w:hint="eastAsia"/>
          <w:b/>
          <w:sz w:val="32"/>
          <w:vertAlign w:val="baseline"/>
        </w:rPr>
      </w:r>
      <w:r>
        <w:rPr>
          <w:rFonts w:ascii="微软雅黑" w:hAnsi="微软雅黑" w:eastAsia="微软雅黑" w:hint="eastAsia"/>
          <w:b/>
          <w:sz w:val="32"/>
          <w:vertAlign w:val="baseline"/>
        </w:rPr>
        <w:t> </w:t>
      </w:r>
      <w:r>
        <w:rPr>
          <w:spacing w:val="-7"/>
          <w:w w:val="100"/>
          <w:sz w:val="21"/>
          <w:vertAlign w:val="baseline"/>
        </w:rPr>
        <w:t>在本条款中，“您”指投保人，“本公司”指交银康联人寿保险有限公司，“本附加合同”指您与本公司之</w:t>
      </w:r>
      <w:r>
        <w:rPr>
          <w:spacing w:val="-5"/>
          <w:sz w:val="21"/>
          <w:vertAlign w:val="baseline"/>
        </w:rPr>
        <w:t>间订立的“交银康联附加交银健康人生重大疾病保险</w:t>
      </w:r>
      <w:r>
        <w:rPr>
          <w:sz w:val="21"/>
          <w:vertAlign w:val="baseline"/>
        </w:rPr>
        <w:t>（</w:t>
      </w:r>
      <w:r>
        <w:rPr>
          <w:spacing w:val="-3"/>
          <w:sz w:val="21"/>
          <w:vertAlign w:val="baseline"/>
        </w:rPr>
        <w:t>安享版</w:t>
      </w:r>
      <w:r>
        <w:rPr>
          <w:sz w:val="21"/>
          <w:vertAlign w:val="baseline"/>
        </w:rPr>
        <w:t>）</w:t>
      </w:r>
      <w:r>
        <w:rPr>
          <w:spacing w:val="-3"/>
          <w:sz w:val="21"/>
          <w:vertAlign w:val="baseline"/>
        </w:rPr>
        <w:t>合同”。</w:t>
      </w:r>
    </w:p>
    <w:p>
      <w:pPr>
        <w:pStyle w:val="BodyText"/>
        <w:rPr>
          <w:sz w:val="20"/>
        </w:rPr>
      </w:pPr>
    </w:p>
    <w:p>
      <w:pPr>
        <w:pStyle w:val="BodyText"/>
        <w:spacing w:before="1"/>
        <w:rPr>
          <w:sz w:val="19"/>
        </w:rPr>
      </w:pPr>
    </w:p>
    <w:p>
      <w:pPr>
        <w:pStyle w:val="Heading2"/>
        <w:tabs>
          <w:tab w:pos="1071" w:val="left" w:leader="none"/>
        </w:tabs>
      </w:pPr>
      <w:r>
        <w:rPr/>
        <w:pict>
          <v:group style="position:absolute;margin-left:45.599998pt;margin-top:28.984083pt;width:504.5pt;height:1pt;mso-position-horizontal-relative:page;mso-position-vertical-relative:paragraph;z-index:1096;mso-wrap-distance-left:0;mso-wrap-distance-right:0" coordorigin="912,580" coordsize="10090,20">
            <v:line style="position:absolute" from="912,589" to="1764,589" stroked="true" strokeweight=".96pt" strokecolor="#000000">
              <v:stroke dashstyle="solid"/>
            </v:line>
            <v:rect style="position:absolute;left:1764;top:579;width:20;height:20" filled="true" fillcolor="#000000" stroked="false">
              <v:fill type="solid"/>
            </v:rect>
            <v:line style="position:absolute" from="1783,589" to="3696,589" stroked="true" strokeweight=".96pt" strokecolor="#000000">
              <v:stroke dashstyle="solid"/>
            </v:line>
            <v:rect style="position:absolute;left:3696;top:579;width:20;height:20" filled="true" fillcolor="#000000" stroked="false">
              <v:fill type="solid"/>
            </v:rect>
            <v:line style="position:absolute" from="3715,589" to="11002,589"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您与本公司订立的合同</w:t>
      </w:r>
    </w:p>
    <w:p>
      <w:pPr>
        <w:pStyle w:val="BodyText"/>
        <w:spacing w:before="7"/>
        <w:rPr>
          <w:rFonts w:ascii="微软雅黑"/>
          <w:b/>
          <w:sz w:val="7"/>
        </w:rPr>
      </w:pPr>
    </w:p>
    <w:p>
      <w:pPr>
        <w:pStyle w:val="BodyText"/>
        <w:tabs>
          <w:tab w:pos="1071" w:val="left" w:leader="none"/>
          <w:tab w:pos="3003" w:val="left" w:leader="none"/>
        </w:tabs>
        <w:spacing w:line="312" w:lineRule="exact" w:before="32"/>
        <w:ind w:left="3003" w:right="171" w:hanging="2784"/>
      </w:pPr>
      <w:r>
        <w:rPr>
          <w:rFonts w:ascii="微软雅黑" w:eastAsia="微软雅黑" w:hint="eastAsia"/>
          <w:b/>
          <w:w w:val="81"/>
        </w:rPr>
        <w:t>1</w:t>
      </w:r>
      <w:r>
        <w:rPr>
          <w:rFonts w:ascii="微软雅黑" w:eastAsia="微软雅黑" w:hint="eastAsia"/>
          <w:b/>
          <w:w w:val="175"/>
        </w:rPr>
        <w:t>.</w:t>
      </w:r>
      <w:r>
        <w:rPr>
          <w:rFonts w:ascii="微软雅黑" w:eastAsia="微软雅黑" w:hint="eastAsia"/>
          <w:b/>
          <w:w w:val="81"/>
        </w:rPr>
        <w:t>1</w:t>
      </w:r>
      <w:r>
        <w:rPr>
          <w:rFonts w:ascii="微软雅黑" w:eastAsia="微软雅黑" w:hint="eastAsia"/>
          <w:b/>
        </w:rPr>
        <w:tab/>
      </w:r>
      <w:r>
        <w:rPr>
          <w:rFonts w:ascii="微软雅黑" w:eastAsia="微软雅黑" w:hint="eastAsia"/>
          <w:b/>
          <w:w w:val="100"/>
        </w:rPr>
        <w:t>合同构成</w:t>
      </w:r>
      <w:r>
        <w:rPr>
          <w:rFonts w:ascii="微软雅黑" w:eastAsia="微软雅黑" w:hint="eastAsia"/>
          <w:b/>
        </w:rPr>
        <w:tab/>
      </w:r>
      <w:r>
        <w:rPr>
          <w:w w:val="100"/>
        </w:rPr>
        <w:t>本附</w:t>
      </w:r>
      <w:r>
        <w:rPr>
          <w:spacing w:val="-3"/>
          <w:w w:val="100"/>
        </w:rPr>
        <w:t>加</w:t>
      </w:r>
      <w:r>
        <w:rPr>
          <w:w w:val="100"/>
        </w:rPr>
        <w:t>合</w:t>
      </w:r>
      <w:r>
        <w:rPr>
          <w:spacing w:val="-3"/>
          <w:w w:val="100"/>
        </w:rPr>
        <w:t>同</w:t>
      </w:r>
      <w:r>
        <w:rPr>
          <w:w w:val="100"/>
        </w:rPr>
        <w:t>须</w:t>
      </w:r>
      <w:r>
        <w:rPr>
          <w:spacing w:val="-3"/>
          <w:w w:val="100"/>
        </w:rPr>
        <w:t>附</w:t>
      </w:r>
      <w:r>
        <w:rPr>
          <w:w w:val="100"/>
        </w:rPr>
        <w:t>加</w:t>
      </w:r>
      <w:r>
        <w:rPr>
          <w:spacing w:val="-3"/>
          <w:w w:val="100"/>
        </w:rPr>
        <w:t>在</w:t>
      </w:r>
      <w:r>
        <w:rPr>
          <w:w w:val="100"/>
        </w:rPr>
        <w:t>主</w:t>
      </w:r>
      <w:r>
        <w:rPr>
          <w:spacing w:val="-3"/>
          <w:w w:val="100"/>
        </w:rPr>
        <w:t>合</w:t>
      </w:r>
      <w:r>
        <w:rPr>
          <w:w w:val="100"/>
        </w:rPr>
        <w:t>同《</w:t>
      </w:r>
      <w:r>
        <w:rPr>
          <w:spacing w:val="-3"/>
          <w:w w:val="100"/>
        </w:rPr>
        <w:t>交</w:t>
      </w:r>
      <w:r>
        <w:rPr>
          <w:w w:val="100"/>
        </w:rPr>
        <w:t>银</w:t>
      </w:r>
      <w:r>
        <w:rPr>
          <w:spacing w:val="-3"/>
          <w:w w:val="100"/>
        </w:rPr>
        <w:t>康</w:t>
      </w:r>
      <w:r>
        <w:rPr>
          <w:w w:val="100"/>
        </w:rPr>
        <w:t>联</w:t>
      </w:r>
      <w:r>
        <w:rPr>
          <w:spacing w:val="-3"/>
          <w:w w:val="100"/>
        </w:rPr>
        <w:t>交</w:t>
      </w:r>
      <w:r>
        <w:rPr>
          <w:w w:val="100"/>
        </w:rPr>
        <w:t>银</w:t>
      </w:r>
      <w:r>
        <w:rPr>
          <w:spacing w:val="-3"/>
          <w:w w:val="100"/>
        </w:rPr>
        <w:t>健</w:t>
      </w:r>
      <w:r>
        <w:rPr>
          <w:w w:val="100"/>
        </w:rPr>
        <w:t>康</w:t>
      </w:r>
      <w:r>
        <w:rPr>
          <w:spacing w:val="-3"/>
          <w:w w:val="100"/>
        </w:rPr>
        <w:t>人</w:t>
      </w:r>
      <w:r>
        <w:rPr>
          <w:w w:val="100"/>
        </w:rPr>
        <w:t>生两</w:t>
      </w:r>
      <w:r>
        <w:rPr>
          <w:spacing w:val="-3"/>
          <w:w w:val="100"/>
        </w:rPr>
        <w:t>全</w:t>
      </w:r>
      <w:r>
        <w:rPr>
          <w:w w:val="100"/>
        </w:rPr>
        <w:t>保</w:t>
      </w:r>
      <w:r>
        <w:rPr>
          <w:spacing w:val="-3"/>
          <w:w w:val="100"/>
        </w:rPr>
        <w:t>险</w:t>
      </w:r>
      <w:r>
        <w:rPr>
          <w:w w:val="100"/>
        </w:rPr>
        <w:t>（</w:t>
      </w:r>
      <w:r>
        <w:rPr>
          <w:spacing w:val="-3"/>
          <w:w w:val="100"/>
        </w:rPr>
        <w:t>安</w:t>
      </w:r>
      <w:r>
        <w:rPr>
          <w:w w:val="100"/>
        </w:rPr>
        <w:t>享</w:t>
      </w:r>
      <w:r>
        <w:rPr>
          <w:spacing w:val="-3"/>
          <w:w w:val="100"/>
        </w:rPr>
        <w:t>版</w:t>
      </w:r>
      <w:r>
        <w:rPr>
          <w:spacing w:val="-106"/>
          <w:w w:val="100"/>
        </w:rPr>
        <w:t>）</w:t>
      </w:r>
      <w:r>
        <w:rPr>
          <w:spacing w:val="-3"/>
          <w:w w:val="100"/>
        </w:rPr>
        <w:t>（</w:t>
      </w:r>
      <w:r>
        <w:rPr>
          <w:w w:val="100"/>
        </w:rPr>
        <w:t>分</w:t>
      </w:r>
      <w:r>
        <w:rPr/>
        <w:t>红型</w:t>
      </w:r>
      <w:r>
        <w:rPr>
          <w:spacing w:val="-108"/>
        </w:rPr>
        <w:t>）</w:t>
      </w:r>
      <w:r>
        <w:rPr/>
        <w:t>》</w:t>
      </w:r>
      <w:r>
        <w:rPr>
          <w:spacing w:val="-3"/>
        </w:rPr>
        <w:t>上</w:t>
      </w:r>
      <w:r>
        <w:rPr/>
        <w:t>，</w:t>
      </w:r>
      <w:r>
        <w:rPr>
          <w:spacing w:val="-3"/>
        </w:rPr>
        <w:t>经</w:t>
      </w:r>
      <w:r>
        <w:rPr/>
        <w:t>本</w:t>
      </w:r>
      <w:r>
        <w:rPr>
          <w:spacing w:val="-3"/>
        </w:rPr>
        <w:t>公</w:t>
      </w:r>
      <w:r>
        <w:rPr/>
        <w:t>司</w:t>
      </w:r>
      <w:r>
        <w:rPr>
          <w:spacing w:val="-3"/>
        </w:rPr>
        <w:t>在保</w:t>
      </w:r>
      <w:r>
        <w:rPr/>
        <w:t>险单</w:t>
      </w:r>
      <w:r>
        <w:rPr>
          <w:spacing w:val="-3"/>
        </w:rPr>
        <w:t>中</w:t>
      </w:r>
      <w:r>
        <w:rPr/>
        <w:t>列</w:t>
      </w:r>
      <w:r>
        <w:rPr>
          <w:spacing w:val="-3"/>
        </w:rPr>
        <w:t>明</w:t>
      </w:r>
      <w:r>
        <w:rPr/>
        <w:t>后</w:t>
      </w:r>
      <w:r>
        <w:rPr>
          <w:spacing w:val="-3"/>
        </w:rPr>
        <w:t>始</w:t>
      </w:r>
      <w:r>
        <w:rPr/>
        <w:t>得</w:t>
      </w:r>
      <w:r>
        <w:rPr>
          <w:spacing w:val="-3"/>
        </w:rPr>
        <w:t>生</w:t>
      </w:r>
      <w:r>
        <w:rPr/>
        <w:t>效</w:t>
      </w:r>
      <w:r>
        <w:rPr>
          <w:spacing w:val="-3"/>
        </w:rPr>
        <w:t>，</w:t>
      </w:r>
      <w:r>
        <w:rPr/>
        <w:t>并成</w:t>
      </w:r>
      <w:r>
        <w:rPr>
          <w:spacing w:val="-3"/>
        </w:rPr>
        <w:t>为</w:t>
      </w:r>
      <w:r>
        <w:rPr/>
        <w:t>主</w:t>
      </w:r>
      <w:r>
        <w:rPr>
          <w:spacing w:val="-3"/>
        </w:rPr>
        <w:t>合</w:t>
      </w:r>
      <w:r>
        <w:rPr/>
        <w:t>同</w:t>
      </w:r>
      <w:r>
        <w:rPr>
          <w:spacing w:val="-3"/>
        </w:rPr>
        <w:t>不</w:t>
      </w:r>
      <w:r>
        <w:rPr/>
        <w:t>可</w:t>
      </w:r>
      <w:r>
        <w:rPr>
          <w:spacing w:val="-3"/>
        </w:rPr>
        <w:t>分</w:t>
      </w:r>
      <w:r>
        <w:rPr/>
        <w:t>割的一部</w:t>
      </w:r>
      <w:r>
        <w:rPr>
          <w:spacing w:val="-3"/>
        </w:rPr>
        <w:t>分</w:t>
      </w:r>
      <w:r>
        <w:rPr/>
        <w:t>。</w:t>
      </w:r>
      <w:r>
        <w:rPr>
          <w:spacing w:val="-3"/>
        </w:rPr>
        <w:t>主</w:t>
      </w:r>
      <w:r>
        <w:rPr/>
        <w:t>合</w:t>
      </w:r>
      <w:r>
        <w:rPr>
          <w:spacing w:val="-3"/>
        </w:rPr>
        <w:t>同</w:t>
      </w:r>
      <w:r>
        <w:rPr/>
        <w:t>所</w:t>
      </w:r>
      <w:r>
        <w:rPr>
          <w:spacing w:val="-3"/>
        </w:rPr>
        <w:t>附</w:t>
      </w:r>
      <w:r>
        <w:rPr/>
        <w:t>的</w:t>
      </w:r>
      <w:r>
        <w:rPr>
          <w:spacing w:val="-3"/>
        </w:rPr>
        <w:t>各</w:t>
      </w:r>
      <w:r>
        <w:rPr/>
        <w:t>条款</w:t>
      </w:r>
      <w:r>
        <w:rPr>
          <w:spacing w:val="-3"/>
        </w:rPr>
        <w:t>、</w:t>
      </w:r>
      <w:r>
        <w:rPr/>
        <w:t>投</w:t>
      </w:r>
      <w:r>
        <w:rPr>
          <w:spacing w:val="-3"/>
        </w:rPr>
        <w:t>保</w:t>
      </w:r>
      <w:r>
        <w:rPr/>
        <w:t>单</w:t>
      </w:r>
      <w:r>
        <w:rPr>
          <w:spacing w:val="-3"/>
        </w:rPr>
        <w:t>及</w:t>
      </w:r>
      <w:r>
        <w:rPr/>
        <w:t>与</w:t>
      </w:r>
      <w:r>
        <w:rPr>
          <w:spacing w:val="-3"/>
        </w:rPr>
        <w:t>本</w:t>
      </w:r>
      <w:r>
        <w:rPr/>
        <w:t>附</w:t>
      </w:r>
      <w:r>
        <w:rPr>
          <w:spacing w:val="-3"/>
        </w:rPr>
        <w:t>加</w:t>
      </w:r>
      <w:r>
        <w:rPr/>
        <w:t>合同</w:t>
      </w:r>
      <w:r>
        <w:rPr>
          <w:spacing w:val="-3"/>
        </w:rPr>
        <w:t>有</w:t>
      </w:r>
      <w:r>
        <w:rPr/>
        <w:t>关</w:t>
      </w:r>
      <w:r>
        <w:rPr>
          <w:spacing w:val="-3"/>
        </w:rPr>
        <w:t>的</w:t>
      </w:r>
      <w:r>
        <w:rPr/>
        <w:t>其</w:t>
      </w:r>
      <w:r>
        <w:rPr>
          <w:spacing w:val="-3"/>
        </w:rPr>
        <w:t>他</w:t>
      </w:r>
      <w:r>
        <w:rPr/>
        <w:t>投</w:t>
      </w:r>
      <w:r>
        <w:rPr>
          <w:spacing w:val="-3"/>
        </w:rPr>
        <w:t>保文件</w:t>
      </w:r>
      <w:r>
        <w:rPr/>
        <w:t>、声明</w:t>
      </w:r>
      <w:r>
        <w:rPr>
          <w:spacing w:val="-3"/>
        </w:rPr>
        <w:t>、</w:t>
      </w:r>
      <w:r>
        <w:rPr/>
        <w:t>批</w:t>
      </w:r>
      <w:r>
        <w:rPr>
          <w:spacing w:val="-3"/>
        </w:rPr>
        <w:t>注</w:t>
      </w:r>
      <w:r>
        <w:rPr/>
        <w:t>、</w:t>
      </w:r>
      <w:r>
        <w:rPr>
          <w:spacing w:val="-3"/>
        </w:rPr>
        <w:t>附</w:t>
      </w:r>
      <w:r>
        <w:rPr/>
        <w:t>贴</w:t>
      </w:r>
      <w:r>
        <w:rPr>
          <w:spacing w:val="-3"/>
        </w:rPr>
        <w:t>批</w:t>
      </w:r>
      <w:r>
        <w:rPr/>
        <w:t>单</w:t>
      </w:r>
      <w:r>
        <w:rPr>
          <w:spacing w:val="-3"/>
        </w:rPr>
        <w:t>和</w:t>
      </w:r>
      <w:r>
        <w:rPr/>
        <w:t>其他</w:t>
      </w:r>
      <w:r>
        <w:rPr>
          <w:spacing w:val="-3"/>
        </w:rPr>
        <w:t>协</w:t>
      </w:r>
      <w:r>
        <w:rPr/>
        <w:t>议</w:t>
      </w:r>
      <w:r>
        <w:rPr>
          <w:spacing w:val="-3"/>
        </w:rPr>
        <w:t>，</w:t>
      </w:r>
      <w:r>
        <w:rPr/>
        <w:t>均</w:t>
      </w:r>
      <w:r>
        <w:rPr>
          <w:spacing w:val="-3"/>
        </w:rPr>
        <w:t>为</w:t>
      </w:r>
      <w:r>
        <w:rPr/>
        <w:t>本</w:t>
      </w:r>
      <w:r>
        <w:rPr>
          <w:spacing w:val="-3"/>
        </w:rPr>
        <w:t>附</w:t>
      </w:r>
      <w:r>
        <w:rPr/>
        <w:t>加</w:t>
      </w:r>
      <w:r>
        <w:rPr>
          <w:spacing w:val="-3"/>
        </w:rPr>
        <w:t>合</w:t>
      </w:r>
      <w:r>
        <w:rPr/>
        <w:t>同的</w:t>
      </w:r>
      <w:r>
        <w:rPr>
          <w:spacing w:val="-3"/>
        </w:rPr>
        <w:t>构</w:t>
      </w:r>
      <w:r>
        <w:rPr/>
        <w:t>成</w:t>
      </w:r>
      <w:r>
        <w:rPr>
          <w:spacing w:val="-3"/>
        </w:rPr>
        <w:t>部</w:t>
      </w:r>
      <w:r>
        <w:rPr/>
        <w:t>分。</w:t>
      </w:r>
    </w:p>
    <w:p>
      <w:pPr>
        <w:pStyle w:val="BodyText"/>
        <w:spacing w:before="3"/>
        <w:rPr>
          <w:sz w:val="20"/>
        </w:rPr>
      </w:pPr>
    </w:p>
    <w:p>
      <w:pPr>
        <w:pStyle w:val="Heading2"/>
        <w:tabs>
          <w:tab w:pos="1071" w:val="left" w:leader="none"/>
        </w:tabs>
        <w:spacing w:before="43"/>
      </w:pPr>
      <w:r>
        <w:rPr/>
        <w:pict>
          <v:group style="position:absolute;margin-left:45.599998pt;margin-top:31.134151pt;width:504.5pt;height:1pt;mso-position-horizontal-relative:page;mso-position-vertical-relative:paragraph;z-index:1120;mso-wrap-distance-left:0;mso-wrap-distance-right:0" coordorigin="912,623" coordsize="10090,20">
            <v:line style="position:absolute" from="912,632" to="1764,632" stroked="true" strokeweight=".96pt" strokecolor="#000000">
              <v:stroke dashstyle="solid"/>
            </v:line>
            <v:rect style="position:absolute;left:1764;top:622;width:20;height:20" filled="true" fillcolor="#000000" stroked="false">
              <v:fill type="solid"/>
            </v:rect>
            <v:line style="position:absolute" from="1783,632" to="3696,632" stroked="true" strokeweight=".96pt" strokecolor="#000000">
              <v:stroke dashstyle="solid"/>
            </v:line>
            <v:rect style="position:absolute;left:3696;top:622;width:20;height:20" filled="true" fillcolor="#000000" stroked="false">
              <v:fill type="solid"/>
            </v:rect>
            <v:line style="position:absolute" from="3715,632" to="11002,632" stroked="true" strokeweight=".96pt" strokecolor="#000000">
              <v:stroke dashstyle="solid"/>
            </v:line>
            <w10:wrap type="topAndBottom"/>
          </v:group>
        </w:pict>
      </w:r>
      <w:r>
        <w:rPr>
          <w:rFonts w:ascii="Arial" w:eastAsia="Arial"/>
          <w:b w:val="0"/>
          <w:w w:val="140"/>
          <w:position w:val="-3"/>
          <w:sz w:val="40"/>
        </w:rPr>
        <w:t>4</w:t>
      </w:r>
      <w:r>
        <w:rPr>
          <w:rFonts w:ascii="Times New Roman" w:eastAsia="Times New Roman"/>
          <w:b w:val="0"/>
          <w:w w:val="140"/>
          <w:position w:val="-3"/>
          <w:sz w:val="40"/>
        </w:rPr>
        <w:tab/>
      </w:r>
      <w:r>
        <w:rPr/>
        <w:t>本公司提供的保障</w:t>
      </w:r>
    </w:p>
    <w:p>
      <w:pPr>
        <w:pStyle w:val="BodyText"/>
        <w:spacing w:before="8"/>
        <w:rPr>
          <w:rFonts w:ascii="微软雅黑"/>
          <w:b/>
          <w:sz w:val="4"/>
        </w:rPr>
      </w:pPr>
    </w:p>
    <w:p>
      <w:pPr>
        <w:pStyle w:val="ListParagraph"/>
        <w:numPr>
          <w:ilvl w:val="1"/>
          <w:numId w:val="8"/>
        </w:numPr>
        <w:tabs>
          <w:tab w:pos="1071" w:val="left" w:leader="none"/>
          <w:tab w:pos="1072" w:val="left" w:leader="none"/>
          <w:tab w:pos="3003" w:val="left" w:leader="none"/>
        </w:tabs>
        <w:spacing w:line="312" w:lineRule="exact" w:before="32" w:after="0"/>
        <w:ind w:left="3003" w:right="222" w:hanging="2783"/>
        <w:jc w:val="left"/>
        <w:rPr>
          <w:sz w:val="21"/>
        </w:rPr>
      </w:pPr>
      <w:r>
        <w:rPr>
          <w:rFonts w:ascii="微软雅黑" w:eastAsia="微软雅黑" w:hint="eastAsia"/>
          <w:b/>
          <w:sz w:val="21"/>
        </w:rPr>
        <w:t>基本保险金额</w:t>
        <w:tab/>
      </w:r>
      <w:r>
        <w:rPr>
          <w:sz w:val="21"/>
        </w:rPr>
        <w:t>本附</w:t>
      </w:r>
      <w:r>
        <w:rPr>
          <w:spacing w:val="-3"/>
          <w:sz w:val="21"/>
        </w:rPr>
        <w:t>加</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额由</w:t>
      </w:r>
      <w:r>
        <w:rPr>
          <w:spacing w:val="-3"/>
          <w:sz w:val="21"/>
        </w:rPr>
        <w:t>您</w:t>
      </w:r>
      <w:r>
        <w:rPr>
          <w:sz w:val="21"/>
        </w:rPr>
        <w:t>在</w:t>
      </w:r>
      <w:r>
        <w:rPr>
          <w:spacing w:val="-3"/>
          <w:sz w:val="21"/>
        </w:rPr>
        <w:t>投</w:t>
      </w:r>
      <w:r>
        <w:rPr>
          <w:sz w:val="21"/>
        </w:rPr>
        <w:t>保</w:t>
      </w:r>
      <w:r>
        <w:rPr>
          <w:spacing w:val="-3"/>
          <w:sz w:val="21"/>
        </w:rPr>
        <w:t>时</w:t>
      </w:r>
      <w:r>
        <w:rPr>
          <w:sz w:val="21"/>
        </w:rPr>
        <w:t>与</w:t>
      </w:r>
      <w:r>
        <w:rPr>
          <w:spacing w:val="-3"/>
          <w:sz w:val="21"/>
        </w:rPr>
        <w:t>本</w:t>
      </w:r>
      <w:r>
        <w:rPr>
          <w:sz w:val="21"/>
        </w:rPr>
        <w:t>公</w:t>
      </w:r>
      <w:r>
        <w:rPr>
          <w:spacing w:val="-3"/>
          <w:sz w:val="21"/>
        </w:rPr>
        <w:t>司</w:t>
      </w:r>
      <w:r>
        <w:rPr>
          <w:sz w:val="21"/>
        </w:rPr>
        <w:t>约定</w:t>
      </w:r>
      <w:r>
        <w:rPr>
          <w:spacing w:val="-53"/>
          <w:sz w:val="21"/>
        </w:rPr>
        <w:t>，</w:t>
      </w:r>
      <w:r>
        <w:rPr>
          <w:sz w:val="21"/>
        </w:rPr>
        <w:t>为</w:t>
      </w:r>
      <w:r>
        <w:rPr>
          <w:spacing w:val="-3"/>
          <w:sz w:val="21"/>
        </w:rPr>
        <w:t>本</w:t>
      </w:r>
      <w:r>
        <w:rPr>
          <w:sz w:val="21"/>
        </w:rPr>
        <w:t>附</w:t>
      </w:r>
      <w:r>
        <w:rPr>
          <w:spacing w:val="-3"/>
          <w:sz w:val="21"/>
        </w:rPr>
        <w:t>加</w:t>
      </w:r>
      <w:r>
        <w:rPr>
          <w:sz w:val="21"/>
        </w:rPr>
        <w:t>合</w:t>
      </w:r>
      <w:r>
        <w:rPr>
          <w:spacing w:val="-3"/>
          <w:sz w:val="21"/>
        </w:rPr>
        <w:t>同保险</w:t>
      </w:r>
      <w:r>
        <w:rPr>
          <w:sz w:val="21"/>
        </w:rPr>
        <w:t>费 的计</w:t>
      </w:r>
      <w:r>
        <w:rPr>
          <w:spacing w:val="-3"/>
          <w:sz w:val="21"/>
        </w:rPr>
        <w:t>算</w:t>
      </w:r>
      <w:r>
        <w:rPr>
          <w:sz w:val="21"/>
        </w:rPr>
        <w:t>基</w:t>
      </w:r>
      <w:r>
        <w:rPr>
          <w:spacing w:val="-3"/>
          <w:sz w:val="21"/>
        </w:rPr>
        <w:t>础</w:t>
      </w:r>
      <w:r>
        <w:rPr>
          <w:sz w:val="21"/>
        </w:rPr>
        <w:t>，</w:t>
      </w:r>
      <w:r>
        <w:rPr>
          <w:spacing w:val="-3"/>
          <w:sz w:val="21"/>
        </w:rPr>
        <w:t>并</w:t>
      </w:r>
      <w:r>
        <w:rPr>
          <w:sz w:val="21"/>
        </w:rPr>
        <w:t>载</w:t>
      </w:r>
      <w:r>
        <w:rPr>
          <w:spacing w:val="-3"/>
          <w:sz w:val="21"/>
        </w:rPr>
        <w:t>明</w:t>
      </w:r>
      <w:r>
        <w:rPr>
          <w:sz w:val="21"/>
        </w:rPr>
        <w:t>于</w:t>
      </w:r>
      <w:r>
        <w:rPr>
          <w:spacing w:val="-3"/>
          <w:sz w:val="21"/>
        </w:rPr>
        <w:t>保</w:t>
      </w:r>
      <w:r>
        <w:rPr>
          <w:sz w:val="21"/>
        </w:rPr>
        <w:t>险单</w:t>
      </w:r>
      <w:r>
        <w:rPr>
          <w:spacing w:val="-3"/>
          <w:sz w:val="21"/>
        </w:rPr>
        <w:t>或</w:t>
      </w:r>
      <w:r>
        <w:rPr>
          <w:sz w:val="21"/>
        </w:rPr>
        <w:t>批</w:t>
      </w:r>
      <w:r>
        <w:rPr>
          <w:spacing w:val="-3"/>
          <w:sz w:val="21"/>
        </w:rPr>
        <w:t>注</w:t>
      </w:r>
      <w:r>
        <w:rPr>
          <w:sz w:val="21"/>
        </w:rPr>
        <w:t>上。</w:t>
      </w:r>
    </w:p>
    <w:p>
      <w:pPr>
        <w:pStyle w:val="BodyText"/>
        <w:spacing w:before="3"/>
        <w:ind w:left="3003"/>
      </w:pPr>
      <w:r>
        <w:rPr/>
        <w:t>本附加合同的有效保险金额等于主合同的有效保险金额。</w:t>
      </w:r>
    </w:p>
    <w:p>
      <w:pPr>
        <w:pStyle w:val="BodyText"/>
        <w:spacing w:before="5"/>
        <w:rPr>
          <w:sz w:val="15"/>
        </w:rPr>
      </w:pPr>
    </w:p>
    <w:p>
      <w:pPr>
        <w:pStyle w:val="ListParagraph"/>
        <w:numPr>
          <w:ilvl w:val="1"/>
          <w:numId w:val="8"/>
        </w:numPr>
        <w:tabs>
          <w:tab w:pos="1071" w:val="left" w:leader="none"/>
          <w:tab w:pos="1072" w:val="left" w:leader="none"/>
          <w:tab w:pos="3003" w:val="left" w:leader="none"/>
        </w:tabs>
        <w:spacing w:line="247" w:lineRule="auto" w:before="1" w:after="0"/>
        <w:ind w:left="3003" w:right="222" w:hanging="2783"/>
        <w:jc w:val="left"/>
        <w:rPr>
          <w:sz w:val="21"/>
        </w:rPr>
      </w:pPr>
      <w:r>
        <w:rPr>
          <w:rFonts w:ascii="微软雅黑" w:eastAsia="微软雅黑" w:hint="eastAsia"/>
          <w:b/>
          <w:sz w:val="21"/>
        </w:rPr>
        <w:t>保险责任</w:t>
        <w:tab/>
      </w:r>
      <w:r>
        <w:rPr>
          <w:sz w:val="21"/>
        </w:rPr>
        <w:t>在本</w:t>
      </w:r>
      <w:r>
        <w:rPr>
          <w:spacing w:val="-3"/>
          <w:sz w:val="21"/>
        </w:rPr>
        <w:t>附</w:t>
      </w:r>
      <w:r>
        <w:rPr>
          <w:sz w:val="21"/>
        </w:rPr>
        <w:t>加</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pacing w:val="-24"/>
          <w:sz w:val="21"/>
        </w:rPr>
        <w:t>，</w:t>
      </w:r>
      <w:r>
        <w:rPr>
          <w:spacing w:val="-3"/>
          <w:sz w:val="21"/>
        </w:rPr>
        <w:t>且</w:t>
      </w:r>
      <w:r>
        <w:rPr>
          <w:sz w:val="21"/>
        </w:rPr>
        <w:t>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的前</w:t>
      </w:r>
      <w:r>
        <w:rPr>
          <w:sz w:val="21"/>
        </w:rPr>
        <w:t>提</w:t>
      </w:r>
      <w:r>
        <w:rPr>
          <w:spacing w:val="-3"/>
          <w:sz w:val="21"/>
        </w:rPr>
        <w:t>下</w:t>
      </w:r>
      <w:r>
        <w:rPr>
          <w:spacing w:val="-24"/>
          <w:sz w:val="21"/>
        </w:rPr>
        <w:t>，</w:t>
      </w:r>
      <w:r>
        <w:rPr>
          <w:spacing w:val="-3"/>
          <w:sz w:val="21"/>
        </w:rPr>
        <w:t>本</w:t>
      </w:r>
      <w:r>
        <w:rPr>
          <w:sz w:val="21"/>
        </w:rPr>
        <w:t>公</w:t>
      </w:r>
      <w:r>
        <w:rPr>
          <w:spacing w:val="-3"/>
          <w:sz w:val="21"/>
        </w:rPr>
        <w:t>司</w:t>
      </w:r>
      <w:r>
        <w:rPr>
          <w:sz w:val="21"/>
        </w:rPr>
        <w:t>承</w:t>
      </w:r>
      <w:r>
        <w:rPr>
          <w:spacing w:val="-3"/>
          <w:sz w:val="21"/>
        </w:rPr>
        <w:t>担</w:t>
      </w:r>
      <w:r>
        <w:rPr>
          <w:sz w:val="21"/>
        </w:rPr>
        <w:t>下</w:t>
      </w:r>
      <w:r>
        <w:rPr>
          <w:spacing w:val="-3"/>
          <w:sz w:val="21"/>
        </w:rPr>
        <w:t>列保</w:t>
      </w:r>
      <w:r>
        <w:rPr>
          <w:sz w:val="21"/>
        </w:rPr>
        <w:t>险 责任：</w:t>
      </w:r>
    </w:p>
    <w:p>
      <w:pPr>
        <w:pStyle w:val="BodyText"/>
        <w:spacing w:before="10"/>
        <w:rPr>
          <w:sz w:val="14"/>
        </w:rPr>
      </w:pPr>
    </w:p>
    <w:p>
      <w:pPr>
        <w:pStyle w:val="BodyText"/>
        <w:spacing w:line="259" w:lineRule="auto" w:before="1"/>
        <w:ind w:left="3003" w:right="222" w:hanging="1932"/>
        <w:jc w:val="both"/>
      </w:pPr>
      <w:r>
        <w:rPr>
          <w:rFonts w:ascii="微软雅黑" w:eastAsia="微软雅黑" w:hint="eastAsia"/>
          <w:b/>
          <w:spacing w:val="5"/>
        </w:rPr>
        <w:t>重大疾病保险金    </w:t>
      </w:r>
      <w:r>
        <w:rPr>
          <w:spacing w:val="-3"/>
        </w:rPr>
        <w:t>如果被保险人经</w:t>
      </w:r>
      <w:r>
        <w:rPr>
          <w:rFonts w:ascii="微软雅黑" w:eastAsia="微软雅黑" w:hint="eastAsia"/>
          <w:b/>
          <w:spacing w:val="-8"/>
        </w:rPr>
        <w:t>医院</w:t>
      </w:r>
      <w:r>
        <w:rPr/>
        <w:t>（</w:t>
      </w:r>
      <w:r>
        <w:rPr>
          <w:spacing w:val="-2"/>
        </w:rPr>
        <w:t>见释义</w:t>
      </w:r>
      <w:r>
        <w:rPr>
          <w:spacing w:val="-17"/>
        </w:rPr>
        <w:t>）</w:t>
      </w:r>
      <w:r>
        <w:rPr>
          <w:spacing w:val="-3"/>
        </w:rPr>
        <w:t>的</w:t>
      </w:r>
      <w:r>
        <w:rPr>
          <w:rFonts w:ascii="微软雅黑" w:eastAsia="微软雅黑" w:hint="eastAsia"/>
          <w:b/>
          <w:spacing w:val="-4"/>
        </w:rPr>
        <w:t>专科医生</w:t>
      </w:r>
      <w:r>
        <w:rPr/>
        <w:t>（</w:t>
      </w:r>
      <w:r>
        <w:rPr>
          <w:spacing w:val="-2"/>
        </w:rPr>
        <w:t>见释义</w:t>
      </w:r>
      <w:r>
        <w:rPr>
          <w:spacing w:val="-15"/>
        </w:rPr>
        <w:t>）</w:t>
      </w:r>
      <w:r>
        <w:rPr>
          <w:spacing w:val="-3"/>
        </w:rPr>
        <w:t>确诊初次患上本附加合</w:t>
      </w:r>
      <w:r>
        <w:rPr>
          <w:spacing w:val="-6"/>
        </w:rPr>
        <w:t>同重大疾病列表内所界定的任何一种重大疾病，本附加合同及主合同终止，本</w:t>
      </w:r>
      <w:r>
        <w:rPr>
          <w:spacing w:val="-4"/>
        </w:rPr>
        <w:t>公司给付重大疾病保险金。</w:t>
      </w:r>
    </w:p>
    <w:p>
      <w:pPr>
        <w:pStyle w:val="BodyText"/>
        <w:spacing w:line="312" w:lineRule="exact" w:before="16"/>
        <w:ind w:left="3003" w:right="222"/>
        <w:jc w:val="both"/>
      </w:pPr>
      <w:r>
        <w:rPr>
          <w:spacing w:val="-5"/>
        </w:rPr>
        <w:t>如果被保险人于本附加合同生效日或最后复效日</w:t>
      </w:r>
      <w:r>
        <w:rPr>
          <w:spacing w:val="-3"/>
        </w:rPr>
        <w:t>（以较迟者为准</w:t>
      </w:r>
      <w:r>
        <w:rPr>
          <w:spacing w:val="-24"/>
        </w:rPr>
        <w:t>）</w:t>
      </w:r>
      <w:r>
        <w:rPr>
          <w:spacing w:val="-20"/>
        </w:rPr>
        <w:t>起 </w:t>
      </w:r>
      <w:r>
        <w:rPr/>
        <w:t>180</w:t>
      </w:r>
      <w:r>
        <w:rPr>
          <w:spacing w:val="-15"/>
        </w:rPr>
        <w:t> 日内</w:t>
      </w:r>
      <w:r>
        <w:rPr>
          <w:spacing w:val="-9"/>
        </w:rPr>
        <w:t>非因</w:t>
      </w:r>
      <w:r>
        <w:rPr>
          <w:rFonts w:ascii="微软雅黑" w:eastAsia="微软雅黑" w:hint="eastAsia"/>
          <w:b/>
          <w:spacing w:val="-5"/>
        </w:rPr>
        <w:t>意外伤害事故</w:t>
      </w:r>
      <w:r>
        <w:rPr>
          <w:spacing w:val="-3"/>
        </w:rPr>
        <w:t>（</w:t>
      </w:r>
      <w:r>
        <w:rPr>
          <w:spacing w:val="-2"/>
        </w:rPr>
        <w:t>见释义</w:t>
      </w:r>
      <w:r>
        <w:rPr>
          <w:spacing w:val="-29"/>
        </w:rPr>
        <w:t>）</w:t>
      </w:r>
      <w:r>
        <w:rPr>
          <w:spacing w:val="-3"/>
        </w:rPr>
        <w:t>确诊初次患上本附加合同重大疾病列表内所界定</w:t>
      </w:r>
      <w:r>
        <w:rPr>
          <w:spacing w:val="-8"/>
        </w:rPr>
        <w:t>的任何一种重大疾病，重大疾病保险金等于本附加合同及主合同的累计已交保</w:t>
      </w:r>
      <w:r>
        <w:rPr>
          <w:spacing w:val="-5"/>
        </w:rPr>
        <w:t>险费之和；</w:t>
      </w:r>
    </w:p>
    <w:p>
      <w:pPr>
        <w:pStyle w:val="BodyText"/>
        <w:spacing w:line="312" w:lineRule="exact"/>
        <w:ind w:left="3003" w:right="171"/>
        <w:jc w:val="both"/>
      </w:pPr>
      <w:r>
        <w:rPr>
          <w:spacing w:val="-3"/>
        </w:rPr>
        <w:t>如果被保险人因</w:t>
      </w:r>
      <w:r>
        <w:rPr>
          <w:rFonts w:ascii="微软雅黑" w:eastAsia="微软雅黑" w:hint="eastAsia"/>
          <w:b/>
          <w:spacing w:val="-1"/>
        </w:rPr>
        <w:t>意外伤害事故</w:t>
      </w:r>
      <w:r>
        <w:rPr>
          <w:spacing w:val="-9"/>
        </w:rPr>
        <w:t>、或于本附加合同生效日或最后复效日</w:t>
      </w:r>
      <w:r>
        <w:rPr/>
        <w:t>（</w:t>
      </w:r>
      <w:r>
        <w:rPr>
          <w:spacing w:val="-2"/>
        </w:rPr>
        <w:t>以较迟</w:t>
      </w:r>
      <w:r>
        <w:rPr>
          <w:spacing w:val="-3"/>
        </w:rPr>
        <w:t>者为准</w:t>
      </w:r>
      <w:r>
        <w:rPr>
          <w:spacing w:val="-20"/>
        </w:rPr>
        <w:t>）</w:t>
      </w:r>
      <w:r>
        <w:rPr>
          <w:spacing w:val="-21"/>
        </w:rPr>
        <w:t>起 </w:t>
      </w:r>
      <w:r>
        <w:rPr/>
        <w:t>180</w:t>
      </w:r>
      <w:r>
        <w:rPr>
          <w:spacing w:val="-17"/>
        </w:rPr>
        <w:t> 日以后</w:t>
      </w:r>
      <w:r>
        <w:rPr>
          <w:spacing w:val="-3"/>
        </w:rPr>
        <w:t>（</w:t>
      </w:r>
      <w:r>
        <w:rPr>
          <w:spacing w:val="-1"/>
        </w:rPr>
        <w:t>含当日</w:t>
      </w:r>
      <w:r>
        <w:rPr>
          <w:spacing w:val="-17"/>
        </w:rPr>
        <w:t>）</w:t>
      </w:r>
      <w:r>
        <w:rPr>
          <w:spacing w:val="-3"/>
        </w:rPr>
        <w:t>确诊初次患上本附加合同重大疾病列表内所界定的任何一种重大疾病，重大疾病保险金等于本附加合同的有效保险金额。</w:t>
      </w:r>
    </w:p>
    <w:p>
      <w:pPr>
        <w:pStyle w:val="BodyText"/>
        <w:spacing w:before="9"/>
        <w:rPr>
          <w:sz w:val="17"/>
        </w:rPr>
      </w:pPr>
    </w:p>
    <w:p>
      <w:pPr>
        <w:pStyle w:val="BodyText"/>
        <w:spacing w:before="1"/>
        <w:ind w:left="3003"/>
      </w:pPr>
      <w:r>
        <w:rPr/>
        <w:t>本附加合同的重大疾病保险金给付责任以一次为限。</w:t>
      </w:r>
    </w:p>
    <w:p>
      <w:pPr>
        <w:pStyle w:val="BodyText"/>
        <w:spacing w:before="4"/>
        <w:rPr>
          <w:sz w:val="15"/>
        </w:rPr>
      </w:pPr>
    </w:p>
    <w:p>
      <w:pPr>
        <w:pStyle w:val="ListParagraph"/>
        <w:numPr>
          <w:ilvl w:val="1"/>
          <w:numId w:val="8"/>
        </w:numPr>
        <w:tabs>
          <w:tab w:pos="1071" w:val="left" w:leader="none"/>
          <w:tab w:pos="1072" w:val="left" w:leader="none"/>
          <w:tab w:pos="3003" w:val="left" w:leader="none"/>
        </w:tabs>
        <w:spacing w:line="247" w:lineRule="auto" w:before="0" w:after="0"/>
        <w:ind w:left="3003" w:right="222" w:hanging="2783"/>
        <w:jc w:val="left"/>
        <w:rPr>
          <w:sz w:val="21"/>
        </w:rPr>
      </w:pPr>
      <w:r>
        <w:rPr>
          <w:rFonts w:ascii="微软雅黑" w:eastAsia="微软雅黑" w:hint="eastAsia"/>
          <w:b/>
          <w:sz w:val="21"/>
        </w:rPr>
        <w:t>责任免除</w:t>
        <w:tab/>
      </w:r>
      <w:r>
        <w:rPr>
          <w:spacing w:val="-1"/>
          <w:sz w:val="21"/>
        </w:rPr>
        <w:t>因下</w:t>
      </w:r>
      <w:r>
        <w:rPr>
          <w:spacing w:val="-3"/>
          <w:sz w:val="21"/>
        </w:rPr>
        <w:t>列</w:t>
      </w:r>
      <w:r>
        <w:rPr>
          <w:spacing w:val="-1"/>
          <w:sz w:val="21"/>
        </w:rPr>
        <w:t>情</w:t>
      </w:r>
      <w:r>
        <w:rPr>
          <w:spacing w:val="-3"/>
          <w:sz w:val="21"/>
        </w:rPr>
        <w:t>形</w:t>
      </w:r>
      <w:r>
        <w:rPr>
          <w:sz w:val="21"/>
        </w:rPr>
        <w:t>之</w:t>
      </w:r>
      <w:r>
        <w:rPr>
          <w:spacing w:val="-3"/>
          <w:sz w:val="21"/>
        </w:rPr>
        <w:t>一</w:t>
      </w:r>
      <w:r>
        <w:rPr>
          <w:spacing w:val="-51"/>
          <w:sz w:val="21"/>
        </w:rPr>
        <w:t>，</w:t>
      </w:r>
      <w:r>
        <w:rPr>
          <w:spacing w:val="-3"/>
          <w:sz w:val="21"/>
        </w:rPr>
        <w:t>导</w:t>
      </w:r>
      <w:r>
        <w:rPr>
          <w:sz w:val="21"/>
        </w:rPr>
        <w:t>致</w:t>
      </w:r>
      <w:r>
        <w:rPr>
          <w:spacing w:val="-3"/>
          <w:sz w:val="21"/>
        </w:rPr>
        <w:t>被</w:t>
      </w:r>
      <w:r>
        <w:rPr>
          <w:sz w:val="21"/>
        </w:rPr>
        <w:t>保险</w:t>
      </w:r>
      <w:r>
        <w:rPr>
          <w:spacing w:val="-3"/>
          <w:sz w:val="21"/>
        </w:rPr>
        <w:t>人</w:t>
      </w:r>
      <w:r>
        <w:rPr>
          <w:sz w:val="21"/>
        </w:rPr>
        <w:t>发Th本</w:t>
      </w:r>
      <w:r>
        <w:rPr>
          <w:spacing w:val="-3"/>
          <w:sz w:val="21"/>
        </w:rPr>
        <w:t>附</w:t>
      </w:r>
      <w:r>
        <w:rPr>
          <w:sz w:val="21"/>
        </w:rPr>
        <w:t>加</w:t>
      </w:r>
      <w:r>
        <w:rPr>
          <w:spacing w:val="-3"/>
          <w:sz w:val="21"/>
        </w:rPr>
        <w:t>合</w:t>
      </w:r>
      <w:r>
        <w:rPr>
          <w:sz w:val="21"/>
        </w:rPr>
        <w:t>同</w:t>
      </w:r>
      <w:r>
        <w:rPr>
          <w:spacing w:val="-3"/>
          <w:sz w:val="21"/>
        </w:rPr>
        <w:t>重</w:t>
      </w:r>
      <w:r>
        <w:rPr>
          <w:sz w:val="21"/>
        </w:rPr>
        <w:t>大疾</w:t>
      </w:r>
      <w:r>
        <w:rPr>
          <w:spacing w:val="-3"/>
          <w:sz w:val="21"/>
        </w:rPr>
        <w:t>病</w:t>
      </w:r>
      <w:r>
        <w:rPr>
          <w:sz w:val="21"/>
        </w:rPr>
        <w:t>列</w:t>
      </w:r>
      <w:r>
        <w:rPr>
          <w:spacing w:val="-3"/>
          <w:sz w:val="21"/>
        </w:rPr>
        <w:t>表</w:t>
      </w:r>
      <w:r>
        <w:rPr>
          <w:sz w:val="21"/>
        </w:rPr>
        <w:t>内</w:t>
      </w:r>
      <w:r>
        <w:rPr>
          <w:spacing w:val="-3"/>
          <w:sz w:val="21"/>
        </w:rPr>
        <w:t>界</w:t>
      </w:r>
      <w:r>
        <w:rPr>
          <w:sz w:val="21"/>
        </w:rPr>
        <w:t>定</w:t>
      </w:r>
      <w:r>
        <w:rPr>
          <w:spacing w:val="-3"/>
          <w:sz w:val="21"/>
        </w:rPr>
        <w:t>的重大</w:t>
      </w:r>
      <w:r>
        <w:rPr>
          <w:sz w:val="21"/>
        </w:rPr>
        <w:t>疾 病的</w:t>
      </w:r>
      <w:r>
        <w:rPr>
          <w:spacing w:val="-3"/>
          <w:sz w:val="21"/>
        </w:rPr>
        <w:t>，</w:t>
      </w:r>
      <w:r>
        <w:rPr>
          <w:sz w:val="21"/>
        </w:rPr>
        <w:t>本</w:t>
      </w:r>
      <w:r>
        <w:rPr>
          <w:spacing w:val="-3"/>
          <w:sz w:val="21"/>
        </w:rPr>
        <w:t>公</w:t>
      </w:r>
      <w:r>
        <w:rPr>
          <w:sz w:val="21"/>
        </w:rPr>
        <w:t>司</w:t>
      </w:r>
      <w:r>
        <w:rPr>
          <w:spacing w:val="-3"/>
          <w:sz w:val="21"/>
        </w:rPr>
        <w:t>不</w:t>
      </w:r>
      <w:r>
        <w:rPr>
          <w:sz w:val="21"/>
        </w:rPr>
        <w:t>承</w:t>
      </w:r>
      <w:r>
        <w:rPr>
          <w:spacing w:val="-3"/>
          <w:sz w:val="21"/>
        </w:rPr>
        <w:t>担</w:t>
      </w:r>
      <w:r>
        <w:rPr>
          <w:sz w:val="21"/>
        </w:rPr>
        <w:t>给</w:t>
      </w:r>
      <w:r>
        <w:rPr>
          <w:spacing w:val="-3"/>
          <w:sz w:val="21"/>
        </w:rPr>
        <w:t>付</w:t>
      </w:r>
      <w:r>
        <w:rPr>
          <w:sz w:val="21"/>
        </w:rPr>
        <w:t>保险</w:t>
      </w:r>
      <w:r>
        <w:rPr>
          <w:spacing w:val="-3"/>
          <w:sz w:val="21"/>
        </w:rPr>
        <w:t>金</w:t>
      </w:r>
      <w:r>
        <w:rPr>
          <w:sz w:val="21"/>
        </w:rPr>
        <w:t>的</w:t>
      </w:r>
      <w:r>
        <w:rPr>
          <w:spacing w:val="-3"/>
          <w:sz w:val="21"/>
        </w:rPr>
        <w:t>责</w:t>
      </w:r>
      <w:r>
        <w:rPr>
          <w:sz w:val="21"/>
        </w:rPr>
        <w:t>任：</w:t>
      </w:r>
    </w:p>
    <w:p>
      <w:pPr>
        <w:pStyle w:val="BodyText"/>
        <w:spacing w:before="30"/>
        <w:ind w:left="3003"/>
      </w:pPr>
      <w:r>
        <w:rPr/>
        <w:t>（1）投保人对被保险人的故意杀害、故意伤害；</w:t>
      </w:r>
    </w:p>
    <w:p>
      <w:pPr>
        <w:pStyle w:val="BodyText"/>
        <w:spacing w:line="260" w:lineRule="exact" w:before="36"/>
        <w:ind w:left="3003"/>
      </w:pPr>
      <w:r>
        <w:rPr/>
        <w:t>（2）被保险人故意自伤、故意犯罪或者抗拒依法采取的刑事强制措施；</w:t>
      </w:r>
    </w:p>
    <w:p>
      <w:pPr>
        <w:pStyle w:val="BodyText"/>
        <w:spacing w:line="324" w:lineRule="exact"/>
        <w:ind w:left="3003"/>
      </w:pPr>
      <w:r>
        <w:rPr>
          <w:w w:val="100"/>
        </w:rPr>
        <w:t>（3</w:t>
      </w:r>
      <w:r>
        <w:rPr>
          <w:spacing w:val="-3"/>
          <w:w w:val="100"/>
        </w:rPr>
        <w:t>）被保险人主动吸食或注射</w:t>
      </w:r>
      <w:r>
        <w:rPr>
          <w:rFonts w:ascii="Microsoft JhengHei" w:eastAsia="Microsoft JhengHei" w:hint="eastAsia"/>
          <w:b/>
          <w:w w:val="100"/>
        </w:rPr>
        <w:t>毒品</w:t>
      </w:r>
      <w:r>
        <w:rPr>
          <w:w w:val="100"/>
        </w:rPr>
        <w:t>（</w:t>
      </w:r>
      <w:r>
        <w:rPr>
          <w:spacing w:val="-3"/>
          <w:w w:val="100"/>
        </w:rPr>
        <w:t>见主合同释义</w:t>
      </w:r>
      <w:r>
        <w:rPr>
          <w:spacing w:val="-108"/>
          <w:w w:val="100"/>
        </w:rPr>
        <w:t>）</w:t>
      </w:r>
      <w:r>
        <w:rPr>
          <w:w w:val="100"/>
        </w:rPr>
        <w:t>；</w:t>
      </w:r>
    </w:p>
    <w:p>
      <w:pPr>
        <w:spacing w:line="204" w:lineRule="auto" w:before="28"/>
        <w:ind w:left="3507" w:right="116" w:hanging="504"/>
        <w:jc w:val="left"/>
        <w:rPr>
          <w:sz w:val="21"/>
        </w:rPr>
      </w:pPr>
      <w:r>
        <w:rPr>
          <w:spacing w:val="-6"/>
          <w:sz w:val="21"/>
        </w:rPr>
        <w:t>（4）</w:t>
      </w:r>
      <w:r>
        <w:rPr>
          <w:spacing w:val="-3"/>
          <w:sz w:val="21"/>
        </w:rPr>
        <w:t>被保险人</w:t>
      </w:r>
      <w:r>
        <w:rPr>
          <w:rFonts w:ascii="Microsoft JhengHei" w:eastAsia="Microsoft JhengHei" w:hint="eastAsia"/>
          <w:b/>
          <w:spacing w:val="-4"/>
          <w:sz w:val="21"/>
        </w:rPr>
        <w:t>酒后驾驶</w:t>
      </w:r>
      <w:r>
        <w:rPr>
          <w:spacing w:val="-3"/>
          <w:sz w:val="21"/>
        </w:rPr>
        <w:t>（</w:t>
      </w:r>
      <w:r>
        <w:rPr>
          <w:spacing w:val="-2"/>
          <w:sz w:val="21"/>
        </w:rPr>
        <w:t>见主合同释义</w:t>
      </w:r>
      <w:r>
        <w:rPr>
          <w:spacing w:val="-108"/>
          <w:sz w:val="21"/>
        </w:rPr>
        <w:t>）</w:t>
      </w:r>
      <w:r>
        <w:rPr>
          <w:spacing w:val="-17"/>
          <w:sz w:val="21"/>
        </w:rPr>
        <w:t>、</w:t>
      </w:r>
      <w:r>
        <w:rPr>
          <w:rFonts w:ascii="Microsoft JhengHei" w:eastAsia="Microsoft JhengHei" w:hint="eastAsia"/>
          <w:b/>
          <w:spacing w:val="-3"/>
          <w:sz w:val="21"/>
        </w:rPr>
        <w:t>无合法有效驾驶证驾驶</w:t>
      </w:r>
      <w:r>
        <w:rPr>
          <w:spacing w:val="-3"/>
          <w:sz w:val="21"/>
        </w:rPr>
        <w:t>（见主合同</w:t>
      </w:r>
      <w:r>
        <w:rPr>
          <w:spacing w:val="-3"/>
          <w:w w:val="100"/>
          <w:sz w:val="21"/>
        </w:rPr>
        <w:t>释义</w:t>
      </w:r>
      <w:r>
        <w:rPr>
          <w:spacing w:val="-106"/>
          <w:w w:val="100"/>
          <w:sz w:val="21"/>
        </w:rPr>
        <w:t>）</w:t>
      </w:r>
      <w:r>
        <w:rPr>
          <w:spacing w:val="-18"/>
          <w:w w:val="100"/>
          <w:sz w:val="21"/>
        </w:rPr>
        <w:t>，或驾驶</w:t>
      </w:r>
      <w:r>
        <w:rPr>
          <w:rFonts w:ascii="Microsoft JhengHei" w:eastAsia="Microsoft JhengHei" w:hint="eastAsia"/>
          <w:b/>
          <w:spacing w:val="-11"/>
          <w:w w:val="100"/>
          <w:sz w:val="21"/>
        </w:rPr>
        <w:t>无有效行驶证</w:t>
      </w:r>
      <w:r>
        <w:rPr>
          <w:spacing w:val="-3"/>
          <w:w w:val="100"/>
          <w:sz w:val="21"/>
        </w:rPr>
        <w:t>（见主合同释义</w:t>
      </w:r>
      <w:r>
        <w:rPr>
          <w:spacing w:val="-65"/>
          <w:w w:val="100"/>
          <w:sz w:val="21"/>
        </w:rPr>
        <w:t>）</w:t>
      </w:r>
      <w:r>
        <w:rPr>
          <w:spacing w:val="-3"/>
          <w:w w:val="100"/>
          <w:sz w:val="21"/>
        </w:rPr>
        <w:t>的</w:t>
      </w:r>
      <w:r>
        <w:rPr>
          <w:rFonts w:ascii="Microsoft JhengHei" w:eastAsia="Microsoft JhengHei" w:hint="eastAsia"/>
          <w:b/>
          <w:spacing w:val="-20"/>
          <w:w w:val="100"/>
          <w:sz w:val="21"/>
        </w:rPr>
        <w:t>机动车</w:t>
      </w:r>
      <w:r>
        <w:rPr>
          <w:spacing w:val="-3"/>
          <w:w w:val="100"/>
          <w:sz w:val="21"/>
        </w:rPr>
        <w:t>（见主合同释义</w:t>
      </w:r>
      <w:r>
        <w:rPr>
          <w:spacing w:val="-106"/>
          <w:w w:val="100"/>
          <w:sz w:val="21"/>
        </w:rPr>
        <w:t>）</w:t>
      </w:r>
      <w:r>
        <w:rPr>
          <w:w w:val="100"/>
          <w:sz w:val="21"/>
        </w:rPr>
        <w:t>；</w:t>
      </w:r>
    </w:p>
    <w:p>
      <w:pPr>
        <w:pStyle w:val="BodyText"/>
        <w:spacing w:line="312" w:lineRule="exact" w:before="8"/>
        <w:ind w:left="3507" w:right="219" w:hanging="504"/>
      </w:pPr>
      <w:r>
        <w:rPr>
          <w:spacing w:val="-24"/>
        </w:rPr>
        <w:t>（5）</w:t>
      </w:r>
      <w:r>
        <w:rPr>
          <w:spacing w:val="-3"/>
        </w:rPr>
        <w:t>被保险人</w:t>
      </w:r>
      <w:r>
        <w:rPr>
          <w:rFonts w:ascii="Microsoft JhengHei" w:hAnsi="Microsoft JhengHei" w:eastAsia="Microsoft JhengHei" w:hint="eastAsia"/>
          <w:b/>
          <w:spacing w:val="-7"/>
        </w:rPr>
        <w:t>感染艾滋病病毒或患艾滋病</w:t>
      </w:r>
      <w:r>
        <w:rPr>
          <w:spacing w:val="-3"/>
        </w:rPr>
        <w:t>（</w:t>
      </w:r>
      <w:r>
        <w:rPr>
          <w:spacing w:val="-2"/>
        </w:rPr>
        <w:t>见释义</w:t>
      </w:r>
      <w:r>
        <w:rPr>
          <w:spacing w:val="-88"/>
        </w:rPr>
        <w:t>）</w:t>
      </w:r>
      <w:r>
        <w:rPr>
          <w:spacing w:val="-18"/>
        </w:rPr>
        <w:t>，但对重大疾病列表内“经</w:t>
      </w:r>
      <w:r>
        <w:rPr>
          <w:spacing w:val="-7"/>
        </w:rPr>
        <w:t>输血导致的人类免疫缺陷病毒感染”和“因职业关系导致的人类免疫缺</w:t>
      </w:r>
      <w:r>
        <w:rPr>
          <w:spacing w:val="-5"/>
        </w:rPr>
        <w:t>陷病毒感染”本公司仍负重大疾病保险金的给付责任；</w:t>
      </w:r>
    </w:p>
    <w:p>
      <w:pPr>
        <w:spacing w:after="0" w:line="312" w:lineRule="exact"/>
        <w:sectPr>
          <w:pgSz w:w="11900" w:h="16840"/>
          <w:pgMar w:top="1160" w:bottom="280" w:left="800" w:right="780"/>
        </w:sectPr>
      </w:pPr>
    </w:p>
    <w:p>
      <w:pPr>
        <w:pStyle w:val="BodyText"/>
        <w:rPr>
          <w:sz w:val="42"/>
        </w:rPr>
      </w:pPr>
    </w:p>
    <w:p>
      <w:pPr>
        <w:pStyle w:val="BodyText"/>
        <w:spacing w:before="12"/>
        <w:rPr>
          <w:sz w:val="53"/>
        </w:rPr>
      </w:pPr>
    </w:p>
    <w:p>
      <w:pPr>
        <w:tabs>
          <w:tab w:pos="1071" w:val="left" w:leader="none"/>
        </w:tabs>
        <w:spacing w:before="0"/>
        <w:ind w:left="219" w:right="0" w:firstLine="0"/>
        <w:jc w:val="left"/>
        <w:rPr>
          <w:rFonts w:ascii="微软雅黑" w:eastAsia="微软雅黑" w:hint="eastAsia"/>
          <w:b/>
          <w:sz w:val="24"/>
        </w:rPr>
      </w:pPr>
      <w:r>
        <w:rPr>
          <w:rFonts w:ascii="Arial" w:eastAsia="Arial"/>
          <w:position w:val="-3"/>
          <w:sz w:val="40"/>
        </w:rPr>
        <w:t>O</w:t>
      </w:r>
      <w:r>
        <w:rPr>
          <w:rFonts w:ascii="Times New Roman" w:eastAsia="Times New Roman"/>
          <w:position w:val="-3"/>
          <w:sz w:val="40"/>
        </w:rPr>
        <w:tab/>
      </w:r>
      <w:r>
        <w:rPr>
          <w:rFonts w:ascii="微软雅黑" w:eastAsia="微软雅黑" w:hint="eastAsia"/>
          <w:b/>
          <w:sz w:val="24"/>
        </w:rPr>
        <w:t>保险金的申请</w:t>
      </w:r>
    </w:p>
    <w:p>
      <w:pPr>
        <w:pStyle w:val="BodyText"/>
        <w:spacing w:before="20"/>
        <w:ind w:left="219"/>
      </w:pPr>
      <w:r>
        <w:rPr/>
        <w:br w:type="column"/>
      </w:r>
      <w:r>
        <w:rPr/>
        <w:t>（6）战争、军事冲突、暴乱或武装叛乱；</w:t>
      </w:r>
    </w:p>
    <w:p>
      <w:pPr>
        <w:pStyle w:val="BodyText"/>
        <w:spacing w:line="249" w:lineRule="exact" w:before="37"/>
        <w:ind w:left="219"/>
      </w:pPr>
      <w:r>
        <w:rPr/>
        <w:t>（7）核爆炸、核辐射或核污染；</w:t>
      </w:r>
    </w:p>
    <w:p>
      <w:pPr>
        <w:spacing w:line="340" w:lineRule="exact" w:before="0"/>
        <w:ind w:left="219" w:right="0" w:firstLine="0"/>
        <w:jc w:val="left"/>
        <w:rPr>
          <w:sz w:val="21"/>
        </w:rPr>
      </w:pPr>
      <w:r>
        <w:rPr>
          <w:w w:val="100"/>
          <w:sz w:val="21"/>
        </w:rPr>
        <w:t>（8</w:t>
      </w:r>
      <w:r>
        <w:rPr>
          <w:spacing w:val="-3"/>
          <w:w w:val="100"/>
          <w:sz w:val="21"/>
        </w:rPr>
        <w:t>）</w:t>
      </w:r>
      <w:r>
        <w:rPr>
          <w:rFonts w:ascii="Microsoft JhengHei" w:eastAsia="Microsoft JhengHei" w:hint="eastAsia"/>
          <w:b/>
          <w:w w:val="100"/>
          <w:sz w:val="21"/>
        </w:rPr>
        <w:t>遗传性疾病</w:t>
      </w:r>
      <w:r>
        <w:rPr>
          <w:spacing w:val="-3"/>
          <w:w w:val="100"/>
          <w:sz w:val="21"/>
        </w:rPr>
        <w:t>（见释义</w:t>
      </w:r>
      <w:r>
        <w:rPr>
          <w:spacing w:val="-106"/>
          <w:w w:val="100"/>
          <w:sz w:val="21"/>
        </w:rPr>
        <w:t>）</w:t>
      </w:r>
      <w:r>
        <w:rPr>
          <w:spacing w:val="-3"/>
          <w:w w:val="100"/>
          <w:sz w:val="21"/>
        </w:rPr>
        <w:t>，</w:t>
      </w:r>
      <w:r>
        <w:rPr>
          <w:rFonts w:ascii="Microsoft JhengHei" w:eastAsia="Microsoft JhengHei" w:hint="eastAsia"/>
          <w:b/>
          <w:spacing w:val="-1"/>
          <w:w w:val="100"/>
          <w:sz w:val="21"/>
        </w:rPr>
        <w:t>先天性畸形、变形或染色体异常</w:t>
      </w:r>
      <w:r>
        <w:rPr>
          <w:spacing w:val="-3"/>
          <w:w w:val="100"/>
          <w:sz w:val="21"/>
        </w:rPr>
        <w:t>（</w:t>
      </w:r>
      <w:r>
        <w:rPr>
          <w:spacing w:val="-2"/>
          <w:w w:val="100"/>
          <w:sz w:val="21"/>
        </w:rPr>
        <w:t>见释义</w:t>
      </w:r>
      <w:r>
        <w:rPr>
          <w:spacing w:val="-106"/>
          <w:w w:val="100"/>
          <w:sz w:val="21"/>
        </w:rPr>
        <w:t>）</w:t>
      </w:r>
      <w:r>
        <w:rPr>
          <w:w w:val="100"/>
          <w:sz w:val="21"/>
        </w:rPr>
        <w:t>。</w:t>
      </w:r>
    </w:p>
    <w:p>
      <w:pPr>
        <w:spacing w:after="0" w:line="340" w:lineRule="exact"/>
        <w:jc w:val="left"/>
        <w:rPr>
          <w:sz w:val="21"/>
        </w:rPr>
        <w:sectPr>
          <w:pgSz w:w="11900" w:h="16840"/>
          <w:pgMar w:top="1100" w:bottom="280" w:left="800" w:right="780"/>
          <w:cols w:num="2" w:equalWidth="0">
            <w:col w:w="2517" w:space="267"/>
            <w:col w:w="7536"/>
          </w:cols>
        </w:sectPr>
      </w:pPr>
    </w:p>
    <w:p>
      <w:pPr>
        <w:pStyle w:val="BodyText"/>
        <w:spacing w:before="10" w:after="1"/>
        <w:rPr>
          <w:sz w:val="7"/>
        </w:rPr>
      </w:pPr>
    </w:p>
    <w:p>
      <w:pPr>
        <w:pStyle w:val="BodyText"/>
        <w:spacing w:line="20" w:lineRule="exact"/>
        <w:ind w:left="102"/>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852,10" stroked="true" strokeweight=".96pt" strokecolor="#000000">
              <v:stroke dashstyle="solid"/>
            </v:line>
            <v:rect style="position:absolute;left:852;top:0;width:20;height:20" filled="true" fillcolor="#000000" stroked="false">
              <v:fill type="solid"/>
            </v:rect>
            <v:line style="position:absolute" from="871,10" to="2784,10" stroked="true" strokeweight=".96pt" strokecolor="#000000">
              <v:stroke dashstyle="solid"/>
            </v:line>
            <v:rect style="position:absolute;left:2784;top:0;width:20;height:20" filled="true" fillcolor="#000000" stroked="false">
              <v:fill type="solid"/>
            </v:rect>
            <v:line style="position:absolute" from="2803,10" to="10090,10" stroked="true" strokeweight=".96pt" strokecolor="#000000">
              <v:stroke dashstyle="solid"/>
            </v:line>
          </v:group>
        </w:pict>
      </w:r>
      <w:r>
        <w:rPr>
          <w:spacing w:val="6"/>
          <w:sz w:val="2"/>
        </w:rPr>
      </w:r>
    </w:p>
    <w:p>
      <w:pPr>
        <w:pStyle w:val="BodyText"/>
        <w:spacing w:before="2"/>
        <w:rPr>
          <w:sz w:val="12"/>
        </w:rPr>
      </w:pPr>
    </w:p>
    <w:p>
      <w:pPr>
        <w:pStyle w:val="ListParagraph"/>
        <w:numPr>
          <w:ilvl w:val="1"/>
          <w:numId w:val="9"/>
        </w:numPr>
        <w:tabs>
          <w:tab w:pos="1071" w:val="left" w:leader="none"/>
          <w:tab w:pos="1072" w:val="left" w:leader="none"/>
          <w:tab w:pos="3003" w:val="left" w:leader="none"/>
        </w:tabs>
        <w:spacing w:line="337" w:lineRule="exact" w:before="0" w:after="0"/>
        <w:ind w:left="3004" w:right="0" w:hanging="2784"/>
        <w:jc w:val="left"/>
        <w:rPr>
          <w:sz w:val="21"/>
        </w:rPr>
      </w:pPr>
      <w:r>
        <w:rPr>
          <w:rFonts w:ascii="微软雅黑" w:eastAsia="微软雅黑" w:hint="eastAsia"/>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类</w:t>
      </w:r>
      <w:r>
        <w:rPr>
          <w:spacing w:val="-3"/>
          <w:sz w:val="21"/>
        </w:rPr>
        <w:t>重</w:t>
      </w:r>
      <w:r>
        <w:rPr>
          <w:sz w:val="21"/>
        </w:rPr>
        <w:t>大</w:t>
      </w:r>
      <w:r>
        <w:rPr>
          <w:spacing w:val="-3"/>
          <w:sz w:val="21"/>
        </w:rPr>
        <w:t>疾</w:t>
      </w:r>
      <w:r>
        <w:rPr>
          <w:sz w:val="21"/>
        </w:rPr>
        <w:t>病保</w:t>
      </w:r>
      <w:r>
        <w:rPr>
          <w:spacing w:val="-3"/>
          <w:sz w:val="21"/>
        </w:rPr>
        <w:t>险</w:t>
      </w:r>
      <w:r>
        <w:rPr>
          <w:sz w:val="21"/>
        </w:rPr>
        <w:t>金</w:t>
      </w:r>
      <w:r>
        <w:rPr>
          <w:spacing w:val="-3"/>
          <w:sz w:val="21"/>
        </w:rPr>
        <w:t>的</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险人</w:t>
      </w:r>
      <w:r>
        <w:rPr>
          <w:spacing w:val="-3"/>
          <w:sz w:val="21"/>
        </w:rPr>
        <w:t>本</w:t>
      </w:r>
      <w:r>
        <w:rPr>
          <w:sz w:val="21"/>
        </w:rPr>
        <w:t>人。</w:t>
      </w:r>
    </w:p>
    <w:p>
      <w:pPr>
        <w:pStyle w:val="ListParagraph"/>
        <w:numPr>
          <w:ilvl w:val="1"/>
          <w:numId w:val="9"/>
        </w:numPr>
        <w:tabs>
          <w:tab w:pos="1071" w:val="left" w:leader="none"/>
          <w:tab w:pos="1072" w:val="left" w:leader="none"/>
          <w:tab w:pos="3003" w:val="left" w:leader="none"/>
        </w:tabs>
        <w:spacing w:line="247" w:lineRule="auto" w:before="175" w:after="0"/>
        <w:ind w:left="3004" w:right="222" w:hanging="2784"/>
        <w:jc w:val="left"/>
        <w:rPr>
          <w:sz w:val="21"/>
        </w:rPr>
      </w:pPr>
      <w:r>
        <w:rPr>
          <w:rFonts w:ascii="微软雅黑" w:eastAsia="微软雅黑" w:hint="eastAsia"/>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pacing w:val="-27"/>
          <w:sz w:val="21"/>
        </w:rPr>
        <w:t>，</w:t>
      </w:r>
      <w:r>
        <w:rPr>
          <w:sz w:val="21"/>
        </w:rPr>
        <w:t>受</w:t>
      </w:r>
      <w:r>
        <w:rPr>
          <w:spacing w:val="-3"/>
          <w:sz w:val="21"/>
        </w:rPr>
        <w:t>益人</w:t>
      </w:r>
      <w:r>
        <w:rPr>
          <w:sz w:val="21"/>
        </w:rPr>
        <w:t>作为</w:t>
      </w:r>
      <w:r>
        <w:rPr>
          <w:spacing w:val="-3"/>
          <w:sz w:val="21"/>
        </w:rPr>
        <w:t>申</w:t>
      </w:r>
      <w:r>
        <w:rPr>
          <w:sz w:val="21"/>
        </w:rPr>
        <w:t>请</w:t>
      </w:r>
      <w:r>
        <w:rPr>
          <w:spacing w:val="-3"/>
          <w:sz w:val="21"/>
        </w:rPr>
        <w:t>人</w:t>
      </w:r>
      <w:r>
        <w:rPr>
          <w:sz w:val="21"/>
        </w:rPr>
        <w:t>填</w:t>
      </w:r>
      <w:r>
        <w:rPr>
          <w:spacing w:val="-3"/>
          <w:sz w:val="21"/>
        </w:rPr>
        <w:t>写</w:t>
      </w:r>
      <w:r>
        <w:rPr>
          <w:sz w:val="21"/>
        </w:rPr>
        <w:t>保</w:t>
      </w:r>
      <w:r>
        <w:rPr>
          <w:spacing w:val="-3"/>
          <w:sz w:val="21"/>
        </w:rPr>
        <w:t>险</w:t>
      </w:r>
      <w:r>
        <w:rPr>
          <w:sz w:val="21"/>
        </w:rPr>
        <w:t>金</w:t>
      </w:r>
      <w:r>
        <w:rPr>
          <w:spacing w:val="-3"/>
          <w:sz w:val="21"/>
        </w:rPr>
        <w:t>给</w:t>
      </w:r>
      <w:r>
        <w:rPr>
          <w:sz w:val="21"/>
        </w:rPr>
        <w:t>付申</w:t>
      </w:r>
      <w:r>
        <w:rPr>
          <w:spacing w:val="-3"/>
          <w:sz w:val="21"/>
        </w:rPr>
        <w:t>请书</w:t>
      </w:r>
      <w:r>
        <w:rPr>
          <w:spacing w:val="-24"/>
          <w:sz w:val="21"/>
        </w:rPr>
        <w:t>，</w:t>
      </w:r>
      <w:r>
        <w:rPr>
          <w:spacing w:val="-3"/>
          <w:sz w:val="21"/>
        </w:rPr>
        <w:t>并</w:t>
      </w:r>
      <w:r>
        <w:rPr>
          <w:sz w:val="21"/>
        </w:rPr>
        <w:t>须</w:t>
      </w:r>
      <w:r>
        <w:rPr>
          <w:spacing w:val="-3"/>
          <w:sz w:val="21"/>
        </w:rPr>
        <w:t>提</w:t>
      </w:r>
      <w:r>
        <w:rPr>
          <w:sz w:val="21"/>
        </w:rPr>
        <w:t>供</w:t>
      </w:r>
      <w:r>
        <w:rPr>
          <w:spacing w:val="-3"/>
          <w:sz w:val="21"/>
        </w:rPr>
        <w:t>下列</w:t>
      </w:r>
      <w:r>
        <w:rPr>
          <w:sz w:val="21"/>
        </w:rPr>
        <w:t>证 明和</w:t>
      </w:r>
      <w:r>
        <w:rPr>
          <w:spacing w:val="-3"/>
          <w:sz w:val="21"/>
        </w:rPr>
        <w:t>资</w:t>
      </w:r>
      <w:r>
        <w:rPr>
          <w:sz w:val="21"/>
        </w:rPr>
        <w:t>料：</w:t>
      </w:r>
    </w:p>
    <w:p>
      <w:pPr>
        <w:pStyle w:val="BodyText"/>
        <w:spacing w:line="262" w:lineRule="exact" w:before="31"/>
        <w:ind w:left="3003"/>
      </w:pPr>
      <w:r>
        <w:rPr/>
        <w:t>（1）保险合同；</w:t>
      </w:r>
    </w:p>
    <w:p>
      <w:pPr>
        <w:spacing w:line="325" w:lineRule="exact" w:before="0"/>
        <w:ind w:left="3003" w:right="0" w:firstLine="0"/>
        <w:jc w:val="left"/>
        <w:rPr>
          <w:sz w:val="21"/>
        </w:rPr>
      </w:pPr>
      <w:r>
        <w:rPr>
          <w:w w:val="100"/>
          <w:sz w:val="21"/>
        </w:rPr>
        <w:t>（2</w:t>
      </w:r>
      <w:r>
        <w:rPr>
          <w:spacing w:val="-3"/>
          <w:w w:val="100"/>
          <w:sz w:val="21"/>
        </w:rPr>
        <w:t>）受益人的</w:t>
      </w:r>
      <w:r>
        <w:rPr>
          <w:rFonts w:ascii="微软雅黑" w:eastAsia="微软雅黑" w:hint="eastAsia"/>
          <w:b/>
          <w:spacing w:val="-1"/>
          <w:w w:val="100"/>
          <w:sz w:val="21"/>
        </w:rPr>
        <w:t>有效身份证明</w:t>
      </w:r>
      <w:r>
        <w:rPr>
          <w:w w:val="100"/>
          <w:sz w:val="21"/>
        </w:rPr>
        <w:t>（</w:t>
      </w:r>
      <w:r>
        <w:rPr>
          <w:spacing w:val="-3"/>
          <w:w w:val="100"/>
          <w:sz w:val="21"/>
        </w:rPr>
        <w:t>见主合同释义</w:t>
      </w:r>
      <w:r>
        <w:rPr>
          <w:spacing w:val="-106"/>
          <w:w w:val="100"/>
          <w:sz w:val="21"/>
        </w:rPr>
        <w:t>）</w:t>
      </w:r>
      <w:r>
        <w:rPr>
          <w:w w:val="100"/>
          <w:sz w:val="21"/>
        </w:rPr>
        <w:t>；</w:t>
      </w:r>
    </w:p>
    <w:p>
      <w:pPr>
        <w:pStyle w:val="BodyText"/>
        <w:spacing w:line="312" w:lineRule="exact" w:before="32"/>
        <w:ind w:left="3522" w:right="255" w:hanging="504"/>
      </w:pPr>
      <w:r>
        <w:rPr/>
        <w:t>（3）本公司认可</w:t>
      </w:r>
      <w:r>
        <w:rPr>
          <w:rFonts w:ascii="微软雅黑" w:eastAsia="微软雅黑" w:hint="eastAsia"/>
          <w:b/>
        </w:rPr>
        <w:t>医院</w:t>
      </w:r>
      <w:r>
        <w:rPr/>
        <w:t>的</w:t>
      </w:r>
      <w:r>
        <w:rPr>
          <w:rFonts w:ascii="微软雅黑" w:eastAsia="微软雅黑" w:hint="eastAsia"/>
          <w:b/>
        </w:rPr>
        <w:t>专科医生</w:t>
      </w:r>
      <w:r>
        <w:rPr/>
        <w:t>出具的附有被保险人病历、病理、血液及其他科学方法检验报告的诊断证明文件；</w:t>
      </w:r>
    </w:p>
    <w:p>
      <w:pPr>
        <w:pStyle w:val="BodyText"/>
        <w:spacing w:before="1"/>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936"/>
        <w:gridCol w:w="7442"/>
      </w:tblGrid>
      <w:tr>
        <w:trPr>
          <w:trHeight w:val="1311" w:hRule="atLeast"/>
        </w:trPr>
        <w:tc>
          <w:tcPr>
            <w:tcW w:w="2649" w:type="dxa"/>
            <w:gridSpan w:val="2"/>
          </w:tcPr>
          <w:p>
            <w:pPr>
              <w:pStyle w:val="TableParagraph"/>
              <w:ind w:left="0"/>
              <w:rPr>
                <w:rFonts w:ascii="Times New Roman"/>
                <w:sz w:val="20"/>
              </w:rPr>
            </w:pPr>
          </w:p>
        </w:tc>
        <w:tc>
          <w:tcPr>
            <w:tcW w:w="7442" w:type="dxa"/>
          </w:tcPr>
          <w:p>
            <w:pPr>
              <w:pStyle w:val="TableParagraph"/>
              <w:spacing w:line="211" w:lineRule="exact"/>
              <w:ind w:left="242"/>
              <w:rPr>
                <w:sz w:val="21"/>
              </w:rPr>
            </w:pPr>
            <w:r>
              <w:rPr>
                <w:sz w:val="21"/>
              </w:rPr>
              <w:t>（4）所能提供的与确认保险事故的性质、原因等有关的其他证明和资料；</w:t>
            </w:r>
          </w:p>
          <w:p>
            <w:pPr>
              <w:pStyle w:val="TableParagraph"/>
              <w:spacing w:before="37"/>
              <w:ind w:left="242"/>
              <w:rPr>
                <w:sz w:val="21"/>
              </w:rPr>
            </w:pPr>
            <w:r>
              <w:rPr>
                <w:sz w:val="21"/>
              </w:rPr>
              <w:t>（5）本公司需要的其他有关文件和资料。</w:t>
            </w:r>
          </w:p>
          <w:p>
            <w:pPr>
              <w:pStyle w:val="TableParagraph"/>
              <w:spacing w:line="273" w:lineRule="auto" w:before="37"/>
              <w:ind w:left="242" w:right="105"/>
              <w:rPr>
                <w:sz w:val="21"/>
              </w:rPr>
            </w:pPr>
            <w:r>
              <w:rPr>
                <w:spacing w:val="-7"/>
                <w:sz w:val="21"/>
              </w:rPr>
              <w:t>以上证明和资料不完整的，本公司将及时一次性通知申请人补充提供有关的证</w:t>
            </w:r>
            <w:r>
              <w:rPr>
                <w:spacing w:val="-4"/>
                <w:sz w:val="21"/>
              </w:rPr>
              <w:t>明和资料。</w:t>
            </w:r>
          </w:p>
        </w:tc>
      </w:tr>
      <w:tr>
        <w:trPr>
          <w:trHeight w:val="873" w:hRule="atLeast"/>
        </w:trPr>
        <w:tc>
          <w:tcPr>
            <w:tcW w:w="713" w:type="dxa"/>
          </w:tcPr>
          <w:p>
            <w:pPr>
              <w:pStyle w:val="TableParagraph"/>
              <w:spacing w:before="38"/>
              <w:rPr>
                <w:rFonts w:ascii="微软雅黑"/>
                <w:b/>
                <w:sz w:val="21"/>
              </w:rPr>
            </w:pPr>
            <w:r>
              <w:rPr>
                <w:rFonts w:ascii="微软雅黑"/>
                <w:b/>
                <w:w w:val="81"/>
                <w:sz w:val="21"/>
              </w:rPr>
              <w:t>3</w:t>
            </w:r>
            <w:r>
              <w:rPr>
                <w:rFonts w:ascii="微软雅黑"/>
                <w:b/>
                <w:w w:val="175"/>
                <w:sz w:val="21"/>
              </w:rPr>
              <w:t>.</w:t>
            </w:r>
            <w:r>
              <w:rPr>
                <w:rFonts w:ascii="微软雅黑"/>
                <w:b/>
                <w:w w:val="81"/>
                <w:sz w:val="21"/>
              </w:rPr>
              <w:t>3</w:t>
            </w:r>
          </w:p>
        </w:tc>
        <w:tc>
          <w:tcPr>
            <w:tcW w:w="1936" w:type="dxa"/>
          </w:tcPr>
          <w:p>
            <w:pPr>
              <w:pStyle w:val="TableParagraph"/>
              <w:spacing w:before="38"/>
              <w:ind w:left="246"/>
              <w:rPr>
                <w:rFonts w:ascii="微软雅黑" w:eastAsia="微软雅黑" w:hint="eastAsia"/>
                <w:b/>
                <w:sz w:val="21"/>
              </w:rPr>
            </w:pPr>
            <w:r>
              <w:rPr>
                <w:rFonts w:ascii="微软雅黑" w:eastAsia="微软雅黑" w:hint="eastAsia"/>
                <w:b/>
                <w:sz w:val="21"/>
              </w:rPr>
              <w:t>诉讼时效</w:t>
            </w:r>
          </w:p>
        </w:tc>
        <w:tc>
          <w:tcPr>
            <w:tcW w:w="7442" w:type="dxa"/>
          </w:tcPr>
          <w:p>
            <w:pPr>
              <w:pStyle w:val="TableParagraph"/>
              <w:spacing w:line="273" w:lineRule="auto" w:before="100"/>
              <w:ind w:left="242" w:right="105"/>
              <w:rPr>
                <w:sz w:val="21"/>
              </w:rPr>
            </w:pPr>
            <w:r>
              <w:rPr>
                <w:spacing w:val="-5"/>
                <w:sz w:val="21"/>
              </w:rPr>
              <w:t>受益人向本公司请求给付本附加合同保险金的诉讼时效期间为 </w:t>
            </w:r>
            <w:r>
              <w:rPr>
                <w:sz w:val="21"/>
              </w:rPr>
              <w:t>2</w:t>
            </w:r>
            <w:r>
              <w:rPr>
                <w:spacing w:val="-16"/>
                <w:sz w:val="21"/>
              </w:rPr>
              <w:t> 年，自其知道</w:t>
            </w:r>
            <w:r>
              <w:rPr>
                <w:spacing w:val="-7"/>
                <w:sz w:val="21"/>
              </w:rPr>
              <w:t>或者应当知道保险事故发生之日起计算。</w:t>
            </w:r>
          </w:p>
        </w:tc>
      </w:tr>
      <w:tr>
        <w:trPr>
          <w:trHeight w:val="720" w:hRule="atLeast"/>
        </w:trPr>
        <w:tc>
          <w:tcPr>
            <w:tcW w:w="713" w:type="dxa"/>
            <w:tcBorders>
              <w:bottom w:val="single" w:sz="8" w:space="0" w:color="000000"/>
            </w:tcBorders>
          </w:tcPr>
          <w:p>
            <w:pPr>
              <w:pStyle w:val="TableParagraph"/>
              <w:spacing w:before="186"/>
              <w:rPr>
                <w:rFonts w:ascii="Wingdings" w:hAnsi="Wingdings"/>
                <w:sz w:val="40"/>
              </w:rPr>
            </w:pPr>
            <w:r>
              <w:rPr>
                <w:rFonts w:ascii="Wingdings" w:hAnsi="Wingdings"/>
                <w:w w:val="100"/>
                <w:sz w:val="40"/>
              </w:rPr>
              <w:t></w:t>
            </w:r>
          </w:p>
        </w:tc>
        <w:tc>
          <w:tcPr>
            <w:tcW w:w="1936" w:type="dxa"/>
            <w:tcBorders>
              <w:bottom w:val="single" w:sz="8" w:space="0" w:color="000000"/>
            </w:tcBorders>
          </w:tcPr>
          <w:p>
            <w:pPr>
              <w:pStyle w:val="TableParagraph"/>
              <w:spacing w:before="141"/>
              <w:ind w:left="246"/>
              <w:rPr>
                <w:rFonts w:ascii="微软雅黑" w:eastAsia="微软雅黑" w:hint="eastAsia"/>
                <w:b/>
                <w:sz w:val="24"/>
              </w:rPr>
            </w:pPr>
            <w:r>
              <w:rPr>
                <w:rFonts w:ascii="微软雅黑" w:eastAsia="微软雅黑" w:hint="eastAsia"/>
                <w:b/>
                <w:sz w:val="24"/>
              </w:rPr>
              <w:t>保险费的交纳</w:t>
            </w:r>
          </w:p>
        </w:tc>
        <w:tc>
          <w:tcPr>
            <w:tcW w:w="7442" w:type="dxa"/>
            <w:tcBorders>
              <w:bottom w:val="single" w:sz="8" w:space="0" w:color="000000"/>
            </w:tcBorders>
          </w:tcPr>
          <w:p>
            <w:pPr>
              <w:pStyle w:val="TableParagraph"/>
              <w:ind w:left="0"/>
              <w:rPr>
                <w:rFonts w:ascii="Times New Roman"/>
                <w:sz w:val="20"/>
              </w:rPr>
            </w:pPr>
          </w:p>
        </w:tc>
      </w:tr>
      <w:tr>
        <w:trPr>
          <w:trHeight w:val="1571" w:hRule="atLeast"/>
        </w:trPr>
        <w:tc>
          <w:tcPr>
            <w:tcW w:w="713" w:type="dxa"/>
            <w:tcBorders>
              <w:top w:val="single" w:sz="8" w:space="0" w:color="000000"/>
            </w:tcBorders>
          </w:tcPr>
          <w:p>
            <w:pPr>
              <w:pStyle w:val="TableParagraph"/>
              <w:spacing w:before="133"/>
              <w:rPr>
                <w:rFonts w:ascii="微软雅黑"/>
                <w:b/>
                <w:sz w:val="21"/>
              </w:rPr>
            </w:pPr>
            <w:r>
              <w:rPr>
                <w:rFonts w:ascii="微软雅黑"/>
                <w:b/>
                <w:w w:val="81"/>
                <w:sz w:val="21"/>
              </w:rPr>
              <w:t>4</w:t>
            </w:r>
            <w:r>
              <w:rPr>
                <w:rFonts w:ascii="微软雅黑"/>
                <w:b/>
                <w:w w:val="175"/>
                <w:sz w:val="21"/>
              </w:rPr>
              <w:t>.</w:t>
            </w:r>
            <w:r>
              <w:rPr>
                <w:rFonts w:ascii="微软雅黑"/>
                <w:b/>
                <w:w w:val="81"/>
                <w:sz w:val="21"/>
              </w:rPr>
              <w:t>1</w:t>
            </w:r>
          </w:p>
        </w:tc>
        <w:tc>
          <w:tcPr>
            <w:tcW w:w="1936" w:type="dxa"/>
            <w:tcBorders>
              <w:top w:val="single" w:sz="8" w:space="0" w:color="000000"/>
            </w:tcBorders>
          </w:tcPr>
          <w:p>
            <w:pPr>
              <w:pStyle w:val="TableParagraph"/>
              <w:spacing w:before="133"/>
              <w:ind w:left="247"/>
              <w:rPr>
                <w:rFonts w:ascii="微软雅黑" w:eastAsia="微软雅黑" w:hint="eastAsia"/>
                <w:b/>
                <w:sz w:val="21"/>
              </w:rPr>
            </w:pPr>
            <w:r>
              <w:rPr>
                <w:rFonts w:ascii="微软雅黑" w:eastAsia="微软雅黑" w:hint="eastAsia"/>
                <w:b/>
                <w:sz w:val="21"/>
              </w:rPr>
              <w:t>保险费的交纳</w:t>
            </w:r>
          </w:p>
        </w:tc>
        <w:tc>
          <w:tcPr>
            <w:tcW w:w="7442" w:type="dxa"/>
            <w:tcBorders>
              <w:top w:val="single" w:sz="8" w:space="0" w:color="000000"/>
            </w:tcBorders>
          </w:tcPr>
          <w:p>
            <w:pPr>
              <w:pStyle w:val="TableParagraph"/>
              <w:spacing w:before="12"/>
              <w:ind w:left="0"/>
              <w:rPr>
                <w:sz w:val="14"/>
              </w:rPr>
            </w:pPr>
          </w:p>
          <w:p>
            <w:pPr>
              <w:pStyle w:val="TableParagraph"/>
              <w:spacing w:line="273" w:lineRule="auto"/>
              <w:ind w:left="242" w:right="261"/>
              <w:rPr>
                <w:sz w:val="21"/>
              </w:rPr>
            </w:pPr>
            <w:r>
              <w:rPr>
                <w:sz w:val="21"/>
              </w:rPr>
              <w:t>本附加合同的交费方式和交费期间由您和本公司约定并载明于保险单或批注上。</w:t>
            </w:r>
          </w:p>
          <w:p>
            <w:pPr>
              <w:pStyle w:val="TableParagraph"/>
              <w:spacing w:line="206" w:lineRule="auto"/>
              <w:ind w:left="242" w:right="107"/>
              <w:rPr>
                <w:sz w:val="21"/>
              </w:rPr>
            </w:pPr>
            <w:r>
              <w:rPr>
                <w:spacing w:val="-7"/>
                <w:sz w:val="21"/>
              </w:rPr>
              <w:t>分期支付保险费的，在交纳首期保险费后，您应当按照约定，在每个</w:t>
            </w:r>
            <w:r>
              <w:rPr>
                <w:rFonts w:ascii="微软雅黑" w:eastAsia="微软雅黑" w:hint="eastAsia"/>
                <w:b/>
                <w:spacing w:val="-1"/>
                <w:sz w:val="21"/>
              </w:rPr>
              <w:t>保险费约定交纳日</w:t>
            </w:r>
            <w:r>
              <w:rPr>
                <w:spacing w:val="-3"/>
                <w:sz w:val="21"/>
              </w:rPr>
              <w:t>（见主合同释义</w:t>
            </w:r>
            <w:r>
              <w:rPr>
                <w:sz w:val="21"/>
              </w:rPr>
              <w:t>）</w:t>
            </w:r>
            <w:r>
              <w:rPr>
                <w:spacing w:val="-3"/>
                <w:sz w:val="21"/>
              </w:rPr>
              <w:t>交纳当期的保险费。</w:t>
            </w:r>
          </w:p>
        </w:tc>
      </w:tr>
      <w:tr>
        <w:trPr>
          <w:trHeight w:val="2123" w:hRule="atLeast"/>
        </w:trPr>
        <w:tc>
          <w:tcPr>
            <w:tcW w:w="713" w:type="dxa"/>
          </w:tcPr>
          <w:p>
            <w:pPr>
              <w:pStyle w:val="TableParagraph"/>
              <w:spacing w:before="38"/>
              <w:rPr>
                <w:rFonts w:ascii="微软雅黑"/>
                <w:b/>
                <w:sz w:val="21"/>
              </w:rPr>
            </w:pPr>
            <w:r>
              <w:rPr>
                <w:rFonts w:ascii="微软雅黑"/>
                <w:b/>
                <w:w w:val="81"/>
                <w:sz w:val="21"/>
              </w:rPr>
              <w:t>4</w:t>
            </w:r>
            <w:r>
              <w:rPr>
                <w:rFonts w:ascii="微软雅黑"/>
                <w:b/>
                <w:w w:val="175"/>
                <w:sz w:val="21"/>
              </w:rPr>
              <w:t>.</w:t>
            </w:r>
            <w:r>
              <w:rPr>
                <w:rFonts w:ascii="微软雅黑"/>
                <w:b/>
                <w:w w:val="81"/>
                <w:sz w:val="21"/>
              </w:rPr>
              <w:t>2</w:t>
            </w:r>
          </w:p>
        </w:tc>
        <w:tc>
          <w:tcPr>
            <w:tcW w:w="1936" w:type="dxa"/>
          </w:tcPr>
          <w:p>
            <w:pPr>
              <w:pStyle w:val="TableParagraph"/>
              <w:spacing w:before="38"/>
              <w:ind w:left="247"/>
              <w:rPr>
                <w:rFonts w:ascii="微软雅黑" w:eastAsia="微软雅黑" w:hint="eastAsia"/>
                <w:b/>
                <w:sz w:val="21"/>
              </w:rPr>
            </w:pPr>
            <w:r>
              <w:rPr>
                <w:rFonts w:ascii="微软雅黑" w:eastAsia="微软雅黑" w:hint="eastAsia"/>
                <w:b/>
                <w:sz w:val="21"/>
              </w:rPr>
              <w:t>宽限期</w:t>
            </w:r>
          </w:p>
        </w:tc>
        <w:tc>
          <w:tcPr>
            <w:tcW w:w="7442" w:type="dxa"/>
          </w:tcPr>
          <w:p>
            <w:pPr>
              <w:pStyle w:val="TableParagraph"/>
              <w:spacing w:line="312" w:lineRule="exact" w:before="96"/>
              <w:ind w:left="242" w:right="105"/>
              <w:jc w:val="both"/>
              <w:rPr>
                <w:sz w:val="21"/>
              </w:rPr>
            </w:pPr>
            <w:r>
              <w:rPr>
                <w:spacing w:val="-7"/>
                <w:sz w:val="21"/>
              </w:rPr>
              <w:t>分期支付保险费的，您交纳首期保险费后，除另有约定外，如果您到期未交纳</w:t>
            </w:r>
            <w:r>
              <w:rPr>
                <w:spacing w:val="-5"/>
                <w:sz w:val="21"/>
              </w:rPr>
              <w:t>保险费，自您首次欠费的</w:t>
            </w:r>
            <w:r>
              <w:rPr>
                <w:rFonts w:ascii="微软雅黑" w:eastAsia="微软雅黑" w:hint="eastAsia"/>
                <w:b/>
                <w:sz w:val="21"/>
              </w:rPr>
              <w:t>保险费约定交纳日</w:t>
            </w:r>
            <w:r>
              <w:rPr>
                <w:spacing w:val="-9"/>
                <w:sz w:val="21"/>
              </w:rPr>
              <w:t>的次日零时起 </w:t>
            </w:r>
            <w:r>
              <w:rPr>
                <w:sz w:val="21"/>
              </w:rPr>
              <w:t>60</w:t>
            </w:r>
            <w:r>
              <w:rPr>
                <w:spacing w:val="-8"/>
                <w:sz w:val="21"/>
              </w:rPr>
              <w:t> 日为宽限期。宽限期内发生的保险事故，本公司仍会承担保险责任，但在给付保险金时会扣减</w:t>
            </w:r>
            <w:r>
              <w:rPr>
                <w:spacing w:val="-5"/>
                <w:sz w:val="21"/>
              </w:rPr>
              <w:t>您欠交的保险费。</w:t>
            </w:r>
          </w:p>
          <w:p>
            <w:pPr>
              <w:pStyle w:val="TableParagraph"/>
              <w:spacing w:line="273" w:lineRule="auto" w:before="4"/>
              <w:ind w:left="242" w:right="105"/>
              <w:jc w:val="both"/>
              <w:rPr>
                <w:sz w:val="21"/>
              </w:rPr>
            </w:pPr>
            <w:r>
              <w:rPr>
                <w:spacing w:val="-6"/>
                <w:sz w:val="21"/>
              </w:rPr>
              <w:t>如果您在宽限期结束之后仍未交纳保险费，除另有约定外，本附加合同自宽限</w:t>
            </w:r>
            <w:r>
              <w:rPr>
                <w:spacing w:val="-4"/>
                <w:sz w:val="21"/>
              </w:rPr>
              <w:t>期满的次日零时起效力中止。</w:t>
            </w:r>
          </w:p>
        </w:tc>
      </w:tr>
      <w:tr>
        <w:trPr>
          <w:trHeight w:val="710" w:hRule="atLeast"/>
        </w:trPr>
        <w:tc>
          <w:tcPr>
            <w:tcW w:w="713" w:type="dxa"/>
            <w:tcBorders>
              <w:bottom w:val="single" w:sz="8" w:space="0" w:color="000000"/>
            </w:tcBorders>
          </w:tcPr>
          <w:p>
            <w:pPr>
              <w:pStyle w:val="TableParagraph"/>
              <w:spacing w:before="151"/>
              <w:rPr>
                <w:rFonts w:ascii="Arial"/>
                <w:sz w:val="40"/>
              </w:rPr>
            </w:pPr>
            <w:r>
              <w:rPr>
                <w:rFonts w:ascii="Arial"/>
                <w:w w:val="160"/>
                <w:sz w:val="40"/>
              </w:rPr>
              <w:t>6</w:t>
            </w:r>
          </w:p>
        </w:tc>
        <w:tc>
          <w:tcPr>
            <w:tcW w:w="1936" w:type="dxa"/>
            <w:tcBorders>
              <w:bottom w:val="single" w:sz="8" w:space="0" w:color="000000"/>
            </w:tcBorders>
          </w:tcPr>
          <w:p>
            <w:pPr>
              <w:pStyle w:val="TableParagraph"/>
              <w:spacing w:before="131"/>
              <w:ind w:left="246"/>
              <w:rPr>
                <w:rFonts w:ascii="微软雅黑" w:eastAsia="微软雅黑" w:hint="eastAsia"/>
                <w:b/>
                <w:sz w:val="24"/>
              </w:rPr>
            </w:pPr>
            <w:r>
              <w:rPr>
                <w:rFonts w:ascii="微软雅黑" w:eastAsia="微软雅黑" w:hint="eastAsia"/>
                <w:b/>
                <w:sz w:val="24"/>
              </w:rPr>
              <w:t>现金价值权益</w:t>
            </w:r>
          </w:p>
        </w:tc>
        <w:tc>
          <w:tcPr>
            <w:tcW w:w="7442" w:type="dxa"/>
            <w:tcBorders>
              <w:bottom w:val="single" w:sz="8" w:space="0" w:color="000000"/>
            </w:tcBorders>
          </w:tcPr>
          <w:p>
            <w:pPr>
              <w:pStyle w:val="TableParagraph"/>
              <w:ind w:left="0"/>
              <w:rPr>
                <w:rFonts w:ascii="Times New Roman"/>
                <w:sz w:val="20"/>
              </w:rPr>
            </w:pPr>
          </w:p>
        </w:tc>
      </w:tr>
      <w:tr>
        <w:trPr>
          <w:trHeight w:val="521" w:hRule="atLeast"/>
        </w:trPr>
        <w:tc>
          <w:tcPr>
            <w:tcW w:w="713" w:type="dxa"/>
            <w:tcBorders>
              <w:top w:val="single" w:sz="8" w:space="0" w:color="000000"/>
            </w:tcBorders>
          </w:tcPr>
          <w:p>
            <w:pPr>
              <w:pStyle w:val="TableParagraph"/>
              <w:spacing w:before="133"/>
              <w:rPr>
                <w:rFonts w:ascii="微软雅黑"/>
                <w:b/>
                <w:sz w:val="21"/>
              </w:rPr>
            </w:pPr>
            <w:r>
              <w:rPr>
                <w:rFonts w:ascii="微软雅黑"/>
                <w:b/>
                <w:w w:val="81"/>
                <w:sz w:val="21"/>
              </w:rPr>
              <w:t>5</w:t>
            </w:r>
            <w:r>
              <w:rPr>
                <w:rFonts w:ascii="微软雅黑"/>
                <w:b/>
                <w:w w:val="175"/>
                <w:sz w:val="21"/>
              </w:rPr>
              <w:t>.</w:t>
            </w:r>
            <w:r>
              <w:rPr>
                <w:rFonts w:ascii="微软雅黑"/>
                <w:b/>
                <w:w w:val="81"/>
                <w:sz w:val="21"/>
              </w:rPr>
              <w:t>1</w:t>
            </w:r>
          </w:p>
        </w:tc>
        <w:tc>
          <w:tcPr>
            <w:tcW w:w="1936" w:type="dxa"/>
            <w:tcBorders>
              <w:top w:val="single" w:sz="8" w:space="0" w:color="000000"/>
            </w:tcBorders>
          </w:tcPr>
          <w:p>
            <w:pPr>
              <w:pStyle w:val="TableParagraph"/>
              <w:spacing w:before="133"/>
              <w:ind w:left="247"/>
              <w:rPr>
                <w:rFonts w:ascii="微软雅黑" w:eastAsia="微软雅黑" w:hint="eastAsia"/>
                <w:b/>
                <w:sz w:val="21"/>
              </w:rPr>
            </w:pPr>
            <w:r>
              <w:rPr>
                <w:rFonts w:ascii="微软雅黑" w:eastAsia="微软雅黑" w:hint="eastAsia"/>
                <w:b/>
                <w:sz w:val="21"/>
              </w:rPr>
              <w:t>现金价值</w:t>
            </w:r>
          </w:p>
        </w:tc>
        <w:tc>
          <w:tcPr>
            <w:tcW w:w="7442" w:type="dxa"/>
            <w:tcBorders>
              <w:top w:val="single" w:sz="8" w:space="0" w:color="000000"/>
            </w:tcBorders>
          </w:tcPr>
          <w:p>
            <w:pPr>
              <w:pStyle w:val="TableParagraph"/>
              <w:spacing w:before="12"/>
              <w:ind w:left="0"/>
              <w:rPr>
                <w:sz w:val="14"/>
              </w:rPr>
            </w:pPr>
          </w:p>
          <w:p>
            <w:pPr>
              <w:pStyle w:val="TableParagraph"/>
              <w:ind w:left="242"/>
              <w:rPr>
                <w:sz w:val="21"/>
              </w:rPr>
            </w:pPr>
            <w:r>
              <w:rPr>
                <w:sz w:val="21"/>
              </w:rPr>
              <w:t>本附加合同具有现金价值，并已包含在主合同的现金价值中载明于保险单或批</w:t>
            </w:r>
          </w:p>
        </w:tc>
      </w:tr>
      <w:tr>
        <w:trPr>
          <w:trHeight w:val="261" w:hRule="atLeast"/>
        </w:trPr>
        <w:tc>
          <w:tcPr>
            <w:tcW w:w="713" w:type="dxa"/>
          </w:tcPr>
          <w:p>
            <w:pPr>
              <w:pStyle w:val="TableParagraph"/>
              <w:ind w:left="0"/>
              <w:rPr>
                <w:rFonts w:ascii="Times New Roman"/>
                <w:sz w:val="18"/>
              </w:rPr>
            </w:pPr>
          </w:p>
        </w:tc>
        <w:tc>
          <w:tcPr>
            <w:tcW w:w="1936" w:type="dxa"/>
          </w:tcPr>
          <w:p>
            <w:pPr>
              <w:pStyle w:val="TableParagraph"/>
              <w:ind w:left="0"/>
              <w:rPr>
                <w:rFonts w:ascii="Times New Roman"/>
                <w:sz w:val="18"/>
              </w:rPr>
            </w:pPr>
          </w:p>
        </w:tc>
        <w:tc>
          <w:tcPr>
            <w:tcW w:w="7442" w:type="dxa"/>
          </w:tcPr>
          <w:p>
            <w:pPr>
              <w:pStyle w:val="TableParagraph"/>
              <w:spacing w:line="242" w:lineRule="exact"/>
              <w:ind w:left="242"/>
              <w:rPr>
                <w:sz w:val="21"/>
              </w:rPr>
            </w:pPr>
            <w:r>
              <w:rPr>
                <w:sz w:val="21"/>
              </w:rPr>
              <w:t>注上。</w:t>
            </w:r>
          </w:p>
        </w:tc>
      </w:tr>
    </w:tbl>
    <w:p>
      <w:pPr>
        <w:pStyle w:val="BodyText"/>
        <w:spacing w:before="6"/>
        <w:rPr>
          <w:sz w:val="24"/>
        </w:rPr>
      </w:pPr>
    </w:p>
    <w:p>
      <w:pPr>
        <w:pStyle w:val="Heading2"/>
        <w:numPr>
          <w:ilvl w:val="0"/>
          <w:numId w:val="10"/>
        </w:numPr>
        <w:tabs>
          <w:tab w:pos="1071" w:val="left" w:leader="none"/>
          <w:tab w:pos="1072" w:val="left" w:leader="none"/>
        </w:tabs>
        <w:spacing w:line="240" w:lineRule="auto" w:before="0" w:after="0"/>
        <w:ind w:left="1072" w:right="0" w:hanging="852"/>
        <w:jc w:val="left"/>
      </w:pPr>
      <w:r>
        <w:rPr/>
        <w:pict>
          <v:group style="position:absolute;margin-left:45.599998pt;margin-top:28.984533pt;width:504.5pt;height:1pt;mso-position-horizontal-relative:page;mso-position-vertical-relative:paragraph;z-index:1168;mso-wrap-distance-left:0;mso-wrap-distance-right:0" coordorigin="912,580" coordsize="10090,20">
            <v:line style="position:absolute" from="912,589" to="1764,589" stroked="true" strokeweight=".96pt" strokecolor="#000000">
              <v:stroke dashstyle="solid"/>
            </v:line>
            <v:rect style="position:absolute;left:1764;top:579;width:20;height:20" filled="true" fillcolor="#000000" stroked="false">
              <v:fill type="solid"/>
            </v:rect>
            <v:line style="position:absolute" from="1783,589" to="3696,589" stroked="true" strokeweight=".96pt" strokecolor="#000000">
              <v:stroke dashstyle="solid"/>
            </v:line>
            <v:rect style="position:absolute;left:3696;top:579;width:20;height:20" filled="true" fillcolor="#000000" stroked="false">
              <v:fill type="solid"/>
            </v:rect>
            <v:line style="position:absolute" from="3715,589" to="11002,589" stroked="true" strokeweight=".96pt" strokecolor="#000000">
              <v:stroke dashstyle="solid"/>
            </v:line>
            <w10:wrap type="topAndBottom"/>
          </v:group>
        </w:pict>
      </w:r>
      <w:r>
        <w:rPr/>
        <w:t>合同效力的中止及恢复</w:t>
      </w:r>
    </w:p>
    <w:p>
      <w:pPr>
        <w:pStyle w:val="BodyText"/>
        <w:spacing w:before="9"/>
        <w:rPr>
          <w:rFonts w:ascii="微软雅黑"/>
          <w:b/>
          <w:sz w:val="7"/>
        </w:rPr>
      </w:pPr>
    </w:p>
    <w:p>
      <w:pPr>
        <w:pStyle w:val="ListParagraph"/>
        <w:numPr>
          <w:ilvl w:val="1"/>
          <w:numId w:val="11"/>
        </w:numPr>
        <w:tabs>
          <w:tab w:pos="1071" w:val="left" w:leader="none"/>
          <w:tab w:pos="1072" w:val="left" w:leader="none"/>
          <w:tab w:pos="3003" w:val="left" w:leader="none"/>
        </w:tabs>
        <w:spacing w:line="312" w:lineRule="exact" w:before="32" w:after="0"/>
        <w:ind w:left="3004" w:right="378" w:hanging="2784"/>
        <w:jc w:val="left"/>
        <w:rPr>
          <w:sz w:val="21"/>
        </w:rPr>
      </w:pPr>
      <w:r>
        <w:rPr>
          <w:rFonts w:ascii="微软雅黑" w:eastAsia="微软雅黑" w:hint="eastAsia"/>
          <w:b/>
          <w:sz w:val="21"/>
        </w:rPr>
        <w:t>效力中止</w:t>
        <w:tab/>
      </w:r>
      <w:r>
        <w:rPr>
          <w:sz w:val="21"/>
        </w:rPr>
        <w:t>除主</w:t>
      </w:r>
      <w:r>
        <w:rPr>
          <w:spacing w:val="-3"/>
          <w:sz w:val="21"/>
        </w:rPr>
        <w:t>合</w:t>
      </w:r>
      <w:r>
        <w:rPr>
          <w:sz w:val="21"/>
        </w:rPr>
        <w:t>同</w:t>
      </w:r>
      <w:r>
        <w:rPr>
          <w:spacing w:val="-3"/>
          <w:sz w:val="21"/>
        </w:rPr>
        <w:t>或</w:t>
      </w:r>
      <w:r>
        <w:rPr>
          <w:sz w:val="21"/>
        </w:rPr>
        <w:t>本</w:t>
      </w:r>
      <w:r>
        <w:rPr>
          <w:spacing w:val="-3"/>
          <w:sz w:val="21"/>
        </w:rPr>
        <w:t>附</w:t>
      </w:r>
      <w:r>
        <w:rPr>
          <w:sz w:val="21"/>
        </w:rPr>
        <w:t>加</w:t>
      </w:r>
      <w:r>
        <w:rPr>
          <w:spacing w:val="-3"/>
          <w:sz w:val="21"/>
        </w:rPr>
        <w:t>合</w:t>
      </w:r>
      <w:r>
        <w:rPr>
          <w:sz w:val="21"/>
        </w:rPr>
        <w:t>同</w:t>
      </w:r>
      <w:r>
        <w:rPr>
          <w:spacing w:val="-3"/>
          <w:sz w:val="21"/>
        </w:rPr>
        <w:t>另</w:t>
      </w:r>
      <w:r>
        <w:rPr>
          <w:sz w:val="21"/>
        </w:rPr>
        <w:t>有约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w:t>
      </w:r>
      <w:r>
        <w:rPr>
          <w:spacing w:val="-3"/>
          <w:sz w:val="21"/>
        </w:rPr>
        <w:t>效</w:t>
      </w:r>
      <w:r>
        <w:rPr>
          <w:sz w:val="21"/>
        </w:rPr>
        <w:t>力的</w:t>
      </w:r>
      <w:r>
        <w:rPr>
          <w:spacing w:val="-3"/>
          <w:sz w:val="21"/>
        </w:rPr>
        <w:t>中</w:t>
      </w:r>
      <w:r>
        <w:rPr>
          <w:sz w:val="21"/>
        </w:rPr>
        <w:t>止</w:t>
      </w:r>
      <w:r>
        <w:rPr>
          <w:spacing w:val="-3"/>
          <w:sz w:val="21"/>
        </w:rPr>
        <w:t>与</w:t>
      </w:r>
      <w:r>
        <w:rPr>
          <w:sz w:val="21"/>
        </w:rPr>
        <w:t>主</w:t>
      </w:r>
      <w:r>
        <w:rPr>
          <w:spacing w:val="-3"/>
          <w:sz w:val="21"/>
        </w:rPr>
        <w:t>合</w:t>
      </w:r>
      <w:r>
        <w:rPr>
          <w:sz w:val="21"/>
        </w:rPr>
        <w:t>同</w:t>
      </w:r>
      <w:r>
        <w:rPr>
          <w:spacing w:val="-3"/>
          <w:sz w:val="21"/>
        </w:rPr>
        <w:t>一</w:t>
      </w:r>
      <w:r>
        <w:rPr>
          <w:sz w:val="21"/>
        </w:rPr>
        <w:t>致。 在本</w:t>
      </w:r>
      <w:r>
        <w:rPr>
          <w:spacing w:val="-3"/>
          <w:sz w:val="21"/>
        </w:rPr>
        <w:t>附</w:t>
      </w:r>
      <w:r>
        <w:rPr>
          <w:sz w:val="21"/>
        </w:rPr>
        <w:t>加</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3"/>
          <w:sz w:val="21"/>
        </w:rPr>
        <w:t>本</w:t>
      </w:r>
      <w:r>
        <w:rPr>
          <w:sz w:val="21"/>
        </w:rPr>
        <w:t>公</w:t>
      </w:r>
      <w:r>
        <w:rPr>
          <w:spacing w:val="-3"/>
          <w:sz w:val="21"/>
        </w:rPr>
        <w:t>司</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r>
    </w:p>
    <w:p>
      <w:pPr>
        <w:spacing w:after="0" w:line="312" w:lineRule="exact"/>
        <w:jc w:val="left"/>
        <w:rPr>
          <w:sz w:val="21"/>
        </w:rPr>
        <w:sectPr>
          <w:type w:val="continuous"/>
          <w:pgSz w:w="11900" w:h="16840"/>
          <w:pgMar w:top="520" w:bottom="280" w:left="800" w:right="780"/>
        </w:sectPr>
      </w:pPr>
    </w:p>
    <w:p>
      <w:pPr>
        <w:pStyle w:val="ListParagraph"/>
        <w:numPr>
          <w:ilvl w:val="1"/>
          <w:numId w:val="11"/>
        </w:numPr>
        <w:tabs>
          <w:tab w:pos="1071" w:val="left" w:leader="none"/>
          <w:tab w:pos="1072" w:val="left" w:leader="none"/>
          <w:tab w:pos="3003" w:val="left" w:leader="none"/>
        </w:tabs>
        <w:spacing w:line="311" w:lineRule="exact" w:before="0" w:after="0"/>
        <w:ind w:left="3004" w:right="0" w:hanging="2784"/>
        <w:jc w:val="left"/>
        <w:rPr>
          <w:sz w:val="21"/>
        </w:rPr>
      </w:pPr>
      <w:r>
        <w:rPr>
          <w:rFonts w:ascii="微软雅黑" w:eastAsia="微软雅黑" w:hint="eastAsia"/>
          <w:b/>
          <w:sz w:val="21"/>
        </w:rPr>
        <w:t>效力恢复</w:t>
        <w:tab/>
      </w:r>
      <w:r>
        <w:rPr>
          <w:sz w:val="21"/>
        </w:rPr>
        <w:t>除主</w:t>
      </w:r>
      <w:r>
        <w:rPr>
          <w:spacing w:val="-3"/>
          <w:sz w:val="21"/>
        </w:rPr>
        <w:t>合</w:t>
      </w:r>
      <w:r>
        <w:rPr>
          <w:sz w:val="21"/>
        </w:rPr>
        <w:t>同</w:t>
      </w:r>
      <w:r>
        <w:rPr>
          <w:spacing w:val="-3"/>
          <w:sz w:val="21"/>
        </w:rPr>
        <w:t>或</w:t>
      </w:r>
      <w:r>
        <w:rPr>
          <w:sz w:val="21"/>
        </w:rPr>
        <w:t>本</w:t>
      </w:r>
      <w:r>
        <w:rPr>
          <w:spacing w:val="-3"/>
          <w:sz w:val="21"/>
        </w:rPr>
        <w:t>附</w:t>
      </w:r>
      <w:r>
        <w:rPr>
          <w:sz w:val="21"/>
        </w:rPr>
        <w:t>加</w:t>
      </w:r>
      <w:r>
        <w:rPr>
          <w:spacing w:val="-3"/>
          <w:sz w:val="21"/>
        </w:rPr>
        <w:t>合</w:t>
      </w:r>
      <w:r>
        <w:rPr>
          <w:sz w:val="21"/>
        </w:rPr>
        <w:t>同</w:t>
      </w:r>
      <w:r>
        <w:rPr>
          <w:spacing w:val="-3"/>
          <w:sz w:val="21"/>
        </w:rPr>
        <w:t>另</w:t>
      </w:r>
      <w:r>
        <w:rPr>
          <w:sz w:val="21"/>
        </w:rPr>
        <w:t>有约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w:t>
      </w:r>
      <w:r>
        <w:rPr>
          <w:spacing w:val="-3"/>
          <w:sz w:val="21"/>
        </w:rPr>
        <w:t>效</w:t>
      </w:r>
      <w:r>
        <w:rPr>
          <w:sz w:val="21"/>
        </w:rPr>
        <w:t>力的</w:t>
      </w:r>
      <w:r>
        <w:rPr>
          <w:spacing w:val="-3"/>
          <w:sz w:val="21"/>
        </w:rPr>
        <w:t>恢</w:t>
      </w:r>
      <w:r>
        <w:rPr>
          <w:sz w:val="21"/>
        </w:rPr>
        <w:t>复</w:t>
      </w:r>
      <w:r>
        <w:rPr>
          <w:spacing w:val="-3"/>
          <w:sz w:val="21"/>
        </w:rPr>
        <w:t>与</w:t>
      </w:r>
      <w:r>
        <w:rPr>
          <w:sz w:val="21"/>
        </w:rPr>
        <w:t>主</w:t>
      </w:r>
      <w:r>
        <w:rPr>
          <w:spacing w:val="-3"/>
          <w:sz w:val="21"/>
        </w:rPr>
        <w:t>合</w:t>
      </w:r>
      <w:r>
        <w:rPr>
          <w:sz w:val="21"/>
        </w:rPr>
        <w:t>同</w:t>
      </w:r>
      <w:r>
        <w:rPr>
          <w:spacing w:val="-3"/>
          <w:sz w:val="21"/>
        </w:rPr>
        <w:t>一</w:t>
      </w:r>
      <w:r>
        <w:rPr>
          <w:sz w:val="21"/>
        </w:rPr>
        <w:t>致。</w:t>
      </w:r>
    </w:p>
    <w:p>
      <w:pPr>
        <w:pStyle w:val="BodyText"/>
        <w:spacing w:before="6"/>
        <w:rPr>
          <w:sz w:val="22"/>
        </w:rPr>
      </w:pPr>
    </w:p>
    <w:p>
      <w:pPr>
        <w:tabs>
          <w:tab w:pos="1071" w:val="left" w:leader="none"/>
        </w:tabs>
        <w:spacing w:before="0"/>
        <w:ind w:left="219" w:right="0" w:firstLine="0"/>
        <w:jc w:val="left"/>
        <w:rPr>
          <w:rFonts w:ascii="微软雅黑" w:eastAsia="微软雅黑" w:hint="eastAsia"/>
          <w:b/>
          <w:sz w:val="24"/>
        </w:rPr>
      </w:pPr>
      <w:r>
        <w:rPr/>
        <w:pict>
          <v:group style="position:absolute;margin-left:45.599998pt;margin-top:28.984085pt;width:504.5pt;height:1pt;mso-position-horizontal-relative:page;mso-position-vertical-relative:paragraph;z-index:1192;mso-wrap-distance-left:0;mso-wrap-distance-right:0" coordorigin="912,580" coordsize="10090,20">
            <v:line style="position:absolute" from="912,589" to="1764,589" stroked="true" strokeweight=".96pt" strokecolor="#000000">
              <v:stroke dashstyle="solid"/>
            </v:line>
            <v:rect style="position:absolute;left:1764;top:579;width:20;height:20" filled="true" fillcolor="#000000" stroked="false">
              <v:fill type="solid"/>
            </v:rect>
            <v:line style="position:absolute" from="1783,589" to="3696,589" stroked="true" strokeweight=".96pt" strokecolor="#000000">
              <v:stroke dashstyle="solid"/>
            </v:line>
            <v:rect style="position:absolute;left:3696;top:579;width:20;height:20" filled="true" fillcolor="#000000" stroked="false">
              <v:fill type="solid"/>
            </v:rect>
            <v:line style="position:absolute" from="3715,589" to="11002,589" stroked="true" strokeweight=".96pt" strokecolor="#000000">
              <v:stroke dashstyle="solid"/>
            </v:line>
            <w10:wrap type="topAndBottom"/>
          </v:group>
        </w:pict>
      </w:r>
      <w:r>
        <w:rPr>
          <w:rFonts w:ascii="Arial" w:eastAsia="Arial"/>
          <w:w w:val="140"/>
          <w:position w:val="-3"/>
          <w:sz w:val="40"/>
        </w:rPr>
        <w:t>0</w:t>
      </w:r>
      <w:r>
        <w:rPr>
          <w:rFonts w:ascii="Times New Roman" w:eastAsia="Times New Roman"/>
          <w:w w:val="140"/>
          <w:position w:val="-3"/>
          <w:sz w:val="40"/>
        </w:rPr>
        <w:tab/>
      </w:r>
      <w:r>
        <w:rPr>
          <w:rFonts w:ascii="微软雅黑" w:eastAsia="微软雅黑" w:hint="eastAsia"/>
          <w:b/>
          <w:sz w:val="24"/>
        </w:rPr>
        <w:t>合同解除</w:t>
      </w:r>
    </w:p>
    <w:p>
      <w:pPr>
        <w:pStyle w:val="BodyText"/>
        <w:spacing w:before="9"/>
        <w:rPr>
          <w:rFonts w:ascii="微软雅黑"/>
          <w:b/>
          <w:sz w:val="7"/>
        </w:rPr>
      </w:pPr>
    </w:p>
    <w:p>
      <w:pPr>
        <w:spacing w:after="0"/>
        <w:rPr>
          <w:rFonts w:ascii="微软雅黑"/>
          <w:sz w:val="7"/>
        </w:rPr>
        <w:sectPr>
          <w:pgSz w:w="11900" w:h="16840"/>
          <w:pgMar w:top="1340" w:bottom="280" w:left="800" w:right="780"/>
        </w:sectPr>
      </w:pPr>
    </w:p>
    <w:p>
      <w:pPr>
        <w:pStyle w:val="Heading3"/>
        <w:tabs>
          <w:tab w:pos="1071" w:val="left" w:leader="none"/>
        </w:tabs>
        <w:spacing w:line="206" w:lineRule="auto" w:before="25"/>
        <w:ind w:left="1072" w:hanging="852"/>
      </w:pPr>
      <w:r>
        <w:rPr>
          <w:w w:val="81"/>
        </w:rPr>
        <w:t>7</w:t>
      </w:r>
      <w:r>
        <w:rPr>
          <w:w w:val="175"/>
        </w:rPr>
        <w:t>.</w:t>
      </w:r>
      <w:r>
        <w:rPr>
          <w:w w:val="81"/>
        </w:rPr>
        <w:t>1</w:t>
      </w:r>
      <w:r>
        <w:rPr/>
        <w:tab/>
      </w:r>
      <w:r>
        <w:rPr>
          <w:w w:val="100"/>
        </w:rPr>
        <w:t>您解除合同的手续</w:t>
      </w:r>
      <w:r>
        <w:rPr/>
        <w:t>及风险</w:t>
      </w:r>
    </w:p>
    <w:p>
      <w:pPr>
        <w:pStyle w:val="BodyText"/>
        <w:spacing w:line="273" w:lineRule="auto" w:before="37"/>
        <w:ind w:left="202" w:right="174"/>
      </w:pPr>
      <w:r>
        <w:rPr/>
        <w:br w:type="column"/>
      </w:r>
      <w:r>
        <w:rPr/>
        <w:t>如您在犹豫期后申请解除本附加合同，请填写解除合同申请书并向本公司提供下列资料：</w:t>
      </w:r>
    </w:p>
    <w:p>
      <w:pPr>
        <w:pStyle w:val="BodyText"/>
        <w:spacing w:line="262" w:lineRule="exact" w:before="7"/>
        <w:ind w:left="202"/>
      </w:pPr>
      <w:r>
        <w:rPr/>
        <w:t>（1）保险合同；</w:t>
      </w:r>
    </w:p>
    <w:p>
      <w:pPr>
        <w:spacing w:line="350" w:lineRule="exact" w:before="0"/>
        <w:ind w:left="202" w:right="0" w:firstLine="0"/>
        <w:jc w:val="left"/>
        <w:rPr>
          <w:sz w:val="21"/>
        </w:rPr>
      </w:pPr>
      <w:r>
        <w:rPr>
          <w:sz w:val="21"/>
        </w:rPr>
        <w:t>（2）您的</w:t>
      </w:r>
      <w:r>
        <w:rPr>
          <w:rFonts w:ascii="微软雅黑" w:eastAsia="微软雅黑" w:hint="eastAsia"/>
          <w:b/>
          <w:sz w:val="21"/>
        </w:rPr>
        <w:t>有效身份证明</w:t>
      </w:r>
      <w:r>
        <w:rPr>
          <w:sz w:val="21"/>
        </w:rPr>
        <w:t>。</w:t>
      </w:r>
    </w:p>
    <w:p>
      <w:pPr>
        <w:pStyle w:val="BodyText"/>
        <w:spacing w:before="12"/>
        <w:ind w:left="202"/>
      </w:pPr>
      <w:r>
        <w:rPr/>
        <w:t>您在解除本附加合同时，须同时申请解除主合同。</w:t>
      </w:r>
    </w:p>
    <w:p>
      <w:pPr>
        <w:pStyle w:val="BodyText"/>
        <w:spacing w:line="273" w:lineRule="auto" w:before="36"/>
        <w:ind w:left="202" w:right="222"/>
      </w:pPr>
      <w:r>
        <w:rPr>
          <w:spacing w:val="-6"/>
        </w:rPr>
        <w:t>自本公司收到解除合同申请书之日起，本附加合同终止。本公司自收到解除合</w:t>
      </w:r>
      <w:r>
        <w:rPr>
          <w:spacing w:val="-9"/>
        </w:rPr>
        <w:t>同申请书之日起 </w:t>
      </w:r>
      <w:r>
        <w:rPr/>
        <w:t>30</w:t>
      </w:r>
      <w:r>
        <w:rPr>
          <w:spacing w:val="-8"/>
        </w:rPr>
        <w:t> 日内向您退还本附加合同的现金价值。</w:t>
      </w:r>
    </w:p>
    <w:p>
      <w:pPr>
        <w:pStyle w:val="BodyText"/>
        <w:spacing w:before="7"/>
        <w:ind w:left="202"/>
      </w:pPr>
      <w:r>
        <w:rPr/>
        <w:t>您在犹豫期后解除合同会遭受一定损失。</w:t>
      </w:r>
    </w:p>
    <w:p>
      <w:pPr>
        <w:spacing w:after="0"/>
        <w:sectPr>
          <w:type w:val="continuous"/>
          <w:pgSz w:w="11900" w:h="16840"/>
          <w:pgMar w:top="520" w:bottom="280" w:left="800" w:right="780"/>
          <w:cols w:num="2" w:equalWidth="0">
            <w:col w:w="2762" w:space="40"/>
            <w:col w:w="7518"/>
          </w:cols>
        </w:sectPr>
      </w:pPr>
    </w:p>
    <w:p>
      <w:pPr>
        <w:pStyle w:val="BodyText"/>
        <w:spacing w:before="3"/>
      </w:pPr>
    </w:p>
    <w:p>
      <w:pPr>
        <w:pStyle w:val="Heading2"/>
        <w:tabs>
          <w:tab w:pos="1071" w:val="left" w:leader="none"/>
        </w:tabs>
        <w:spacing w:before="44"/>
      </w:pPr>
      <w:r>
        <w:rPr/>
        <w:pict>
          <v:group style="position:absolute;margin-left:45.599998pt;margin-top:31.184155pt;width:504.5pt;height:1pt;mso-position-horizontal-relative:page;mso-position-vertical-relative:paragraph;z-index:1216;mso-wrap-distance-left:0;mso-wrap-distance-right:0" coordorigin="912,624" coordsize="10090,20">
            <v:line style="position:absolute" from="912,633" to="1764,633" stroked="true" strokeweight=".96pt" strokecolor="#000000">
              <v:stroke dashstyle="solid"/>
            </v:line>
            <v:rect style="position:absolute;left:1764;top:623;width:20;height:20" filled="true" fillcolor="#000000" stroked="false">
              <v:fill type="solid"/>
            </v:rect>
            <v:line style="position:absolute" from="1783,633" to="3696,633" stroked="true" strokeweight=".96pt" strokecolor="#000000">
              <v:stroke dashstyle="solid"/>
            </v:line>
            <v:rect style="position:absolute;left:3696;top:623;width:20;height:20" filled="true" fillcolor="#000000" stroked="false">
              <v:fill type="solid"/>
            </v:rect>
            <v:line style="position:absolute" from="3715,633" to="11002,633" stroked="true" strokeweight=".96pt" strokecolor="#000000">
              <v:stroke dashstyle="solid"/>
            </v:line>
            <w10:wrap type="topAndBottom"/>
          </v:group>
        </w:pict>
      </w:r>
      <w:r>
        <w:rPr>
          <w:rFonts w:ascii="Arial" w:hAnsi="Arial" w:eastAsia="Arial"/>
          <w:b w:val="0"/>
          <w:w w:val="105"/>
          <w:position w:val="-3"/>
          <w:sz w:val="40"/>
        </w:rPr>
        <w:t>®</w:t>
      </w:r>
      <w:r>
        <w:rPr>
          <w:rFonts w:ascii="Times New Roman" w:hAnsi="Times New Roman" w:eastAsia="Times New Roman"/>
          <w:b w:val="0"/>
          <w:w w:val="105"/>
          <w:position w:val="-3"/>
          <w:sz w:val="40"/>
        </w:rPr>
        <w:tab/>
      </w:r>
      <w:r>
        <w:rPr/>
        <w:t>其他需要关注的事项</w:t>
      </w:r>
    </w:p>
    <w:p>
      <w:pPr>
        <w:pStyle w:val="BodyText"/>
        <w:spacing w:before="7"/>
        <w:rPr>
          <w:rFonts w:ascii="微软雅黑"/>
          <w:b/>
          <w:sz w:val="7"/>
        </w:rPr>
      </w:pPr>
    </w:p>
    <w:p>
      <w:pPr>
        <w:pStyle w:val="ListParagraph"/>
        <w:numPr>
          <w:ilvl w:val="1"/>
          <w:numId w:val="12"/>
        </w:numPr>
        <w:tabs>
          <w:tab w:pos="1071" w:val="left" w:leader="none"/>
          <w:tab w:pos="1072" w:val="left" w:leader="none"/>
          <w:tab w:pos="3003" w:val="left" w:leader="none"/>
        </w:tabs>
        <w:spacing w:line="312" w:lineRule="exact" w:before="32" w:after="0"/>
        <w:ind w:left="3004" w:right="222" w:hanging="2784"/>
        <w:jc w:val="left"/>
        <w:rPr>
          <w:sz w:val="21"/>
        </w:rPr>
      </w:pPr>
      <w:r>
        <w:rPr>
          <w:rFonts w:ascii="微软雅黑" w:eastAsia="微软雅黑" w:hint="eastAsia"/>
          <w:b/>
          <w:sz w:val="21"/>
        </w:rPr>
        <w:t>就医安排</w:t>
        <w:tab/>
      </w:r>
      <w:r>
        <w:rPr>
          <w:sz w:val="21"/>
        </w:rPr>
        <w:t>被保</w:t>
      </w:r>
      <w:r>
        <w:rPr>
          <w:spacing w:val="-3"/>
          <w:sz w:val="21"/>
        </w:rPr>
        <w:t>险</w:t>
      </w:r>
      <w:r>
        <w:rPr>
          <w:sz w:val="21"/>
        </w:rPr>
        <w:t>人</w:t>
      </w:r>
      <w:r>
        <w:rPr>
          <w:spacing w:val="-3"/>
          <w:sz w:val="21"/>
        </w:rPr>
        <w:t>确</w:t>
      </w:r>
      <w:r>
        <w:rPr>
          <w:sz w:val="21"/>
        </w:rPr>
        <w:t>诊</w:t>
      </w:r>
      <w:r>
        <w:rPr>
          <w:spacing w:val="-3"/>
          <w:sz w:val="21"/>
        </w:rPr>
        <w:t>初</w:t>
      </w:r>
      <w:r>
        <w:rPr>
          <w:sz w:val="21"/>
        </w:rPr>
        <w:t>次</w:t>
      </w:r>
      <w:r>
        <w:rPr>
          <w:spacing w:val="-3"/>
          <w:sz w:val="21"/>
        </w:rPr>
        <w:t>患</w:t>
      </w:r>
      <w:r>
        <w:rPr>
          <w:sz w:val="21"/>
        </w:rPr>
        <w:t>上</w:t>
      </w:r>
      <w:r>
        <w:rPr>
          <w:spacing w:val="-3"/>
          <w:sz w:val="21"/>
        </w:rPr>
        <w:t>本</w:t>
      </w:r>
      <w:r>
        <w:rPr>
          <w:sz w:val="21"/>
        </w:rPr>
        <w:t>附加</w:t>
      </w:r>
      <w:r>
        <w:rPr>
          <w:spacing w:val="-3"/>
          <w:sz w:val="21"/>
        </w:rPr>
        <w:t>合</w:t>
      </w:r>
      <w:r>
        <w:rPr>
          <w:sz w:val="21"/>
        </w:rPr>
        <w:t>同</w:t>
      </w:r>
      <w:r>
        <w:rPr>
          <w:spacing w:val="-3"/>
          <w:sz w:val="21"/>
        </w:rPr>
        <w:t>重</w:t>
      </w:r>
      <w:r>
        <w:rPr>
          <w:sz w:val="21"/>
        </w:rPr>
        <w:t>大</w:t>
      </w:r>
      <w:r>
        <w:rPr>
          <w:spacing w:val="-3"/>
          <w:sz w:val="21"/>
        </w:rPr>
        <w:t>疾</w:t>
      </w:r>
      <w:r>
        <w:rPr>
          <w:sz w:val="21"/>
        </w:rPr>
        <w:t>病</w:t>
      </w:r>
      <w:r>
        <w:rPr>
          <w:spacing w:val="-3"/>
          <w:sz w:val="21"/>
        </w:rPr>
        <w:t>列</w:t>
      </w:r>
      <w:r>
        <w:rPr>
          <w:sz w:val="21"/>
        </w:rPr>
        <w:t>表</w:t>
      </w:r>
      <w:r>
        <w:rPr>
          <w:spacing w:val="-3"/>
          <w:sz w:val="21"/>
        </w:rPr>
        <w:t>内</w:t>
      </w:r>
      <w:r>
        <w:rPr>
          <w:sz w:val="21"/>
        </w:rPr>
        <w:t>所界</w:t>
      </w:r>
      <w:r>
        <w:rPr>
          <w:spacing w:val="-3"/>
          <w:sz w:val="21"/>
        </w:rPr>
        <w:t>定</w:t>
      </w:r>
      <w:r>
        <w:rPr>
          <w:sz w:val="21"/>
        </w:rPr>
        <w:t>的</w:t>
      </w:r>
      <w:r>
        <w:rPr>
          <w:spacing w:val="-3"/>
          <w:sz w:val="21"/>
        </w:rPr>
        <w:t>任</w:t>
      </w:r>
      <w:r>
        <w:rPr>
          <w:sz w:val="21"/>
        </w:rPr>
        <w:t>何</w:t>
      </w:r>
      <w:r>
        <w:rPr>
          <w:spacing w:val="-3"/>
          <w:sz w:val="21"/>
        </w:rPr>
        <w:t>一</w:t>
      </w:r>
      <w:r>
        <w:rPr>
          <w:sz w:val="21"/>
        </w:rPr>
        <w:t>种</w:t>
      </w:r>
      <w:r>
        <w:rPr>
          <w:spacing w:val="-3"/>
          <w:sz w:val="21"/>
        </w:rPr>
        <w:t>重</w:t>
      </w:r>
      <w:r>
        <w:rPr>
          <w:sz w:val="21"/>
        </w:rPr>
        <w:t>大疾 病</w:t>
      </w:r>
      <w:r>
        <w:rPr>
          <w:spacing w:val="-27"/>
          <w:sz w:val="21"/>
        </w:rPr>
        <w:t>，</w:t>
      </w:r>
      <w:r>
        <w:rPr>
          <w:sz w:val="21"/>
        </w:rPr>
        <w:t>本</w:t>
      </w:r>
      <w:r>
        <w:rPr>
          <w:spacing w:val="-3"/>
          <w:sz w:val="21"/>
        </w:rPr>
        <w:t>公</w:t>
      </w:r>
      <w:r>
        <w:rPr>
          <w:sz w:val="21"/>
        </w:rPr>
        <w:t>司</w:t>
      </w:r>
      <w:r>
        <w:rPr>
          <w:spacing w:val="-3"/>
          <w:sz w:val="21"/>
        </w:rPr>
        <w:t>免</w:t>
      </w:r>
      <w:r>
        <w:rPr>
          <w:sz w:val="21"/>
        </w:rPr>
        <w:t>费</w:t>
      </w:r>
      <w:r>
        <w:rPr>
          <w:spacing w:val="-3"/>
          <w:sz w:val="21"/>
        </w:rPr>
        <w:t>提</w:t>
      </w:r>
      <w:r>
        <w:rPr>
          <w:sz w:val="21"/>
        </w:rPr>
        <w:t>供</w:t>
      </w:r>
      <w:r>
        <w:rPr>
          <w:spacing w:val="-3"/>
          <w:sz w:val="21"/>
        </w:rPr>
        <w:t>一次</w:t>
      </w:r>
      <w:r>
        <w:rPr>
          <w:sz w:val="21"/>
        </w:rPr>
        <w:t>就医</w:t>
      </w:r>
      <w:r>
        <w:rPr>
          <w:spacing w:val="-3"/>
          <w:sz w:val="21"/>
        </w:rPr>
        <w:t>安排</w:t>
      </w:r>
      <w:r>
        <w:rPr>
          <w:spacing w:val="-24"/>
          <w:sz w:val="21"/>
        </w:rPr>
        <w:t>，</w:t>
      </w:r>
      <w:r>
        <w:rPr>
          <w:spacing w:val="-3"/>
          <w:sz w:val="21"/>
        </w:rPr>
        <w:t>具</w:t>
      </w:r>
      <w:r>
        <w:rPr>
          <w:sz w:val="21"/>
        </w:rPr>
        <w:t>体</w:t>
      </w:r>
      <w:r>
        <w:rPr>
          <w:spacing w:val="-3"/>
          <w:sz w:val="21"/>
        </w:rPr>
        <w:t>就</w:t>
      </w:r>
      <w:r>
        <w:rPr>
          <w:sz w:val="21"/>
        </w:rPr>
        <w:t>医</w:t>
      </w:r>
      <w:r>
        <w:rPr>
          <w:spacing w:val="-3"/>
          <w:sz w:val="21"/>
        </w:rPr>
        <w:t>安排</w:t>
      </w:r>
      <w:r>
        <w:rPr>
          <w:sz w:val="21"/>
        </w:rPr>
        <w:t>内容</w:t>
      </w:r>
      <w:r>
        <w:rPr>
          <w:spacing w:val="-3"/>
          <w:sz w:val="21"/>
        </w:rPr>
        <w:t>及</w:t>
      </w:r>
      <w:r>
        <w:rPr>
          <w:sz w:val="21"/>
        </w:rPr>
        <w:t>医</w:t>
      </w:r>
      <w:r>
        <w:rPr>
          <w:spacing w:val="-3"/>
          <w:sz w:val="21"/>
        </w:rPr>
        <w:t>院</w:t>
      </w:r>
      <w:r>
        <w:rPr>
          <w:sz w:val="21"/>
        </w:rPr>
        <w:t>目</w:t>
      </w:r>
      <w:r>
        <w:rPr>
          <w:spacing w:val="-3"/>
          <w:sz w:val="21"/>
        </w:rPr>
        <w:t>录</w:t>
      </w:r>
      <w:r>
        <w:rPr>
          <w:sz w:val="21"/>
        </w:rPr>
        <w:t>以</w:t>
      </w:r>
      <w:r>
        <w:rPr>
          <w:spacing w:val="-3"/>
          <w:sz w:val="21"/>
        </w:rPr>
        <w:t>本</w:t>
      </w:r>
      <w:r>
        <w:rPr>
          <w:sz w:val="21"/>
        </w:rPr>
        <w:t>公</w:t>
      </w:r>
      <w:r>
        <w:rPr>
          <w:spacing w:val="-3"/>
          <w:sz w:val="21"/>
        </w:rPr>
        <w:t>司</w:t>
      </w:r>
      <w:r>
        <w:rPr>
          <w:sz w:val="21"/>
        </w:rPr>
        <w:t>在</w:t>
      </w:r>
      <w:r>
        <w:rPr>
          <w:spacing w:val="-1"/>
          <w:sz w:val="21"/>
        </w:rPr>
        <w:t>公司</w:t>
      </w:r>
      <w:r>
        <w:rPr>
          <w:spacing w:val="-3"/>
          <w:sz w:val="21"/>
        </w:rPr>
        <w:t>官</w:t>
      </w:r>
      <w:r>
        <w:rPr>
          <w:spacing w:val="-15"/>
          <w:sz w:val="21"/>
        </w:rPr>
        <w:t>网</w:t>
      </w:r>
      <w:hyperlink r:id="rId6">
        <w:r>
          <w:rPr>
            <w:spacing w:val="-1"/>
            <w:sz w:val="21"/>
          </w:rPr>
          <w:t>（www.bocommlife.com</w:t>
        </w:r>
      </w:hyperlink>
      <w:r>
        <w:rPr>
          <w:spacing w:val="-1"/>
          <w:sz w:val="21"/>
        </w:rPr>
        <w:t>）</w:t>
      </w:r>
      <w:r>
        <w:rPr>
          <w:spacing w:val="-3"/>
          <w:sz w:val="21"/>
        </w:rPr>
        <w:t>公</w:t>
      </w:r>
      <w:r>
        <w:rPr>
          <w:sz w:val="21"/>
        </w:rPr>
        <w:t>布</w:t>
      </w:r>
      <w:r>
        <w:rPr>
          <w:spacing w:val="-3"/>
          <w:sz w:val="21"/>
        </w:rPr>
        <w:t>的</w:t>
      </w:r>
      <w:r>
        <w:rPr>
          <w:sz w:val="21"/>
        </w:rPr>
        <w:t>为</w:t>
      </w:r>
      <w:r>
        <w:rPr>
          <w:spacing w:val="-3"/>
          <w:sz w:val="21"/>
        </w:rPr>
        <w:t>准</w:t>
      </w:r>
      <w:r>
        <w:rPr>
          <w:spacing w:val="-15"/>
          <w:sz w:val="21"/>
        </w:rPr>
        <w:t>，</w:t>
      </w:r>
      <w:r>
        <w:rPr>
          <w:sz w:val="21"/>
        </w:rPr>
        <w:t>且</w:t>
      </w:r>
      <w:r>
        <w:rPr>
          <w:spacing w:val="-3"/>
          <w:sz w:val="21"/>
        </w:rPr>
        <w:t>本</w:t>
      </w:r>
      <w:r>
        <w:rPr>
          <w:sz w:val="21"/>
        </w:rPr>
        <w:t>公司</w:t>
      </w:r>
      <w:r>
        <w:rPr>
          <w:spacing w:val="-3"/>
          <w:sz w:val="21"/>
        </w:rPr>
        <w:t>可</w:t>
      </w:r>
      <w:r>
        <w:rPr>
          <w:sz w:val="21"/>
        </w:rPr>
        <w:t>适</w:t>
      </w:r>
      <w:r>
        <w:rPr>
          <w:spacing w:val="-3"/>
          <w:sz w:val="21"/>
        </w:rPr>
        <w:t>时</w:t>
      </w:r>
      <w:r>
        <w:rPr>
          <w:sz w:val="21"/>
        </w:rPr>
        <w:t>调</w:t>
      </w:r>
      <w:r>
        <w:rPr>
          <w:spacing w:val="-3"/>
          <w:sz w:val="21"/>
        </w:rPr>
        <w:t>整</w:t>
      </w:r>
      <w:r>
        <w:rPr>
          <w:spacing w:val="-15"/>
          <w:sz w:val="21"/>
        </w:rPr>
        <w:t>。</w:t>
      </w:r>
      <w:r>
        <w:rPr>
          <w:sz w:val="21"/>
        </w:rPr>
        <w:t>被</w:t>
      </w:r>
      <w:r>
        <w:rPr>
          <w:spacing w:val="-3"/>
          <w:sz w:val="21"/>
        </w:rPr>
        <w:t>保</w:t>
      </w:r>
      <w:r>
        <w:rPr>
          <w:sz w:val="21"/>
        </w:rPr>
        <w:t>险人在</w:t>
      </w:r>
      <w:r>
        <w:rPr>
          <w:spacing w:val="-3"/>
          <w:sz w:val="21"/>
        </w:rPr>
        <w:t>安</w:t>
      </w:r>
      <w:r>
        <w:rPr>
          <w:sz w:val="21"/>
        </w:rPr>
        <w:t>排</w:t>
      </w:r>
      <w:r>
        <w:rPr>
          <w:spacing w:val="-3"/>
          <w:sz w:val="21"/>
        </w:rPr>
        <w:t>的</w:t>
      </w:r>
      <w:r>
        <w:rPr>
          <w:sz w:val="21"/>
        </w:rPr>
        <w:t>就</w:t>
      </w:r>
      <w:r>
        <w:rPr>
          <w:spacing w:val="-3"/>
          <w:sz w:val="21"/>
        </w:rPr>
        <w:t>诊</w:t>
      </w:r>
      <w:r>
        <w:rPr>
          <w:sz w:val="21"/>
        </w:rPr>
        <w:t>医</w:t>
      </w:r>
      <w:r>
        <w:rPr>
          <w:spacing w:val="-3"/>
          <w:sz w:val="21"/>
        </w:rPr>
        <w:t>院</w:t>
      </w:r>
      <w:r>
        <w:rPr>
          <w:sz w:val="21"/>
        </w:rPr>
        <w:t>特</w:t>
      </w:r>
      <w:r>
        <w:rPr>
          <w:spacing w:val="-3"/>
          <w:sz w:val="21"/>
        </w:rPr>
        <w:t>需/</w:t>
      </w:r>
      <w:r>
        <w:rPr>
          <w:sz w:val="21"/>
        </w:rPr>
        <w:t>特约</w:t>
      </w:r>
      <w:r>
        <w:rPr>
          <w:spacing w:val="-3"/>
          <w:sz w:val="21"/>
        </w:rPr>
        <w:t>门</w:t>
      </w:r>
      <w:r>
        <w:rPr>
          <w:sz w:val="21"/>
        </w:rPr>
        <w:t>诊</w:t>
      </w:r>
      <w:r>
        <w:rPr>
          <w:spacing w:val="-3"/>
          <w:sz w:val="21"/>
        </w:rPr>
        <w:t>部</w:t>
      </w:r>
      <w:r>
        <w:rPr>
          <w:sz w:val="21"/>
        </w:rPr>
        <w:t>就</w:t>
      </w:r>
      <w:r>
        <w:rPr>
          <w:spacing w:val="-3"/>
          <w:sz w:val="21"/>
        </w:rPr>
        <w:t>诊</w:t>
      </w:r>
      <w:r>
        <w:rPr>
          <w:spacing w:val="-51"/>
          <w:sz w:val="21"/>
        </w:rPr>
        <w:t>，</w:t>
      </w:r>
      <w:r>
        <w:rPr>
          <w:spacing w:val="-3"/>
          <w:sz w:val="21"/>
        </w:rPr>
        <w:t>相</w:t>
      </w:r>
      <w:r>
        <w:rPr>
          <w:sz w:val="21"/>
        </w:rPr>
        <w:t>应</w:t>
      </w:r>
      <w:r>
        <w:rPr>
          <w:spacing w:val="-3"/>
          <w:sz w:val="21"/>
        </w:rPr>
        <w:t>的</w:t>
      </w:r>
      <w:r>
        <w:rPr>
          <w:sz w:val="21"/>
        </w:rPr>
        <w:t>特需</w:t>
      </w:r>
      <w:r>
        <w:rPr>
          <w:spacing w:val="-3"/>
          <w:sz w:val="21"/>
        </w:rPr>
        <w:t>/</w:t>
      </w:r>
      <w:r>
        <w:rPr>
          <w:sz w:val="21"/>
        </w:rPr>
        <w:t>特</w:t>
      </w:r>
      <w:r>
        <w:rPr>
          <w:spacing w:val="-3"/>
          <w:sz w:val="21"/>
        </w:rPr>
        <w:t>约</w:t>
      </w:r>
      <w:r>
        <w:rPr>
          <w:sz w:val="21"/>
        </w:rPr>
        <w:t>门</w:t>
      </w:r>
      <w:r>
        <w:rPr>
          <w:spacing w:val="-3"/>
          <w:sz w:val="21"/>
        </w:rPr>
        <w:t>诊</w:t>
      </w:r>
      <w:r>
        <w:rPr>
          <w:sz w:val="21"/>
        </w:rPr>
        <w:t>挂</w:t>
      </w:r>
      <w:r>
        <w:rPr>
          <w:spacing w:val="-3"/>
          <w:sz w:val="21"/>
        </w:rPr>
        <w:t>号</w:t>
      </w:r>
      <w:r>
        <w:rPr>
          <w:sz w:val="21"/>
        </w:rPr>
        <w:t>费</w:t>
      </w:r>
      <w:r>
        <w:rPr>
          <w:spacing w:val="-3"/>
          <w:sz w:val="21"/>
        </w:rPr>
        <w:t>由</w:t>
      </w:r>
      <w:r>
        <w:rPr>
          <w:sz w:val="21"/>
        </w:rPr>
        <w:t>本公司</w:t>
      </w:r>
      <w:r>
        <w:rPr>
          <w:spacing w:val="-3"/>
          <w:sz w:val="21"/>
        </w:rPr>
        <w:t>承</w:t>
      </w:r>
      <w:r>
        <w:rPr>
          <w:sz w:val="21"/>
        </w:rPr>
        <w:t>担</w:t>
      </w:r>
      <w:r>
        <w:rPr>
          <w:spacing w:val="-3"/>
          <w:sz w:val="21"/>
        </w:rPr>
        <w:t>，</w:t>
      </w:r>
      <w:r>
        <w:rPr>
          <w:sz w:val="21"/>
        </w:rPr>
        <w:t>其</w:t>
      </w:r>
      <w:r>
        <w:rPr>
          <w:spacing w:val="-3"/>
          <w:sz w:val="21"/>
        </w:rPr>
        <w:t>余</w:t>
      </w:r>
      <w:r>
        <w:rPr>
          <w:sz w:val="21"/>
        </w:rPr>
        <w:t>产</w:t>
      </w:r>
      <w:r>
        <w:rPr>
          <w:spacing w:val="-3"/>
          <w:sz w:val="21"/>
        </w:rPr>
        <w:t>生</w:t>
      </w:r>
      <w:r>
        <w:rPr>
          <w:sz w:val="21"/>
        </w:rPr>
        <w:t>的</w:t>
      </w:r>
      <w:r>
        <w:rPr>
          <w:spacing w:val="-3"/>
          <w:sz w:val="21"/>
        </w:rPr>
        <w:t>医</w:t>
      </w:r>
      <w:r>
        <w:rPr>
          <w:sz w:val="21"/>
        </w:rPr>
        <w:t>疗费</w:t>
      </w:r>
      <w:r>
        <w:rPr>
          <w:spacing w:val="-3"/>
          <w:sz w:val="21"/>
        </w:rPr>
        <w:t>用</w:t>
      </w:r>
      <w:r>
        <w:rPr>
          <w:sz w:val="21"/>
        </w:rPr>
        <w:t>由</w:t>
      </w:r>
      <w:r>
        <w:rPr>
          <w:spacing w:val="-3"/>
          <w:sz w:val="21"/>
        </w:rPr>
        <w:t>被</w:t>
      </w:r>
      <w:r>
        <w:rPr>
          <w:sz w:val="21"/>
        </w:rPr>
        <w:t>保</w:t>
      </w:r>
      <w:r>
        <w:rPr>
          <w:spacing w:val="-3"/>
          <w:sz w:val="21"/>
        </w:rPr>
        <w:t>险</w:t>
      </w:r>
      <w:r>
        <w:rPr>
          <w:sz w:val="21"/>
        </w:rPr>
        <w:t>人</w:t>
      </w:r>
      <w:r>
        <w:rPr>
          <w:spacing w:val="-3"/>
          <w:sz w:val="21"/>
        </w:rPr>
        <w:t>自</w:t>
      </w:r>
      <w:r>
        <w:rPr>
          <w:sz w:val="21"/>
        </w:rPr>
        <w:t>行</w:t>
      </w:r>
      <w:r>
        <w:rPr>
          <w:spacing w:val="-3"/>
          <w:sz w:val="21"/>
        </w:rPr>
        <w:t>承</w:t>
      </w:r>
      <w:r>
        <w:rPr>
          <w:sz w:val="21"/>
        </w:rPr>
        <w:t>担。</w:t>
      </w:r>
    </w:p>
    <w:p>
      <w:pPr>
        <w:pStyle w:val="ListParagraph"/>
        <w:numPr>
          <w:ilvl w:val="1"/>
          <w:numId w:val="12"/>
        </w:numPr>
        <w:tabs>
          <w:tab w:pos="1071" w:val="left" w:leader="none"/>
          <w:tab w:pos="1072" w:val="left" w:leader="none"/>
          <w:tab w:pos="3003" w:val="left" w:leader="none"/>
        </w:tabs>
        <w:spacing w:line="247" w:lineRule="auto" w:before="169" w:after="0"/>
        <w:ind w:left="3004" w:right="171" w:hanging="2784"/>
        <w:jc w:val="left"/>
        <w:rPr>
          <w:sz w:val="21"/>
        </w:rPr>
      </w:pPr>
      <w:r>
        <w:rPr>
          <w:rFonts w:ascii="微软雅黑" w:eastAsia="微软雅黑" w:hint="eastAsia"/>
          <w:b/>
          <w:sz w:val="21"/>
        </w:rPr>
        <w:t>效力终止</w:t>
        <w:tab/>
      </w:r>
      <w:r>
        <w:rPr>
          <w:sz w:val="21"/>
        </w:rPr>
        <w:t>除主</w:t>
      </w:r>
      <w:r>
        <w:rPr>
          <w:spacing w:val="-3"/>
          <w:sz w:val="21"/>
        </w:rPr>
        <w:t>合</w:t>
      </w:r>
      <w:r>
        <w:rPr>
          <w:sz w:val="21"/>
        </w:rPr>
        <w:t>同</w:t>
      </w:r>
      <w:r>
        <w:rPr>
          <w:spacing w:val="-3"/>
          <w:sz w:val="21"/>
        </w:rPr>
        <w:t>或</w:t>
      </w:r>
      <w:r>
        <w:rPr>
          <w:sz w:val="21"/>
        </w:rPr>
        <w:t>本</w:t>
      </w:r>
      <w:r>
        <w:rPr>
          <w:spacing w:val="-3"/>
          <w:sz w:val="21"/>
        </w:rPr>
        <w:t>附</w:t>
      </w:r>
      <w:r>
        <w:rPr>
          <w:sz w:val="21"/>
        </w:rPr>
        <w:t>加</w:t>
      </w:r>
      <w:r>
        <w:rPr>
          <w:spacing w:val="-3"/>
          <w:sz w:val="21"/>
        </w:rPr>
        <w:t>合</w:t>
      </w:r>
      <w:r>
        <w:rPr>
          <w:sz w:val="21"/>
        </w:rPr>
        <w:t>同</w:t>
      </w:r>
      <w:r>
        <w:rPr>
          <w:spacing w:val="-3"/>
          <w:sz w:val="21"/>
        </w:rPr>
        <w:t>另</w:t>
      </w:r>
      <w:r>
        <w:rPr>
          <w:sz w:val="21"/>
        </w:rPr>
        <w:t>有约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w:t>
      </w:r>
      <w:r>
        <w:rPr>
          <w:spacing w:val="-3"/>
          <w:sz w:val="21"/>
        </w:rPr>
        <w:t>的</w:t>
      </w:r>
      <w:r>
        <w:rPr>
          <w:sz w:val="21"/>
        </w:rPr>
        <w:t>效力</w:t>
      </w:r>
      <w:r>
        <w:rPr>
          <w:spacing w:val="-3"/>
          <w:sz w:val="21"/>
        </w:rPr>
        <w:t>在</w:t>
      </w:r>
      <w:r>
        <w:rPr>
          <w:sz w:val="21"/>
        </w:rPr>
        <w:t>主</w:t>
      </w:r>
      <w:r>
        <w:rPr>
          <w:spacing w:val="-3"/>
          <w:sz w:val="21"/>
        </w:rPr>
        <w:t>合</w:t>
      </w:r>
      <w:r>
        <w:rPr>
          <w:sz w:val="21"/>
        </w:rPr>
        <w:t>同</w:t>
      </w:r>
      <w:r>
        <w:rPr>
          <w:spacing w:val="-3"/>
          <w:sz w:val="21"/>
        </w:rPr>
        <w:t>撤</w:t>
      </w:r>
      <w:r>
        <w:rPr>
          <w:sz w:val="21"/>
        </w:rPr>
        <w:t>销</w:t>
      </w:r>
      <w:r>
        <w:rPr>
          <w:spacing w:val="-3"/>
          <w:sz w:val="21"/>
        </w:rPr>
        <w:t>、解除</w:t>
      </w:r>
      <w:r>
        <w:rPr>
          <w:sz w:val="21"/>
        </w:rPr>
        <w:t>、 期满</w:t>
      </w:r>
      <w:r>
        <w:rPr>
          <w:spacing w:val="-3"/>
          <w:sz w:val="21"/>
        </w:rPr>
        <w:t>、</w:t>
      </w:r>
      <w:r>
        <w:rPr>
          <w:sz w:val="21"/>
        </w:rPr>
        <w:t>终</w:t>
      </w:r>
      <w:r>
        <w:rPr>
          <w:spacing w:val="-3"/>
          <w:sz w:val="21"/>
        </w:rPr>
        <w:t>止</w:t>
      </w:r>
      <w:r>
        <w:rPr>
          <w:sz w:val="21"/>
        </w:rPr>
        <w:t>时</w:t>
      </w:r>
      <w:r>
        <w:rPr>
          <w:spacing w:val="-3"/>
          <w:sz w:val="21"/>
        </w:rPr>
        <w:t>自</w:t>
      </w:r>
      <w:r>
        <w:rPr>
          <w:sz w:val="21"/>
        </w:rPr>
        <w:t>动</w:t>
      </w:r>
      <w:r>
        <w:rPr>
          <w:spacing w:val="-3"/>
          <w:sz w:val="21"/>
        </w:rPr>
        <w:t>终</w:t>
      </w:r>
      <w:r>
        <w:rPr>
          <w:sz w:val="21"/>
        </w:rPr>
        <w:t>止。</w:t>
      </w:r>
    </w:p>
    <w:p>
      <w:pPr>
        <w:pStyle w:val="BodyText"/>
        <w:spacing w:before="10"/>
        <w:rPr>
          <w:sz w:val="14"/>
        </w:rPr>
      </w:pPr>
    </w:p>
    <w:p>
      <w:pPr>
        <w:pStyle w:val="ListParagraph"/>
        <w:numPr>
          <w:ilvl w:val="1"/>
          <w:numId w:val="12"/>
        </w:numPr>
        <w:tabs>
          <w:tab w:pos="1071" w:val="left" w:leader="none"/>
          <w:tab w:pos="1072" w:val="left" w:leader="none"/>
          <w:tab w:pos="3003" w:val="left" w:leader="none"/>
        </w:tabs>
        <w:spacing w:line="240" w:lineRule="auto" w:before="0" w:after="0"/>
        <w:ind w:left="3004" w:right="0" w:hanging="2784"/>
        <w:jc w:val="left"/>
        <w:rPr>
          <w:sz w:val="21"/>
        </w:rPr>
      </w:pPr>
      <w:r>
        <w:rPr>
          <w:rFonts w:ascii="微软雅黑" w:eastAsia="微软雅黑" w:hint="eastAsia"/>
          <w:b/>
          <w:sz w:val="21"/>
        </w:rPr>
        <w:t>适用主合同条款</w:t>
        <w:tab/>
      </w:r>
      <w:r>
        <w:rPr>
          <w:sz w:val="21"/>
        </w:rPr>
        <w:t>主合</w:t>
      </w:r>
      <w:r>
        <w:rPr>
          <w:spacing w:val="-3"/>
          <w:sz w:val="21"/>
        </w:rPr>
        <w:t>同</w:t>
      </w:r>
      <w:r>
        <w:rPr>
          <w:sz w:val="21"/>
        </w:rPr>
        <w:t>订</w:t>
      </w:r>
      <w:r>
        <w:rPr>
          <w:spacing w:val="-3"/>
          <w:sz w:val="21"/>
        </w:rPr>
        <w:t>立</w:t>
      </w:r>
      <w:r>
        <w:rPr>
          <w:sz w:val="21"/>
        </w:rPr>
        <w:t>的</w:t>
      </w:r>
      <w:r>
        <w:rPr>
          <w:spacing w:val="-3"/>
          <w:sz w:val="21"/>
        </w:rPr>
        <w:t>下</w:t>
      </w:r>
      <w:r>
        <w:rPr>
          <w:sz w:val="21"/>
        </w:rPr>
        <w:t>列</w:t>
      </w:r>
      <w:r>
        <w:rPr>
          <w:spacing w:val="-3"/>
          <w:sz w:val="21"/>
        </w:rPr>
        <w:t>各</w:t>
      </w:r>
      <w:r>
        <w:rPr>
          <w:sz w:val="21"/>
        </w:rPr>
        <w:t>项</w:t>
      </w:r>
      <w:r>
        <w:rPr>
          <w:spacing w:val="-3"/>
          <w:sz w:val="21"/>
        </w:rPr>
        <w:t>条</w:t>
      </w:r>
      <w:r>
        <w:rPr>
          <w:sz w:val="21"/>
        </w:rPr>
        <w:t>款适</w:t>
      </w:r>
      <w:r>
        <w:rPr>
          <w:spacing w:val="-3"/>
          <w:sz w:val="21"/>
        </w:rPr>
        <w:t>用</w:t>
      </w:r>
      <w:r>
        <w:rPr>
          <w:sz w:val="21"/>
        </w:rPr>
        <w:t>于</w:t>
      </w:r>
      <w:r>
        <w:rPr>
          <w:spacing w:val="-3"/>
          <w:sz w:val="21"/>
        </w:rPr>
        <w:t>本</w:t>
      </w:r>
      <w:r>
        <w:rPr>
          <w:sz w:val="21"/>
        </w:rPr>
        <w:t>附</w:t>
      </w:r>
      <w:r>
        <w:rPr>
          <w:spacing w:val="-3"/>
          <w:sz w:val="21"/>
        </w:rPr>
        <w:t>加</w:t>
      </w:r>
      <w:r>
        <w:rPr>
          <w:sz w:val="21"/>
        </w:rPr>
        <w:t>合</w:t>
      </w:r>
      <w:r>
        <w:rPr>
          <w:spacing w:val="-3"/>
          <w:sz w:val="21"/>
        </w:rPr>
        <w:t>同</w:t>
      </w:r>
      <w:r>
        <w:rPr>
          <w:sz w:val="21"/>
        </w:rPr>
        <w:t>：</w:t>
      </w:r>
    </w:p>
    <w:p>
      <w:pPr>
        <w:pStyle w:val="BodyText"/>
        <w:spacing w:before="11"/>
        <w:ind w:left="3003"/>
      </w:pPr>
      <w:r>
        <w:rPr/>
        <w:t>（1）合同成立与生效</w:t>
      </w:r>
    </w:p>
    <w:p>
      <w:pPr>
        <w:pStyle w:val="BodyText"/>
        <w:spacing w:before="36"/>
        <w:ind w:left="3003"/>
      </w:pPr>
      <w:r>
        <w:rPr/>
        <w:t>（2）保险期间</w:t>
      </w:r>
    </w:p>
    <w:p>
      <w:pPr>
        <w:pStyle w:val="BodyText"/>
        <w:spacing w:before="36"/>
        <w:ind w:left="3003"/>
      </w:pPr>
      <w:r>
        <w:rPr/>
        <w:t>（3）保险事故通知</w:t>
      </w:r>
    </w:p>
    <w:p>
      <w:pPr>
        <w:pStyle w:val="BodyText"/>
        <w:spacing w:before="36"/>
        <w:ind w:left="3003"/>
      </w:pPr>
      <w:r>
        <w:rPr/>
        <w:t>（4）保险金给付</w:t>
      </w:r>
    </w:p>
    <w:p>
      <w:pPr>
        <w:pStyle w:val="BodyText"/>
        <w:spacing w:before="36"/>
        <w:ind w:left="3003"/>
      </w:pPr>
      <w:r>
        <w:rPr/>
        <w:t>（5）保单贷款</w:t>
      </w:r>
    </w:p>
    <w:p>
      <w:pPr>
        <w:pStyle w:val="BodyText"/>
        <w:spacing w:before="36"/>
        <w:ind w:left="3003"/>
      </w:pPr>
      <w:r>
        <w:rPr/>
        <w:t>（6）保险费自动垫交</w:t>
      </w:r>
    </w:p>
    <w:p>
      <w:pPr>
        <w:pStyle w:val="BodyText"/>
        <w:spacing w:before="36"/>
        <w:ind w:left="3003"/>
      </w:pPr>
      <w:r>
        <w:rPr/>
        <w:t>（7）明确说明与如实告知</w:t>
      </w:r>
    </w:p>
    <w:p>
      <w:pPr>
        <w:pStyle w:val="BodyText"/>
        <w:spacing w:before="36"/>
        <w:ind w:left="3003"/>
      </w:pPr>
      <w:r>
        <w:rPr/>
        <w:t>（8）本公司合同解除权的限制</w:t>
      </w:r>
    </w:p>
    <w:p>
      <w:pPr>
        <w:pStyle w:val="BodyText"/>
        <w:spacing w:before="36"/>
        <w:ind w:left="3003"/>
      </w:pPr>
      <w:r>
        <w:rPr/>
        <w:t>（9）年龄性别错误</w:t>
      </w:r>
    </w:p>
    <w:p>
      <w:pPr>
        <w:pStyle w:val="BodyText"/>
        <w:spacing w:before="36"/>
        <w:ind w:left="3003"/>
      </w:pPr>
      <w:r>
        <w:rPr/>
        <w:t>（10）未还款项</w:t>
      </w:r>
    </w:p>
    <w:p>
      <w:pPr>
        <w:pStyle w:val="BodyText"/>
        <w:spacing w:before="36"/>
        <w:ind w:left="3003"/>
      </w:pPr>
      <w:r>
        <w:rPr/>
        <w:t>（11）合同内容变更</w:t>
      </w:r>
    </w:p>
    <w:p>
      <w:pPr>
        <w:pStyle w:val="BodyText"/>
        <w:spacing w:before="36"/>
        <w:ind w:left="3003"/>
      </w:pPr>
      <w:r>
        <w:rPr/>
        <w:t>（12）争议处理</w:t>
      </w:r>
    </w:p>
    <w:p>
      <w:pPr>
        <w:pStyle w:val="BodyText"/>
        <w:spacing w:before="36"/>
        <w:ind w:left="3003"/>
      </w:pPr>
      <w:r>
        <w:rPr/>
        <w:t>如果本附加合同的条款与主合同不一致，则以本附加合同的条款为准。</w:t>
      </w:r>
    </w:p>
    <w:p>
      <w:pPr>
        <w:pStyle w:val="BodyText"/>
        <w:spacing w:before="3"/>
      </w:pPr>
    </w:p>
    <w:p>
      <w:pPr>
        <w:pStyle w:val="Heading2"/>
        <w:numPr>
          <w:ilvl w:val="0"/>
          <w:numId w:val="10"/>
        </w:numPr>
        <w:tabs>
          <w:tab w:pos="1071" w:val="left" w:leader="none"/>
          <w:tab w:pos="1072" w:val="left" w:leader="none"/>
        </w:tabs>
        <w:spacing w:line="240" w:lineRule="auto" w:before="43" w:after="0"/>
        <w:ind w:left="1072" w:right="0" w:hanging="852"/>
        <w:jc w:val="left"/>
      </w:pPr>
      <w:r>
        <w:rPr/>
        <w:pict>
          <v:group style="position:absolute;margin-left:45.599998pt;margin-top:31.134279pt;width:504.5pt;height:1pt;mso-position-horizontal-relative:page;mso-position-vertical-relative:paragraph;z-index:1240;mso-wrap-distance-left:0;mso-wrap-distance-right:0" coordorigin="912,623" coordsize="10090,20">
            <v:line style="position:absolute" from="912,632" to="1764,632" stroked="true" strokeweight=".96pt" strokecolor="#000000">
              <v:stroke dashstyle="solid"/>
            </v:line>
            <v:rect style="position:absolute;left:1764;top:622;width:20;height:20" filled="true" fillcolor="#000000" stroked="false">
              <v:fill type="solid"/>
            </v:rect>
            <v:line style="position:absolute" from="1783,632" to="3696,632" stroked="true" strokeweight=".96pt" strokecolor="#000000">
              <v:stroke dashstyle="solid"/>
            </v:line>
            <v:rect style="position:absolute;left:3696;top:622;width:20;height:20" filled="true" fillcolor="#000000" stroked="false">
              <v:fill type="solid"/>
            </v:rect>
            <v:line style="position:absolute" from="3715,632" to="11002,632" stroked="true" strokeweight=".96pt" strokecolor="#000000">
              <v:stroke dashstyle="solid"/>
            </v:line>
            <w10:wrap type="topAndBottom"/>
          </v:group>
        </w:pict>
      </w:r>
      <w:r>
        <w:rPr/>
        <w:t>释义</w:t>
      </w:r>
    </w:p>
    <w:p>
      <w:pPr>
        <w:pStyle w:val="BodyText"/>
        <w:spacing w:before="9"/>
        <w:rPr>
          <w:rFonts w:ascii="微软雅黑"/>
          <w:b/>
          <w:sz w:val="7"/>
        </w:rPr>
      </w:pPr>
    </w:p>
    <w:p>
      <w:pPr>
        <w:pStyle w:val="ListParagraph"/>
        <w:numPr>
          <w:ilvl w:val="1"/>
          <w:numId w:val="13"/>
        </w:numPr>
        <w:tabs>
          <w:tab w:pos="1071" w:val="left" w:leader="none"/>
          <w:tab w:pos="1072" w:val="left" w:leader="none"/>
          <w:tab w:pos="3003" w:val="left" w:leader="none"/>
        </w:tabs>
        <w:spacing w:line="312" w:lineRule="exact" w:before="32" w:after="0"/>
        <w:ind w:left="3003" w:right="116" w:hanging="2783"/>
        <w:jc w:val="left"/>
        <w:rPr>
          <w:sz w:val="21"/>
        </w:rPr>
      </w:pPr>
      <w:r>
        <w:rPr>
          <w:rFonts w:ascii="微软雅黑" w:eastAsia="微软雅黑" w:hint="eastAsia"/>
          <w:b/>
          <w:sz w:val="21"/>
        </w:rPr>
        <w:t>医院</w:t>
        <w:tab/>
      </w:r>
      <w:r>
        <w:rPr>
          <w:sz w:val="21"/>
        </w:rPr>
        <w:t>指国</w:t>
      </w:r>
      <w:r>
        <w:rPr>
          <w:spacing w:val="-3"/>
          <w:sz w:val="21"/>
        </w:rPr>
        <w:t>家</w:t>
      </w:r>
      <w:r>
        <w:rPr>
          <w:sz w:val="21"/>
        </w:rPr>
        <w:t>卫</w:t>
      </w:r>
      <w:r>
        <w:rPr>
          <w:spacing w:val="-3"/>
          <w:sz w:val="21"/>
        </w:rPr>
        <w:t>生</w:t>
      </w:r>
      <w:r>
        <w:rPr>
          <w:sz w:val="21"/>
        </w:rPr>
        <w:t>行</w:t>
      </w:r>
      <w:r>
        <w:rPr>
          <w:spacing w:val="-3"/>
          <w:sz w:val="21"/>
        </w:rPr>
        <w:t>政</w:t>
      </w:r>
      <w:r>
        <w:rPr>
          <w:sz w:val="21"/>
        </w:rPr>
        <w:t>管</w:t>
      </w:r>
      <w:r>
        <w:rPr>
          <w:spacing w:val="-3"/>
          <w:sz w:val="21"/>
        </w:rPr>
        <w:t>理</w:t>
      </w:r>
      <w:r>
        <w:rPr>
          <w:sz w:val="21"/>
        </w:rPr>
        <w:t>部</w:t>
      </w:r>
      <w:r>
        <w:rPr>
          <w:spacing w:val="-3"/>
          <w:sz w:val="21"/>
        </w:rPr>
        <w:t>门</w:t>
      </w:r>
      <w:r>
        <w:rPr>
          <w:sz w:val="21"/>
        </w:rPr>
        <w:t>医院</w:t>
      </w:r>
      <w:r>
        <w:rPr>
          <w:spacing w:val="-3"/>
          <w:sz w:val="21"/>
        </w:rPr>
        <w:t>等</w:t>
      </w:r>
      <w:r>
        <w:rPr>
          <w:sz w:val="21"/>
        </w:rPr>
        <w:t>级</w:t>
      </w:r>
      <w:r>
        <w:rPr>
          <w:spacing w:val="-3"/>
          <w:sz w:val="21"/>
        </w:rPr>
        <w:t>分</w:t>
      </w:r>
      <w:r>
        <w:rPr>
          <w:sz w:val="21"/>
        </w:rPr>
        <w:t>类</w:t>
      </w:r>
      <w:r>
        <w:rPr>
          <w:spacing w:val="-3"/>
          <w:sz w:val="21"/>
        </w:rPr>
        <w:t>中</w:t>
      </w:r>
      <w:r>
        <w:rPr>
          <w:sz w:val="21"/>
        </w:rPr>
        <w:t>的</w:t>
      </w:r>
      <w:r>
        <w:rPr>
          <w:spacing w:val="-3"/>
          <w:sz w:val="21"/>
        </w:rPr>
        <w:t>二</w:t>
      </w:r>
      <w:r>
        <w:rPr>
          <w:sz w:val="21"/>
        </w:rPr>
        <w:t>级</w:t>
      </w:r>
      <w:r>
        <w:rPr>
          <w:spacing w:val="-3"/>
          <w:sz w:val="21"/>
        </w:rPr>
        <w:t>或</w:t>
      </w:r>
      <w:r>
        <w:rPr>
          <w:sz w:val="21"/>
        </w:rPr>
        <w:t>二级</w:t>
      </w:r>
      <w:r>
        <w:rPr>
          <w:spacing w:val="-3"/>
          <w:sz w:val="21"/>
        </w:rPr>
        <w:t>以</w:t>
      </w:r>
      <w:r>
        <w:rPr>
          <w:sz w:val="21"/>
        </w:rPr>
        <w:t>上</w:t>
      </w:r>
      <w:r>
        <w:rPr>
          <w:spacing w:val="-3"/>
          <w:sz w:val="21"/>
        </w:rPr>
        <w:t>的</w:t>
      </w:r>
      <w:r>
        <w:rPr>
          <w:sz w:val="21"/>
        </w:rPr>
        <w:t>公</w:t>
      </w:r>
      <w:r>
        <w:rPr>
          <w:spacing w:val="-3"/>
          <w:sz w:val="21"/>
        </w:rPr>
        <w:t>立</w:t>
      </w:r>
      <w:r>
        <w:rPr>
          <w:sz w:val="21"/>
        </w:rPr>
        <w:t>医</w:t>
      </w:r>
      <w:r>
        <w:rPr>
          <w:spacing w:val="-3"/>
          <w:sz w:val="21"/>
        </w:rPr>
        <w:t>院</w:t>
      </w:r>
      <w:r>
        <w:rPr>
          <w:spacing w:val="-53"/>
          <w:sz w:val="21"/>
        </w:rPr>
        <w:t>，</w:t>
      </w:r>
      <w:r>
        <w:rPr>
          <w:spacing w:val="-3"/>
          <w:sz w:val="21"/>
        </w:rPr>
        <w:t>但</w:t>
      </w:r>
      <w:r>
        <w:rPr>
          <w:sz w:val="21"/>
        </w:rPr>
        <w:t>不 包括</w:t>
      </w:r>
      <w:r>
        <w:rPr>
          <w:spacing w:val="-3"/>
          <w:sz w:val="21"/>
        </w:rPr>
        <w:t>主</w:t>
      </w:r>
      <w:r>
        <w:rPr>
          <w:sz w:val="21"/>
        </w:rPr>
        <w:t>要</w:t>
      </w:r>
      <w:r>
        <w:rPr>
          <w:spacing w:val="-3"/>
          <w:sz w:val="21"/>
        </w:rPr>
        <w:t>提</w:t>
      </w:r>
      <w:r>
        <w:rPr>
          <w:sz w:val="21"/>
        </w:rPr>
        <w:t>供</w:t>
      </w:r>
      <w:r>
        <w:rPr>
          <w:spacing w:val="-3"/>
          <w:sz w:val="21"/>
        </w:rPr>
        <w:t>门</w:t>
      </w:r>
      <w:r>
        <w:rPr>
          <w:sz w:val="21"/>
        </w:rPr>
        <w:t>诊</w:t>
      </w:r>
      <w:r>
        <w:rPr>
          <w:spacing w:val="-34"/>
          <w:sz w:val="21"/>
        </w:rPr>
        <w:t>、</w:t>
      </w:r>
      <w:r>
        <w:rPr>
          <w:sz w:val="21"/>
        </w:rPr>
        <w:t>康</w:t>
      </w:r>
      <w:r>
        <w:rPr>
          <w:spacing w:val="-3"/>
          <w:sz w:val="21"/>
        </w:rPr>
        <w:t>复</w:t>
      </w:r>
      <w:r>
        <w:rPr>
          <w:spacing w:val="-32"/>
          <w:sz w:val="21"/>
        </w:rPr>
        <w:t>、</w:t>
      </w:r>
      <w:r>
        <w:rPr>
          <w:sz w:val="21"/>
        </w:rPr>
        <w:t>护</w:t>
      </w:r>
      <w:r>
        <w:rPr>
          <w:spacing w:val="-3"/>
          <w:sz w:val="21"/>
        </w:rPr>
        <w:t>理</w:t>
      </w:r>
      <w:r>
        <w:rPr>
          <w:spacing w:val="-32"/>
          <w:sz w:val="21"/>
        </w:rPr>
        <w:t>、</w:t>
      </w:r>
      <w:r>
        <w:rPr>
          <w:spacing w:val="-3"/>
          <w:sz w:val="21"/>
        </w:rPr>
        <w:t>疗</w:t>
      </w:r>
      <w:r>
        <w:rPr>
          <w:sz w:val="21"/>
        </w:rPr>
        <w:t>养</w:t>
      </w:r>
      <w:r>
        <w:rPr>
          <w:spacing w:val="-34"/>
          <w:sz w:val="21"/>
        </w:rPr>
        <w:t>、</w:t>
      </w:r>
      <w:r>
        <w:rPr>
          <w:sz w:val="21"/>
        </w:rPr>
        <w:t>戒</w:t>
      </w:r>
      <w:r>
        <w:rPr>
          <w:spacing w:val="-3"/>
          <w:sz w:val="21"/>
        </w:rPr>
        <w:t>酒</w:t>
      </w:r>
      <w:r>
        <w:rPr>
          <w:spacing w:val="-32"/>
          <w:sz w:val="21"/>
        </w:rPr>
        <w:t>、</w:t>
      </w:r>
      <w:r>
        <w:rPr>
          <w:spacing w:val="-3"/>
          <w:sz w:val="21"/>
        </w:rPr>
        <w:t>戒毒</w:t>
      </w:r>
      <w:r>
        <w:rPr>
          <w:sz w:val="21"/>
        </w:rPr>
        <w:t>或相</w:t>
      </w:r>
      <w:r>
        <w:rPr>
          <w:spacing w:val="-3"/>
          <w:sz w:val="21"/>
        </w:rPr>
        <w:t>类</w:t>
      </w:r>
      <w:r>
        <w:rPr>
          <w:sz w:val="21"/>
        </w:rPr>
        <w:t>似</w:t>
      </w:r>
      <w:r>
        <w:rPr>
          <w:spacing w:val="-3"/>
          <w:sz w:val="21"/>
        </w:rPr>
        <w:t>服</w:t>
      </w:r>
      <w:r>
        <w:rPr>
          <w:sz w:val="21"/>
        </w:rPr>
        <w:t>务</w:t>
      </w:r>
      <w:r>
        <w:rPr>
          <w:spacing w:val="-3"/>
          <w:sz w:val="21"/>
        </w:rPr>
        <w:t>之</w:t>
      </w:r>
      <w:r>
        <w:rPr>
          <w:sz w:val="21"/>
        </w:rPr>
        <w:t>医</w:t>
      </w:r>
      <w:r>
        <w:rPr>
          <w:spacing w:val="-3"/>
          <w:sz w:val="21"/>
        </w:rPr>
        <w:t>疗</w:t>
      </w:r>
      <w:r>
        <w:rPr>
          <w:sz w:val="21"/>
        </w:rPr>
        <w:t>机</w:t>
      </w:r>
      <w:r>
        <w:rPr>
          <w:spacing w:val="-3"/>
          <w:sz w:val="21"/>
        </w:rPr>
        <w:t>构</w:t>
      </w:r>
      <w:r>
        <w:rPr>
          <w:sz w:val="21"/>
        </w:rPr>
        <w:t>。</w:t>
      </w:r>
    </w:p>
    <w:p>
      <w:pPr>
        <w:pStyle w:val="ListParagraph"/>
        <w:numPr>
          <w:ilvl w:val="1"/>
          <w:numId w:val="13"/>
        </w:numPr>
        <w:tabs>
          <w:tab w:pos="1071" w:val="left" w:leader="none"/>
          <w:tab w:pos="1072" w:val="left" w:leader="none"/>
          <w:tab w:pos="3003" w:val="left" w:leader="none"/>
        </w:tabs>
        <w:spacing w:line="240" w:lineRule="auto" w:before="166" w:after="0"/>
        <w:ind w:left="3003" w:right="0" w:hanging="2783"/>
        <w:jc w:val="left"/>
        <w:rPr>
          <w:sz w:val="21"/>
        </w:rPr>
      </w:pPr>
      <w:r>
        <w:rPr>
          <w:rFonts w:ascii="微软雅黑" w:eastAsia="微软雅黑" w:hint="eastAsia"/>
          <w:b/>
          <w:sz w:val="21"/>
        </w:rPr>
        <w:t>专科医生</w:t>
        <w:tab/>
      </w:r>
      <w:r>
        <w:rPr>
          <w:sz w:val="21"/>
        </w:rPr>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下三</w:t>
      </w:r>
      <w:r>
        <w:rPr>
          <w:spacing w:val="-3"/>
          <w:sz w:val="21"/>
        </w:rPr>
        <w:t>项</w:t>
      </w:r>
      <w:r>
        <w:rPr>
          <w:sz w:val="21"/>
        </w:rPr>
        <w:t>资</w:t>
      </w:r>
      <w:r>
        <w:rPr>
          <w:spacing w:val="-3"/>
          <w:sz w:val="21"/>
        </w:rPr>
        <w:t>格</w:t>
      </w:r>
      <w:r>
        <w:rPr>
          <w:sz w:val="21"/>
        </w:rPr>
        <w:t>条</w:t>
      </w:r>
      <w:r>
        <w:rPr>
          <w:spacing w:val="-3"/>
          <w:sz w:val="21"/>
        </w:rPr>
        <w:t>件</w:t>
      </w:r>
      <w:r>
        <w:rPr>
          <w:sz w:val="21"/>
        </w:rPr>
        <w:t>：</w:t>
      </w:r>
    </w:p>
    <w:p>
      <w:pPr>
        <w:spacing w:after="0" w:line="240" w:lineRule="auto"/>
        <w:jc w:val="left"/>
        <w:rPr>
          <w:sz w:val="21"/>
        </w:rPr>
        <w:sectPr>
          <w:type w:val="continuous"/>
          <w:pgSz w:w="11900" w:h="16840"/>
          <w:pgMar w:top="520" w:bottom="280" w:left="800" w:right="780"/>
        </w:sectPr>
      </w:pPr>
    </w:p>
    <w:p>
      <w:pPr>
        <w:pStyle w:val="BodyText"/>
        <w:spacing w:before="20"/>
        <w:ind w:left="3003"/>
      </w:pPr>
      <w:r>
        <w:rPr/>
        <w:t>（1）具有有效的中华人民共和国《医师资格证书》；</w:t>
      </w:r>
    </w:p>
    <w:p>
      <w:pPr>
        <w:pStyle w:val="BodyText"/>
        <w:spacing w:line="273" w:lineRule="auto" w:before="37"/>
        <w:ind w:left="3529" w:right="222" w:hanging="526"/>
      </w:pPr>
      <w:r>
        <w:rPr>
          <w:spacing w:val="-7"/>
        </w:rPr>
        <w:t>（2）</w:t>
      </w:r>
      <w:r>
        <w:rPr>
          <w:spacing w:val="-12"/>
        </w:rPr>
        <w:t>具有有效的中华人民共和国《医师执业证书》，并按期到相关部门登记注册；</w:t>
      </w:r>
    </w:p>
    <w:p>
      <w:pPr>
        <w:pStyle w:val="BodyText"/>
        <w:spacing w:line="273" w:lineRule="auto" w:before="8"/>
        <w:ind w:left="3529" w:right="274" w:hanging="526"/>
      </w:pPr>
      <w:r>
        <w:rPr/>
        <w:t>（3）具有有效的中华人民共和国主治医师或主治医师以上职称的《医师职称证书》。</w:t>
      </w:r>
    </w:p>
    <w:p>
      <w:pPr>
        <w:pStyle w:val="BodyText"/>
        <w:spacing w:before="8"/>
        <w:ind w:left="3003"/>
      </w:pPr>
      <w:r>
        <w:rPr/>
        <w:t>专科医生不包括被保险人本人及其直系亲属。</w:t>
      </w:r>
    </w:p>
    <w:p>
      <w:pPr>
        <w:pStyle w:val="BodyText"/>
        <w:spacing w:before="6"/>
        <w:rPr>
          <w:sz w:val="15"/>
        </w:rPr>
      </w:pPr>
    </w:p>
    <w:p>
      <w:pPr>
        <w:pStyle w:val="ListParagraph"/>
        <w:numPr>
          <w:ilvl w:val="1"/>
          <w:numId w:val="13"/>
        </w:numPr>
        <w:tabs>
          <w:tab w:pos="1071" w:val="left" w:leader="none"/>
          <w:tab w:pos="1072" w:val="left" w:leader="none"/>
          <w:tab w:pos="3003" w:val="left" w:leader="none"/>
        </w:tabs>
        <w:spacing w:line="240" w:lineRule="auto" w:before="0" w:after="0"/>
        <w:ind w:left="3003" w:right="0" w:hanging="2783"/>
        <w:jc w:val="left"/>
        <w:rPr>
          <w:sz w:val="21"/>
        </w:rPr>
      </w:pPr>
      <w:r>
        <w:rPr>
          <w:rFonts w:ascii="微软雅黑" w:eastAsia="微软雅黑" w:hint="eastAsia"/>
          <w:b/>
          <w:sz w:val="21"/>
        </w:rPr>
        <w:t>意外伤害事故</w:t>
        <w:tab/>
      </w:r>
      <w:r>
        <w:rPr>
          <w:sz w:val="21"/>
        </w:rPr>
        <w:t>指外</w:t>
      </w:r>
      <w:r>
        <w:rPr>
          <w:spacing w:val="-3"/>
          <w:sz w:val="21"/>
        </w:rPr>
        <w:t>来</w:t>
      </w:r>
      <w:r>
        <w:rPr>
          <w:sz w:val="21"/>
        </w:rPr>
        <w:t>的</w:t>
      </w:r>
      <w:r>
        <w:rPr>
          <w:spacing w:val="-20"/>
          <w:sz w:val="21"/>
        </w:rPr>
        <w:t>、</w:t>
      </w:r>
      <w:r>
        <w:rPr>
          <w:sz w:val="21"/>
        </w:rPr>
        <w:t>突</w:t>
      </w:r>
      <w:r>
        <w:rPr>
          <w:spacing w:val="-3"/>
          <w:sz w:val="21"/>
        </w:rPr>
        <w:t>发</w:t>
      </w:r>
      <w:r>
        <w:rPr>
          <w:sz w:val="21"/>
        </w:rPr>
        <w:t>的、</w:t>
      </w:r>
      <w:r>
        <w:rPr>
          <w:spacing w:val="16"/>
          <w:sz w:val="21"/>
        </w:rPr>
        <w:t> </w:t>
      </w:r>
      <w:r>
        <w:rPr>
          <w:spacing w:val="-3"/>
          <w:sz w:val="21"/>
        </w:rPr>
        <w:t>非本</w:t>
      </w:r>
      <w:r>
        <w:rPr>
          <w:sz w:val="21"/>
        </w:rPr>
        <w:t>意的</w:t>
      </w:r>
      <w:r>
        <w:rPr>
          <w:spacing w:val="-20"/>
          <w:sz w:val="21"/>
        </w:rPr>
        <w:t>、</w:t>
      </w:r>
      <w:r>
        <w:rPr>
          <w:sz w:val="21"/>
        </w:rPr>
        <w:t>非</w:t>
      </w:r>
      <w:r>
        <w:rPr>
          <w:spacing w:val="-3"/>
          <w:sz w:val="21"/>
        </w:rPr>
        <w:t>疾</w:t>
      </w:r>
      <w:r>
        <w:rPr>
          <w:sz w:val="21"/>
        </w:rPr>
        <w:t>病</w:t>
      </w:r>
      <w:r>
        <w:rPr>
          <w:spacing w:val="-3"/>
          <w:sz w:val="21"/>
        </w:rPr>
        <w:t>的</w:t>
      </w:r>
      <w:r>
        <w:rPr>
          <w:sz w:val="21"/>
        </w:rPr>
        <w:t>直</w:t>
      </w:r>
      <w:r>
        <w:rPr>
          <w:spacing w:val="-3"/>
          <w:sz w:val="21"/>
        </w:rPr>
        <w:t>接</w:t>
      </w:r>
      <w:r>
        <w:rPr>
          <w:sz w:val="21"/>
        </w:rPr>
        <w:t>致</w:t>
      </w:r>
      <w:r>
        <w:rPr>
          <w:spacing w:val="-3"/>
          <w:sz w:val="21"/>
        </w:rPr>
        <w:t>使</w:t>
      </w:r>
      <w:r>
        <w:rPr>
          <w:sz w:val="21"/>
        </w:rPr>
        <w:t>身体</w:t>
      </w:r>
      <w:r>
        <w:rPr>
          <w:spacing w:val="-3"/>
          <w:sz w:val="21"/>
        </w:rPr>
        <w:t>受</w:t>
      </w:r>
      <w:r>
        <w:rPr>
          <w:sz w:val="21"/>
        </w:rPr>
        <w:t>到</w:t>
      </w:r>
      <w:r>
        <w:rPr>
          <w:spacing w:val="-3"/>
          <w:sz w:val="21"/>
        </w:rPr>
        <w:t>伤</w:t>
      </w:r>
      <w:r>
        <w:rPr>
          <w:sz w:val="21"/>
        </w:rPr>
        <w:t>害</w:t>
      </w:r>
      <w:r>
        <w:rPr>
          <w:spacing w:val="-3"/>
          <w:sz w:val="21"/>
        </w:rPr>
        <w:t>的</w:t>
      </w:r>
      <w:r>
        <w:rPr>
          <w:sz w:val="21"/>
        </w:rPr>
        <w:t>客</w:t>
      </w:r>
      <w:r>
        <w:rPr>
          <w:spacing w:val="-3"/>
          <w:sz w:val="21"/>
        </w:rPr>
        <w:t>观</w:t>
      </w:r>
      <w:r>
        <w:rPr>
          <w:sz w:val="21"/>
        </w:rPr>
        <w:t>事</w:t>
      </w:r>
      <w:r>
        <w:rPr>
          <w:spacing w:val="-3"/>
          <w:sz w:val="21"/>
        </w:rPr>
        <w:t>件</w:t>
      </w:r>
      <w:r>
        <w:rPr>
          <w:sz w:val="21"/>
        </w:rPr>
        <w:t>。</w:t>
      </w:r>
    </w:p>
    <w:p>
      <w:pPr>
        <w:pStyle w:val="BodyText"/>
        <w:spacing w:before="13"/>
        <w:rPr>
          <w:sz w:val="14"/>
        </w:rPr>
      </w:pPr>
    </w:p>
    <w:p>
      <w:pPr>
        <w:spacing w:after="0"/>
        <w:rPr>
          <w:sz w:val="14"/>
        </w:rPr>
        <w:sectPr>
          <w:pgSz w:w="11900" w:h="16840"/>
          <w:pgMar w:top="1100" w:bottom="280" w:left="800" w:right="780"/>
        </w:sectPr>
      </w:pPr>
    </w:p>
    <w:p>
      <w:pPr>
        <w:pStyle w:val="Heading3"/>
        <w:numPr>
          <w:ilvl w:val="1"/>
          <w:numId w:val="13"/>
        </w:numPr>
        <w:tabs>
          <w:tab w:pos="1071" w:val="left" w:leader="none"/>
          <w:tab w:pos="1072" w:val="left" w:leader="none"/>
        </w:tabs>
        <w:spacing w:line="206" w:lineRule="auto" w:before="31" w:after="0"/>
        <w:ind w:left="1072" w:right="0" w:hanging="852"/>
        <w:jc w:val="left"/>
      </w:pPr>
      <w:r>
        <w:rPr/>
        <w:t>感染艾滋病病毒或患艾滋病</w:t>
      </w:r>
    </w:p>
    <w:p>
      <w:pPr>
        <w:pStyle w:val="BodyText"/>
        <w:spacing w:line="256" w:lineRule="auto" w:before="43"/>
        <w:ind w:left="202" w:right="222" w:hanging="1"/>
        <w:jc w:val="both"/>
      </w:pPr>
      <w:r>
        <w:rPr/>
        <w:br w:type="column"/>
      </w:r>
      <w:r>
        <w:rPr>
          <w:spacing w:val="-7"/>
        </w:rPr>
        <w:t>艾滋病病毒指人类免疫缺陷病毒，英文缩写为 </w:t>
      </w:r>
      <w:r>
        <w:rPr>
          <w:rFonts w:ascii="Times New Roman" w:eastAsia="Times New Roman"/>
          <w:spacing w:val="-2"/>
        </w:rPr>
        <w:t>HIV</w:t>
      </w:r>
      <w:r>
        <w:rPr>
          <w:spacing w:val="-7"/>
        </w:rPr>
        <w:t>。艾滋病指人类免疫缺陷病毒引起的获得性免疫缺陷综合征，英文缩写为 </w:t>
      </w:r>
      <w:r>
        <w:rPr>
          <w:rFonts w:ascii="Times New Roman" w:eastAsia="Times New Roman"/>
        </w:rPr>
        <w:t>AIDS</w:t>
      </w:r>
      <w:r>
        <w:rPr/>
        <w:t>。</w:t>
      </w:r>
    </w:p>
    <w:p>
      <w:pPr>
        <w:pStyle w:val="BodyText"/>
        <w:spacing w:line="273" w:lineRule="auto" w:before="5"/>
        <w:ind w:left="202" w:right="222"/>
        <w:jc w:val="both"/>
      </w:pPr>
      <w:r>
        <w:rPr>
          <w:spacing w:val="-5"/>
        </w:rPr>
        <w:t>在人体血液或其他样本中检测到艾滋病病毒或其抗体呈阳性，没有出现临床症</w:t>
      </w:r>
      <w:r>
        <w:rPr>
          <w:spacing w:val="-9"/>
        </w:rPr>
        <w:t>状或体征的，为感染艾滋病病毒；如果同时出现了明显临床症状或体征的，为</w:t>
      </w:r>
      <w:r>
        <w:rPr>
          <w:spacing w:val="-5"/>
        </w:rPr>
        <w:t>患艾滋病。</w:t>
      </w:r>
    </w:p>
    <w:p>
      <w:pPr>
        <w:spacing w:after="0" w:line="273" w:lineRule="auto"/>
        <w:jc w:val="both"/>
        <w:sectPr>
          <w:type w:val="continuous"/>
          <w:pgSz w:w="11900" w:h="16840"/>
          <w:pgMar w:top="520" w:bottom="280" w:left="800" w:right="780"/>
          <w:cols w:num="2" w:equalWidth="0">
            <w:col w:w="2762" w:space="40"/>
            <w:col w:w="7518"/>
          </w:cols>
        </w:sectPr>
      </w:pPr>
    </w:p>
    <w:p>
      <w:pPr>
        <w:pStyle w:val="BodyText"/>
        <w:rPr>
          <w:sz w:val="15"/>
        </w:rPr>
      </w:pPr>
    </w:p>
    <w:p>
      <w:pPr>
        <w:pStyle w:val="ListParagraph"/>
        <w:numPr>
          <w:ilvl w:val="1"/>
          <w:numId w:val="13"/>
        </w:numPr>
        <w:tabs>
          <w:tab w:pos="1071" w:val="left" w:leader="none"/>
          <w:tab w:pos="1072" w:val="left" w:leader="none"/>
          <w:tab w:pos="3003" w:val="left" w:leader="none"/>
        </w:tabs>
        <w:spacing w:line="312" w:lineRule="exact" w:before="32" w:after="0"/>
        <w:ind w:left="3003" w:right="222" w:hanging="2783"/>
        <w:jc w:val="left"/>
        <w:rPr>
          <w:sz w:val="21"/>
        </w:rPr>
      </w:pPr>
      <w:r>
        <w:rPr>
          <w:rFonts w:ascii="微软雅黑" w:eastAsia="微软雅黑" w:hint="eastAsia"/>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27"/>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27"/>
          <w:sz w:val="21"/>
        </w:rPr>
        <w:t>）</w:t>
      </w:r>
      <w:r>
        <w:rPr>
          <w:sz w:val="21"/>
        </w:rPr>
        <w:t>发生</w:t>
      </w:r>
      <w:r>
        <w:rPr>
          <w:spacing w:val="-3"/>
          <w:sz w:val="21"/>
        </w:rPr>
        <w:t>突</w:t>
      </w:r>
      <w:r>
        <w:rPr>
          <w:sz w:val="21"/>
        </w:rPr>
        <w:t>变</w:t>
      </w:r>
      <w:r>
        <w:rPr>
          <w:spacing w:val="-3"/>
          <w:sz w:val="21"/>
        </w:rPr>
        <w:t>或</w:t>
      </w:r>
      <w:r>
        <w:rPr>
          <w:sz w:val="21"/>
        </w:rPr>
        <w:t>畸</w:t>
      </w:r>
      <w:r>
        <w:rPr>
          <w:spacing w:val="-3"/>
          <w:sz w:val="21"/>
        </w:rPr>
        <w:t>变</w:t>
      </w:r>
      <w:r>
        <w:rPr>
          <w:sz w:val="21"/>
        </w:rPr>
        <w:t>所</w:t>
      </w:r>
      <w:r>
        <w:rPr>
          <w:spacing w:val="-3"/>
          <w:sz w:val="21"/>
        </w:rPr>
        <w:t>引起的</w:t>
      </w:r>
      <w:r>
        <w:rPr>
          <w:sz w:val="21"/>
        </w:rPr>
        <w:t>疾 病，</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12"/>
        <w:rPr>
          <w:sz w:val="14"/>
        </w:rPr>
      </w:pPr>
    </w:p>
    <w:p>
      <w:pPr>
        <w:spacing w:after="0"/>
        <w:rPr>
          <w:sz w:val="14"/>
        </w:rPr>
        <w:sectPr>
          <w:type w:val="continuous"/>
          <w:pgSz w:w="11900" w:h="16840"/>
          <w:pgMar w:top="520" w:bottom="280" w:left="800" w:right="780"/>
        </w:sectPr>
      </w:pPr>
    </w:p>
    <w:p>
      <w:pPr>
        <w:pStyle w:val="Heading3"/>
        <w:numPr>
          <w:ilvl w:val="1"/>
          <w:numId w:val="13"/>
        </w:numPr>
        <w:tabs>
          <w:tab w:pos="1071" w:val="left" w:leader="none"/>
          <w:tab w:pos="1072" w:val="left" w:leader="none"/>
        </w:tabs>
        <w:spacing w:line="206" w:lineRule="auto" w:before="24" w:after="0"/>
        <w:ind w:left="1072" w:right="0" w:hanging="852"/>
        <w:jc w:val="left"/>
      </w:pPr>
      <w:r>
        <w:rPr/>
        <w:t>先天性畸形、变形或染色体异常</w:t>
      </w:r>
    </w:p>
    <w:p>
      <w:pPr>
        <w:pStyle w:val="BodyText"/>
        <w:spacing w:line="273" w:lineRule="auto" w:before="36"/>
        <w:ind w:left="202" w:right="116"/>
      </w:pPr>
      <w:r>
        <w:rPr/>
        <w:br w:type="column"/>
      </w:r>
      <w:r>
        <w:rPr>
          <w:spacing w:val="-6"/>
        </w:rPr>
        <w:t>指被保险人出生时就具有的畸形、变形或染色体异常。先天性畸形、变形和染色体异常依照世界卫生组织《疾病和有关健康问题的国际统计分类</w:t>
      </w:r>
      <w:r>
        <w:rPr>
          <w:spacing w:val="-132"/>
        </w:rPr>
        <w:t>》</w:t>
      </w:r>
      <w:r>
        <w:rPr/>
        <w:t>（ICD-10） 确定。</w:t>
      </w:r>
    </w:p>
    <w:p>
      <w:pPr>
        <w:spacing w:after="0" w:line="273" w:lineRule="auto"/>
        <w:sectPr>
          <w:type w:val="continuous"/>
          <w:pgSz w:w="11900" w:h="16840"/>
          <w:pgMar w:top="520" w:bottom="280" w:left="800" w:right="780"/>
          <w:cols w:num="2" w:equalWidth="0">
            <w:col w:w="2762" w:space="40"/>
            <w:col w:w="7518"/>
          </w:cols>
        </w:sectPr>
      </w:pPr>
    </w:p>
    <w:p>
      <w:pPr>
        <w:pStyle w:val="BodyText"/>
        <w:rPr>
          <w:sz w:val="15"/>
        </w:rPr>
      </w:pPr>
    </w:p>
    <w:p>
      <w:pPr>
        <w:pStyle w:val="ListParagraph"/>
        <w:numPr>
          <w:ilvl w:val="1"/>
          <w:numId w:val="13"/>
        </w:numPr>
        <w:tabs>
          <w:tab w:pos="1071" w:val="left" w:leader="none"/>
          <w:tab w:pos="1072" w:val="left" w:leader="none"/>
          <w:tab w:pos="3003" w:val="left" w:leader="none"/>
        </w:tabs>
        <w:spacing w:line="337" w:lineRule="exact" w:before="0" w:after="0"/>
        <w:ind w:left="3003" w:right="0" w:hanging="2783"/>
        <w:jc w:val="left"/>
        <w:rPr>
          <w:sz w:val="21"/>
        </w:rPr>
      </w:pPr>
      <w:r>
        <w:rPr>
          <w:rFonts w:ascii="微软雅黑" w:eastAsia="微软雅黑" w:hint="eastAsia"/>
          <w:b/>
          <w:sz w:val="21"/>
        </w:rPr>
        <w:t>适用主合同释义</w:t>
        <w:tab/>
      </w:r>
      <w:r>
        <w:rPr>
          <w:sz w:val="21"/>
        </w:rPr>
        <w:t>本附</w:t>
      </w:r>
      <w:r>
        <w:rPr>
          <w:spacing w:val="-3"/>
          <w:sz w:val="21"/>
        </w:rPr>
        <w:t>加</w:t>
      </w:r>
      <w:r>
        <w:rPr>
          <w:sz w:val="21"/>
        </w:rPr>
        <w:t>合</w:t>
      </w:r>
      <w:r>
        <w:rPr>
          <w:spacing w:val="-3"/>
          <w:sz w:val="21"/>
        </w:rPr>
        <w:t>同</w:t>
      </w:r>
      <w:r>
        <w:rPr>
          <w:sz w:val="21"/>
        </w:rPr>
        <w:t>中</w:t>
      </w:r>
      <w:r>
        <w:rPr>
          <w:spacing w:val="-3"/>
          <w:sz w:val="21"/>
        </w:rPr>
        <w:t>其</w:t>
      </w:r>
      <w:r>
        <w:rPr>
          <w:sz w:val="21"/>
        </w:rPr>
        <w:t>他</w:t>
      </w:r>
      <w:r>
        <w:rPr>
          <w:spacing w:val="-3"/>
          <w:sz w:val="21"/>
        </w:rPr>
        <w:t>重</w:t>
      </w:r>
      <w:r>
        <w:rPr>
          <w:sz w:val="21"/>
        </w:rPr>
        <w:t>要</w:t>
      </w:r>
      <w:r>
        <w:rPr>
          <w:spacing w:val="-3"/>
          <w:sz w:val="21"/>
        </w:rPr>
        <w:t>术</w:t>
      </w:r>
      <w:r>
        <w:rPr>
          <w:sz w:val="21"/>
        </w:rPr>
        <w:t>语的</w:t>
      </w:r>
      <w:r>
        <w:rPr>
          <w:spacing w:val="-3"/>
          <w:sz w:val="21"/>
        </w:rPr>
        <w:t>释</w:t>
      </w:r>
      <w:r>
        <w:rPr>
          <w:sz w:val="21"/>
        </w:rPr>
        <w:t>义</w:t>
      </w:r>
      <w:r>
        <w:rPr>
          <w:spacing w:val="-3"/>
          <w:sz w:val="21"/>
        </w:rPr>
        <w:t>请</w:t>
      </w:r>
      <w:r>
        <w:rPr>
          <w:sz w:val="21"/>
        </w:rPr>
        <w:t>参</w:t>
      </w:r>
      <w:r>
        <w:rPr>
          <w:spacing w:val="-3"/>
          <w:sz w:val="21"/>
        </w:rPr>
        <w:t>看</w:t>
      </w:r>
      <w:r>
        <w:rPr>
          <w:sz w:val="21"/>
        </w:rPr>
        <w:t>主</w:t>
      </w:r>
      <w:r>
        <w:rPr>
          <w:spacing w:val="-3"/>
          <w:sz w:val="21"/>
        </w:rPr>
        <w:t>合</w:t>
      </w:r>
      <w:r>
        <w:rPr>
          <w:sz w:val="21"/>
        </w:rPr>
        <w:t>同</w:t>
      </w:r>
      <w:r>
        <w:rPr>
          <w:spacing w:val="-3"/>
          <w:sz w:val="21"/>
        </w:rPr>
        <w:t>释</w:t>
      </w:r>
      <w:r>
        <w:rPr>
          <w:sz w:val="21"/>
        </w:rPr>
        <w:t>义条</w:t>
      </w:r>
      <w:r>
        <w:rPr>
          <w:spacing w:val="-3"/>
          <w:sz w:val="21"/>
        </w:rPr>
        <w:t>款</w:t>
      </w:r>
      <w:r>
        <w:rPr>
          <w:sz w:val="21"/>
        </w:rPr>
        <w:t>。</w:t>
      </w:r>
    </w:p>
    <w:p>
      <w:pPr>
        <w:pStyle w:val="BodyText"/>
        <w:spacing w:before="2"/>
        <w:rPr>
          <w:sz w:val="17"/>
        </w:rPr>
      </w:pPr>
    </w:p>
    <w:p>
      <w:pPr>
        <w:pStyle w:val="Heading2"/>
        <w:spacing w:after="9"/>
      </w:pPr>
      <w:r>
        <w:rPr/>
        <w:t>附录一重大疾病列表</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3433" w:hRule="atLeast"/>
        </w:trPr>
        <w:tc>
          <w:tcPr>
            <w:tcW w:w="852" w:type="dxa"/>
          </w:tcPr>
          <w:p>
            <w:pPr>
              <w:pStyle w:val="TableParagraph"/>
              <w:spacing w:line="290" w:lineRule="exact"/>
              <w:rPr>
                <w:rFonts w:ascii="微软雅黑" w:eastAsia="微软雅黑" w:hint="eastAsia"/>
                <w:b/>
                <w:sz w:val="21"/>
              </w:rPr>
            </w:pPr>
            <w:r>
              <w:rPr>
                <w:rFonts w:ascii="微软雅黑" w:eastAsia="微软雅黑" w:hint="eastAsia"/>
                <w:b/>
                <w:w w:val="100"/>
                <w:sz w:val="21"/>
              </w:rPr>
              <w:t>一</w:t>
            </w:r>
          </w:p>
        </w:tc>
        <w:tc>
          <w:tcPr>
            <w:tcW w:w="1932" w:type="dxa"/>
          </w:tcPr>
          <w:p>
            <w:pPr>
              <w:pStyle w:val="TableParagraph"/>
              <w:spacing w:line="290" w:lineRule="exact"/>
              <w:rPr>
                <w:rFonts w:ascii="微软雅黑" w:eastAsia="微软雅黑" w:hint="eastAsia"/>
                <w:b/>
                <w:sz w:val="21"/>
              </w:rPr>
            </w:pPr>
            <w:r>
              <w:rPr>
                <w:rFonts w:ascii="微软雅黑" w:eastAsia="微软雅黑" w:hint="eastAsia"/>
                <w:b/>
                <w:sz w:val="21"/>
              </w:rPr>
              <w:t>恶性肿瘤</w:t>
            </w:r>
          </w:p>
        </w:tc>
        <w:tc>
          <w:tcPr>
            <w:tcW w:w="7306" w:type="dxa"/>
          </w:tcPr>
          <w:p>
            <w:pPr>
              <w:pStyle w:val="TableParagraph"/>
              <w:spacing w:line="273" w:lineRule="auto"/>
              <w:ind w:right="94"/>
              <w:jc w:val="both"/>
              <w:rPr>
                <w:sz w:val="21"/>
              </w:rPr>
            </w:pPr>
            <w:r>
              <w:rPr>
                <w:spacing w:val="-6"/>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5"/>
                <w:sz w:val="21"/>
              </w:rPr>
              <w:t>诊断，临床诊断属于世界卫生组织《疾病和有关健康问题的国际统计分类》</w:t>
            </w:r>
          </w:p>
          <w:p>
            <w:pPr>
              <w:pStyle w:val="TableParagraph"/>
              <w:spacing w:line="273" w:lineRule="auto" w:before="18"/>
              <w:ind w:right="4452"/>
              <w:rPr>
                <w:sz w:val="21"/>
              </w:rPr>
            </w:pPr>
            <w:r>
              <w:rPr>
                <w:sz w:val="21"/>
              </w:rPr>
              <w:t>（ICD-10）的恶性肿瘤范畴。下列疾病不在保障范围内：</w:t>
            </w:r>
          </w:p>
          <w:p>
            <w:pPr>
              <w:pStyle w:val="TableParagraph"/>
              <w:spacing w:before="7"/>
              <w:jc w:val="both"/>
              <w:rPr>
                <w:sz w:val="21"/>
              </w:rPr>
            </w:pPr>
            <w:r>
              <w:rPr>
                <w:sz w:val="21"/>
              </w:rPr>
              <w:t>（1）原位癌；</w:t>
            </w:r>
          </w:p>
          <w:p>
            <w:pPr>
              <w:pStyle w:val="TableParagraph"/>
              <w:spacing w:before="36"/>
              <w:jc w:val="both"/>
              <w:rPr>
                <w:sz w:val="21"/>
              </w:rPr>
            </w:pPr>
            <w:r>
              <w:rPr>
                <w:sz w:val="21"/>
              </w:rPr>
              <w:t>（2）相当于 Binet 分期方案 A 期程度的慢性淋巴细胞白血病；</w:t>
            </w:r>
          </w:p>
          <w:p>
            <w:pPr>
              <w:pStyle w:val="TableParagraph"/>
              <w:spacing w:before="36"/>
              <w:jc w:val="both"/>
              <w:rPr>
                <w:sz w:val="21"/>
              </w:rPr>
            </w:pPr>
            <w:r>
              <w:rPr>
                <w:sz w:val="21"/>
              </w:rPr>
              <w:t>（3）相当于 Ann Arbor 分期方案 I 期程度的何杰金氏病；</w:t>
            </w:r>
          </w:p>
          <w:p>
            <w:pPr>
              <w:pStyle w:val="TableParagraph"/>
              <w:spacing w:before="3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62" w:lineRule="exact" w:before="3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350" w:lineRule="exact"/>
              <w:jc w:val="both"/>
              <w:rPr>
                <w:sz w:val="21"/>
              </w:rPr>
            </w:pPr>
            <w:r>
              <w:rPr>
                <w:sz w:val="21"/>
              </w:rPr>
              <w:t>（6）</w:t>
            </w:r>
            <w:r>
              <w:rPr>
                <w:rFonts w:ascii="微软雅黑" w:eastAsia="微软雅黑" w:hint="eastAsia"/>
                <w:b/>
                <w:sz w:val="21"/>
              </w:rPr>
              <w:t>感染艾滋病病毒或患艾滋病</w:t>
            </w:r>
            <w:r>
              <w:rPr>
                <w:sz w:val="21"/>
              </w:rPr>
              <w:t>期间所患恶性肿瘤。</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2183" w:hRule="atLeast"/>
        </w:trPr>
        <w:tc>
          <w:tcPr>
            <w:tcW w:w="852" w:type="dxa"/>
          </w:tcPr>
          <w:p>
            <w:pPr>
              <w:pStyle w:val="TableParagraph"/>
              <w:spacing w:line="288" w:lineRule="exact"/>
              <w:rPr>
                <w:rFonts w:ascii="微软雅黑" w:eastAsia="微软雅黑" w:hint="eastAsia"/>
                <w:b/>
                <w:sz w:val="21"/>
              </w:rPr>
            </w:pPr>
            <w:r>
              <w:rPr>
                <w:rFonts w:ascii="微软雅黑" w:eastAsia="微软雅黑" w:hint="eastAsia"/>
                <w:b/>
                <w:w w:val="100"/>
                <w:sz w:val="21"/>
              </w:rPr>
              <w:t>二</w:t>
            </w:r>
          </w:p>
        </w:tc>
        <w:tc>
          <w:tcPr>
            <w:tcW w:w="1932" w:type="dxa"/>
          </w:tcPr>
          <w:p>
            <w:pPr>
              <w:pStyle w:val="TableParagraph"/>
              <w:spacing w:line="288" w:lineRule="exact"/>
              <w:rPr>
                <w:rFonts w:ascii="微软雅黑" w:eastAsia="微软雅黑" w:hint="eastAsia"/>
                <w:b/>
                <w:sz w:val="21"/>
              </w:rPr>
            </w:pPr>
            <w:r>
              <w:rPr>
                <w:rFonts w:ascii="微软雅黑" w:eastAsia="微软雅黑" w:hint="eastAsia"/>
                <w:b/>
                <w:sz w:val="21"/>
              </w:rPr>
              <w:t>急性心肌梗塞</w:t>
            </w:r>
          </w:p>
        </w:tc>
        <w:tc>
          <w:tcPr>
            <w:tcW w:w="7306" w:type="dxa"/>
          </w:tcPr>
          <w:p>
            <w:pPr>
              <w:pStyle w:val="TableParagraph"/>
              <w:spacing w:line="273" w:lineRule="auto"/>
              <w:ind w:right="31"/>
              <w:rPr>
                <w:sz w:val="21"/>
              </w:rPr>
            </w:pPr>
            <w:r>
              <w:rPr>
                <w:sz w:val="21"/>
              </w:rPr>
              <w:t>指因冠状动脉阻塞导致的相应区域供血不足造成部分心肌坏死。须满足下列至少三项条件：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33" w:right="147" w:hanging="526"/>
              <w:rPr>
                <w:sz w:val="21"/>
              </w:rPr>
            </w:pPr>
            <w:r>
              <w:rPr>
                <w:sz w:val="21"/>
              </w:rPr>
              <w:t>（3）心肌酶或肌钙蛋白有诊断意义的升高，或呈符合急性心肌梗塞的动态性变化；</w:t>
            </w:r>
          </w:p>
          <w:p>
            <w:pPr>
              <w:pStyle w:val="TableParagraph"/>
              <w:spacing w:before="7"/>
              <w:ind w:right="-15"/>
              <w:rPr>
                <w:sz w:val="21"/>
              </w:rPr>
            </w:pPr>
            <w:r>
              <w:rPr>
                <w:spacing w:val="-12"/>
                <w:sz w:val="21"/>
              </w:rPr>
              <w:t>（4）</w:t>
            </w:r>
            <w:r>
              <w:rPr>
                <w:spacing w:val="-16"/>
                <w:sz w:val="21"/>
              </w:rPr>
              <w:t>发病 </w:t>
            </w:r>
            <w:r>
              <w:rPr>
                <w:sz w:val="21"/>
              </w:rPr>
              <w:t>90</w:t>
            </w:r>
            <w:r>
              <w:rPr>
                <w:spacing w:val="-15"/>
                <w:sz w:val="21"/>
              </w:rPr>
              <w:t> 天后，经检查证实左心室功能降低，如左心室射血分数低于 </w:t>
            </w:r>
            <w:r>
              <w:rPr>
                <w:sz w:val="21"/>
              </w:rPr>
              <w:t>50%。</w:t>
            </w:r>
          </w:p>
        </w:tc>
      </w:tr>
      <w:tr>
        <w:trPr>
          <w:trHeight w:val="218"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935" w:hRule="atLeast"/>
        </w:trPr>
        <w:tc>
          <w:tcPr>
            <w:tcW w:w="852" w:type="dxa"/>
          </w:tcPr>
          <w:p>
            <w:pPr>
              <w:pStyle w:val="TableParagraph"/>
              <w:spacing w:line="288" w:lineRule="exact"/>
              <w:rPr>
                <w:rFonts w:ascii="微软雅黑" w:eastAsia="微软雅黑" w:hint="eastAsia"/>
                <w:b/>
                <w:sz w:val="21"/>
              </w:rPr>
            </w:pPr>
            <w:r>
              <w:rPr>
                <w:rFonts w:ascii="微软雅黑" w:eastAsia="微软雅黑" w:hint="eastAsia"/>
                <w:b/>
                <w:w w:val="100"/>
                <w:sz w:val="21"/>
              </w:rPr>
              <w:t>三</w:t>
            </w:r>
          </w:p>
        </w:tc>
        <w:tc>
          <w:tcPr>
            <w:tcW w:w="1932" w:type="dxa"/>
          </w:tcPr>
          <w:p>
            <w:pPr>
              <w:pStyle w:val="TableParagraph"/>
              <w:spacing w:line="288" w:lineRule="exact"/>
              <w:rPr>
                <w:rFonts w:ascii="微软雅黑" w:eastAsia="微软雅黑" w:hint="eastAsia"/>
                <w:b/>
                <w:sz w:val="21"/>
              </w:rPr>
            </w:pPr>
            <w:r>
              <w:rPr>
                <w:rFonts w:ascii="微软雅黑" w:eastAsia="微软雅黑" w:hint="eastAsia"/>
                <w:b/>
                <w:sz w:val="21"/>
              </w:rPr>
              <w:t>脑中风后遗症</w:t>
            </w:r>
          </w:p>
        </w:tc>
        <w:tc>
          <w:tcPr>
            <w:tcW w:w="7306" w:type="dxa"/>
          </w:tcPr>
          <w:p>
            <w:pPr>
              <w:pStyle w:val="TableParagraph"/>
              <w:spacing w:line="273" w:lineRule="auto"/>
              <w:ind w:right="94"/>
              <w:jc w:val="both"/>
              <w:rPr>
                <w:sz w:val="21"/>
              </w:rPr>
            </w:pPr>
            <w:r>
              <w:rPr>
                <w:spacing w:val="-6"/>
                <w:sz w:val="21"/>
              </w:rPr>
              <w:t>指因脑血管的突发病变引起脑血管出血、栓塞或梗塞，并导致神经系统永久性</w:t>
            </w:r>
            <w:r>
              <w:rPr>
                <w:spacing w:val="-10"/>
                <w:sz w:val="21"/>
              </w:rPr>
              <w:t>的功能障碍。神经系统永久性的功能障碍，指疾病确诊 </w:t>
            </w:r>
            <w:r>
              <w:rPr>
                <w:sz w:val="21"/>
              </w:rPr>
              <w:t>180</w:t>
            </w:r>
            <w:r>
              <w:rPr>
                <w:spacing w:val="-9"/>
                <w:sz w:val="21"/>
              </w:rPr>
              <w:t> 天后，仍遗留下列</w:t>
            </w:r>
            <w:r>
              <w:rPr>
                <w:spacing w:val="-5"/>
                <w:sz w:val="21"/>
              </w:rPr>
              <w:t>一种或一种以上障碍：</w:t>
            </w:r>
          </w:p>
        </w:tc>
      </w:tr>
    </w:tbl>
    <w:p>
      <w:pPr>
        <w:spacing w:after="0" w:line="273" w:lineRule="auto"/>
        <w:jc w:val="both"/>
        <w:rPr>
          <w:sz w:val="21"/>
        </w:rPr>
        <w:sectPr>
          <w:type w:val="continuous"/>
          <w:pgSz w:w="11900" w:h="16840"/>
          <w:pgMar w:top="5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1249"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spacing w:line="257" w:lineRule="exact"/>
              <w:rPr>
                <w:sz w:val="21"/>
              </w:rPr>
            </w:pPr>
            <w:r>
              <w:rPr>
                <w:w w:val="100"/>
                <w:sz w:val="21"/>
              </w:rPr>
              <w:t>（1</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spacing w:val="-2"/>
                <w:w w:val="100"/>
                <w:sz w:val="21"/>
              </w:rPr>
              <w:t>见注</w:t>
            </w:r>
            <w:r>
              <w:rPr>
                <w:spacing w:val="-53"/>
                <w:sz w:val="21"/>
              </w:rPr>
              <w:t> </w:t>
            </w:r>
            <w:r>
              <w:rPr>
                <w:w w:val="100"/>
                <w:sz w:val="21"/>
              </w:rPr>
              <w:t>2</w:t>
            </w:r>
            <w:r>
              <w:rPr>
                <w:spacing w:val="-106"/>
                <w:w w:val="100"/>
                <w:sz w:val="21"/>
              </w:rPr>
              <w:t>）</w:t>
            </w:r>
            <w:r>
              <w:rPr>
                <w:w w:val="100"/>
                <w:sz w:val="21"/>
              </w:rPr>
              <w:t>；</w:t>
            </w:r>
          </w:p>
          <w:p>
            <w:pPr>
              <w:pStyle w:val="TableParagraph"/>
              <w:spacing w:line="312" w:lineRule="exact"/>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spacing w:val="-2"/>
                <w:w w:val="100"/>
                <w:sz w:val="21"/>
              </w:rPr>
              <w:t>见注</w:t>
            </w:r>
            <w:r>
              <w:rPr>
                <w:spacing w:val="-53"/>
                <w:sz w:val="21"/>
              </w:rPr>
              <w:t> </w:t>
            </w:r>
            <w:r>
              <w:rPr>
                <w:w w:val="100"/>
                <w:sz w:val="21"/>
              </w:rPr>
              <w:t>3</w:t>
            </w:r>
            <w:r>
              <w:rPr>
                <w:spacing w:val="-106"/>
                <w:w w:val="100"/>
                <w:sz w:val="21"/>
              </w:rPr>
              <w:t>）</w:t>
            </w:r>
            <w:r>
              <w:rPr>
                <w:w w:val="100"/>
                <w:sz w:val="21"/>
              </w:rPr>
              <w:t>；</w:t>
            </w:r>
          </w:p>
          <w:p>
            <w:pPr>
              <w:pStyle w:val="TableParagraph"/>
              <w:spacing w:line="312" w:lineRule="exact" w:before="32"/>
              <w:ind w:left="611" w:right="-15" w:hanging="505"/>
              <w:rPr>
                <w:sz w:val="21"/>
              </w:rPr>
            </w:pPr>
            <w:r>
              <w:rPr>
                <w:sz w:val="21"/>
              </w:rPr>
              <w:t>（3）</w:t>
            </w:r>
            <w:r>
              <w:rPr>
                <w:spacing w:val="-3"/>
                <w:sz w:val="21"/>
              </w:rPr>
              <w:t>自主生活能力完全丧失，无法独立完成</w:t>
            </w:r>
            <w:r>
              <w:rPr>
                <w:rFonts w:ascii="微软雅黑" w:eastAsia="微软雅黑" w:hint="eastAsia"/>
                <w:b/>
                <w:spacing w:val="-1"/>
                <w:sz w:val="21"/>
              </w:rPr>
              <w:t>六项基本日常生活活动</w:t>
            </w:r>
            <w:r>
              <w:rPr>
                <w:spacing w:val="-3"/>
                <w:sz w:val="21"/>
              </w:rPr>
              <w:t>（</w:t>
            </w:r>
            <w:r>
              <w:rPr>
                <w:spacing w:val="-11"/>
                <w:sz w:val="21"/>
              </w:rPr>
              <w:t>见注 </w:t>
            </w:r>
            <w:r>
              <w:rPr>
                <w:sz w:val="21"/>
              </w:rPr>
              <w:t>1） </w:t>
            </w:r>
            <w:r>
              <w:rPr>
                <w:spacing w:val="-3"/>
                <w:sz w:val="21"/>
              </w:rPr>
              <w:t>中的三项或三项以上。</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559"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w w:val="100"/>
                <w:sz w:val="21"/>
              </w:rPr>
              <w:t>四</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重大器官移植术或</w:t>
            </w:r>
          </w:p>
          <w:p>
            <w:pPr>
              <w:pStyle w:val="TableParagraph"/>
              <w:spacing w:line="337" w:lineRule="exact"/>
              <w:rPr>
                <w:rFonts w:ascii="微软雅黑" w:eastAsia="微软雅黑" w:hint="eastAsia"/>
                <w:b/>
                <w:sz w:val="21"/>
              </w:rPr>
            </w:pPr>
            <w:r>
              <w:rPr>
                <w:rFonts w:ascii="微软雅黑" w:eastAsia="微软雅黑" w:hint="eastAsia"/>
                <w:b/>
                <w:sz w:val="21"/>
              </w:rPr>
              <w:t>造血干细胞移植术</w:t>
            </w:r>
          </w:p>
        </w:tc>
        <w:tc>
          <w:tcPr>
            <w:tcW w:w="7306" w:type="dxa"/>
          </w:tcPr>
          <w:p>
            <w:pPr>
              <w:pStyle w:val="TableParagraph"/>
              <w:spacing w:line="255" w:lineRule="exact"/>
              <w:rPr>
                <w:sz w:val="21"/>
              </w:rPr>
            </w:pPr>
            <w:r>
              <w:rPr>
                <w:sz w:val="21"/>
              </w:rPr>
              <w:t>重大器官移植术，指因相应器官功能衰竭，已经实施了肾脏、肝脏、心脏或肺</w:t>
            </w:r>
          </w:p>
          <w:p>
            <w:pPr>
              <w:pStyle w:val="TableParagraph"/>
              <w:spacing w:before="37"/>
              <w:rPr>
                <w:sz w:val="21"/>
              </w:rPr>
            </w:pPr>
            <w:r>
              <w:rPr>
                <w:sz w:val="21"/>
              </w:rPr>
              <w:t>脏的异体移植手术。</w:t>
            </w:r>
          </w:p>
          <w:p>
            <w:pPr>
              <w:pStyle w:val="TableParagraph"/>
              <w:spacing w:line="273" w:lineRule="auto" w:before="37"/>
              <w:ind w:right="94"/>
              <w:jc w:val="both"/>
              <w:rPr>
                <w:sz w:val="21"/>
              </w:rPr>
            </w:pPr>
            <w:r>
              <w:rPr>
                <w:spacing w:val="-7"/>
                <w:sz w:val="21"/>
              </w:rPr>
              <w:t>造血干细胞移植术，指因造血功能损害或造血系统恶性肿瘤，已经实施了造血</w:t>
            </w:r>
            <w:r>
              <w:rPr>
                <w:spacing w:val="-12"/>
                <w:sz w:val="21"/>
              </w:rPr>
              <w:t>干细胞</w:t>
            </w:r>
            <w:r>
              <w:rPr>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247"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w w:val="100"/>
                <w:sz w:val="21"/>
              </w:rPr>
              <w:t>五</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冠状动脉搭桥术</w:t>
            </w:r>
          </w:p>
          <w:p>
            <w:pPr>
              <w:pStyle w:val="TableParagraph"/>
              <w:spacing w:line="206" w:lineRule="auto" w:before="25"/>
              <w:ind w:right="122"/>
              <w:rPr>
                <w:rFonts w:ascii="微软雅黑" w:eastAsia="微软雅黑" w:hint="eastAsia"/>
                <w:b/>
                <w:sz w:val="21"/>
              </w:rPr>
            </w:pPr>
            <w:r>
              <w:rPr>
                <w:rFonts w:ascii="微软雅黑" w:eastAsia="微软雅黑" w:hint="eastAsia"/>
                <w:b/>
                <w:sz w:val="21"/>
              </w:rPr>
              <w:t>（或称冠状动脉旁路移植术）</w:t>
            </w:r>
          </w:p>
        </w:tc>
        <w:tc>
          <w:tcPr>
            <w:tcW w:w="7306" w:type="dxa"/>
          </w:tcPr>
          <w:p>
            <w:pPr>
              <w:pStyle w:val="TableParagraph"/>
              <w:spacing w:line="255" w:lineRule="exact"/>
              <w:rPr>
                <w:sz w:val="21"/>
              </w:rPr>
            </w:pPr>
            <w:r>
              <w:rPr>
                <w:sz w:val="21"/>
              </w:rPr>
              <w:t>指为治疗严重的冠心病，实际实施了开胸进行的冠状动脉血管旁路移植的手</w:t>
            </w:r>
          </w:p>
          <w:p>
            <w:pPr>
              <w:pStyle w:val="TableParagraph"/>
              <w:spacing w:before="37"/>
              <w:rPr>
                <w:sz w:val="21"/>
              </w:rPr>
            </w:pPr>
            <w:r>
              <w:rPr>
                <w:sz w:val="21"/>
              </w:rPr>
              <w:t>术。</w:t>
            </w:r>
          </w:p>
          <w:p>
            <w:pPr>
              <w:pStyle w:val="TableParagraph"/>
              <w:spacing w:line="273" w:lineRule="auto" w:before="37"/>
              <w:ind w:right="94"/>
              <w:rPr>
                <w:sz w:val="21"/>
              </w:rPr>
            </w:pPr>
            <w:r>
              <w:rPr>
                <w:spacing w:val="-8"/>
                <w:sz w:val="21"/>
              </w:rPr>
              <w:t>冠状动脉支架植入术、心导管球囊扩张术、激光射频技术及其它非开胸的介入</w:t>
            </w:r>
            <w:r>
              <w:rPr>
                <w:spacing w:val="-5"/>
                <w:sz w:val="21"/>
              </w:rPr>
              <w:t>手术、腔镜手术不在保障范围内。</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93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w w:val="100"/>
                <w:sz w:val="21"/>
              </w:rPr>
              <w:t>六</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终末期肾病（或称</w:t>
            </w:r>
          </w:p>
          <w:p>
            <w:pPr>
              <w:pStyle w:val="TableParagraph"/>
              <w:spacing w:line="206" w:lineRule="auto" w:before="25"/>
              <w:ind w:right="122"/>
              <w:rPr>
                <w:rFonts w:ascii="微软雅黑" w:eastAsia="微软雅黑" w:hint="eastAsia"/>
                <w:b/>
                <w:sz w:val="21"/>
              </w:rPr>
            </w:pPr>
            <w:r>
              <w:rPr>
                <w:rFonts w:ascii="微软雅黑" w:eastAsia="微软雅黑" w:hint="eastAsia"/>
                <w:b/>
                <w:sz w:val="21"/>
              </w:rPr>
              <w:t>慢性肾功能衰竭尿毒症期）</w:t>
            </w:r>
          </w:p>
        </w:tc>
        <w:tc>
          <w:tcPr>
            <w:tcW w:w="7306" w:type="dxa"/>
          </w:tcPr>
          <w:p>
            <w:pPr>
              <w:pStyle w:val="TableParagraph"/>
              <w:spacing w:line="255" w:lineRule="exact"/>
              <w:rPr>
                <w:sz w:val="21"/>
              </w:rPr>
            </w:pPr>
            <w:r>
              <w:rPr>
                <w:sz w:val="21"/>
              </w:rPr>
              <w:t>指双肾功能慢性不可逆性衰竭，达到尿毒症期，经诊断后已经进行了至少 90</w:t>
            </w:r>
          </w:p>
          <w:p>
            <w:pPr>
              <w:pStyle w:val="TableParagraph"/>
              <w:spacing w:before="37"/>
              <w:rPr>
                <w:sz w:val="21"/>
              </w:rPr>
            </w:pPr>
            <w:r>
              <w:rPr>
                <w:sz w:val="21"/>
              </w:rPr>
              <w:t>天的规律性透析治疗或实施了肾脏移植手术。</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625"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w w:val="100"/>
                <w:sz w:val="21"/>
              </w:rPr>
              <w:t>七</w:t>
            </w:r>
          </w:p>
        </w:tc>
        <w:tc>
          <w:tcPr>
            <w:tcW w:w="1932" w:type="dxa"/>
          </w:tcPr>
          <w:p>
            <w:pPr>
              <w:pStyle w:val="TableParagraph"/>
              <w:spacing w:line="283" w:lineRule="exact"/>
              <w:rPr>
                <w:rFonts w:ascii="微软雅黑" w:eastAsia="微软雅黑" w:hint="eastAsia"/>
                <w:b/>
                <w:sz w:val="21"/>
              </w:rPr>
            </w:pPr>
            <w:r>
              <w:rPr>
                <w:rFonts w:ascii="微软雅黑" w:eastAsia="微软雅黑" w:hint="eastAsia"/>
                <w:b/>
                <w:sz w:val="21"/>
              </w:rPr>
              <w:t>多个肢体缺失</w:t>
            </w:r>
          </w:p>
        </w:tc>
        <w:tc>
          <w:tcPr>
            <w:tcW w:w="7306" w:type="dxa"/>
          </w:tcPr>
          <w:p>
            <w:pPr>
              <w:pStyle w:val="TableParagraph"/>
              <w:spacing w:line="257" w:lineRule="exact"/>
              <w:rPr>
                <w:sz w:val="21"/>
              </w:rPr>
            </w:pPr>
            <w:r>
              <w:rPr>
                <w:sz w:val="21"/>
              </w:rPr>
              <w:t>指因疾病或意外伤害导致两个或两个以上肢体自腕关节或踝关节近端（靠近躯</w:t>
            </w:r>
          </w:p>
          <w:p>
            <w:pPr>
              <w:pStyle w:val="TableParagraph"/>
              <w:spacing w:before="37"/>
              <w:rPr>
                <w:sz w:val="21"/>
              </w:rPr>
            </w:pPr>
            <w:r>
              <w:rPr>
                <w:sz w:val="21"/>
              </w:rPr>
              <w:t>干端）以上完全性断离。</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871"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w w:val="100"/>
                <w:sz w:val="21"/>
              </w:rPr>
              <w:t>八</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急性或亚急性重症</w:t>
            </w:r>
          </w:p>
          <w:p>
            <w:pPr>
              <w:pStyle w:val="TableParagraph"/>
              <w:spacing w:line="337" w:lineRule="exact"/>
              <w:rPr>
                <w:rFonts w:ascii="微软雅黑" w:eastAsia="微软雅黑" w:hint="eastAsia"/>
                <w:b/>
                <w:sz w:val="21"/>
              </w:rPr>
            </w:pPr>
            <w:r>
              <w:rPr>
                <w:rFonts w:ascii="微软雅黑" w:eastAsia="微软雅黑" w:hint="eastAsia"/>
                <w:b/>
                <w:sz w:val="21"/>
              </w:rPr>
              <w:t>肝炎</w:t>
            </w:r>
          </w:p>
        </w:tc>
        <w:tc>
          <w:tcPr>
            <w:tcW w:w="7306" w:type="dxa"/>
          </w:tcPr>
          <w:p>
            <w:pPr>
              <w:pStyle w:val="TableParagraph"/>
              <w:spacing w:line="255" w:lineRule="exact"/>
              <w:rPr>
                <w:sz w:val="21"/>
              </w:rPr>
            </w:pPr>
            <w:r>
              <w:rPr>
                <w:sz w:val="21"/>
              </w:rPr>
              <w:t>指因肝炎病毒感染引起肝脏组织弥漫性坏死，导致急性肝功能衰竭，且经血清</w:t>
            </w:r>
          </w:p>
          <w:p>
            <w:pPr>
              <w:pStyle w:val="TableParagraph"/>
              <w:spacing w:before="37"/>
              <w:rPr>
                <w:sz w:val="21"/>
              </w:rPr>
            </w:pPr>
            <w:r>
              <w:rPr>
                <w:sz w:val="21"/>
              </w:rPr>
              <w:t>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218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w w:val="100"/>
                <w:sz w:val="21"/>
              </w:rPr>
              <w:t>九</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良性脑肿瘤</w:t>
            </w:r>
          </w:p>
        </w:tc>
        <w:tc>
          <w:tcPr>
            <w:tcW w:w="7306" w:type="dxa"/>
          </w:tcPr>
          <w:p>
            <w:pPr>
              <w:pStyle w:val="TableParagraph"/>
              <w:spacing w:line="255" w:lineRule="exact"/>
              <w:rPr>
                <w:sz w:val="21"/>
              </w:rPr>
            </w:pPr>
            <w:r>
              <w:rPr>
                <w:sz w:val="21"/>
              </w:rPr>
              <w:t>指脑的良性肿瘤，已经引起颅内压增高，临床表现为视神经乳头水肿、精神症</w:t>
            </w:r>
          </w:p>
          <w:p>
            <w:pPr>
              <w:pStyle w:val="TableParagraph"/>
              <w:spacing w:line="273" w:lineRule="auto" w:before="37"/>
              <w:ind w:right="94"/>
              <w:jc w:val="both"/>
              <w:rPr>
                <w:sz w:val="21"/>
              </w:rPr>
            </w:pPr>
            <w:r>
              <w:rPr>
                <w:spacing w:val="-3"/>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w:t>
            </w:r>
            <w:r>
              <w:rPr>
                <w:spacing w:val="-6"/>
                <w:sz w:val="21"/>
              </w:rPr>
              <w:t>振检查</w:t>
            </w:r>
            <w:r>
              <w:rPr>
                <w:spacing w:val="-4"/>
                <w:sz w:val="21"/>
              </w:rPr>
              <w:t>（MRI）或正电子发射断层扫描（PET）等影像学检查证实，并须满足下</w:t>
            </w:r>
            <w:r>
              <w:rPr>
                <w:spacing w:val="-3"/>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6"/>
              <w:jc w:val="both"/>
              <w:rPr>
                <w:sz w:val="21"/>
              </w:rPr>
            </w:pPr>
            <w:r>
              <w:rPr>
                <w:sz w:val="21"/>
              </w:rPr>
              <w:t>脑垂体瘤、脑囊肿、脑血管性疾病不在保障范围内。</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871"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w w:val="100"/>
                <w:sz w:val="21"/>
              </w:rPr>
              <w:t>十</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慢性肝功能衰竭失</w:t>
            </w:r>
          </w:p>
          <w:p>
            <w:pPr>
              <w:pStyle w:val="TableParagraph"/>
              <w:spacing w:line="337" w:lineRule="exact"/>
              <w:rPr>
                <w:rFonts w:ascii="微软雅黑" w:eastAsia="微软雅黑" w:hint="eastAsia"/>
                <w:b/>
                <w:sz w:val="21"/>
              </w:rPr>
            </w:pPr>
            <w:r>
              <w:rPr>
                <w:rFonts w:ascii="微软雅黑" w:eastAsia="微软雅黑" w:hint="eastAsia"/>
                <w:b/>
                <w:sz w:val="21"/>
              </w:rPr>
              <w:t>代偿期</w:t>
            </w:r>
          </w:p>
        </w:tc>
        <w:tc>
          <w:tcPr>
            <w:tcW w:w="7306" w:type="dxa"/>
          </w:tcPr>
          <w:p>
            <w:pPr>
              <w:pStyle w:val="TableParagraph"/>
              <w:spacing w:line="255"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038"/>
              <w:rPr>
                <w:sz w:val="21"/>
              </w:rPr>
            </w:pPr>
            <w:r>
              <w:rPr>
                <w:sz w:val="21"/>
              </w:rPr>
              <w:t>（4）充血性脾肿大伴脾功能亢进或食管胃底静脉曲张。因酗酒或药物滥用导致的肝功能衰竭不在保障范围内。</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937"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sz w:val="21"/>
              </w:rPr>
              <w:t>十一</w:t>
            </w:r>
          </w:p>
        </w:tc>
        <w:tc>
          <w:tcPr>
            <w:tcW w:w="1932" w:type="dxa"/>
          </w:tcPr>
          <w:p>
            <w:pPr>
              <w:pStyle w:val="TableParagraph"/>
              <w:spacing w:line="257" w:lineRule="exact"/>
              <w:rPr>
                <w:rFonts w:ascii="微软雅黑" w:eastAsia="微软雅黑" w:hint="eastAsia"/>
                <w:b/>
                <w:sz w:val="21"/>
              </w:rPr>
            </w:pPr>
            <w:r>
              <w:rPr>
                <w:rFonts w:ascii="微软雅黑" w:eastAsia="微软雅黑" w:hint="eastAsia"/>
                <w:b/>
                <w:sz w:val="21"/>
              </w:rPr>
              <w:t>脑炎后遗症或脑膜</w:t>
            </w:r>
          </w:p>
          <w:p>
            <w:pPr>
              <w:pStyle w:val="TableParagraph"/>
              <w:spacing w:line="337" w:lineRule="exact"/>
              <w:rPr>
                <w:rFonts w:ascii="微软雅黑" w:eastAsia="微软雅黑" w:hint="eastAsia"/>
                <w:b/>
                <w:sz w:val="21"/>
              </w:rPr>
            </w:pPr>
            <w:r>
              <w:rPr>
                <w:rFonts w:ascii="微软雅黑" w:eastAsia="微软雅黑" w:hint="eastAsia"/>
                <w:b/>
                <w:sz w:val="21"/>
              </w:rPr>
              <w:t>炎后遗症</w:t>
            </w:r>
          </w:p>
        </w:tc>
        <w:tc>
          <w:tcPr>
            <w:tcW w:w="7306" w:type="dxa"/>
          </w:tcPr>
          <w:p>
            <w:pPr>
              <w:pStyle w:val="TableParagraph"/>
              <w:spacing w:line="257" w:lineRule="exact"/>
              <w:rPr>
                <w:sz w:val="21"/>
              </w:rPr>
            </w:pPr>
            <w:r>
              <w:rPr>
                <w:sz w:val="21"/>
              </w:rPr>
              <w:t>指因患脑炎或脑膜炎导致的神经系统永久性的功能障碍。神经系统永久性的功</w:t>
            </w:r>
          </w:p>
          <w:p>
            <w:pPr>
              <w:pStyle w:val="TableParagraph"/>
              <w:spacing w:line="262" w:lineRule="exact" w:before="37"/>
              <w:rPr>
                <w:sz w:val="21"/>
              </w:rPr>
            </w:pPr>
            <w:r>
              <w:rPr>
                <w:sz w:val="21"/>
              </w:rPr>
              <w:t>能障碍，指疾病确诊 180 天后，仍遗留下列一种或一种以上障碍：</w:t>
            </w:r>
          </w:p>
          <w:p>
            <w:pPr>
              <w:pStyle w:val="TableParagraph"/>
              <w:spacing w:line="350" w:lineRule="exact"/>
              <w:rPr>
                <w:sz w:val="21"/>
              </w:rPr>
            </w:pPr>
            <w:r>
              <w:rPr>
                <w:sz w:val="21"/>
              </w:rPr>
              <w:t>（1）一肢或一肢以上</w:t>
            </w:r>
            <w:r>
              <w:rPr>
                <w:rFonts w:ascii="微软雅黑" w:eastAsia="微软雅黑" w:hint="eastAsia"/>
                <w:b/>
                <w:sz w:val="21"/>
              </w:rPr>
              <w:t>肢体机能完全丧失</w:t>
            </w:r>
            <w:r>
              <w:rPr>
                <w:sz w:val="21"/>
              </w:rPr>
              <w:t>；</w:t>
            </w:r>
          </w:p>
        </w:tc>
      </w:tr>
    </w:tbl>
    <w:p>
      <w:pPr>
        <w:spacing w:after="0" w:line="350" w:lineRule="exact"/>
        <w:rPr>
          <w:sz w:val="21"/>
        </w:rPr>
        <w:sectPr>
          <w:pgSz w:w="11900" w:h="16840"/>
          <w:pgMar w:top="114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937"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spacing w:line="257" w:lineRule="exact"/>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2"/>
              <w:ind w:left="633" w:right="139" w:hanging="526"/>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247"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十二</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深度昏迷</w:t>
            </w:r>
          </w:p>
        </w:tc>
        <w:tc>
          <w:tcPr>
            <w:tcW w:w="7306" w:type="dxa"/>
          </w:tcPr>
          <w:p>
            <w:pPr>
              <w:pStyle w:val="TableParagraph"/>
              <w:spacing w:line="255" w:lineRule="exact"/>
              <w:rPr>
                <w:sz w:val="21"/>
              </w:rPr>
            </w:pPr>
            <w:r>
              <w:rPr>
                <w:sz w:val="21"/>
              </w:rPr>
              <w:t>指因疾病或意外伤害导致意识丧失，对外界刺激和体内需求均无反应，昏迷程</w:t>
            </w:r>
          </w:p>
          <w:p>
            <w:pPr>
              <w:pStyle w:val="TableParagraph"/>
              <w:spacing w:line="273" w:lineRule="auto" w:before="37"/>
              <w:ind w:right="94"/>
              <w:rPr>
                <w:sz w:val="21"/>
              </w:rPr>
            </w:pP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已经持续使用呼吸机及其它生命维持系统 </w:t>
            </w:r>
            <w:r>
              <w:rPr>
                <w:sz w:val="21"/>
              </w:rPr>
              <w:t>96</w:t>
            </w:r>
            <w:r>
              <w:rPr>
                <w:spacing w:val="-10"/>
                <w:sz w:val="21"/>
              </w:rPr>
              <w:t> 小时以上。</w:t>
            </w:r>
          </w:p>
          <w:p>
            <w:pPr>
              <w:pStyle w:val="TableParagraph"/>
              <w:spacing w:before="7"/>
              <w:rPr>
                <w:sz w:val="21"/>
              </w:rPr>
            </w:pPr>
            <w:r>
              <w:rPr>
                <w:sz w:val="21"/>
              </w:rPr>
              <w:t>因酗酒或药物滥用导致的深度昏迷不在保障范围内。</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559"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十三</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双耳失聪</w:t>
            </w:r>
          </w:p>
        </w:tc>
        <w:tc>
          <w:tcPr>
            <w:tcW w:w="7306" w:type="dxa"/>
          </w:tcPr>
          <w:p>
            <w:pPr>
              <w:pStyle w:val="TableParagraph"/>
              <w:spacing w:line="280" w:lineRule="exact"/>
              <w:ind w:right="-15"/>
              <w:rPr>
                <w:sz w:val="21"/>
              </w:rPr>
            </w:pPr>
            <w:r>
              <w:rPr>
                <w:spacing w:val="-3"/>
                <w:sz w:val="21"/>
              </w:rPr>
              <w:t>指因疾病或意外伤害导致双耳听力</w:t>
            </w:r>
            <w:r>
              <w:rPr>
                <w:rFonts w:ascii="微软雅黑" w:eastAsia="微软雅黑" w:hint="eastAsia"/>
                <w:b/>
                <w:spacing w:val="-8"/>
                <w:sz w:val="21"/>
              </w:rPr>
              <w:t>永久不可逆</w:t>
            </w:r>
            <w:r>
              <w:rPr>
                <w:spacing w:val="-3"/>
                <w:sz w:val="21"/>
              </w:rPr>
              <w:t>（</w:t>
            </w:r>
            <w:r>
              <w:rPr>
                <w:spacing w:val="-15"/>
                <w:sz w:val="21"/>
              </w:rPr>
              <w:t>见注 </w:t>
            </w:r>
            <w:r>
              <w:rPr>
                <w:spacing w:val="-20"/>
                <w:sz w:val="21"/>
              </w:rPr>
              <w:t>4）</w:t>
            </w:r>
            <w:r>
              <w:rPr>
                <w:spacing w:val="-16"/>
                <w:sz w:val="21"/>
              </w:rPr>
              <w:t>性丧失，在 </w:t>
            </w:r>
            <w:r>
              <w:rPr>
                <w:sz w:val="21"/>
              </w:rPr>
              <w:t>500</w:t>
            </w:r>
            <w:r>
              <w:rPr>
                <w:spacing w:val="-12"/>
                <w:sz w:val="21"/>
              </w:rPr>
              <w:t> 赫兹、</w:t>
            </w:r>
          </w:p>
          <w:p>
            <w:pPr>
              <w:pStyle w:val="TableParagraph"/>
              <w:spacing w:line="273" w:lineRule="auto" w:before="11"/>
              <w:ind w:right="-15"/>
              <w:rPr>
                <w:sz w:val="21"/>
              </w:rPr>
            </w:pPr>
            <w:r>
              <w:rPr>
                <w:sz w:val="21"/>
              </w:rPr>
              <w:t>1000</w:t>
            </w:r>
            <w:r>
              <w:rPr>
                <w:spacing w:val="-21"/>
                <w:sz w:val="21"/>
              </w:rPr>
              <w:t> 赫兹和 </w:t>
            </w:r>
            <w:r>
              <w:rPr>
                <w:sz w:val="21"/>
              </w:rPr>
              <w:t>2000</w:t>
            </w:r>
            <w:r>
              <w:rPr>
                <w:spacing w:val="-18"/>
                <w:sz w:val="21"/>
              </w:rPr>
              <w:t> 赫兹语音频率下，平均听阈大于 </w:t>
            </w:r>
            <w:r>
              <w:rPr>
                <w:sz w:val="21"/>
              </w:rPr>
              <w:t>90</w:t>
            </w:r>
            <w:r>
              <w:rPr>
                <w:spacing w:val="-16"/>
                <w:sz w:val="21"/>
              </w:rPr>
              <w:t> 分贝，且经纯音听力测试、</w:t>
            </w:r>
            <w:r>
              <w:rPr>
                <w:spacing w:val="-7"/>
                <w:sz w:val="21"/>
              </w:rPr>
              <w:t>声导抗检测或听觉诱发电位检测等证实。</w:t>
            </w:r>
          </w:p>
          <w:p>
            <w:pPr>
              <w:pStyle w:val="TableParagraph"/>
              <w:spacing w:line="272" w:lineRule="exact"/>
              <w:rPr>
                <w:rFonts w:ascii="微软雅黑" w:eastAsia="微软雅黑" w:hint="eastAsia"/>
                <w:b/>
                <w:sz w:val="24"/>
              </w:rPr>
            </w:pPr>
            <w:r>
              <w:rPr>
                <w:rFonts w:ascii="微软雅黑" w:eastAsia="微软雅黑" w:hint="eastAsia"/>
                <w:b/>
                <w:sz w:val="24"/>
              </w:rPr>
              <w:t>被保险人申请理赔时年龄必须在 3 周岁以上，并且提供理赔当时的</w:t>
            </w:r>
          </w:p>
          <w:p>
            <w:pPr>
              <w:pStyle w:val="TableParagraph"/>
              <w:spacing w:line="359" w:lineRule="exact"/>
              <w:rPr>
                <w:rFonts w:ascii="微软雅黑" w:eastAsia="微软雅黑" w:hint="eastAsia"/>
                <w:b/>
                <w:sz w:val="24"/>
              </w:rPr>
            </w:pPr>
            <w:r>
              <w:rPr>
                <w:rFonts w:ascii="微软雅黑" w:eastAsia="微软雅黑" w:hint="eastAsia"/>
                <w:b/>
                <w:sz w:val="24"/>
              </w:rPr>
              <w:t>听力丧失诊断及检查证据。</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249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十四</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双目失明</w:t>
            </w:r>
          </w:p>
        </w:tc>
        <w:tc>
          <w:tcPr>
            <w:tcW w:w="7306" w:type="dxa"/>
          </w:tcPr>
          <w:p>
            <w:pPr>
              <w:pStyle w:val="TableParagraph"/>
              <w:spacing w:line="280" w:lineRule="exact"/>
              <w:rPr>
                <w:sz w:val="21"/>
              </w:rPr>
            </w:pPr>
            <w:r>
              <w:rPr>
                <w:sz w:val="21"/>
              </w:rPr>
              <w:t>指因疾病或意外伤害导致双眼视力</w:t>
            </w:r>
            <w:r>
              <w:rPr>
                <w:rFonts w:ascii="微软雅黑" w:eastAsia="微软雅黑" w:hint="eastAsia"/>
                <w:b/>
                <w:sz w:val="21"/>
              </w:rPr>
              <w:t>永久不可逆</w:t>
            </w:r>
            <w:r>
              <w:rPr>
                <w:sz w:val="21"/>
              </w:rPr>
              <w:t>性丧失，双眼中较好眼须满足下</w:t>
            </w:r>
          </w:p>
          <w:p>
            <w:pPr>
              <w:pStyle w:val="TableParagraph"/>
              <w:spacing w:before="11"/>
              <w:rPr>
                <w:sz w:val="21"/>
              </w:rPr>
            </w:pPr>
            <w:r>
              <w:rPr>
                <w:sz w:val="21"/>
              </w:rPr>
              <w:t>列至少一项条件：</w:t>
            </w:r>
          </w:p>
          <w:p>
            <w:pPr>
              <w:pStyle w:val="TableParagraph"/>
              <w:spacing w:before="36"/>
              <w:rPr>
                <w:sz w:val="21"/>
              </w:rPr>
            </w:pPr>
            <w:r>
              <w:rPr>
                <w:sz w:val="21"/>
              </w:rPr>
              <w:t>（1）眼球缺失或摘除；</w:t>
            </w:r>
          </w:p>
          <w:p>
            <w:pPr>
              <w:pStyle w:val="TableParagraph"/>
              <w:spacing w:line="273" w:lineRule="auto" w:before="36"/>
              <w:ind w:left="633" w:right="94" w:hanging="526"/>
              <w:rPr>
                <w:sz w:val="21"/>
              </w:rPr>
            </w:pPr>
            <w:r>
              <w:rPr>
                <w:sz w:val="21"/>
              </w:rPr>
              <w:t>（2）</w:t>
            </w:r>
            <w:r>
              <w:rPr>
                <w:spacing w:val="-8"/>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line="244" w:lineRule="exact" w:before="7"/>
              <w:rPr>
                <w:sz w:val="21"/>
              </w:rPr>
            </w:pPr>
            <w:r>
              <w:rPr>
                <w:sz w:val="21"/>
              </w:rPr>
              <w:t>（3）视野半径小于 5 度。</w:t>
            </w:r>
          </w:p>
          <w:p>
            <w:pPr>
              <w:pStyle w:val="TableParagraph"/>
              <w:spacing w:line="332" w:lineRule="exact"/>
              <w:rPr>
                <w:rFonts w:ascii="微软雅黑" w:eastAsia="微软雅黑" w:hint="eastAsia"/>
                <w:b/>
                <w:sz w:val="24"/>
              </w:rPr>
            </w:pPr>
            <w:r>
              <w:rPr>
                <w:rFonts w:ascii="微软雅黑" w:eastAsia="微软雅黑" w:hint="eastAsia"/>
                <w:b/>
                <w:sz w:val="24"/>
              </w:rPr>
              <w:t>被保险人申请理赔时年龄必须在 3 周岁以上（眼球缺失或摘除的不</w:t>
            </w:r>
          </w:p>
          <w:p>
            <w:pPr>
              <w:pStyle w:val="TableParagraph"/>
              <w:spacing w:line="359" w:lineRule="exact"/>
              <w:rPr>
                <w:rFonts w:ascii="微软雅黑" w:eastAsia="微软雅黑" w:hint="eastAsia"/>
                <w:b/>
                <w:sz w:val="24"/>
              </w:rPr>
            </w:pPr>
            <w:r>
              <w:rPr>
                <w:rFonts w:ascii="微软雅黑" w:eastAsia="微软雅黑" w:hint="eastAsia"/>
                <w:b/>
                <w:w w:val="99"/>
                <w:sz w:val="24"/>
              </w:rPr>
              <w:t>受此限</w:t>
            </w:r>
            <w:r>
              <w:rPr>
                <w:rFonts w:ascii="微软雅黑" w:eastAsia="微软雅黑" w:hint="eastAsia"/>
                <w:b/>
                <w:spacing w:val="-118"/>
                <w:w w:val="99"/>
                <w:sz w:val="24"/>
              </w:rPr>
              <w:t>）</w:t>
            </w:r>
            <w:r>
              <w:rPr>
                <w:rFonts w:ascii="微软雅黑" w:eastAsia="微软雅黑" w:hint="eastAsia"/>
                <w:b/>
                <w:w w:val="99"/>
                <w:sz w:val="24"/>
              </w:rPr>
              <w:t>，并且提供理赔当时的视力丧失诊断及检查证据。</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937"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sz w:val="21"/>
              </w:rPr>
              <w:t>十五</w:t>
            </w:r>
          </w:p>
        </w:tc>
        <w:tc>
          <w:tcPr>
            <w:tcW w:w="1932" w:type="dxa"/>
          </w:tcPr>
          <w:p>
            <w:pPr>
              <w:pStyle w:val="TableParagraph"/>
              <w:spacing w:line="283" w:lineRule="exact"/>
              <w:rPr>
                <w:rFonts w:ascii="微软雅黑" w:eastAsia="微软雅黑" w:hint="eastAsia"/>
                <w:b/>
                <w:sz w:val="21"/>
              </w:rPr>
            </w:pPr>
            <w:r>
              <w:rPr>
                <w:rFonts w:ascii="微软雅黑" w:eastAsia="微软雅黑" w:hint="eastAsia"/>
                <w:b/>
                <w:sz w:val="21"/>
              </w:rPr>
              <w:t>瘫痪</w:t>
            </w:r>
          </w:p>
        </w:tc>
        <w:tc>
          <w:tcPr>
            <w:tcW w:w="7306" w:type="dxa"/>
          </w:tcPr>
          <w:p>
            <w:pPr>
              <w:pStyle w:val="TableParagraph"/>
              <w:spacing w:line="235" w:lineRule="auto"/>
              <w:ind w:right="94"/>
              <w:jc w:val="both"/>
              <w:rPr>
                <w:sz w:val="21"/>
              </w:rPr>
            </w:pPr>
            <w:r>
              <w:rPr>
                <w:spacing w:val="-5"/>
                <w:sz w:val="21"/>
              </w:rPr>
              <w:t>指因疾病或意外伤害导致两肢或两肢以上肢体机能永久完全丧失。肢体机能永</w:t>
            </w:r>
            <w:r>
              <w:rPr>
                <w:spacing w:val="-15"/>
                <w:sz w:val="21"/>
              </w:rPr>
              <w:t>久完全丧失，指疾病确诊 </w:t>
            </w:r>
            <w:r>
              <w:rPr>
                <w:sz w:val="21"/>
              </w:rPr>
              <w:t>180</w:t>
            </w:r>
            <w:r>
              <w:rPr>
                <w:spacing w:val="-13"/>
                <w:sz w:val="21"/>
              </w:rPr>
              <w:t> 天后或意外伤害发生 </w:t>
            </w:r>
            <w:r>
              <w:rPr>
                <w:sz w:val="21"/>
              </w:rPr>
              <w:t>180</w:t>
            </w:r>
            <w:r>
              <w:rPr>
                <w:spacing w:val="-24"/>
                <w:sz w:val="21"/>
              </w:rPr>
              <w:t> 天后，每肢</w:t>
            </w:r>
            <w:r>
              <w:rPr>
                <w:rFonts w:ascii="微软雅黑" w:eastAsia="微软雅黑" w:hint="eastAsia"/>
                <w:b/>
                <w:spacing w:val="-23"/>
                <w:sz w:val="21"/>
              </w:rPr>
              <w:t>三大关节</w:t>
            </w:r>
            <w:r>
              <w:rPr>
                <w:spacing w:val="-3"/>
                <w:sz w:val="21"/>
              </w:rPr>
              <w:t>（</w:t>
            </w:r>
            <w:r>
              <w:rPr>
                <w:sz w:val="21"/>
              </w:rPr>
              <w:t>见</w:t>
            </w:r>
            <w:r>
              <w:rPr>
                <w:spacing w:val="-15"/>
                <w:sz w:val="21"/>
              </w:rPr>
              <w:t>注 </w:t>
            </w:r>
            <w:r>
              <w:rPr>
                <w:sz w:val="21"/>
              </w:rPr>
              <w:t>5）</w:t>
            </w:r>
            <w:r>
              <w:rPr>
                <w:spacing w:val="-3"/>
                <w:sz w:val="21"/>
              </w:rPr>
              <w:t>中的两大关节仍然完全僵硬，或不能随意识活动。</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311"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十六</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心脏瓣膜手术</w:t>
            </w:r>
          </w:p>
        </w:tc>
        <w:tc>
          <w:tcPr>
            <w:tcW w:w="7306" w:type="dxa"/>
          </w:tcPr>
          <w:p>
            <w:pPr>
              <w:pStyle w:val="TableParagraph"/>
              <w:spacing w:line="255" w:lineRule="exact"/>
              <w:rPr>
                <w:sz w:val="21"/>
              </w:rPr>
            </w:pPr>
            <w:r>
              <w:rPr>
                <w:sz w:val="21"/>
              </w:rPr>
              <w:t>指为治疗心脏瓣膜疾病，实际实施了开胸进行的心脏瓣膜置换或修复的手术。</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871"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十七</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严重阿尔茨海默病</w:t>
            </w:r>
          </w:p>
        </w:tc>
        <w:tc>
          <w:tcPr>
            <w:tcW w:w="7306" w:type="dxa"/>
          </w:tcPr>
          <w:p>
            <w:pPr>
              <w:pStyle w:val="TableParagraph"/>
              <w:spacing w:line="255" w:lineRule="exact"/>
              <w:rPr>
                <w:sz w:val="21"/>
              </w:rPr>
            </w:pPr>
            <w:r>
              <w:rPr>
                <w:sz w:val="21"/>
              </w:rPr>
              <w:t>指因大脑进行性、不可逆性改变导致智能严重衰退或丧失，临床表现为明显的</w:t>
            </w:r>
          </w:p>
          <w:p>
            <w:pPr>
              <w:pStyle w:val="TableParagraph"/>
              <w:spacing w:line="312" w:lineRule="exact" w:before="33"/>
              <w:ind w:right="-15"/>
              <w:rPr>
                <w:sz w:val="21"/>
              </w:rPr>
            </w:pPr>
            <w:r>
              <w:rPr>
                <w:spacing w:val="-15"/>
                <w:sz w:val="21"/>
              </w:rPr>
              <w:t>认知能力障碍、行为异常和社交能力减退，其日常生活必须持续受到他人监护。</w:t>
            </w:r>
            <w:r>
              <w:rPr>
                <w:spacing w:val="-8"/>
                <w:w w:val="100"/>
                <w:sz w:val="21"/>
              </w:rPr>
              <w:t>须由头颅断层扫描</w:t>
            </w:r>
            <w:r>
              <w:rPr>
                <w:w w:val="100"/>
                <w:sz w:val="21"/>
              </w:rPr>
              <w:t>（CT</w:t>
            </w:r>
            <w:r>
              <w:rPr>
                <w:spacing w:val="-108"/>
                <w:w w:val="100"/>
                <w:sz w:val="21"/>
              </w:rPr>
              <w:t>）</w:t>
            </w:r>
            <w:r>
              <w:rPr>
                <w:spacing w:val="-6"/>
                <w:w w:val="100"/>
                <w:sz w:val="21"/>
              </w:rPr>
              <w:t>、核磁共振检查</w:t>
            </w:r>
            <w:r>
              <w:rPr>
                <w:w w:val="100"/>
                <w:sz w:val="21"/>
              </w:rPr>
              <w:t>（MR</w:t>
            </w:r>
            <w:r>
              <w:rPr>
                <w:spacing w:val="-3"/>
                <w:w w:val="100"/>
                <w:sz w:val="21"/>
              </w:rPr>
              <w:t>I</w:t>
            </w:r>
            <w:r>
              <w:rPr>
                <w:spacing w:val="-12"/>
                <w:w w:val="100"/>
                <w:sz w:val="21"/>
              </w:rPr>
              <w:t>）</w:t>
            </w:r>
            <w:r>
              <w:rPr>
                <w:spacing w:val="-4"/>
                <w:w w:val="100"/>
                <w:sz w:val="21"/>
              </w:rPr>
              <w:t>或正电子发射断层扫描</w:t>
            </w:r>
            <w:r>
              <w:rPr>
                <w:w w:val="100"/>
                <w:sz w:val="21"/>
              </w:rPr>
              <w:t>（PE</w:t>
            </w:r>
            <w:r>
              <w:rPr>
                <w:spacing w:val="-3"/>
                <w:w w:val="100"/>
                <w:sz w:val="21"/>
              </w:rPr>
              <w:t>T</w:t>
            </w:r>
            <w:r>
              <w:rPr>
                <w:w w:val="100"/>
                <w:sz w:val="21"/>
              </w:rPr>
              <w:t>）</w:t>
            </w:r>
            <w:r>
              <w:rPr>
                <w:spacing w:val="-9"/>
                <w:sz w:val="21"/>
              </w:rPr>
              <w:t>等影像学检查证实，且自主生活能力完全丧失，无法独立完成</w:t>
            </w:r>
            <w:r>
              <w:rPr>
                <w:rFonts w:ascii="微软雅黑" w:eastAsia="微软雅黑" w:hint="eastAsia"/>
                <w:b/>
                <w:spacing w:val="-1"/>
                <w:sz w:val="21"/>
              </w:rPr>
              <w:t>六项基本日常生活活动</w:t>
            </w:r>
            <w:r>
              <w:rPr>
                <w:spacing w:val="-3"/>
                <w:sz w:val="21"/>
              </w:rPr>
              <w:t>中的三项或三项以上。</w:t>
            </w:r>
          </w:p>
          <w:p>
            <w:pPr>
              <w:pStyle w:val="TableParagraph"/>
              <w:spacing w:before="4"/>
              <w:rPr>
                <w:sz w:val="21"/>
              </w:rPr>
            </w:pPr>
            <w:r>
              <w:rPr>
                <w:sz w:val="21"/>
              </w:rPr>
              <w:t>神经官能症和精神疾病不在保障范围内。</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249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十八</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严重脑损伤</w:t>
            </w:r>
          </w:p>
        </w:tc>
        <w:tc>
          <w:tcPr>
            <w:tcW w:w="7306" w:type="dxa"/>
          </w:tcPr>
          <w:p>
            <w:pPr>
              <w:pStyle w:val="TableParagraph"/>
              <w:spacing w:line="255" w:lineRule="exact"/>
              <w:rPr>
                <w:sz w:val="21"/>
              </w:rPr>
            </w:pPr>
            <w:r>
              <w:rPr>
                <w:sz w:val="21"/>
              </w:rPr>
              <w:t>指因头部遭受机械性外力，引起脑重要部位损伤，导致神经系统永久性的功能</w:t>
            </w:r>
          </w:p>
          <w:p>
            <w:pPr>
              <w:pStyle w:val="TableParagraph"/>
              <w:spacing w:before="37"/>
              <w:rPr>
                <w:sz w:val="21"/>
              </w:rPr>
            </w:pPr>
            <w:r>
              <w:rPr>
                <w:spacing w:val="-5"/>
                <w:w w:val="100"/>
                <w:sz w:val="21"/>
              </w:rPr>
              <w:t>障碍。须由头颅断层扫描</w:t>
            </w:r>
            <w:r>
              <w:rPr>
                <w:w w:val="100"/>
                <w:sz w:val="21"/>
              </w:rPr>
              <w:t>（CT</w:t>
            </w:r>
            <w:r>
              <w:rPr>
                <w:spacing w:val="-108"/>
                <w:w w:val="100"/>
                <w:sz w:val="21"/>
              </w:rPr>
              <w:t>）</w:t>
            </w:r>
            <w:r>
              <w:rPr>
                <w:spacing w:val="-6"/>
                <w:w w:val="100"/>
                <w:sz w:val="21"/>
              </w:rPr>
              <w:t>、核磁共振检查</w:t>
            </w:r>
            <w:r>
              <w:rPr>
                <w:w w:val="100"/>
                <w:sz w:val="21"/>
              </w:rPr>
              <w:t>（M</w:t>
            </w:r>
            <w:r>
              <w:rPr>
                <w:spacing w:val="-3"/>
                <w:w w:val="100"/>
                <w:sz w:val="21"/>
              </w:rPr>
              <w:t>R</w:t>
            </w:r>
            <w:r>
              <w:rPr>
                <w:w w:val="100"/>
                <w:sz w:val="21"/>
              </w:rPr>
              <w:t>I</w:t>
            </w:r>
            <w:r>
              <w:rPr>
                <w:spacing w:val="-10"/>
                <w:w w:val="100"/>
                <w:sz w:val="21"/>
              </w:rPr>
              <w:t>）</w:t>
            </w:r>
            <w:r>
              <w:rPr>
                <w:spacing w:val="-3"/>
                <w:w w:val="100"/>
                <w:sz w:val="21"/>
              </w:rPr>
              <w:t>或正电子发射断层扫描</w:t>
            </w:r>
          </w:p>
          <w:p>
            <w:pPr>
              <w:pStyle w:val="TableParagraph"/>
              <w:spacing w:line="273" w:lineRule="auto" w:before="37"/>
              <w:ind w:right="-15"/>
              <w:rPr>
                <w:sz w:val="21"/>
              </w:rPr>
            </w:pPr>
            <w:r>
              <w:rPr>
                <w:spacing w:val="-4"/>
                <w:sz w:val="21"/>
              </w:rPr>
              <w:t>（PET）</w:t>
            </w:r>
            <w:r>
              <w:rPr>
                <w:spacing w:val="-8"/>
                <w:sz w:val="21"/>
              </w:rPr>
              <w:t>等影像学检查证实。神经系统永久性的功能障碍，指脑损伤 </w:t>
            </w:r>
            <w:r>
              <w:rPr>
                <w:sz w:val="21"/>
              </w:rPr>
              <w:t>180</w:t>
            </w:r>
            <w:r>
              <w:rPr>
                <w:spacing w:val="-12"/>
                <w:sz w:val="21"/>
              </w:rPr>
              <w:t> 天后， </w:t>
            </w:r>
            <w:r>
              <w:rPr>
                <w:spacing w:val="-6"/>
                <w:sz w:val="21"/>
              </w:rPr>
              <w:t>仍遗留下列一种或一种以上障碍：</w:t>
            </w:r>
          </w:p>
          <w:p>
            <w:pPr>
              <w:pStyle w:val="TableParagraph"/>
              <w:spacing w:line="283" w:lineRule="exact"/>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2" w:lineRule="exact"/>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2"/>
              <w:ind w:left="633" w:right="139" w:hanging="526"/>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625"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sz w:val="21"/>
              </w:rPr>
              <w:t>十九</w:t>
            </w:r>
          </w:p>
        </w:tc>
        <w:tc>
          <w:tcPr>
            <w:tcW w:w="1932" w:type="dxa"/>
          </w:tcPr>
          <w:p>
            <w:pPr>
              <w:pStyle w:val="TableParagraph"/>
              <w:spacing w:line="283" w:lineRule="exact"/>
              <w:rPr>
                <w:rFonts w:ascii="微软雅黑" w:eastAsia="微软雅黑" w:hint="eastAsia"/>
                <w:b/>
                <w:sz w:val="21"/>
              </w:rPr>
            </w:pPr>
            <w:r>
              <w:rPr>
                <w:rFonts w:ascii="微软雅黑" w:eastAsia="微软雅黑" w:hint="eastAsia"/>
                <w:b/>
                <w:sz w:val="21"/>
              </w:rPr>
              <w:t>严重帕金森病</w:t>
            </w:r>
          </w:p>
        </w:tc>
        <w:tc>
          <w:tcPr>
            <w:tcW w:w="7306" w:type="dxa"/>
          </w:tcPr>
          <w:p>
            <w:pPr>
              <w:pStyle w:val="TableParagraph"/>
              <w:spacing w:line="257" w:lineRule="exact"/>
              <w:rPr>
                <w:sz w:val="21"/>
              </w:rPr>
            </w:pPr>
            <w:r>
              <w:rPr>
                <w:sz w:val="21"/>
              </w:rPr>
              <w:t>是一种中枢神经系统的退行性疾病，临床表现为震颤麻痹、共济失调等。须满</w:t>
            </w:r>
          </w:p>
          <w:p>
            <w:pPr>
              <w:pStyle w:val="TableParagraph"/>
              <w:spacing w:before="37"/>
              <w:rPr>
                <w:sz w:val="21"/>
              </w:rPr>
            </w:pPr>
            <w:r>
              <w:rPr>
                <w:sz w:val="21"/>
              </w:rPr>
              <w:t>足下列全部条件：</w:t>
            </w:r>
          </w:p>
        </w:tc>
      </w:tr>
    </w:tbl>
    <w:p>
      <w:pPr>
        <w:spacing w:after="0"/>
        <w:rPr>
          <w:sz w:val="21"/>
        </w:rPr>
        <w:sectPr>
          <w:pgSz w:w="11900" w:h="16840"/>
          <w:pgMar w:top="114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1249"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spacing w:line="245" w:lineRule="exact"/>
              <w:rPr>
                <w:sz w:val="21"/>
              </w:rPr>
            </w:pPr>
            <w:r>
              <w:rPr>
                <w:sz w:val="21"/>
              </w:rPr>
              <w:t>（1）药物治疗无法控制病情；</w:t>
            </w:r>
          </w:p>
          <w:p>
            <w:pPr>
              <w:pStyle w:val="TableParagraph"/>
              <w:spacing w:line="247" w:lineRule="auto"/>
              <w:ind w:left="633" w:right="139" w:hanging="526"/>
              <w:rPr>
                <w:sz w:val="21"/>
              </w:rPr>
            </w:pPr>
            <w:r>
              <w:rPr>
                <w:sz w:val="21"/>
              </w:rPr>
              <w:t>（2）自主生活能力完全丧失，无法独立完成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before="43"/>
              <w:rPr>
                <w:sz w:val="21"/>
              </w:rPr>
            </w:pPr>
            <w:r>
              <w:rPr>
                <w:sz w:val="21"/>
              </w:rPr>
              <w:t>继发性帕金森综合征不在保障范围内。</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62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二十</w:t>
            </w:r>
          </w:p>
        </w:tc>
        <w:tc>
          <w:tcPr>
            <w:tcW w:w="1932" w:type="dxa"/>
          </w:tcPr>
          <w:p>
            <w:pPr>
              <w:pStyle w:val="TableParagraph"/>
              <w:spacing w:line="280" w:lineRule="exact"/>
              <w:rPr>
                <w:rFonts w:ascii="微软雅黑" w:hAnsi="微软雅黑" w:eastAsia="微软雅黑" w:hint="eastAsia"/>
                <w:b/>
                <w:sz w:val="21"/>
              </w:rPr>
            </w:pPr>
            <w:r>
              <w:rPr>
                <w:rFonts w:ascii="微软雅黑" w:hAnsi="微软雅黑" w:eastAsia="微软雅黑" w:hint="eastAsia"/>
                <w:b/>
                <w:sz w:val="21"/>
              </w:rPr>
              <w:t>严重Ⅲ度烧伤</w:t>
            </w:r>
          </w:p>
        </w:tc>
        <w:tc>
          <w:tcPr>
            <w:tcW w:w="7306" w:type="dxa"/>
          </w:tcPr>
          <w:p>
            <w:pPr>
              <w:pStyle w:val="TableParagraph"/>
              <w:spacing w:line="255" w:lineRule="exact"/>
              <w:ind w:right="-15"/>
              <w:rPr>
                <w:sz w:val="21"/>
              </w:rPr>
            </w:pPr>
            <w:r>
              <w:rPr>
                <w:spacing w:val="-11"/>
                <w:sz w:val="21"/>
              </w:rPr>
              <w:t>指烧伤程度为Ⅲ度，且Ⅲ度烧伤的面积达到全身体表面积的 </w:t>
            </w:r>
            <w:r>
              <w:rPr>
                <w:sz w:val="21"/>
              </w:rPr>
              <w:t>20</w:t>
            </w:r>
            <w:r>
              <w:rPr>
                <w:spacing w:val="-14"/>
                <w:sz w:val="21"/>
              </w:rPr>
              <w:t>％或 </w:t>
            </w:r>
            <w:r>
              <w:rPr>
                <w:sz w:val="21"/>
              </w:rPr>
              <w:t>20</w:t>
            </w:r>
            <w:r>
              <w:rPr>
                <w:spacing w:val="-3"/>
                <w:sz w:val="21"/>
              </w:rPr>
              <w:t>％以上。</w:t>
            </w:r>
          </w:p>
          <w:p>
            <w:pPr>
              <w:pStyle w:val="TableParagraph"/>
              <w:spacing w:before="37"/>
              <w:rPr>
                <w:sz w:val="21"/>
              </w:rPr>
            </w:pPr>
            <w:r>
              <w:rPr>
                <w:sz w:val="21"/>
              </w:rPr>
              <w:t>体表面积根据《中国新九分法》计算。</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93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二十一</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严重原发性肺动脉</w:t>
            </w:r>
          </w:p>
          <w:p>
            <w:pPr>
              <w:pStyle w:val="TableParagraph"/>
              <w:spacing w:line="337" w:lineRule="exact"/>
              <w:rPr>
                <w:rFonts w:ascii="微软雅黑" w:eastAsia="微软雅黑" w:hint="eastAsia"/>
                <w:b/>
                <w:sz w:val="21"/>
              </w:rPr>
            </w:pPr>
            <w:r>
              <w:rPr>
                <w:rFonts w:ascii="微软雅黑" w:eastAsia="微软雅黑" w:hint="eastAsia"/>
                <w:b/>
                <w:sz w:val="21"/>
              </w:rPr>
              <w:t>高压</w:t>
            </w:r>
          </w:p>
        </w:tc>
        <w:tc>
          <w:tcPr>
            <w:tcW w:w="7306" w:type="dxa"/>
          </w:tcPr>
          <w:p>
            <w:pPr>
              <w:pStyle w:val="TableParagraph"/>
              <w:spacing w:line="242" w:lineRule="exact"/>
              <w:rPr>
                <w:sz w:val="21"/>
              </w:rPr>
            </w:pPr>
            <w:r>
              <w:rPr>
                <w:sz w:val="21"/>
              </w:rPr>
              <w:t>指不明原因的肺动脉压力持续性增高，进行性发展而导致的慢性疾病，已经造</w:t>
            </w:r>
          </w:p>
          <w:p>
            <w:pPr>
              <w:pStyle w:val="TableParagraph"/>
              <w:spacing w:line="247" w:lineRule="auto"/>
              <w:ind w:right="94"/>
              <w:rPr>
                <w:sz w:val="21"/>
              </w:rPr>
            </w:pPr>
            <w:r>
              <w:rPr>
                <w:spacing w:val="-3"/>
                <w:sz w:val="21"/>
              </w:rPr>
              <w:t>成</w:t>
            </w:r>
            <w:r>
              <w:rPr>
                <w:rFonts w:ascii="微软雅黑" w:eastAsia="微软雅黑" w:hint="eastAsia"/>
                <w:b/>
                <w:sz w:val="21"/>
              </w:rPr>
              <w:t>永久不可逆</w:t>
            </w:r>
            <w:r>
              <w:rPr>
                <w:spacing w:val="-8"/>
                <w:sz w:val="21"/>
              </w:rPr>
              <w:t>性的体力活动能力受限，达到美国纽约心脏病学会心功能状态分</w:t>
            </w:r>
            <w:r>
              <w:rPr>
                <w:spacing w:val="-28"/>
                <w:sz w:val="21"/>
              </w:rPr>
              <w:t>级 </w:t>
            </w:r>
            <w:r>
              <w:rPr>
                <w:sz w:val="21"/>
              </w:rPr>
              <w:t>IV</w:t>
            </w:r>
            <w:r>
              <w:rPr>
                <w:spacing w:val="-11"/>
                <w:sz w:val="21"/>
              </w:rPr>
              <w:t> 级，且静息状态下肺动脉平均压超过 </w:t>
            </w:r>
            <w:r>
              <w:rPr>
                <w:sz w:val="21"/>
              </w:rPr>
              <w:t>30mmHg。</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247"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二十二</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严重运动神经元病</w:t>
            </w:r>
          </w:p>
        </w:tc>
        <w:tc>
          <w:tcPr>
            <w:tcW w:w="7306" w:type="dxa"/>
          </w:tcPr>
          <w:p>
            <w:pPr>
              <w:pStyle w:val="TableParagraph"/>
              <w:spacing w:line="255" w:lineRule="exact"/>
              <w:rPr>
                <w:sz w:val="21"/>
              </w:rPr>
            </w:pPr>
            <w:r>
              <w:rPr>
                <w:sz w:val="21"/>
              </w:rPr>
              <w:t>是一组中枢神经系统运动神经元的进行性变性疾病，包括进行性脊肌萎缩症、</w:t>
            </w:r>
          </w:p>
          <w:p>
            <w:pPr>
              <w:pStyle w:val="TableParagraph"/>
              <w:spacing w:line="235" w:lineRule="auto" w:before="42"/>
              <w:ind w:right="94"/>
              <w:jc w:val="both"/>
              <w:rPr>
                <w:sz w:val="21"/>
              </w:rPr>
            </w:pPr>
            <w:r>
              <w:rPr>
                <w:spacing w:val="-7"/>
                <w:sz w:val="21"/>
              </w:rPr>
              <w:t>进行性延髓麻痹症、原发性侧索硬化症、肌萎缩性侧索硬化症。须满足自主生</w:t>
            </w:r>
            <w:r>
              <w:rPr>
                <w:spacing w:val="-11"/>
                <w:sz w:val="21"/>
              </w:rPr>
              <w:t>活能力完全丧失，无法独立完成</w:t>
            </w:r>
            <w:r>
              <w:rPr>
                <w:rFonts w:ascii="微软雅黑" w:eastAsia="微软雅黑" w:hint="eastAsia"/>
                <w:b/>
                <w:spacing w:val="-2"/>
                <w:sz w:val="21"/>
              </w:rPr>
              <w:t>六项基本日常生活活动</w:t>
            </w:r>
            <w:r>
              <w:rPr>
                <w:spacing w:val="-3"/>
                <w:sz w:val="21"/>
              </w:rPr>
              <w:t>中的三项或三项以上的条件。</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561"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sz w:val="21"/>
              </w:rPr>
              <w:t>二十三</w:t>
            </w:r>
          </w:p>
        </w:tc>
        <w:tc>
          <w:tcPr>
            <w:tcW w:w="1932" w:type="dxa"/>
          </w:tcPr>
          <w:p>
            <w:pPr>
              <w:pStyle w:val="TableParagraph"/>
              <w:spacing w:line="283" w:lineRule="exact"/>
              <w:rPr>
                <w:rFonts w:ascii="微软雅黑" w:eastAsia="微软雅黑" w:hint="eastAsia"/>
                <w:b/>
                <w:sz w:val="21"/>
              </w:rPr>
            </w:pPr>
            <w:r>
              <w:rPr>
                <w:rFonts w:ascii="微软雅黑" w:eastAsia="微软雅黑" w:hint="eastAsia"/>
                <w:b/>
                <w:sz w:val="21"/>
              </w:rPr>
              <w:t>语言能力丧失</w:t>
            </w:r>
          </w:p>
        </w:tc>
        <w:tc>
          <w:tcPr>
            <w:tcW w:w="7306" w:type="dxa"/>
          </w:tcPr>
          <w:p>
            <w:pPr>
              <w:pStyle w:val="TableParagraph"/>
              <w:spacing w:line="257" w:lineRule="exact"/>
              <w:rPr>
                <w:sz w:val="21"/>
              </w:rPr>
            </w:pPr>
            <w:r>
              <w:rPr>
                <w:sz w:val="21"/>
              </w:rPr>
              <w:t>指因疾病或意外伤害导致完全丧失语言能力，经过积极治疗至少 12 个月（声</w:t>
            </w:r>
          </w:p>
          <w:p>
            <w:pPr>
              <w:pStyle w:val="TableParagraph"/>
              <w:spacing w:line="273" w:lineRule="auto" w:before="37"/>
              <w:ind w:right="1407"/>
              <w:rPr>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p>
            <w:pPr>
              <w:pStyle w:val="TableParagraph"/>
              <w:spacing w:line="272" w:lineRule="exact"/>
              <w:rPr>
                <w:rFonts w:ascii="微软雅黑" w:eastAsia="微软雅黑" w:hint="eastAsia"/>
                <w:b/>
                <w:sz w:val="24"/>
              </w:rPr>
            </w:pPr>
            <w:r>
              <w:rPr>
                <w:rFonts w:ascii="微软雅黑" w:eastAsia="微软雅黑" w:hint="eastAsia"/>
                <w:b/>
                <w:sz w:val="24"/>
              </w:rPr>
              <w:t>被保险人申请理赔时年龄必须在 3 周岁以上，并且提供理赔当时的</w:t>
            </w:r>
          </w:p>
          <w:p>
            <w:pPr>
              <w:pStyle w:val="TableParagraph"/>
              <w:spacing w:line="359" w:lineRule="exact"/>
              <w:rPr>
                <w:rFonts w:ascii="微软雅黑" w:eastAsia="微软雅黑" w:hint="eastAsia"/>
                <w:b/>
                <w:sz w:val="24"/>
              </w:rPr>
            </w:pPr>
            <w:r>
              <w:rPr>
                <w:rFonts w:ascii="微软雅黑" w:eastAsia="微软雅黑" w:hint="eastAsia"/>
                <w:b/>
                <w:sz w:val="24"/>
              </w:rPr>
              <w:t>语言能力丧失诊断及检查证据。</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218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二十四</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重型再生障碍性贫</w:t>
            </w:r>
          </w:p>
          <w:p>
            <w:pPr>
              <w:pStyle w:val="TableParagraph"/>
              <w:spacing w:line="337" w:lineRule="exact"/>
              <w:rPr>
                <w:rFonts w:ascii="微软雅黑" w:eastAsia="微软雅黑" w:hint="eastAsia"/>
                <w:b/>
                <w:sz w:val="21"/>
              </w:rPr>
            </w:pPr>
            <w:r>
              <w:rPr>
                <w:rFonts w:ascii="微软雅黑" w:eastAsia="微软雅黑" w:hint="eastAsia"/>
                <w:b/>
                <w:w w:val="100"/>
                <w:sz w:val="21"/>
              </w:rPr>
              <w:t>血</w:t>
            </w:r>
          </w:p>
        </w:tc>
        <w:tc>
          <w:tcPr>
            <w:tcW w:w="7306" w:type="dxa"/>
          </w:tcPr>
          <w:p>
            <w:pPr>
              <w:pStyle w:val="TableParagraph"/>
              <w:spacing w:line="255" w:lineRule="exact"/>
              <w:rPr>
                <w:sz w:val="21"/>
              </w:rPr>
            </w:pPr>
            <w:r>
              <w:rPr>
                <w:sz w:val="21"/>
              </w:rPr>
              <w:t>指因骨髓造血功能慢性持续性衰竭导致的贫血、中性粒细胞减少及血小板减</w:t>
            </w:r>
          </w:p>
          <w:p>
            <w:pPr>
              <w:pStyle w:val="TableParagraph"/>
              <w:spacing w:before="37"/>
              <w:rPr>
                <w:sz w:val="21"/>
              </w:rPr>
            </w:pPr>
            <w:r>
              <w:rPr>
                <w:sz w:val="21"/>
              </w:rPr>
              <w:t>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527"/>
              <w:rPr>
                <w:sz w:val="21"/>
              </w:rPr>
            </w:pPr>
            <w:r>
              <w:rPr>
                <w:sz w:val="21"/>
              </w:rPr>
              <w:t>① 中性粒细胞绝对值≤0.5×10</w:t>
            </w:r>
            <w:r>
              <w:rPr>
                <w:position w:val="11"/>
                <w:sz w:val="11"/>
              </w:rPr>
              <w:t>9</w:t>
            </w:r>
            <w:r>
              <w:rPr>
                <w:sz w:val="21"/>
              </w:rPr>
              <w:t>/L；</w:t>
            </w:r>
          </w:p>
          <w:p>
            <w:pPr>
              <w:pStyle w:val="TableParagraph"/>
              <w:spacing w:before="37"/>
              <w:ind w:left="527"/>
              <w:rPr>
                <w:sz w:val="21"/>
              </w:rPr>
            </w:pPr>
            <w:r>
              <w:rPr>
                <w:sz w:val="21"/>
              </w:rPr>
              <w:t>② 网织红细胞＜1%；</w:t>
            </w:r>
          </w:p>
          <w:p>
            <w:pPr>
              <w:pStyle w:val="TableParagraph"/>
              <w:spacing w:before="37"/>
              <w:ind w:left="530"/>
              <w:rPr>
                <w:sz w:val="21"/>
              </w:rPr>
            </w:pPr>
            <w:r>
              <w:rPr>
                <w:sz w:val="21"/>
              </w:rPr>
              <w:t>③ 血小板绝对值≤20×10</w:t>
            </w:r>
            <w:r>
              <w:rPr>
                <w:position w:val="11"/>
                <w:sz w:val="11"/>
              </w:rPr>
              <w:t>9</w:t>
            </w:r>
            <w:r>
              <w:rPr>
                <w:sz w:val="21"/>
              </w:rPr>
              <w:t>/L。</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247"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二十五</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主动脉手术</w:t>
            </w:r>
          </w:p>
        </w:tc>
        <w:tc>
          <w:tcPr>
            <w:tcW w:w="7306" w:type="dxa"/>
          </w:tcPr>
          <w:p>
            <w:pPr>
              <w:pStyle w:val="TableParagraph"/>
              <w:spacing w:line="255" w:lineRule="exact"/>
              <w:rPr>
                <w:sz w:val="21"/>
              </w:rPr>
            </w:pPr>
            <w:r>
              <w:rPr>
                <w:sz w:val="21"/>
              </w:rPr>
              <w:t>指为治疗主动脉疾病，实际实施了开胸或开腹进行的切除、置换、修补病损主</w:t>
            </w:r>
          </w:p>
          <w:p>
            <w:pPr>
              <w:pStyle w:val="TableParagraph"/>
              <w:spacing w:line="273" w:lineRule="auto" w:before="37"/>
              <w:ind w:right="94"/>
              <w:rPr>
                <w:sz w:val="21"/>
              </w:rPr>
            </w:pPr>
            <w:r>
              <w:rPr>
                <w:spacing w:val="-7"/>
                <w:sz w:val="21"/>
              </w:rPr>
              <w:t>动脉血管的手术。主动脉指胸主动脉和腹主动脉，不包括胸主动脉和腹主动脉</w:t>
            </w:r>
            <w:r>
              <w:rPr>
                <w:spacing w:val="-5"/>
                <w:sz w:val="21"/>
              </w:rPr>
              <w:t>的分支血管。</w:t>
            </w:r>
          </w:p>
          <w:p>
            <w:pPr>
              <w:pStyle w:val="TableParagraph"/>
              <w:spacing w:before="7"/>
              <w:rPr>
                <w:sz w:val="21"/>
              </w:rPr>
            </w:pPr>
            <w:r>
              <w:rPr>
                <w:sz w:val="21"/>
              </w:rPr>
              <w:t>动脉内血管成形术不在保障范围内。</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623"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spacing w:line="255" w:lineRule="exact"/>
              <w:rPr>
                <w:rFonts w:ascii="微软雅黑" w:eastAsia="微软雅黑" w:hint="eastAsia"/>
                <w:b/>
                <w:sz w:val="21"/>
              </w:rPr>
            </w:pPr>
            <w:r>
              <w:rPr>
                <w:rFonts w:ascii="微软雅黑" w:eastAsia="微软雅黑" w:hint="eastAsia"/>
                <w:b/>
                <w:sz w:val="21"/>
              </w:rPr>
              <w:t>以上 25 种重大疾病的定义采用中国保险行业协会制定的《重大疾病保险的疾</w:t>
            </w:r>
          </w:p>
          <w:p>
            <w:pPr>
              <w:pStyle w:val="TableParagraph"/>
              <w:spacing w:line="337" w:lineRule="exact"/>
              <w:rPr>
                <w:rFonts w:ascii="微软雅黑" w:eastAsia="微软雅黑" w:hint="eastAsia"/>
                <w:b/>
                <w:sz w:val="21"/>
              </w:rPr>
            </w:pPr>
            <w:r>
              <w:rPr>
                <w:rFonts w:ascii="微软雅黑" w:eastAsia="微软雅黑" w:hint="eastAsia"/>
                <w:b/>
                <w:sz w:val="21"/>
              </w:rPr>
              <w:t>病定义使用规范》中的定义。</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249"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sz w:val="21"/>
              </w:rPr>
              <w:t>二十六</w:t>
            </w:r>
          </w:p>
        </w:tc>
        <w:tc>
          <w:tcPr>
            <w:tcW w:w="1932" w:type="dxa"/>
          </w:tcPr>
          <w:p>
            <w:pPr>
              <w:pStyle w:val="TableParagraph"/>
              <w:spacing w:line="283" w:lineRule="exact"/>
              <w:rPr>
                <w:rFonts w:ascii="微软雅黑" w:eastAsia="微软雅黑" w:hint="eastAsia"/>
                <w:b/>
                <w:sz w:val="21"/>
              </w:rPr>
            </w:pPr>
            <w:r>
              <w:rPr>
                <w:rFonts w:ascii="微软雅黑" w:eastAsia="微软雅黑" w:hint="eastAsia"/>
                <w:b/>
                <w:sz w:val="21"/>
              </w:rPr>
              <w:t>慢性呼吸功能衰竭</w:t>
            </w:r>
          </w:p>
        </w:tc>
        <w:tc>
          <w:tcPr>
            <w:tcW w:w="7306" w:type="dxa"/>
          </w:tcPr>
          <w:p>
            <w:pPr>
              <w:pStyle w:val="TableParagraph"/>
              <w:spacing w:line="257" w:lineRule="exact"/>
              <w:rPr>
                <w:sz w:val="21"/>
              </w:rPr>
            </w:pPr>
            <w:r>
              <w:rPr>
                <w:sz w:val="21"/>
              </w:rPr>
              <w:t>是指末期肺部疾病包括间质肺部疾病所引起的慢性呼吸功能衰竭。肺功能测验</w:t>
            </w:r>
          </w:p>
          <w:p>
            <w:pPr>
              <w:pStyle w:val="TableParagraph"/>
              <w:spacing w:line="312" w:lineRule="exact" w:before="33"/>
              <w:ind w:right="94"/>
              <w:jc w:val="both"/>
              <w:rPr>
                <w:sz w:val="21"/>
              </w:rPr>
            </w:pPr>
            <w:r>
              <w:rPr>
                <w:spacing w:val="-4"/>
                <w:sz w:val="21"/>
              </w:rPr>
              <w:t>FEV1（</w:t>
            </w:r>
            <w:r>
              <w:rPr>
                <w:spacing w:val="-3"/>
                <w:sz w:val="21"/>
              </w:rPr>
              <w:t>第一秒钟末用力呼气量</w:t>
            </w:r>
            <w:r>
              <w:rPr>
                <w:spacing w:val="-20"/>
                <w:sz w:val="21"/>
              </w:rPr>
              <w:t>）</w:t>
            </w:r>
            <w:r>
              <w:rPr>
                <w:spacing w:val="-14"/>
                <w:sz w:val="21"/>
              </w:rPr>
              <w:t>少于 </w:t>
            </w:r>
            <w:r>
              <w:rPr>
                <w:sz w:val="21"/>
              </w:rPr>
              <w:t>1</w:t>
            </w:r>
            <w:r>
              <w:rPr>
                <w:spacing w:val="-8"/>
                <w:sz w:val="21"/>
              </w:rPr>
              <w:t> 公升且需要持久大量的氧气治疗，动脉血气分析结果符合重度呼吸衰竭诊断标准，静止时也感到呼吸困难。诊断必须</w:t>
            </w:r>
            <w:r>
              <w:rPr>
                <w:spacing w:val="-7"/>
                <w:sz w:val="21"/>
              </w:rPr>
              <w:t>由呼吸</w:t>
            </w:r>
            <w:r>
              <w:rPr>
                <w:rFonts w:ascii="微软雅黑" w:eastAsia="微软雅黑" w:hint="eastAsia"/>
                <w:b/>
                <w:sz w:val="21"/>
              </w:rPr>
              <w:t>专科医生</w:t>
            </w:r>
            <w:r>
              <w:rPr>
                <w:spacing w:val="-2"/>
                <w:sz w:val="21"/>
              </w:rPr>
              <w:t>确认。</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250"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二十七</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严重多发性硬化</w:t>
            </w:r>
          </w:p>
        </w:tc>
        <w:tc>
          <w:tcPr>
            <w:tcW w:w="7306" w:type="dxa"/>
          </w:tcPr>
          <w:p>
            <w:pPr>
              <w:pStyle w:val="TableParagraph"/>
              <w:spacing w:line="213" w:lineRule="auto" w:before="10"/>
              <w:ind w:right="94"/>
              <w:jc w:val="both"/>
              <w:rPr>
                <w:sz w:val="21"/>
              </w:rPr>
            </w:pPr>
            <w:r>
              <w:rPr>
                <w:spacing w:val="-5"/>
                <w:sz w:val="21"/>
              </w:rPr>
              <w:t>多发性硬化为中枢神经系统白质多灶性脱髓鞘病变，病变有时累及灰质。多发</w:t>
            </w:r>
            <w:r>
              <w:rPr>
                <w:spacing w:val="-10"/>
                <w:sz w:val="21"/>
              </w:rPr>
              <w:t>性硬化必须明确诊断，并且已经造成神经系统功能损害导致被保险人</w:t>
            </w:r>
            <w:r>
              <w:rPr>
                <w:rFonts w:ascii="微软雅黑" w:eastAsia="微软雅黑" w:hint="eastAsia"/>
                <w:b/>
                <w:sz w:val="21"/>
              </w:rPr>
              <w:t>永久不可逆</w:t>
            </w:r>
            <w:r>
              <w:rPr>
                <w:spacing w:val="-3"/>
                <w:sz w:val="21"/>
              </w:rPr>
              <w:t>性的无法独立完成下列基本日常生活活动：</w:t>
            </w:r>
          </w:p>
          <w:p>
            <w:pPr>
              <w:pStyle w:val="TableParagraph"/>
              <w:spacing w:before="11"/>
              <w:jc w:val="both"/>
              <w:rPr>
                <w:sz w:val="21"/>
              </w:rPr>
            </w:pPr>
            <w:r>
              <w:rPr>
                <w:sz w:val="21"/>
              </w:rPr>
              <w:t>（1）移动：自己从一个房间移动到另一个房间；或者</w:t>
            </w:r>
          </w:p>
        </w:tc>
      </w:tr>
    </w:tbl>
    <w:p>
      <w:pPr>
        <w:spacing w:after="0"/>
        <w:jc w:val="both"/>
        <w:rPr>
          <w:sz w:val="21"/>
        </w:rPr>
        <w:sectPr>
          <w:pgSz w:w="11900" w:h="16840"/>
          <w:pgMar w:top="114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313"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spacing w:line="257" w:lineRule="exact"/>
              <w:rPr>
                <w:sz w:val="21"/>
              </w:rPr>
            </w:pPr>
            <w:r>
              <w:rPr>
                <w:sz w:val="21"/>
              </w:rPr>
              <w:t>（2）进食：自己从已准备好的碗或碟中取食物放入口中。</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247"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二十八</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严重冠心病</w:t>
            </w:r>
          </w:p>
        </w:tc>
        <w:tc>
          <w:tcPr>
            <w:tcW w:w="7306" w:type="dxa"/>
          </w:tcPr>
          <w:p>
            <w:pPr>
              <w:pStyle w:val="TableParagraph"/>
              <w:spacing w:line="280" w:lineRule="exact"/>
              <w:rPr>
                <w:sz w:val="21"/>
              </w:rPr>
            </w:pPr>
            <w:r>
              <w:rPr>
                <w:sz w:val="21"/>
              </w:rPr>
              <w:t>指经心脏科</w:t>
            </w:r>
            <w:r>
              <w:rPr>
                <w:rFonts w:ascii="微软雅黑" w:eastAsia="微软雅黑" w:hint="eastAsia"/>
                <w:b/>
                <w:sz w:val="21"/>
              </w:rPr>
              <w:t>专科医生</w:t>
            </w:r>
            <w:r>
              <w:rPr>
                <w:sz w:val="21"/>
              </w:rPr>
              <w:t>根据冠状动脉造影检查结果确诊的三支主要血管（左冠状</w:t>
            </w:r>
          </w:p>
          <w:p>
            <w:pPr>
              <w:pStyle w:val="TableParagraph"/>
              <w:spacing w:line="273" w:lineRule="auto" w:before="11"/>
              <w:ind w:right="43"/>
              <w:jc w:val="both"/>
              <w:rPr>
                <w:sz w:val="21"/>
              </w:rPr>
            </w:pPr>
            <w:r>
              <w:rPr>
                <w:spacing w:val="-13"/>
                <w:sz w:val="21"/>
              </w:rPr>
              <w:t>动脉主干和右冠状动脉，或前降支、左旋支和右冠状动脉</w:t>
            </w:r>
            <w:r>
              <w:rPr>
                <w:spacing w:val="-68"/>
                <w:sz w:val="21"/>
              </w:rPr>
              <w:t>）</w:t>
            </w:r>
            <w:r>
              <w:rPr>
                <w:spacing w:val="-12"/>
                <w:sz w:val="21"/>
              </w:rPr>
              <w:t>严重狭窄性病变</w:t>
            </w:r>
            <w:r>
              <w:rPr>
                <w:spacing w:val="-3"/>
                <w:sz w:val="21"/>
              </w:rPr>
              <w:t>（</w:t>
            </w:r>
            <w:r>
              <w:rPr>
                <w:sz w:val="21"/>
              </w:rPr>
              <w:t>至</w:t>
            </w:r>
            <w:r>
              <w:rPr>
                <w:spacing w:val="-7"/>
                <w:sz w:val="21"/>
              </w:rPr>
              <w:t>少一支血管管腔直径减少 </w:t>
            </w:r>
            <w:r>
              <w:rPr>
                <w:sz w:val="21"/>
              </w:rPr>
              <w:t>75％</w:t>
            </w:r>
            <w:r>
              <w:rPr>
                <w:spacing w:val="-6"/>
                <w:sz w:val="21"/>
              </w:rPr>
              <w:t>以上和其他两支血管管腔直径减少 </w:t>
            </w:r>
            <w:r>
              <w:rPr>
                <w:sz w:val="21"/>
              </w:rPr>
              <w:t>60％以上</w:t>
            </w:r>
            <w:r>
              <w:rPr>
                <w:spacing w:val="-108"/>
                <w:sz w:val="21"/>
              </w:rPr>
              <w:t>）</w:t>
            </w:r>
            <w:r>
              <w:rPr>
                <w:sz w:val="21"/>
              </w:rPr>
              <w:t>。</w:t>
            </w:r>
            <w:r>
              <w:rPr>
                <w:spacing w:val="-3"/>
                <w:sz w:val="21"/>
              </w:rPr>
              <w:t>前降支、左旋支及右冠状动脉的分支血管的狭窄不作为本保障的衡量指标。</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62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二十九</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严重心肌炎</w:t>
            </w:r>
          </w:p>
        </w:tc>
        <w:tc>
          <w:tcPr>
            <w:tcW w:w="7306" w:type="dxa"/>
          </w:tcPr>
          <w:p>
            <w:pPr>
              <w:pStyle w:val="TableParagraph"/>
              <w:spacing w:line="255" w:lineRule="exact"/>
              <w:rPr>
                <w:sz w:val="21"/>
              </w:rPr>
            </w:pPr>
            <w:r>
              <w:rPr>
                <w:sz w:val="21"/>
              </w:rPr>
              <w:t>指心肌局限性或弥漫性的急性或慢性炎症病变，导致心脏功能障碍，达到纽约</w:t>
            </w:r>
          </w:p>
          <w:p>
            <w:pPr>
              <w:pStyle w:val="TableParagraph"/>
              <w:spacing w:before="37"/>
              <w:rPr>
                <w:sz w:val="21"/>
              </w:rPr>
            </w:pPr>
            <w:r>
              <w:rPr>
                <w:sz w:val="21"/>
              </w:rPr>
              <w:t>心脏病学会心功能分级状态分级 IV 级，且持续至少 90 天。</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405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三十</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系统性红斑狼疮－</w:t>
            </w:r>
          </w:p>
          <w:p>
            <w:pPr>
              <w:pStyle w:val="TableParagraph"/>
              <w:spacing w:line="206" w:lineRule="auto" w:before="25"/>
              <w:ind w:right="102"/>
              <w:rPr>
                <w:rFonts w:ascii="微软雅黑" w:eastAsia="微软雅黑" w:hint="eastAsia"/>
                <w:b/>
                <w:sz w:val="21"/>
              </w:rPr>
            </w:pPr>
            <w:r>
              <w:rPr>
                <w:rFonts w:ascii="微软雅黑" w:eastAsia="微软雅黑" w:hint="eastAsia"/>
                <w:b/>
                <w:w w:val="130"/>
                <w:sz w:val="21"/>
              </w:rPr>
              <w:t>III </w:t>
            </w:r>
            <w:r>
              <w:rPr>
                <w:rFonts w:ascii="微软雅黑" w:eastAsia="微软雅黑" w:hint="eastAsia"/>
                <w:b/>
                <w:w w:val="110"/>
                <w:sz w:val="21"/>
              </w:rPr>
              <w:t>型或 </w:t>
            </w:r>
            <w:r>
              <w:rPr>
                <w:rFonts w:ascii="微软雅黑" w:eastAsia="微软雅黑" w:hint="eastAsia"/>
                <w:b/>
                <w:w w:val="130"/>
                <w:sz w:val="21"/>
              </w:rPr>
              <w:t>III </w:t>
            </w:r>
            <w:r>
              <w:rPr>
                <w:rFonts w:ascii="微软雅黑" w:eastAsia="微软雅黑" w:hint="eastAsia"/>
                <w:b/>
                <w:w w:val="110"/>
                <w:sz w:val="21"/>
              </w:rPr>
              <w:t>型以</w:t>
            </w:r>
            <w:r>
              <w:rPr>
                <w:rFonts w:ascii="微软雅黑" w:eastAsia="微软雅黑" w:hint="eastAsia"/>
                <w:b/>
                <w:sz w:val="21"/>
              </w:rPr>
              <w:t>上狼疮性肾炎</w:t>
            </w:r>
          </w:p>
        </w:tc>
        <w:tc>
          <w:tcPr>
            <w:tcW w:w="7306" w:type="dxa"/>
          </w:tcPr>
          <w:p>
            <w:pPr>
              <w:pStyle w:val="TableParagraph"/>
              <w:spacing w:line="255" w:lineRule="exact"/>
              <w:rPr>
                <w:sz w:val="21"/>
              </w:rPr>
            </w:pPr>
            <w:r>
              <w:rPr>
                <w:sz w:val="21"/>
              </w:rPr>
              <w:t>系统性红斑狼疮是由多种因素引起，累及多系统的自身免疫性疾病。其特点是</w:t>
            </w:r>
          </w:p>
          <w:p>
            <w:pPr>
              <w:pStyle w:val="TableParagraph"/>
              <w:spacing w:before="37"/>
              <w:rPr>
                <w:sz w:val="21"/>
              </w:rPr>
            </w:pPr>
            <w:r>
              <w:rPr>
                <w:sz w:val="21"/>
              </w:rPr>
              <w:t>生成自身抗体对抗多种自身抗原。多见于育龄妇女。</w:t>
            </w:r>
          </w:p>
          <w:p>
            <w:pPr>
              <w:pStyle w:val="TableParagraph"/>
              <w:spacing w:line="312" w:lineRule="exact" w:before="32"/>
              <w:ind w:right="-15"/>
              <w:rPr>
                <w:sz w:val="21"/>
              </w:rPr>
            </w:pPr>
            <w:r>
              <w:rPr>
                <w:spacing w:val="-3"/>
                <w:sz w:val="21"/>
              </w:rPr>
              <w:t>本保单所指的系统性红斑狼疮仅限于累及肾脏</w:t>
            </w:r>
            <w:r>
              <w:rPr>
                <w:sz w:val="21"/>
              </w:rPr>
              <w:t>（</w:t>
            </w:r>
            <w:r>
              <w:rPr>
                <w:spacing w:val="-7"/>
                <w:sz w:val="21"/>
              </w:rPr>
              <w:t>经肾脏活检确认的，符合 </w:t>
            </w:r>
            <w:r>
              <w:rPr>
                <w:sz w:val="21"/>
              </w:rPr>
              <w:t>WHO </w:t>
            </w:r>
            <w:r>
              <w:rPr>
                <w:spacing w:val="-9"/>
                <w:sz w:val="21"/>
              </w:rPr>
              <w:t>诊断标准定义 </w:t>
            </w:r>
            <w:r>
              <w:rPr>
                <w:sz w:val="21"/>
              </w:rPr>
              <w:t>III</w:t>
            </w:r>
            <w:r>
              <w:rPr>
                <w:spacing w:val="-26"/>
                <w:sz w:val="21"/>
              </w:rPr>
              <w:t> 型或 </w:t>
            </w:r>
            <w:r>
              <w:rPr>
                <w:sz w:val="21"/>
              </w:rPr>
              <w:t>III</w:t>
            </w:r>
            <w:r>
              <w:rPr>
                <w:spacing w:val="-8"/>
                <w:sz w:val="21"/>
              </w:rPr>
              <w:t> 型以上狼疮性肾炎</w:t>
            </w:r>
            <w:r>
              <w:rPr>
                <w:spacing w:val="-27"/>
                <w:sz w:val="21"/>
              </w:rPr>
              <w:t>）</w:t>
            </w:r>
            <w:r>
              <w:rPr>
                <w:spacing w:val="-6"/>
                <w:sz w:val="21"/>
              </w:rPr>
              <w:t>的系统性红斑狼疮。其他类型</w:t>
            </w:r>
            <w:r>
              <w:rPr>
                <w:spacing w:val="-15"/>
                <w:sz w:val="21"/>
              </w:rPr>
              <w:t>的红斑性狼疮，如盘状狼疮、仅累及血液及关节的狼疮不在本保单保障范围內。</w:t>
            </w:r>
            <w:r>
              <w:rPr>
                <w:spacing w:val="-7"/>
                <w:sz w:val="21"/>
              </w:rPr>
              <w:t>本病必须由免疫和风湿科</w:t>
            </w:r>
            <w:r>
              <w:rPr>
                <w:rFonts w:ascii="微软雅黑" w:eastAsia="微软雅黑" w:hint="eastAsia"/>
                <w:b/>
                <w:sz w:val="21"/>
              </w:rPr>
              <w:t>专科医生</w:t>
            </w:r>
            <w:r>
              <w:rPr>
                <w:spacing w:val="-2"/>
                <w:sz w:val="21"/>
              </w:rPr>
              <w:t>确诊。</w:t>
            </w:r>
          </w:p>
          <w:p>
            <w:pPr>
              <w:pStyle w:val="TableParagraph"/>
              <w:spacing w:before="3"/>
              <w:rPr>
                <w:sz w:val="21"/>
              </w:rPr>
            </w:pPr>
            <w:r>
              <w:rPr>
                <w:sz w:val="21"/>
              </w:rPr>
              <w:t>世界卫生组织（WHO） 狼疮型肾炎分型：</w:t>
            </w:r>
          </w:p>
          <w:p>
            <w:pPr>
              <w:pStyle w:val="TableParagraph"/>
              <w:numPr>
                <w:ilvl w:val="0"/>
                <w:numId w:val="14"/>
              </w:numPr>
              <w:tabs>
                <w:tab w:pos="267" w:val="left" w:leader="none"/>
                <w:tab w:pos="2210" w:val="left" w:leader="none"/>
              </w:tabs>
              <w:spacing w:line="240" w:lineRule="auto" w:before="36" w:after="0"/>
              <w:ind w:left="266" w:right="0" w:hanging="159"/>
              <w:jc w:val="left"/>
              <w:rPr>
                <w:sz w:val="21"/>
              </w:rPr>
            </w:pPr>
            <w:r>
              <w:rPr>
                <w:sz w:val="21"/>
              </w:rPr>
              <w:t>型</w:t>
              <w:tab/>
            </w:r>
            <w:r>
              <w:rPr>
                <w:spacing w:val="-3"/>
                <w:sz w:val="21"/>
              </w:rPr>
              <w:t>微</w:t>
            </w:r>
            <w:r>
              <w:rPr>
                <w:sz w:val="21"/>
              </w:rPr>
              <w:t>小</w:t>
            </w:r>
            <w:r>
              <w:rPr>
                <w:spacing w:val="-3"/>
                <w:sz w:val="21"/>
              </w:rPr>
              <w:t>病</w:t>
            </w:r>
            <w:r>
              <w:rPr>
                <w:sz w:val="21"/>
              </w:rPr>
              <w:t>型</w:t>
            </w:r>
          </w:p>
          <w:p>
            <w:pPr>
              <w:pStyle w:val="TableParagraph"/>
              <w:numPr>
                <w:ilvl w:val="0"/>
                <w:numId w:val="14"/>
              </w:numPr>
              <w:tabs>
                <w:tab w:pos="372" w:val="left" w:leader="none"/>
                <w:tab w:pos="2210" w:val="left" w:leader="none"/>
              </w:tabs>
              <w:spacing w:line="240" w:lineRule="auto" w:before="36" w:after="0"/>
              <w:ind w:left="371" w:right="0" w:hanging="264"/>
              <w:jc w:val="left"/>
              <w:rPr>
                <w:sz w:val="21"/>
              </w:rPr>
            </w:pPr>
            <w:r>
              <w:rPr>
                <w:sz w:val="21"/>
              </w:rPr>
              <w:t>型</w:t>
              <w:tab/>
            </w:r>
            <w:r>
              <w:rPr>
                <w:spacing w:val="-3"/>
                <w:sz w:val="21"/>
              </w:rPr>
              <w:t>系</w:t>
            </w:r>
            <w:r>
              <w:rPr>
                <w:sz w:val="21"/>
              </w:rPr>
              <w:t>膜</w:t>
            </w:r>
            <w:r>
              <w:rPr>
                <w:spacing w:val="-3"/>
                <w:sz w:val="21"/>
              </w:rPr>
              <w:t>病</w:t>
            </w:r>
            <w:r>
              <w:rPr>
                <w:sz w:val="21"/>
              </w:rPr>
              <w:t>变型</w:t>
            </w:r>
          </w:p>
          <w:p>
            <w:pPr>
              <w:pStyle w:val="TableParagraph"/>
              <w:numPr>
                <w:ilvl w:val="0"/>
                <w:numId w:val="14"/>
              </w:numPr>
              <w:tabs>
                <w:tab w:pos="478" w:val="left" w:leader="none"/>
                <w:tab w:pos="2210" w:val="left" w:leader="none"/>
              </w:tabs>
              <w:spacing w:line="240" w:lineRule="auto" w:before="36" w:after="0"/>
              <w:ind w:left="477" w:right="0" w:hanging="370"/>
              <w:jc w:val="left"/>
              <w:rPr>
                <w:sz w:val="21"/>
              </w:rPr>
            </w:pPr>
            <w:r>
              <w:rPr>
                <w:sz w:val="21"/>
              </w:rPr>
              <w:t>型</w:t>
              <w:tab/>
            </w:r>
            <w:r>
              <w:rPr>
                <w:spacing w:val="-3"/>
                <w:sz w:val="21"/>
              </w:rPr>
              <w:t>局</w:t>
            </w:r>
            <w:r>
              <w:rPr>
                <w:sz w:val="21"/>
              </w:rPr>
              <w:t>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TableParagraph"/>
              <w:numPr>
                <w:ilvl w:val="0"/>
                <w:numId w:val="14"/>
              </w:numPr>
              <w:tabs>
                <w:tab w:pos="372" w:val="left" w:leader="none"/>
                <w:tab w:pos="2210" w:val="left" w:leader="none"/>
              </w:tabs>
              <w:spacing w:line="240" w:lineRule="auto" w:before="36" w:after="0"/>
              <w:ind w:left="371" w:right="0" w:hanging="264"/>
              <w:jc w:val="left"/>
              <w:rPr>
                <w:sz w:val="21"/>
              </w:rPr>
            </w:pPr>
            <w:r>
              <w:rPr>
                <w:sz w:val="21"/>
              </w:rPr>
              <w:t>型</w:t>
              <w:tab/>
            </w:r>
            <w:r>
              <w:rPr>
                <w:spacing w:val="-3"/>
                <w:sz w:val="21"/>
              </w:rPr>
              <w:t>弥</w:t>
            </w:r>
            <w:r>
              <w:rPr>
                <w:sz w:val="21"/>
              </w:rPr>
              <w:t>漫</w:t>
            </w:r>
            <w:r>
              <w:rPr>
                <w:spacing w:val="-3"/>
                <w:sz w:val="21"/>
              </w:rPr>
              <w:t>增</w:t>
            </w:r>
            <w:r>
              <w:rPr>
                <w:sz w:val="21"/>
              </w:rPr>
              <w:t>生型</w:t>
            </w:r>
          </w:p>
          <w:p>
            <w:pPr>
              <w:pStyle w:val="TableParagraph"/>
              <w:numPr>
                <w:ilvl w:val="0"/>
                <w:numId w:val="14"/>
              </w:numPr>
              <w:tabs>
                <w:tab w:pos="267" w:val="left" w:leader="none"/>
                <w:tab w:pos="2210" w:val="left" w:leader="none"/>
              </w:tabs>
              <w:spacing w:line="240" w:lineRule="auto" w:before="36" w:after="0"/>
              <w:ind w:left="266" w:right="0" w:hanging="159"/>
              <w:jc w:val="left"/>
              <w:rPr>
                <w:sz w:val="21"/>
              </w:rPr>
            </w:pPr>
            <w:r>
              <w:rPr>
                <w:sz w:val="21"/>
              </w:rPr>
              <w:t>型</w:t>
              <w:tab/>
            </w:r>
            <w:r>
              <w:rPr>
                <w:spacing w:val="-3"/>
                <w:sz w:val="21"/>
              </w:rPr>
              <w:t>膜</w:t>
            </w:r>
            <w:r>
              <w:rPr>
                <w:sz w:val="21"/>
              </w:rPr>
              <w:t>型</w:t>
            </w:r>
          </w:p>
          <w:p>
            <w:pPr>
              <w:pStyle w:val="TableParagraph"/>
              <w:numPr>
                <w:ilvl w:val="0"/>
                <w:numId w:val="14"/>
              </w:numPr>
              <w:tabs>
                <w:tab w:pos="372" w:val="left" w:leader="none"/>
                <w:tab w:pos="2210" w:val="left" w:leader="none"/>
              </w:tabs>
              <w:spacing w:line="240" w:lineRule="auto" w:before="36" w:after="0"/>
              <w:ind w:left="371" w:right="0" w:hanging="264"/>
              <w:jc w:val="left"/>
              <w:rPr>
                <w:sz w:val="21"/>
              </w:rPr>
            </w:pPr>
            <w:r>
              <w:rPr>
                <w:sz w:val="21"/>
              </w:rPr>
              <w:t>型</w:t>
              <w:tab/>
            </w:r>
            <w:r>
              <w:rPr>
                <w:spacing w:val="-3"/>
                <w:sz w:val="21"/>
              </w:rPr>
              <w:t>肾</w:t>
            </w:r>
            <w:r>
              <w:rPr>
                <w:sz w:val="21"/>
              </w:rPr>
              <w:t>小</w:t>
            </w:r>
            <w:r>
              <w:rPr>
                <w:spacing w:val="-3"/>
                <w:sz w:val="21"/>
              </w:rPr>
              <w:t>球</w:t>
            </w:r>
            <w:r>
              <w:rPr>
                <w:sz w:val="21"/>
              </w:rPr>
              <w:t>硬</w:t>
            </w:r>
            <w:r>
              <w:rPr>
                <w:spacing w:val="-3"/>
                <w:sz w:val="21"/>
              </w:rPr>
              <w:t>化</w:t>
            </w:r>
            <w:r>
              <w:rPr>
                <w:sz w:val="21"/>
              </w:rPr>
              <w:t>型</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2185"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sz w:val="21"/>
              </w:rPr>
              <w:t>三十一</w:t>
            </w:r>
          </w:p>
        </w:tc>
        <w:tc>
          <w:tcPr>
            <w:tcW w:w="1932" w:type="dxa"/>
          </w:tcPr>
          <w:p>
            <w:pPr>
              <w:pStyle w:val="TableParagraph"/>
              <w:spacing w:line="257" w:lineRule="exact"/>
              <w:rPr>
                <w:rFonts w:ascii="微软雅黑" w:eastAsia="微软雅黑" w:hint="eastAsia"/>
                <w:b/>
                <w:sz w:val="21"/>
              </w:rPr>
            </w:pPr>
            <w:r>
              <w:rPr>
                <w:rFonts w:ascii="微软雅黑" w:eastAsia="微软雅黑" w:hint="eastAsia"/>
                <w:b/>
                <w:sz w:val="21"/>
              </w:rPr>
              <w:t>经输血导致的人类</w:t>
            </w:r>
          </w:p>
          <w:p>
            <w:pPr>
              <w:pStyle w:val="TableParagraph"/>
              <w:spacing w:line="337" w:lineRule="exact"/>
              <w:rPr>
                <w:rFonts w:ascii="微软雅黑" w:eastAsia="微软雅黑" w:hint="eastAsia"/>
                <w:b/>
                <w:sz w:val="21"/>
              </w:rPr>
            </w:pPr>
            <w:r>
              <w:rPr>
                <w:rFonts w:ascii="微软雅黑" w:eastAsia="微软雅黑" w:hint="eastAsia"/>
                <w:b/>
                <w:sz w:val="21"/>
              </w:rPr>
              <w:t>免疫缺陷病毒感染</w:t>
            </w:r>
          </w:p>
        </w:tc>
        <w:tc>
          <w:tcPr>
            <w:tcW w:w="7306" w:type="dxa"/>
          </w:tcPr>
          <w:p>
            <w:pPr>
              <w:pStyle w:val="TableParagraph"/>
              <w:spacing w:line="257" w:lineRule="exact"/>
              <w:rPr>
                <w:sz w:val="21"/>
              </w:rPr>
            </w:pPr>
            <w:r>
              <w:rPr>
                <w:sz w:val="21"/>
              </w:rPr>
              <w:t>被保险人感染上人类免疫缺陷病毒（HIV）并且满足下列全部条件：</w:t>
            </w:r>
          </w:p>
          <w:p>
            <w:pPr>
              <w:pStyle w:val="TableParagraph"/>
              <w:spacing w:line="273" w:lineRule="auto" w:before="37"/>
              <w:ind w:left="611" w:right="147" w:hanging="504"/>
              <w:rPr>
                <w:sz w:val="21"/>
              </w:rPr>
            </w:pPr>
            <w:r>
              <w:rPr>
                <w:sz w:val="21"/>
              </w:rPr>
              <w:t>（1）造成感染的输血事件发生在本附加合同生效日或最后复效日（以较迟者为准）之后；</w:t>
            </w:r>
          </w:p>
          <w:p>
            <w:pPr>
              <w:pStyle w:val="TableParagraph"/>
              <w:spacing w:line="312" w:lineRule="exact" w:before="3"/>
              <w:ind w:left="611" w:right="147" w:hanging="504"/>
              <w:rPr>
                <w:sz w:val="21"/>
              </w:rPr>
            </w:pPr>
            <w:r>
              <w:rPr>
                <w:sz w:val="21"/>
              </w:rPr>
              <w:t>（2）提供输血治疗的输血中心或</w:t>
            </w:r>
            <w:r>
              <w:rPr>
                <w:rFonts w:ascii="微软雅黑" w:eastAsia="微软雅黑" w:hint="eastAsia"/>
                <w:b/>
                <w:sz w:val="21"/>
              </w:rPr>
              <w:t>医院</w:t>
            </w:r>
            <w:r>
              <w:rPr>
                <w:sz w:val="21"/>
              </w:rPr>
              <w:t>出具该项输血感染属医疗责任事故的报告，或者法院终审裁定为医疗责任；</w:t>
            </w:r>
          </w:p>
          <w:p>
            <w:pPr>
              <w:pStyle w:val="TableParagraph"/>
              <w:spacing w:line="305" w:lineRule="exact"/>
              <w:rPr>
                <w:sz w:val="21"/>
              </w:rPr>
            </w:pPr>
            <w:r>
              <w:rPr>
                <w:sz w:val="21"/>
              </w:rPr>
              <w:t>（3）提供输血治疗的输血中心或</w:t>
            </w:r>
            <w:r>
              <w:rPr>
                <w:rFonts w:ascii="微软雅黑" w:eastAsia="微软雅黑" w:hint="eastAsia"/>
                <w:b/>
                <w:sz w:val="21"/>
              </w:rPr>
              <w:t>医院</w:t>
            </w:r>
            <w:r>
              <w:rPr>
                <w:sz w:val="21"/>
              </w:rPr>
              <w:t>必须拥有合法经营执照；</w:t>
            </w:r>
          </w:p>
          <w:p>
            <w:pPr>
              <w:pStyle w:val="TableParagraph"/>
              <w:spacing w:before="12"/>
              <w:rPr>
                <w:sz w:val="21"/>
              </w:rPr>
            </w:pPr>
            <w:r>
              <w:rPr>
                <w:sz w:val="21"/>
              </w:rPr>
              <w:t>（4）受感染的被保险人不是血友病患者。</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559"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三十二</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脊髓灰质炎</w:t>
            </w:r>
          </w:p>
        </w:tc>
        <w:tc>
          <w:tcPr>
            <w:tcW w:w="7306" w:type="dxa"/>
          </w:tcPr>
          <w:p>
            <w:pPr>
              <w:pStyle w:val="TableParagraph"/>
              <w:spacing w:line="255" w:lineRule="exact"/>
              <w:rPr>
                <w:sz w:val="21"/>
              </w:rPr>
            </w:pPr>
            <w:r>
              <w:rPr>
                <w:sz w:val="21"/>
              </w:rPr>
              <w:t>脊髓灰质炎是由于脊髓灰质炎病毒感染所致的瘫痪性疾病，临床表现为运动功</w:t>
            </w:r>
          </w:p>
          <w:p>
            <w:pPr>
              <w:pStyle w:val="TableParagraph"/>
              <w:spacing w:line="273" w:lineRule="auto" w:before="37"/>
              <w:ind w:right="91"/>
              <w:rPr>
                <w:sz w:val="21"/>
              </w:rPr>
            </w:pPr>
            <w:r>
              <w:rPr>
                <w:spacing w:val="-7"/>
                <w:sz w:val="21"/>
              </w:rPr>
              <w:t>能损害或呼吸无力。脊髓灰质炎必须明确诊断。本保单仅对脊髓灰质炎造成的</w:t>
            </w:r>
            <w:r>
              <w:rPr>
                <w:spacing w:val="-5"/>
                <w:sz w:val="21"/>
              </w:rPr>
              <w:t>神经系统功能损害导致被保险人一肢或一肢以上肢体机能永久完全丧失的情</w:t>
            </w:r>
            <w:r>
              <w:rPr>
                <w:spacing w:val="-10"/>
                <w:sz w:val="21"/>
              </w:rPr>
              <w:t>况予以理赔。肢体机能永久完全丧失，指疾病确诊 </w:t>
            </w:r>
            <w:r>
              <w:rPr>
                <w:sz w:val="21"/>
              </w:rPr>
              <w:t>180</w:t>
            </w:r>
            <w:r>
              <w:rPr>
                <w:spacing w:val="-9"/>
                <w:sz w:val="21"/>
              </w:rPr>
              <w:t> 天后，每肢三大关节中</w:t>
            </w:r>
            <w:r>
              <w:rPr>
                <w:spacing w:val="-5"/>
                <w:sz w:val="21"/>
              </w:rPr>
              <w:t>的两大关节仍然完全僵硬，或不能随意识活动。</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871"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三十三</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全身性重症肌无力</w:t>
            </w:r>
          </w:p>
        </w:tc>
        <w:tc>
          <w:tcPr>
            <w:tcW w:w="7306" w:type="dxa"/>
          </w:tcPr>
          <w:p>
            <w:pPr>
              <w:pStyle w:val="TableParagraph"/>
              <w:spacing w:line="255" w:lineRule="exact"/>
              <w:rPr>
                <w:sz w:val="21"/>
              </w:rPr>
            </w:pPr>
            <w:r>
              <w:rPr>
                <w:sz w:val="21"/>
              </w:rPr>
              <w:t>重症肌无力是一种神经肌肉接头传递障碍所致的疾病，表现为局部或全身骨骼</w:t>
            </w:r>
          </w:p>
          <w:p>
            <w:pPr>
              <w:pStyle w:val="TableParagraph"/>
              <w:spacing w:line="273" w:lineRule="auto" w:before="37"/>
              <w:ind w:right="42"/>
              <w:rPr>
                <w:sz w:val="21"/>
              </w:rPr>
            </w:pPr>
            <w:r>
              <w:rPr>
                <w:sz w:val="21"/>
              </w:rPr>
              <w:t>肌（特别是眼外肌）极易疲劳。疾病可以累及呼吸肌、上肢或下肢的近端肌群或全身肌肉，必须满足下列全部条件：</w:t>
            </w:r>
          </w:p>
          <w:p>
            <w:pPr>
              <w:pStyle w:val="TableParagraph"/>
              <w:spacing w:line="262" w:lineRule="exact" w:before="7"/>
              <w:rPr>
                <w:sz w:val="21"/>
              </w:rPr>
            </w:pPr>
            <w:r>
              <w:rPr>
                <w:sz w:val="21"/>
              </w:rPr>
              <w:t>（1）经药物治疗和胸腺切除治疗一年以上仍无法控制病情；</w:t>
            </w:r>
          </w:p>
          <w:p>
            <w:pPr>
              <w:pStyle w:val="TableParagraph"/>
              <w:spacing w:line="247" w:lineRule="auto"/>
              <w:ind w:left="611" w:right="139" w:hanging="505"/>
              <w:rPr>
                <w:sz w:val="21"/>
              </w:rPr>
            </w:pPr>
            <w:r>
              <w:rPr>
                <w:sz w:val="21"/>
              </w:rPr>
              <w:t>（2）自主生活能力完全丧失，无法独立完成</w:t>
            </w:r>
            <w:r>
              <w:rPr>
                <w:rFonts w:ascii="微软雅黑" w:eastAsia="微软雅黑" w:hint="eastAsia"/>
                <w:b/>
                <w:sz w:val="21"/>
              </w:rPr>
              <w:t>六项基本日常生活活动</w:t>
            </w:r>
            <w:r>
              <w:rPr>
                <w:sz w:val="21"/>
              </w:rPr>
              <w:t>中的三项或三项以上。</w:t>
            </w:r>
          </w:p>
        </w:tc>
      </w:tr>
      <w:tr>
        <w:trPr>
          <w:trHeight w:val="218"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93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三十四</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w w:val="105"/>
                <w:sz w:val="21"/>
              </w:rPr>
              <w:t>I 型糖尿病</w:t>
            </w:r>
          </w:p>
        </w:tc>
        <w:tc>
          <w:tcPr>
            <w:tcW w:w="7306" w:type="dxa"/>
          </w:tcPr>
          <w:p>
            <w:pPr>
              <w:pStyle w:val="TableParagraph"/>
              <w:spacing w:line="255" w:lineRule="exact"/>
              <w:rPr>
                <w:sz w:val="21"/>
              </w:rPr>
            </w:pPr>
            <w:r>
              <w:rPr>
                <w:sz w:val="21"/>
              </w:rPr>
              <w:t>I 型糖尿病的特征为由于胰岛素分泌绝对不足引起严重胰岛素缺乏导致慢性血</w:t>
            </w:r>
          </w:p>
          <w:p>
            <w:pPr>
              <w:pStyle w:val="TableParagraph"/>
              <w:spacing w:line="273" w:lineRule="auto" w:before="37"/>
              <w:ind w:right="94"/>
              <w:rPr>
                <w:sz w:val="21"/>
              </w:rPr>
            </w:pPr>
            <w:r>
              <w:rPr>
                <w:spacing w:val="-3"/>
                <w:sz w:val="21"/>
              </w:rPr>
              <w:t>糖升高， 需要依赖外源性胰岛素进行机体的葡萄糖代谢和维持生命。被保险</w:t>
            </w:r>
            <w:r>
              <w:rPr>
                <w:spacing w:val="-18"/>
                <w:sz w:val="21"/>
              </w:rPr>
              <w:t>人的 </w:t>
            </w:r>
            <w:r>
              <w:rPr>
                <w:sz w:val="21"/>
              </w:rPr>
              <w:t>I</w:t>
            </w:r>
            <w:r>
              <w:rPr>
                <w:spacing w:val="-14"/>
                <w:sz w:val="21"/>
              </w:rPr>
              <w:t> 型糖尿病必须明确诊断，而且有血胰岛素测定及血 </w:t>
            </w:r>
            <w:r>
              <w:rPr>
                <w:sz w:val="21"/>
              </w:rPr>
              <w:t>C</w:t>
            </w:r>
            <w:r>
              <w:rPr>
                <w:spacing w:val="-22"/>
                <w:sz w:val="21"/>
              </w:rPr>
              <w:t> 肽或尿 </w:t>
            </w:r>
            <w:r>
              <w:rPr>
                <w:sz w:val="21"/>
              </w:rPr>
              <w:t>C</w:t>
            </w:r>
            <w:r>
              <w:rPr>
                <w:spacing w:val="-12"/>
                <w:sz w:val="21"/>
              </w:rPr>
              <w:t> 肽测定结</w:t>
            </w:r>
          </w:p>
        </w:tc>
      </w:tr>
    </w:tbl>
    <w:p>
      <w:pPr>
        <w:spacing w:after="0" w:line="273" w:lineRule="auto"/>
        <w:rPr>
          <w:sz w:val="21"/>
        </w:rPr>
        <w:sectPr>
          <w:pgSz w:w="11900" w:h="16840"/>
          <w:pgMar w:top="114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156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spacing w:line="257" w:lineRule="exact"/>
              <w:rPr>
                <w:sz w:val="21"/>
              </w:rPr>
            </w:pPr>
            <w:r>
              <w:rPr>
                <w:sz w:val="21"/>
              </w:rPr>
              <w:t>果支持诊断，并且满足下列全部条件：</w:t>
            </w:r>
          </w:p>
          <w:p>
            <w:pPr>
              <w:pStyle w:val="TableParagraph"/>
              <w:spacing w:before="37"/>
              <w:rPr>
                <w:sz w:val="21"/>
              </w:rPr>
            </w:pPr>
            <w:r>
              <w:rPr>
                <w:sz w:val="21"/>
              </w:rPr>
              <w:t>（1）已经持续性地接受外源性胰岛素注射治疗连续 180 天以上；</w:t>
            </w:r>
          </w:p>
          <w:p>
            <w:pPr>
              <w:pStyle w:val="TableParagraph"/>
              <w:spacing w:before="37"/>
              <w:rPr>
                <w:sz w:val="21"/>
              </w:rPr>
            </w:pPr>
            <w:r>
              <w:rPr>
                <w:sz w:val="21"/>
              </w:rPr>
              <w:t>（2）因需要已经接受了下列治疗：</w:t>
            </w:r>
          </w:p>
          <w:p>
            <w:pPr>
              <w:pStyle w:val="TableParagraph"/>
              <w:spacing w:before="37"/>
              <w:ind w:left="527"/>
              <w:rPr>
                <w:sz w:val="21"/>
              </w:rPr>
            </w:pPr>
            <w:r>
              <w:rPr>
                <w:sz w:val="21"/>
              </w:rPr>
              <w:t>① 因严重心律失常植入了心脏起搏器；或</w:t>
            </w:r>
          </w:p>
          <w:p>
            <w:pPr>
              <w:pStyle w:val="TableParagraph"/>
              <w:spacing w:before="37"/>
              <w:ind w:left="527"/>
              <w:rPr>
                <w:sz w:val="21"/>
              </w:rPr>
            </w:pPr>
            <w:r>
              <w:rPr>
                <w:sz w:val="21"/>
              </w:rPr>
              <w:t>② 因坏疽自跖趾关节或以上切除了一趾或多趾。</w:t>
            </w:r>
          </w:p>
        </w:tc>
      </w:tr>
      <w:tr>
        <w:trPr>
          <w:trHeight w:val="215"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247"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三十五</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植物人状态</w:t>
            </w:r>
          </w:p>
        </w:tc>
        <w:tc>
          <w:tcPr>
            <w:tcW w:w="7306" w:type="dxa"/>
          </w:tcPr>
          <w:p>
            <w:pPr>
              <w:pStyle w:val="TableParagraph"/>
              <w:spacing w:line="255" w:lineRule="exact"/>
              <w:rPr>
                <w:sz w:val="21"/>
              </w:rPr>
            </w:pPr>
            <w:r>
              <w:rPr>
                <w:sz w:val="21"/>
              </w:rPr>
              <w:t>植物人状态系指由于严重颅脑外伤造成大脑严重损害导致完全永久性的对自</w:t>
            </w:r>
          </w:p>
          <w:p>
            <w:pPr>
              <w:pStyle w:val="TableParagraph"/>
              <w:spacing w:line="273" w:lineRule="auto" w:before="37"/>
              <w:ind w:right="94"/>
              <w:jc w:val="both"/>
              <w:rPr>
                <w:sz w:val="21"/>
              </w:rPr>
            </w:pPr>
            <w:r>
              <w:rPr>
                <w:spacing w:val="-6"/>
                <w:sz w:val="21"/>
              </w:rPr>
              <w:t>身和环境的意识丧失和中枢神经系统功能丧失，仅残存植物神经功能的疾病状</w:t>
            </w:r>
            <w:r>
              <w:rPr>
                <w:spacing w:val="-8"/>
                <w:sz w:val="21"/>
              </w:rPr>
              <w:t>态。诊断必须明确并且具有严重颅脑外伤和脑损害的证据。植物人状态必须持</w:t>
            </w:r>
            <w:r>
              <w:rPr>
                <w:spacing w:val="-28"/>
                <w:sz w:val="21"/>
              </w:rPr>
              <w:t>续 </w:t>
            </w:r>
            <w:r>
              <w:rPr>
                <w:sz w:val="21"/>
              </w:rPr>
              <w:t>30</w:t>
            </w:r>
            <w:r>
              <w:rPr>
                <w:spacing w:val="-8"/>
                <w:sz w:val="21"/>
              </w:rPr>
              <w:t> 天以上方可申请理赔。</w:t>
            </w:r>
          </w:p>
        </w:tc>
      </w:tr>
      <w:tr>
        <w:trPr>
          <w:trHeight w:val="217" w:hRule="atLeast"/>
        </w:trPr>
        <w:tc>
          <w:tcPr>
            <w:tcW w:w="852"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6" w:type="dxa"/>
          </w:tcPr>
          <w:p>
            <w:pPr>
              <w:pStyle w:val="TableParagraph"/>
              <w:ind w:left="0"/>
              <w:rPr>
                <w:rFonts w:ascii="Times New Roman"/>
                <w:sz w:val="14"/>
              </w:rPr>
            </w:pPr>
          </w:p>
        </w:tc>
      </w:tr>
      <w:tr>
        <w:trPr>
          <w:trHeight w:val="1247"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三十六</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肾髓质囊性病</w:t>
            </w:r>
          </w:p>
        </w:tc>
        <w:tc>
          <w:tcPr>
            <w:tcW w:w="7306" w:type="dxa"/>
          </w:tcPr>
          <w:p>
            <w:pPr>
              <w:pStyle w:val="TableParagraph"/>
              <w:spacing w:line="255" w:lineRule="exact"/>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before="37"/>
              <w:rPr>
                <w:sz w:val="21"/>
              </w:rPr>
            </w:pPr>
            <w:r>
              <w:rPr>
                <w:sz w:val="21"/>
              </w:rPr>
              <w:t>（3）诊断须由肾组织活检确定。</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93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三十七</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原发性心肌病</w:t>
            </w:r>
          </w:p>
        </w:tc>
        <w:tc>
          <w:tcPr>
            <w:tcW w:w="7306" w:type="dxa"/>
          </w:tcPr>
          <w:p>
            <w:pPr>
              <w:pStyle w:val="TableParagraph"/>
              <w:spacing w:line="255" w:lineRule="exact"/>
              <w:rPr>
                <w:sz w:val="21"/>
              </w:rPr>
            </w:pPr>
            <w:r>
              <w:rPr>
                <w:sz w:val="21"/>
              </w:rPr>
              <w:t>指因原发性心肌病导致慢性心功能损害造成永久不可逆性的心功能衰竭。心功</w:t>
            </w:r>
          </w:p>
          <w:p>
            <w:pPr>
              <w:pStyle w:val="TableParagraph"/>
              <w:spacing w:line="262" w:lineRule="exact" w:before="37"/>
              <w:rPr>
                <w:sz w:val="21"/>
              </w:rPr>
            </w:pPr>
            <w:r>
              <w:rPr>
                <w:sz w:val="21"/>
              </w:rPr>
              <w:t>能衰竭程度达到纽约心脏病学会心功能分级状态分级 IV 级。</w:t>
            </w:r>
          </w:p>
          <w:p>
            <w:pPr>
              <w:pStyle w:val="TableParagraph"/>
              <w:spacing w:line="350" w:lineRule="exact"/>
              <w:rPr>
                <w:rFonts w:ascii="微软雅黑" w:eastAsia="微软雅黑" w:hint="eastAsia"/>
                <w:b/>
                <w:sz w:val="21"/>
              </w:rPr>
            </w:pPr>
            <w:r>
              <w:rPr>
                <w:rFonts w:ascii="微软雅黑" w:eastAsia="微软雅黑" w:hint="eastAsia"/>
                <w:b/>
                <w:sz w:val="21"/>
              </w:rPr>
              <w:t>此疾病须由卫生行政部门认定的三级以上（含三级）医院确诊。</w:t>
            </w:r>
          </w:p>
        </w:tc>
      </w:tr>
      <w:tr>
        <w:trPr>
          <w:trHeight w:val="313"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1871"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三十八</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坏死性筋膜炎</w:t>
            </w:r>
          </w:p>
        </w:tc>
        <w:tc>
          <w:tcPr>
            <w:tcW w:w="7306" w:type="dxa"/>
          </w:tcPr>
          <w:p>
            <w:pPr>
              <w:pStyle w:val="TableParagraph"/>
              <w:spacing w:line="255" w:lineRule="exact"/>
              <w:rPr>
                <w:sz w:val="21"/>
              </w:rPr>
            </w:pPr>
            <w:r>
              <w:rPr>
                <w:sz w:val="21"/>
              </w:rPr>
              <w:t>是一种由细菌侵入皮下组织和筋膜引起的急性坏死性软组织感染，可伴有毒血</w:t>
            </w:r>
          </w:p>
          <w:p>
            <w:pPr>
              <w:pStyle w:val="TableParagraph"/>
              <w:spacing w:line="273" w:lineRule="auto" w:before="37"/>
              <w:ind w:right="96"/>
              <w:rPr>
                <w:sz w:val="21"/>
              </w:rPr>
            </w:pPr>
            <w:r>
              <w:rPr>
                <w:spacing w:val="-8"/>
                <w:sz w:val="21"/>
              </w:rPr>
              <w:t>症、败血症、中毒性休克、弥漫性血管内凝血及多器官衰竭。必须满足以下所</w:t>
            </w:r>
            <w:r>
              <w:rPr>
                <w:spacing w:val="-6"/>
                <w:sz w:val="21"/>
              </w:rPr>
              <w:t>有条件：</w:t>
            </w:r>
          </w:p>
          <w:p>
            <w:pPr>
              <w:pStyle w:val="TableParagraph"/>
              <w:spacing w:before="7"/>
              <w:rPr>
                <w:sz w:val="21"/>
              </w:rPr>
            </w:pPr>
            <w:r>
              <w:rPr>
                <w:sz w:val="21"/>
              </w:rPr>
              <w:t>（1）细菌培养和临床表现符合坏死性筋膜炎诊断标准；</w:t>
            </w:r>
          </w:p>
          <w:p>
            <w:pPr>
              <w:pStyle w:val="TableParagraph"/>
              <w:spacing w:before="36"/>
              <w:rPr>
                <w:sz w:val="21"/>
              </w:rPr>
            </w:pPr>
            <w:r>
              <w:rPr>
                <w:sz w:val="21"/>
              </w:rPr>
              <w:t>（2）病情迅速恶化，有脓毒血症表现；</w:t>
            </w:r>
          </w:p>
          <w:p>
            <w:pPr>
              <w:pStyle w:val="TableParagraph"/>
              <w:spacing w:before="36"/>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218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三十九</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肌营养不良症</w:t>
            </w:r>
          </w:p>
        </w:tc>
        <w:tc>
          <w:tcPr>
            <w:tcW w:w="7306" w:type="dxa"/>
          </w:tcPr>
          <w:p>
            <w:pPr>
              <w:pStyle w:val="TableParagraph"/>
              <w:spacing w:line="255" w:lineRule="exact"/>
              <w:rPr>
                <w:sz w:val="21"/>
              </w:rPr>
            </w:pPr>
            <w:r>
              <w:rPr>
                <w:sz w:val="21"/>
              </w:rPr>
              <w:t>指一组遗传性肌肉变性病变, 临床特征为与神经系统无关的骨骼肌肉对称地</w:t>
            </w:r>
          </w:p>
          <w:p>
            <w:pPr>
              <w:pStyle w:val="TableParagraph"/>
              <w:spacing w:before="37"/>
              <w:rPr>
                <w:sz w:val="21"/>
              </w:rPr>
            </w:pPr>
            <w:r>
              <w:rPr>
                <w:sz w:val="21"/>
              </w:rPr>
              <w:t>进行性无力和萎缩。其诊断需满足下列全部条件：</w:t>
            </w:r>
          </w:p>
          <w:p>
            <w:pPr>
              <w:pStyle w:val="TableParagraph"/>
              <w:spacing w:before="37"/>
              <w:rPr>
                <w:sz w:val="21"/>
              </w:rPr>
            </w:pPr>
            <w:r>
              <w:rPr>
                <w:sz w:val="21"/>
              </w:rPr>
              <w:t>（1）肌电图显示典型肌营养不良症的阳性改变；</w:t>
            </w:r>
          </w:p>
          <w:p>
            <w:pPr>
              <w:pStyle w:val="TableParagraph"/>
              <w:spacing w:line="273" w:lineRule="auto" w:before="37"/>
              <w:ind w:left="633" w:right="31" w:hanging="526"/>
              <w:rPr>
                <w:sz w:val="21"/>
              </w:rPr>
            </w:pPr>
            <w:r>
              <w:rPr>
                <w:sz w:val="21"/>
              </w:rPr>
              <w:t>（2）肌肉活检的病理学诊断符合肌营养不良症的肌肉细胞变性\坏死等阳性改变；</w:t>
            </w:r>
          </w:p>
          <w:p>
            <w:pPr>
              <w:pStyle w:val="TableParagraph"/>
              <w:spacing w:line="273" w:lineRule="auto" w:before="7"/>
              <w:ind w:left="633" w:right="147" w:hanging="526"/>
              <w:rPr>
                <w:sz w:val="21"/>
              </w:rPr>
            </w:pPr>
            <w:r>
              <w:rPr>
                <w:sz w:val="21"/>
              </w:rPr>
              <w:t>（3）已导致被保险人持续超过三个月无法独立完成六项基本日常生活活动中的三项获三项以上。</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93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四十</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严重克隆病</w:t>
            </w:r>
          </w:p>
        </w:tc>
        <w:tc>
          <w:tcPr>
            <w:tcW w:w="7306" w:type="dxa"/>
          </w:tcPr>
          <w:p>
            <w:pPr>
              <w:pStyle w:val="TableParagraph"/>
              <w:spacing w:line="255" w:lineRule="exact"/>
              <w:rPr>
                <w:sz w:val="21"/>
              </w:rPr>
            </w:pPr>
            <w:r>
              <w:rPr>
                <w:sz w:val="21"/>
              </w:rPr>
              <w:t>克隆病是一种慢性肉芽肿性肠炎，具有特征性的克隆病病理组织学变化。诊断</w:t>
            </w:r>
          </w:p>
          <w:p>
            <w:pPr>
              <w:pStyle w:val="TableParagraph"/>
              <w:spacing w:line="273" w:lineRule="auto" w:before="37"/>
              <w:ind w:right="94"/>
              <w:rPr>
                <w:sz w:val="21"/>
              </w:rPr>
            </w:pPr>
            <w:r>
              <w:rPr>
                <w:spacing w:val="-7"/>
                <w:sz w:val="21"/>
              </w:rPr>
              <w:t>必须由病理检查结果证实。被保险人所患的克隆病必须已经造成瘘管形成并伴</w:t>
            </w:r>
            <w:r>
              <w:rPr>
                <w:spacing w:val="-5"/>
                <w:sz w:val="21"/>
              </w:rPr>
              <w:t>有肠梗阻或肠穿孔。</w:t>
            </w:r>
          </w:p>
        </w:tc>
      </w:tr>
      <w:tr>
        <w:trPr>
          <w:trHeight w:val="313"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1871"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四十一</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严重哮喘</w:t>
            </w:r>
          </w:p>
        </w:tc>
        <w:tc>
          <w:tcPr>
            <w:tcW w:w="7306" w:type="dxa"/>
          </w:tcPr>
          <w:p>
            <w:pPr>
              <w:pStyle w:val="TableParagraph"/>
              <w:spacing w:line="255" w:lineRule="exact"/>
              <w:rPr>
                <w:sz w:val="21"/>
              </w:rPr>
            </w:pPr>
            <w:r>
              <w:rPr>
                <w:sz w:val="21"/>
              </w:rPr>
              <w:t>被保险人必须在过去两年内曾发生哮喘持续状态，并满足以下标准中的两项或</w:t>
            </w:r>
          </w:p>
          <w:p>
            <w:pPr>
              <w:pStyle w:val="TableParagraph"/>
              <w:spacing w:before="37"/>
              <w:rPr>
                <w:sz w:val="21"/>
              </w:rPr>
            </w:pPr>
            <w:r>
              <w:rPr>
                <w:sz w:val="21"/>
              </w:rPr>
              <w:t>两项以上标准：</w:t>
            </w:r>
          </w:p>
          <w:p>
            <w:pPr>
              <w:pStyle w:val="TableParagraph"/>
              <w:spacing w:before="37"/>
              <w:rPr>
                <w:sz w:val="21"/>
              </w:rPr>
            </w:pPr>
            <w:r>
              <w:rPr>
                <w:sz w:val="21"/>
              </w:rPr>
              <w:t>（1）运动耐受力永久并持续地减少并且轻微的运动能引起气促；</w:t>
            </w:r>
          </w:p>
          <w:p>
            <w:pPr>
              <w:pStyle w:val="TableParagraph"/>
              <w:spacing w:before="37"/>
              <w:rPr>
                <w:sz w:val="21"/>
              </w:rPr>
            </w:pPr>
            <w:r>
              <w:rPr>
                <w:sz w:val="21"/>
              </w:rPr>
              <w:t>（2）长期胸腔过渡膨胀而导致胸腔畸形；</w:t>
            </w:r>
          </w:p>
          <w:p>
            <w:pPr>
              <w:pStyle w:val="TableParagraph"/>
              <w:spacing w:before="37"/>
              <w:rPr>
                <w:sz w:val="21"/>
              </w:rPr>
            </w:pPr>
            <w:r>
              <w:rPr>
                <w:sz w:val="21"/>
              </w:rPr>
              <w:t>（3）在家及在静息状态下需要吸氧；</w:t>
            </w:r>
          </w:p>
          <w:p>
            <w:pPr>
              <w:pStyle w:val="TableParagraph"/>
              <w:spacing w:before="37"/>
              <w:rPr>
                <w:sz w:val="21"/>
              </w:rPr>
            </w:pPr>
            <w:r>
              <w:rPr>
                <w:sz w:val="21"/>
              </w:rPr>
              <w:t>（4）</w:t>
            </w:r>
            <w:r>
              <w:rPr>
                <w:spacing w:val="-3"/>
                <w:sz w:val="21"/>
              </w:rPr>
              <w:t>持续的每天服用类固醇药物</w:t>
            </w:r>
            <w:r>
              <w:rPr>
                <w:sz w:val="21"/>
              </w:rPr>
              <w:t>（</w:t>
            </w:r>
            <w:r>
              <w:rPr>
                <w:spacing w:val="-11"/>
                <w:sz w:val="21"/>
              </w:rPr>
              <w:t>至少持续 </w:t>
            </w:r>
            <w:r>
              <w:rPr>
                <w:sz w:val="21"/>
              </w:rPr>
              <w:t>6</w:t>
            </w:r>
            <w:r>
              <w:rPr>
                <w:spacing w:val="-10"/>
                <w:sz w:val="21"/>
              </w:rPr>
              <w:t> 个月以上</w:t>
            </w:r>
            <w:r>
              <w:rPr>
                <w:spacing w:val="-108"/>
                <w:sz w:val="21"/>
              </w:rPr>
              <w:t>）</w:t>
            </w:r>
            <w:r>
              <w:rPr>
                <w:sz w:val="21"/>
              </w:rPr>
              <w:t>。</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bl>
    <w:p>
      <w:pPr>
        <w:spacing w:after="0"/>
        <w:rPr>
          <w:rFonts w:ascii="Times New Roman"/>
          <w:sz w:val="20"/>
        </w:rPr>
        <w:sectPr>
          <w:pgSz w:w="11900" w:h="16840"/>
          <w:pgMar w:top="114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113"/>
        <w:gridCol w:w="2883"/>
        <w:gridCol w:w="1985"/>
        <w:gridCol w:w="2326"/>
      </w:tblGrid>
      <w:tr>
        <w:trPr>
          <w:trHeight w:val="1249" w:hRule="atLeast"/>
        </w:trPr>
        <w:tc>
          <w:tcPr>
            <w:tcW w:w="852" w:type="dxa"/>
          </w:tcPr>
          <w:p>
            <w:pPr>
              <w:pStyle w:val="TableParagraph"/>
              <w:spacing w:line="283" w:lineRule="exact"/>
              <w:ind w:left="0" w:right="98"/>
              <w:jc w:val="right"/>
              <w:rPr>
                <w:rFonts w:ascii="微软雅黑" w:eastAsia="微软雅黑" w:hint="eastAsia"/>
                <w:b/>
                <w:sz w:val="21"/>
              </w:rPr>
            </w:pPr>
            <w:r>
              <w:rPr>
                <w:rFonts w:ascii="微软雅黑" w:eastAsia="微软雅黑" w:hint="eastAsia"/>
                <w:b/>
                <w:sz w:val="21"/>
              </w:rPr>
              <w:t>四十二</w:t>
            </w:r>
          </w:p>
        </w:tc>
        <w:tc>
          <w:tcPr>
            <w:tcW w:w="1932" w:type="dxa"/>
          </w:tcPr>
          <w:p>
            <w:pPr>
              <w:pStyle w:val="TableParagraph"/>
              <w:spacing w:line="283" w:lineRule="exact"/>
              <w:ind w:left="94" w:right="108"/>
              <w:jc w:val="center"/>
              <w:rPr>
                <w:rFonts w:ascii="微软雅黑" w:eastAsia="微软雅黑" w:hint="eastAsia"/>
                <w:b/>
                <w:sz w:val="21"/>
              </w:rPr>
            </w:pPr>
            <w:r>
              <w:rPr>
                <w:rFonts w:ascii="微软雅黑" w:eastAsia="微软雅黑" w:hint="eastAsia"/>
                <w:b/>
                <w:sz w:val="21"/>
              </w:rPr>
              <w:t>严重溃疡性结肠炎</w:t>
            </w:r>
          </w:p>
        </w:tc>
        <w:tc>
          <w:tcPr>
            <w:tcW w:w="7307" w:type="dxa"/>
            <w:gridSpan w:val="4"/>
          </w:tcPr>
          <w:p>
            <w:pPr>
              <w:pStyle w:val="TableParagraph"/>
              <w:spacing w:line="257" w:lineRule="exact"/>
              <w:rPr>
                <w:sz w:val="21"/>
              </w:rPr>
            </w:pPr>
            <w:r>
              <w:rPr>
                <w:sz w:val="21"/>
              </w:rPr>
              <w:t>指伴有致命性电解质紊乱的急性暴发性溃疡性结肠炎，病变累及全结肠，表现</w:t>
            </w:r>
          </w:p>
          <w:p>
            <w:pPr>
              <w:pStyle w:val="TableParagraph"/>
              <w:spacing w:line="273" w:lineRule="auto" w:before="37"/>
              <w:ind w:right="95"/>
              <w:jc w:val="both"/>
              <w:rPr>
                <w:sz w:val="21"/>
              </w:rPr>
            </w:pPr>
            <w:r>
              <w:rPr>
                <w:spacing w:val="-6"/>
                <w:sz w:val="21"/>
              </w:rPr>
              <w:t>为严重的血便和系统性症状体征，治疗通常采取全结肠切除和回肠造瘘术。溃</w:t>
            </w:r>
            <w:r>
              <w:rPr>
                <w:spacing w:val="-7"/>
                <w:sz w:val="21"/>
              </w:rPr>
              <w:t>疡性结肠炎必须根据组织病理学特点诊断，并且被保险人已经接受了结肠切除</w:t>
            </w:r>
            <w:r>
              <w:rPr>
                <w:spacing w:val="-5"/>
                <w:sz w:val="21"/>
              </w:rPr>
              <w:t>和回肠造瘘术。</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gridSpan w:val="4"/>
          </w:tcPr>
          <w:p>
            <w:pPr>
              <w:pStyle w:val="TableParagraph"/>
              <w:ind w:left="0"/>
              <w:rPr>
                <w:rFonts w:ascii="Times New Roman"/>
                <w:sz w:val="20"/>
              </w:rPr>
            </w:pPr>
          </w:p>
        </w:tc>
      </w:tr>
      <w:tr>
        <w:trPr>
          <w:trHeight w:val="2183" w:hRule="atLeast"/>
        </w:trPr>
        <w:tc>
          <w:tcPr>
            <w:tcW w:w="852" w:type="dxa"/>
          </w:tcPr>
          <w:p>
            <w:pPr>
              <w:pStyle w:val="TableParagraph"/>
              <w:spacing w:line="280" w:lineRule="exact"/>
              <w:ind w:left="0" w:right="98"/>
              <w:jc w:val="right"/>
              <w:rPr>
                <w:rFonts w:ascii="微软雅黑" w:eastAsia="微软雅黑" w:hint="eastAsia"/>
                <w:b/>
                <w:sz w:val="21"/>
              </w:rPr>
            </w:pPr>
            <w:r>
              <w:rPr>
                <w:rFonts w:ascii="微软雅黑" w:eastAsia="微软雅黑" w:hint="eastAsia"/>
                <w:b/>
                <w:sz w:val="21"/>
              </w:rPr>
              <w:t>四十三</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原发性硬化性胆管</w:t>
            </w:r>
          </w:p>
          <w:p>
            <w:pPr>
              <w:pStyle w:val="TableParagraph"/>
              <w:spacing w:line="337" w:lineRule="exact"/>
              <w:rPr>
                <w:rFonts w:ascii="微软雅黑" w:eastAsia="微软雅黑" w:hint="eastAsia"/>
                <w:b/>
                <w:sz w:val="21"/>
              </w:rPr>
            </w:pPr>
            <w:r>
              <w:rPr>
                <w:rFonts w:ascii="微软雅黑" w:eastAsia="微软雅黑" w:hint="eastAsia"/>
                <w:b/>
                <w:w w:val="100"/>
                <w:sz w:val="21"/>
              </w:rPr>
              <w:t>炎</w:t>
            </w:r>
          </w:p>
        </w:tc>
        <w:tc>
          <w:tcPr>
            <w:tcW w:w="7307" w:type="dxa"/>
            <w:gridSpan w:val="4"/>
          </w:tcPr>
          <w:p>
            <w:pPr>
              <w:pStyle w:val="TableParagraph"/>
              <w:spacing w:line="255" w:lineRule="exact"/>
              <w:rPr>
                <w:sz w:val="21"/>
              </w:rPr>
            </w:pPr>
            <w:r>
              <w:rPr>
                <w:sz w:val="21"/>
              </w:rPr>
              <w:t>指一种胆汁淤积综合征，其特征是肝内、肝外胆道因纤维化性炎症逐渐狭窄，</w:t>
            </w:r>
          </w:p>
          <w:p>
            <w:pPr>
              <w:pStyle w:val="TableParagraph"/>
              <w:spacing w:line="273" w:lineRule="auto" w:before="37"/>
              <w:ind w:right="48"/>
              <w:rPr>
                <w:sz w:val="21"/>
              </w:rPr>
            </w:pPr>
            <w:r>
              <w:rPr>
                <w:sz w:val="21"/>
              </w:rPr>
              <w:t>并最终导致完全阻塞而发展为肝硬化。本病须经内镜逆行胰胆管造影等影像学检查证实，并须满足下列全部条件：</w:t>
            </w:r>
          </w:p>
          <w:p>
            <w:pPr>
              <w:pStyle w:val="TableParagraph"/>
              <w:spacing w:before="7"/>
              <w:rPr>
                <w:sz w:val="21"/>
              </w:rPr>
            </w:pPr>
            <w:r>
              <w:rPr>
                <w:sz w:val="21"/>
              </w:rPr>
              <w:t>（1）总胆红素和直接胆红素同时升高，血清 ALP&gt;200U/L；</w:t>
            </w:r>
          </w:p>
          <w:p>
            <w:pPr>
              <w:pStyle w:val="TableParagraph"/>
              <w:spacing w:before="36"/>
              <w:rPr>
                <w:sz w:val="21"/>
              </w:rPr>
            </w:pPr>
            <w:r>
              <w:rPr>
                <w:sz w:val="21"/>
              </w:rPr>
              <w:t>（2）持续性黄疸病史；</w:t>
            </w:r>
          </w:p>
          <w:p>
            <w:pPr>
              <w:pStyle w:val="TableParagraph"/>
              <w:spacing w:line="262" w:lineRule="exact" w:before="36"/>
              <w:rPr>
                <w:sz w:val="21"/>
              </w:rPr>
            </w:pPr>
            <w:r>
              <w:rPr>
                <w:sz w:val="21"/>
              </w:rPr>
              <w:t>（3）出现胆汁性肝硬化或门脉高压。</w:t>
            </w:r>
          </w:p>
          <w:p>
            <w:pPr>
              <w:pStyle w:val="TableParagraph"/>
              <w:spacing w:line="350" w:lineRule="exact"/>
              <w:rPr>
                <w:rFonts w:ascii="微软雅黑" w:eastAsia="微软雅黑" w:hint="eastAsia"/>
                <w:b/>
                <w:sz w:val="21"/>
              </w:rPr>
            </w:pPr>
            <w:r>
              <w:rPr>
                <w:rFonts w:ascii="微软雅黑" w:eastAsia="微软雅黑" w:hint="eastAsia"/>
                <w:b/>
                <w:sz w:val="21"/>
              </w:rPr>
              <w:t>因肿瘤或胆管损伤等继发性的硬化性胆管炎不在保障范围内。</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gridSpan w:val="4"/>
          </w:tcPr>
          <w:p>
            <w:pPr>
              <w:pStyle w:val="TableParagraph"/>
              <w:ind w:left="0"/>
              <w:rPr>
                <w:rFonts w:ascii="Times New Roman"/>
                <w:sz w:val="20"/>
              </w:rPr>
            </w:pPr>
          </w:p>
        </w:tc>
      </w:tr>
      <w:tr>
        <w:trPr>
          <w:trHeight w:val="935" w:hRule="atLeast"/>
        </w:trPr>
        <w:tc>
          <w:tcPr>
            <w:tcW w:w="852" w:type="dxa"/>
          </w:tcPr>
          <w:p>
            <w:pPr>
              <w:pStyle w:val="TableParagraph"/>
              <w:spacing w:line="280" w:lineRule="exact"/>
              <w:ind w:left="0" w:right="98"/>
              <w:jc w:val="right"/>
              <w:rPr>
                <w:rFonts w:ascii="微软雅黑" w:eastAsia="微软雅黑" w:hint="eastAsia"/>
                <w:b/>
                <w:sz w:val="21"/>
              </w:rPr>
            </w:pPr>
            <w:r>
              <w:rPr>
                <w:rFonts w:ascii="微软雅黑" w:eastAsia="微软雅黑" w:hint="eastAsia"/>
                <w:b/>
                <w:sz w:val="21"/>
              </w:rPr>
              <w:t>四十四</w:t>
            </w:r>
          </w:p>
        </w:tc>
        <w:tc>
          <w:tcPr>
            <w:tcW w:w="1932" w:type="dxa"/>
          </w:tcPr>
          <w:p>
            <w:pPr>
              <w:pStyle w:val="TableParagraph"/>
              <w:spacing w:line="280" w:lineRule="exact"/>
              <w:ind w:left="94" w:right="108"/>
              <w:jc w:val="center"/>
              <w:rPr>
                <w:rFonts w:ascii="微软雅黑" w:eastAsia="微软雅黑" w:hint="eastAsia"/>
                <w:b/>
                <w:sz w:val="21"/>
              </w:rPr>
            </w:pPr>
            <w:r>
              <w:rPr>
                <w:rFonts w:ascii="微软雅黑" w:eastAsia="微软雅黑" w:hint="eastAsia"/>
                <w:b/>
                <w:sz w:val="21"/>
              </w:rPr>
              <w:t>急性坏死性胰腺炎</w:t>
            </w:r>
          </w:p>
        </w:tc>
        <w:tc>
          <w:tcPr>
            <w:tcW w:w="7307" w:type="dxa"/>
            <w:gridSpan w:val="4"/>
          </w:tcPr>
          <w:p>
            <w:pPr>
              <w:pStyle w:val="TableParagraph"/>
              <w:spacing w:line="255" w:lineRule="exact"/>
              <w:rPr>
                <w:sz w:val="21"/>
              </w:rPr>
            </w:pPr>
            <w:r>
              <w:rPr>
                <w:sz w:val="21"/>
              </w:rPr>
              <w:t>指由专科医生确诊为急性出血坏死性胰腺炎，并已经接受了外科手术治疗，以</w:t>
            </w:r>
          </w:p>
          <w:p>
            <w:pPr>
              <w:pStyle w:val="TableParagraph"/>
              <w:spacing w:line="262" w:lineRule="exact" w:before="37"/>
              <w:rPr>
                <w:sz w:val="21"/>
              </w:rPr>
            </w:pPr>
            <w:r>
              <w:rPr>
                <w:sz w:val="21"/>
              </w:rPr>
              <w:t>进行坏死组织清除、坏死病灶切除或胰腺切除。</w:t>
            </w:r>
          </w:p>
          <w:p>
            <w:pPr>
              <w:pStyle w:val="TableParagraph"/>
              <w:spacing w:line="350" w:lineRule="exact"/>
              <w:rPr>
                <w:rFonts w:ascii="微软雅黑" w:eastAsia="微软雅黑" w:hint="eastAsia"/>
                <w:b/>
                <w:sz w:val="21"/>
              </w:rPr>
            </w:pPr>
            <w:r>
              <w:rPr>
                <w:rFonts w:ascii="微软雅黑" w:eastAsia="微软雅黑" w:hint="eastAsia"/>
                <w:b/>
                <w:sz w:val="21"/>
              </w:rPr>
              <w:t>因饮酒所致的急性出血坏死性胰腺炎不在保障范围内。</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gridSpan w:val="4"/>
          </w:tcPr>
          <w:p>
            <w:pPr>
              <w:pStyle w:val="TableParagraph"/>
              <w:ind w:left="0"/>
              <w:rPr>
                <w:rFonts w:ascii="Times New Roman"/>
                <w:sz w:val="20"/>
              </w:rPr>
            </w:pPr>
          </w:p>
        </w:tc>
      </w:tr>
      <w:tr>
        <w:trPr>
          <w:trHeight w:val="1873" w:hRule="atLeast"/>
        </w:trPr>
        <w:tc>
          <w:tcPr>
            <w:tcW w:w="852" w:type="dxa"/>
          </w:tcPr>
          <w:p>
            <w:pPr>
              <w:pStyle w:val="TableParagraph"/>
              <w:spacing w:line="283" w:lineRule="exact"/>
              <w:ind w:left="0" w:right="98"/>
              <w:jc w:val="right"/>
              <w:rPr>
                <w:rFonts w:ascii="微软雅黑" w:eastAsia="微软雅黑" w:hint="eastAsia"/>
                <w:b/>
                <w:sz w:val="21"/>
              </w:rPr>
            </w:pPr>
            <w:r>
              <w:rPr>
                <w:rFonts w:ascii="微软雅黑" w:eastAsia="微软雅黑" w:hint="eastAsia"/>
                <w:b/>
                <w:sz w:val="21"/>
              </w:rPr>
              <w:t>四十五</w:t>
            </w:r>
          </w:p>
        </w:tc>
        <w:tc>
          <w:tcPr>
            <w:tcW w:w="1932" w:type="dxa"/>
          </w:tcPr>
          <w:p>
            <w:pPr>
              <w:pStyle w:val="TableParagraph"/>
              <w:spacing w:line="257" w:lineRule="exact"/>
              <w:rPr>
                <w:rFonts w:ascii="微软雅黑" w:eastAsia="微软雅黑" w:hint="eastAsia"/>
                <w:b/>
                <w:sz w:val="21"/>
              </w:rPr>
            </w:pPr>
            <w:r>
              <w:rPr>
                <w:rFonts w:ascii="微软雅黑" w:eastAsia="微软雅黑" w:hint="eastAsia"/>
                <w:b/>
                <w:sz w:val="21"/>
              </w:rPr>
              <w:t>肝豆状核变性（或</w:t>
            </w:r>
          </w:p>
          <w:p>
            <w:pPr>
              <w:pStyle w:val="TableParagraph"/>
              <w:spacing w:line="337" w:lineRule="exact"/>
              <w:rPr>
                <w:rFonts w:ascii="微软雅黑" w:eastAsia="微软雅黑" w:hint="eastAsia"/>
                <w:b/>
                <w:sz w:val="21"/>
              </w:rPr>
            </w:pPr>
            <w:r>
              <w:rPr>
                <w:rFonts w:ascii="微软雅黑" w:eastAsia="微软雅黑" w:hint="eastAsia"/>
                <w:b/>
                <w:w w:val="100"/>
                <w:sz w:val="21"/>
              </w:rPr>
              <w:t>称</w:t>
            </w:r>
            <w:r>
              <w:rPr>
                <w:rFonts w:ascii="微软雅黑" w:eastAsia="微软雅黑" w:hint="eastAsia"/>
                <w:b/>
                <w:spacing w:val="-10"/>
                <w:sz w:val="21"/>
              </w:rPr>
              <w:t> </w:t>
            </w:r>
            <w:r>
              <w:rPr>
                <w:rFonts w:ascii="微软雅黑" w:eastAsia="微软雅黑" w:hint="eastAsia"/>
                <w:b/>
                <w:w w:val="46"/>
                <w:sz w:val="21"/>
              </w:rPr>
              <w:t>W</w:t>
            </w:r>
            <w:r>
              <w:rPr>
                <w:rFonts w:ascii="微软雅黑" w:eastAsia="微软雅黑" w:hint="eastAsia"/>
                <w:b/>
                <w:w w:val="169"/>
                <w:sz w:val="21"/>
              </w:rPr>
              <w:t>il</w:t>
            </w:r>
            <w:r>
              <w:rPr>
                <w:rFonts w:ascii="微软雅黑" w:eastAsia="微软雅黑" w:hint="eastAsia"/>
                <w:b/>
                <w:w w:val="101"/>
                <w:sz w:val="21"/>
              </w:rPr>
              <w:t>s</w:t>
            </w:r>
            <w:r>
              <w:rPr>
                <w:rFonts w:ascii="微软雅黑" w:eastAsia="微软雅黑" w:hint="eastAsia"/>
                <w:b/>
                <w:w w:val="76"/>
                <w:sz w:val="21"/>
              </w:rPr>
              <w:t>o</w:t>
            </w:r>
            <w:r>
              <w:rPr>
                <w:rFonts w:ascii="微软雅黑" w:eastAsia="微软雅黑" w:hint="eastAsia"/>
                <w:b/>
                <w:w w:val="77"/>
                <w:sz w:val="21"/>
              </w:rPr>
              <w:t>n</w:t>
            </w:r>
            <w:r>
              <w:rPr>
                <w:rFonts w:ascii="微软雅黑" w:eastAsia="微软雅黑" w:hint="eastAsia"/>
                <w:b/>
                <w:spacing w:val="-10"/>
                <w:sz w:val="21"/>
              </w:rPr>
              <w:t> </w:t>
            </w:r>
            <w:r>
              <w:rPr>
                <w:rFonts w:ascii="微软雅黑" w:eastAsia="微软雅黑" w:hint="eastAsia"/>
                <w:b/>
                <w:w w:val="100"/>
                <w:sz w:val="21"/>
              </w:rPr>
              <w:t>病）</w:t>
            </w:r>
          </w:p>
        </w:tc>
        <w:tc>
          <w:tcPr>
            <w:tcW w:w="7307" w:type="dxa"/>
            <w:gridSpan w:val="4"/>
          </w:tcPr>
          <w:p>
            <w:pPr>
              <w:pStyle w:val="TableParagraph"/>
              <w:spacing w:line="257" w:lineRule="exact"/>
              <w:rPr>
                <w:sz w:val="21"/>
              </w:rPr>
            </w:pPr>
            <w:r>
              <w:rPr>
                <w:sz w:val="21"/>
              </w:rPr>
              <w:t>指一种常染色体隐性遗传的铜代谢缺陷病，以不同程度的肝细胞损害、脑退行</w:t>
            </w:r>
          </w:p>
          <w:p>
            <w:pPr>
              <w:pStyle w:val="TableParagraph"/>
              <w:spacing w:before="37"/>
              <w:rPr>
                <w:sz w:val="21"/>
              </w:rPr>
            </w:pPr>
            <w:r>
              <w:rPr>
                <w:sz w:val="21"/>
              </w:rPr>
              <w:t>性病变和角膜边缘有铜盐沉着环为其临床特征，并须满足下列全部条件：</w:t>
            </w:r>
          </w:p>
          <w:p>
            <w:pPr>
              <w:pStyle w:val="TableParagraph"/>
              <w:spacing w:before="37"/>
              <w:rPr>
                <w:sz w:val="21"/>
              </w:rPr>
            </w:pPr>
            <w:r>
              <w:rPr>
                <w:sz w:val="21"/>
              </w:rPr>
              <w:t>（1）典型症状；</w:t>
            </w:r>
          </w:p>
          <w:p>
            <w:pPr>
              <w:pStyle w:val="TableParagraph"/>
              <w:spacing w:before="37"/>
              <w:rPr>
                <w:sz w:val="21"/>
              </w:rPr>
            </w:pPr>
            <w:r>
              <w:rPr>
                <w:w w:val="100"/>
                <w:sz w:val="21"/>
              </w:rPr>
              <w:t>（2</w:t>
            </w:r>
            <w:r>
              <w:rPr>
                <w:spacing w:val="-3"/>
                <w:w w:val="100"/>
                <w:sz w:val="21"/>
              </w:rPr>
              <w:t>）角膜色素环</w:t>
            </w:r>
            <w:r>
              <w:rPr>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（4）经皮做肝脏活检来定量分析肝脏铜的含量。</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gridSpan w:val="4"/>
          </w:tcPr>
          <w:p>
            <w:pPr>
              <w:pStyle w:val="TableParagraph"/>
              <w:ind w:left="0"/>
              <w:rPr>
                <w:rFonts w:ascii="Times New Roman"/>
                <w:sz w:val="20"/>
              </w:rPr>
            </w:pPr>
          </w:p>
        </w:tc>
      </w:tr>
      <w:tr>
        <w:trPr>
          <w:trHeight w:val="2807" w:hRule="atLeast"/>
        </w:trPr>
        <w:tc>
          <w:tcPr>
            <w:tcW w:w="852" w:type="dxa"/>
            <w:vMerge w:val="restart"/>
          </w:tcPr>
          <w:p>
            <w:pPr>
              <w:pStyle w:val="TableParagraph"/>
              <w:spacing w:line="280" w:lineRule="exact"/>
              <w:rPr>
                <w:rFonts w:ascii="微软雅黑" w:eastAsia="微软雅黑" w:hint="eastAsia"/>
                <w:b/>
                <w:sz w:val="21"/>
              </w:rPr>
            </w:pPr>
            <w:r>
              <w:rPr>
                <w:rFonts w:ascii="微软雅黑" w:eastAsia="微软雅黑" w:hint="eastAsia"/>
                <w:b/>
                <w:sz w:val="21"/>
              </w:rPr>
              <w:t>四十六</w:t>
            </w:r>
          </w:p>
        </w:tc>
        <w:tc>
          <w:tcPr>
            <w:tcW w:w="1932" w:type="dxa"/>
            <w:vMerge w:val="restart"/>
          </w:tcPr>
          <w:p>
            <w:pPr>
              <w:pStyle w:val="TableParagraph"/>
              <w:spacing w:line="255" w:lineRule="exact"/>
              <w:rPr>
                <w:rFonts w:ascii="微软雅黑" w:eastAsia="微软雅黑" w:hint="eastAsia"/>
                <w:b/>
                <w:sz w:val="21"/>
              </w:rPr>
            </w:pPr>
            <w:r>
              <w:rPr>
                <w:rFonts w:ascii="微软雅黑" w:eastAsia="微软雅黑" w:hint="eastAsia"/>
                <w:b/>
                <w:sz w:val="21"/>
              </w:rPr>
              <w:t>因职业关系导致的</w:t>
            </w:r>
          </w:p>
          <w:p>
            <w:pPr>
              <w:pStyle w:val="TableParagraph"/>
              <w:spacing w:line="206" w:lineRule="auto" w:before="25"/>
              <w:ind w:right="122"/>
              <w:rPr>
                <w:rFonts w:ascii="微软雅黑" w:eastAsia="微软雅黑" w:hint="eastAsia"/>
                <w:b/>
                <w:sz w:val="21"/>
              </w:rPr>
            </w:pPr>
            <w:r>
              <w:rPr>
                <w:rFonts w:ascii="微软雅黑" w:eastAsia="微软雅黑" w:hint="eastAsia"/>
                <w:b/>
                <w:sz w:val="21"/>
              </w:rPr>
              <w:t>人类免疫缺陷病毒感染</w:t>
            </w:r>
          </w:p>
        </w:tc>
        <w:tc>
          <w:tcPr>
            <w:tcW w:w="7307" w:type="dxa"/>
            <w:gridSpan w:val="4"/>
            <w:tcBorders>
              <w:bottom w:val="nil"/>
            </w:tcBorders>
          </w:tcPr>
          <w:p>
            <w:pPr>
              <w:pStyle w:val="TableParagraph"/>
              <w:spacing w:line="255" w:lineRule="exact"/>
              <w:rPr>
                <w:sz w:val="21"/>
              </w:rPr>
            </w:pPr>
            <w:r>
              <w:rPr>
                <w:sz w:val="21"/>
              </w:rPr>
              <w:t>被保险人在其常规职业工作过程中遭遇外伤，或者职业需要处理血液或者其他</w:t>
            </w:r>
          </w:p>
          <w:p>
            <w:pPr>
              <w:pStyle w:val="TableParagraph"/>
              <w:spacing w:before="37"/>
              <w:rPr>
                <w:sz w:val="21"/>
              </w:rPr>
            </w:pPr>
            <w:r>
              <w:rPr>
                <w:spacing w:val="-3"/>
                <w:w w:val="100"/>
                <w:sz w:val="21"/>
              </w:rPr>
              <w:t>体液时感染上人类免疫缺陷病毒</w:t>
            </w:r>
            <w:r>
              <w:rPr>
                <w:w w:val="100"/>
                <w:sz w:val="21"/>
              </w:rPr>
              <w:t>（H</w:t>
            </w:r>
            <w:r>
              <w:rPr>
                <w:spacing w:val="-3"/>
                <w:w w:val="100"/>
                <w:sz w:val="21"/>
              </w:rPr>
              <w:t>I</w:t>
            </w:r>
            <w:r>
              <w:rPr>
                <w:w w:val="100"/>
                <w:sz w:val="21"/>
              </w:rPr>
              <w:t>V</w:t>
            </w:r>
            <w:r>
              <w:rPr>
                <w:spacing w:val="-106"/>
                <w:w w:val="100"/>
                <w:sz w:val="21"/>
              </w:rPr>
              <w:t>）</w:t>
            </w:r>
            <w:r>
              <w:rPr>
                <w:spacing w:val="-3"/>
                <w:w w:val="100"/>
                <w:sz w:val="21"/>
              </w:rPr>
              <w:t>。须满足下列全部条件：</w:t>
            </w:r>
          </w:p>
          <w:p>
            <w:pPr>
              <w:pStyle w:val="TableParagraph"/>
              <w:spacing w:line="273" w:lineRule="auto" w:before="37"/>
              <w:ind w:left="633" w:right="148" w:hanging="526"/>
              <w:rPr>
                <w:sz w:val="21"/>
              </w:rPr>
            </w:pPr>
            <w:r>
              <w:rPr>
                <w:sz w:val="21"/>
              </w:rPr>
              <w:t>（1）感染必须是在被保险人正在从事其职业工作中发生，该职业必须属于以下列表内的职业；</w:t>
            </w:r>
          </w:p>
          <w:p>
            <w:pPr>
              <w:pStyle w:val="TableParagraph"/>
              <w:spacing w:line="273" w:lineRule="auto" w:before="7"/>
              <w:ind w:left="633" w:right="32" w:hanging="526"/>
              <w:rPr>
                <w:sz w:val="21"/>
              </w:rPr>
            </w:pPr>
            <w:r>
              <w:rPr>
                <w:sz w:val="21"/>
              </w:rPr>
              <w:t>（2）必须提供被保险人在所报事故发生后的 5 天以内进行的检查报告，该报告必须显示被保险人血液 HIV 病毒阴性和/或 HIV 抗体阴性；</w:t>
            </w:r>
          </w:p>
          <w:p>
            <w:pPr>
              <w:pStyle w:val="TableParagraph"/>
              <w:spacing w:before="7"/>
              <w:rPr>
                <w:sz w:val="21"/>
              </w:rPr>
            </w:pPr>
            <w:r>
              <w:rPr>
                <w:sz w:val="21"/>
              </w:rPr>
              <w:t>（3）必须在事故发生后的 6 个月内证实被保险人体内存在 HIV 病毒或者</w:t>
            </w:r>
          </w:p>
          <w:p>
            <w:pPr>
              <w:pStyle w:val="TableParagraph"/>
              <w:spacing w:line="273" w:lineRule="auto" w:before="37"/>
              <w:ind w:right="2039"/>
              <w:rPr>
                <w:sz w:val="21"/>
              </w:rPr>
            </w:pPr>
            <w:r>
              <w:rPr>
                <w:sz w:val="21"/>
              </w:rPr>
              <w:t>HIV 抗体，即血液 HIV 病毒阳性和/或 HIV 抗体阳性。职业限制如下所示:</w:t>
            </w:r>
          </w:p>
        </w:tc>
      </w:tr>
      <w:tr>
        <w:trPr>
          <w:trHeight w:val="311" w:hRule="atLeast"/>
        </w:trPr>
        <w:tc>
          <w:tcPr>
            <w:tcW w:w="852" w:type="dxa"/>
            <w:vMerge/>
            <w:tcBorders>
              <w:top w:val="nil"/>
            </w:tcBorders>
          </w:tcPr>
          <w:p>
            <w:pPr>
              <w:rPr>
                <w:sz w:val="2"/>
                <w:szCs w:val="2"/>
              </w:rPr>
            </w:pPr>
          </w:p>
        </w:tc>
        <w:tc>
          <w:tcPr>
            <w:tcW w:w="1932" w:type="dxa"/>
            <w:vMerge/>
            <w:tcBorders>
              <w:top w:val="nil"/>
            </w:tcBorders>
          </w:tcPr>
          <w:p>
            <w:pPr>
              <w:rPr>
                <w:sz w:val="2"/>
                <w:szCs w:val="2"/>
              </w:rPr>
            </w:pPr>
          </w:p>
        </w:tc>
        <w:tc>
          <w:tcPr>
            <w:tcW w:w="113" w:type="dxa"/>
            <w:vMerge w:val="restart"/>
            <w:tcBorders>
              <w:top w:val="nil"/>
            </w:tcBorders>
          </w:tcPr>
          <w:p>
            <w:pPr>
              <w:pStyle w:val="TableParagraph"/>
              <w:ind w:left="0"/>
              <w:rPr>
                <w:rFonts w:ascii="Times New Roman"/>
                <w:sz w:val="20"/>
              </w:rPr>
            </w:pPr>
          </w:p>
        </w:tc>
        <w:tc>
          <w:tcPr>
            <w:tcW w:w="2883" w:type="dxa"/>
          </w:tcPr>
          <w:p>
            <w:pPr>
              <w:pStyle w:val="TableParagraph"/>
              <w:spacing w:line="255" w:lineRule="exact"/>
              <w:rPr>
                <w:sz w:val="21"/>
              </w:rPr>
            </w:pPr>
            <w:r>
              <w:rPr>
                <w:sz w:val="21"/>
              </w:rPr>
              <w:t>医生</w:t>
            </w:r>
          </w:p>
        </w:tc>
        <w:tc>
          <w:tcPr>
            <w:tcW w:w="1985" w:type="dxa"/>
          </w:tcPr>
          <w:p>
            <w:pPr>
              <w:pStyle w:val="TableParagraph"/>
              <w:spacing w:line="255" w:lineRule="exact"/>
              <w:ind w:left="327"/>
              <w:rPr>
                <w:sz w:val="21"/>
              </w:rPr>
            </w:pPr>
            <w:r>
              <w:rPr>
                <w:sz w:val="21"/>
              </w:rPr>
              <w:t>护士</w:t>
            </w:r>
          </w:p>
        </w:tc>
        <w:tc>
          <w:tcPr>
            <w:tcW w:w="2326" w:type="dxa"/>
            <w:vMerge w:val="restart"/>
            <w:tcBorders>
              <w:top w:val="nil"/>
            </w:tcBorders>
          </w:tcPr>
          <w:p>
            <w:pPr>
              <w:pStyle w:val="TableParagraph"/>
              <w:ind w:left="0"/>
              <w:rPr>
                <w:rFonts w:ascii="Times New Roman"/>
                <w:sz w:val="20"/>
              </w:rPr>
            </w:pPr>
          </w:p>
        </w:tc>
      </w:tr>
      <w:tr>
        <w:trPr>
          <w:trHeight w:val="311" w:hRule="atLeast"/>
        </w:trPr>
        <w:tc>
          <w:tcPr>
            <w:tcW w:w="852" w:type="dxa"/>
            <w:vMerge/>
            <w:tcBorders>
              <w:top w:val="nil"/>
            </w:tcBorders>
          </w:tcPr>
          <w:p>
            <w:pPr>
              <w:rPr>
                <w:sz w:val="2"/>
                <w:szCs w:val="2"/>
              </w:rPr>
            </w:pPr>
          </w:p>
        </w:tc>
        <w:tc>
          <w:tcPr>
            <w:tcW w:w="1932" w:type="dxa"/>
            <w:vMerge/>
            <w:tcBorders>
              <w:top w:val="nil"/>
            </w:tcBorders>
          </w:tcPr>
          <w:p>
            <w:pPr>
              <w:rPr>
                <w:sz w:val="2"/>
                <w:szCs w:val="2"/>
              </w:rPr>
            </w:pPr>
          </w:p>
        </w:tc>
        <w:tc>
          <w:tcPr>
            <w:tcW w:w="113" w:type="dxa"/>
            <w:vMerge/>
            <w:tcBorders>
              <w:top w:val="nil"/>
            </w:tcBorders>
          </w:tcPr>
          <w:p>
            <w:pPr>
              <w:rPr>
                <w:sz w:val="2"/>
                <w:szCs w:val="2"/>
              </w:rPr>
            </w:pPr>
          </w:p>
        </w:tc>
        <w:tc>
          <w:tcPr>
            <w:tcW w:w="2883" w:type="dxa"/>
          </w:tcPr>
          <w:p>
            <w:pPr>
              <w:pStyle w:val="TableParagraph"/>
              <w:spacing w:line="255" w:lineRule="exact"/>
              <w:rPr>
                <w:sz w:val="21"/>
              </w:rPr>
            </w:pPr>
            <w:r>
              <w:rPr>
                <w:sz w:val="21"/>
              </w:rPr>
              <w:t>医疗机构实验室工作人员</w:t>
            </w:r>
          </w:p>
        </w:tc>
        <w:tc>
          <w:tcPr>
            <w:tcW w:w="1985" w:type="dxa"/>
          </w:tcPr>
          <w:p>
            <w:pPr>
              <w:pStyle w:val="TableParagraph"/>
              <w:spacing w:line="255" w:lineRule="exact"/>
              <w:ind w:left="327"/>
              <w:rPr>
                <w:sz w:val="21"/>
              </w:rPr>
            </w:pPr>
            <w:r>
              <w:rPr>
                <w:sz w:val="21"/>
              </w:rPr>
              <w:t>医院护工</w:t>
            </w:r>
          </w:p>
        </w:tc>
        <w:tc>
          <w:tcPr>
            <w:tcW w:w="2326" w:type="dxa"/>
            <w:vMerge/>
            <w:tcBorders>
              <w:top w:val="nil"/>
            </w:tcBorders>
          </w:tcPr>
          <w:p>
            <w:pPr>
              <w:rPr>
                <w:sz w:val="2"/>
                <w:szCs w:val="2"/>
              </w:rPr>
            </w:pPr>
          </w:p>
        </w:tc>
      </w:tr>
      <w:tr>
        <w:trPr>
          <w:trHeight w:val="311" w:hRule="atLeast"/>
        </w:trPr>
        <w:tc>
          <w:tcPr>
            <w:tcW w:w="852" w:type="dxa"/>
            <w:vMerge/>
            <w:tcBorders>
              <w:top w:val="nil"/>
            </w:tcBorders>
          </w:tcPr>
          <w:p>
            <w:pPr>
              <w:rPr>
                <w:sz w:val="2"/>
                <w:szCs w:val="2"/>
              </w:rPr>
            </w:pPr>
          </w:p>
        </w:tc>
        <w:tc>
          <w:tcPr>
            <w:tcW w:w="1932" w:type="dxa"/>
            <w:vMerge/>
            <w:tcBorders>
              <w:top w:val="nil"/>
            </w:tcBorders>
          </w:tcPr>
          <w:p>
            <w:pPr>
              <w:rPr>
                <w:sz w:val="2"/>
                <w:szCs w:val="2"/>
              </w:rPr>
            </w:pPr>
          </w:p>
        </w:tc>
        <w:tc>
          <w:tcPr>
            <w:tcW w:w="113" w:type="dxa"/>
            <w:vMerge/>
            <w:tcBorders>
              <w:top w:val="nil"/>
            </w:tcBorders>
          </w:tcPr>
          <w:p>
            <w:pPr>
              <w:rPr>
                <w:sz w:val="2"/>
                <w:szCs w:val="2"/>
              </w:rPr>
            </w:pPr>
          </w:p>
        </w:tc>
        <w:tc>
          <w:tcPr>
            <w:tcW w:w="2883" w:type="dxa"/>
          </w:tcPr>
          <w:p>
            <w:pPr>
              <w:pStyle w:val="TableParagraph"/>
              <w:spacing w:line="255" w:lineRule="exact"/>
              <w:rPr>
                <w:sz w:val="21"/>
              </w:rPr>
            </w:pPr>
            <w:r>
              <w:rPr>
                <w:sz w:val="21"/>
              </w:rPr>
              <w:t>助产士</w:t>
            </w:r>
          </w:p>
        </w:tc>
        <w:tc>
          <w:tcPr>
            <w:tcW w:w="1985" w:type="dxa"/>
          </w:tcPr>
          <w:p>
            <w:pPr>
              <w:pStyle w:val="TableParagraph"/>
              <w:spacing w:line="255" w:lineRule="exact"/>
              <w:ind w:left="327"/>
              <w:rPr>
                <w:sz w:val="21"/>
              </w:rPr>
            </w:pPr>
            <w:r>
              <w:rPr>
                <w:sz w:val="21"/>
              </w:rPr>
              <w:t>救护车工作人员</w:t>
            </w:r>
          </w:p>
        </w:tc>
        <w:tc>
          <w:tcPr>
            <w:tcW w:w="2326" w:type="dxa"/>
            <w:vMerge/>
            <w:tcBorders>
              <w:top w:val="nil"/>
            </w:tcBorders>
          </w:tcPr>
          <w:p>
            <w:pPr>
              <w:rPr>
                <w:sz w:val="2"/>
                <w:szCs w:val="2"/>
              </w:rPr>
            </w:pPr>
          </w:p>
        </w:tc>
      </w:tr>
      <w:tr>
        <w:trPr>
          <w:trHeight w:val="318" w:hRule="atLeast"/>
        </w:trPr>
        <w:tc>
          <w:tcPr>
            <w:tcW w:w="852" w:type="dxa"/>
            <w:vMerge/>
            <w:tcBorders>
              <w:top w:val="nil"/>
            </w:tcBorders>
          </w:tcPr>
          <w:p>
            <w:pPr>
              <w:rPr>
                <w:sz w:val="2"/>
                <w:szCs w:val="2"/>
              </w:rPr>
            </w:pPr>
          </w:p>
        </w:tc>
        <w:tc>
          <w:tcPr>
            <w:tcW w:w="1932" w:type="dxa"/>
            <w:vMerge/>
            <w:tcBorders>
              <w:top w:val="nil"/>
            </w:tcBorders>
          </w:tcPr>
          <w:p>
            <w:pPr>
              <w:rPr>
                <w:sz w:val="2"/>
                <w:szCs w:val="2"/>
              </w:rPr>
            </w:pPr>
          </w:p>
        </w:tc>
        <w:tc>
          <w:tcPr>
            <w:tcW w:w="113" w:type="dxa"/>
            <w:vMerge/>
            <w:tcBorders>
              <w:top w:val="nil"/>
            </w:tcBorders>
          </w:tcPr>
          <w:p>
            <w:pPr>
              <w:rPr>
                <w:sz w:val="2"/>
                <w:szCs w:val="2"/>
              </w:rPr>
            </w:pPr>
          </w:p>
        </w:tc>
        <w:tc>
          <w:tcPr>
            <w:tcW w:w="2883" w:type="dxa"/>
            <w:tcBorders>
              <w:bottom w:val="single" w:sz="8" w:space="0" w:color="000000"/>
            </w:tcBorders>
          </w:tcPr>
          <w:p>
            <w:pPr>
              <w:pStyle w:val="TableParagraph"/>
              <w:spacing w:line="257" w:lineRule="exact"/>
              <w:rPr>
                <w:sz w:val="21"/>
              </w:rPr>
            </w:pPr>
            <w:r>
              <w:rPr>
                <w:sz w:val="21"/>
              </w:rPr>
              <w:t>警察</w:t>
            </w:r>
          </w:p>
        </w:tc>
        <w:tc>
          <w:tcPr>
            <w:tcW w:w="1985" w:type="dxa"/>
            <w:tcBorders>
              <w:bottom w:val="single" w:sz="8" w:space="0" w:color="000000"/>
            </w:tcBorders>
          </w:tcPr>
          <w:p>
            <w:pPr>
              <w:pStyle w:val="TableParagraph"/>
              <w:spacing w:line="257" w:lineRule="exact"/>
              <w:ind w:left="327"/>
              <w:rPr>
                <w:sz w:val="21"/>
              </w:rPr>
            </w:pPr>
            <w:r>
              <w:rPr>
                <w:sz w:val="21"/>
              </w:rPr>
              <w:t>消防队员</w:t>
            </w:r>
          </w:p>
        </w:tc>
        <w:tc>
          <w:tcPr>
            <w:tcW w:w="2326" w:type="dxa"/>
            <w:vMerge/>
            <w:tcBorders>
              <w:top w:val="nil"/>
            </w:tcBorders>
          </w:tcPr>
          <w:p>
            <w:pPr>
              <w:rPr>
                <w:sz w:val="2"/>
                <w:szCs w:val="2"/>
              </w:rPr>
            </w:pPr>
          </w:p>
        </w:tc>
      </w:tr>
      <w:tr>
        <w:trPr>
          <w:trHeight w:val="306"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gridSpan w:val="4"/>
          </w:tcPr>
          <w:p>
            <w:pPr>
              <w:pStyle w:val="TableParagraph"/>
              <w:ind w:left="0"/>
              <w:rPr>
                <w:rFonts w:ascii="Times New Roman"/>
                <w:sz w:val="20"/>
              </w:rPr>
            </w:pPr>
          </w:p>
        </w:tc>
      </w:tr>
      <w:tr>
        <w:trPr>
          <w:trHeight w:val="2495" w:hRule="atLeast"/>
        </w:trPr>
        <w:tc>
          <w:tcPr>
            <w:tcW w:w="852" w:type="dxa"/>
          </w:tcPr>
          <w:p>
            <w:pPr>
              <w:pStyle w:val="TableParagraph"/>
              <w:spacing w:line="280" w:lineRule="exact"/>
              <w:ind w:left="0" w:right="98"/>
              <w:jc w:val="right"/>
              <w:rPr>
                <w:rFonts w:ascii="微软雅黑" w:eastAsia="微软雅黑" w:hint="eastAsia"/>
                <w:b/>
                <w:sz w:val="21"/>
              </w:rPr>
            </w:pPr>
            <w:r>
              <w:rPr>
                <w:rFonts w:ascii="微软雅黑" w:eastAsia="微软雅黑" w:hint="eastAsia"/>
                <w:b/>
                <w:sz w:val="21"/>
              </w:rPr>
              <w:t>四十七</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特发性慢性肾上腺</w:t>
            </w:r>
          </w:p>
          <w:p>
            <w:pPr>
              <w:pStyle w:val="TableParagraph"/>
              <w:spacing w:line="337" w:lineRule="exact"/>
              <w:rPr>
                <w:rFonts w:ascii="微软雅黑" w:eastAsia="微软雅黑" w:hint="eastAsia"/>
                <w:b/>
                <w:sz w:val="21"/>
              </w:rPr>
            </w:pPr>
            <w:r>
              <w:rPr>
                <w:rFonts w:ascii="微软雅黑" w:eastAsia="微软雅黑" w:hint="eastAsia"/>
                <w:b/>
                <w:sz w:val="21"/>
              </w:rPr>
              <w:t>皮质功能减退</w:t>
            </w:r>
          </w:p>
        </w:tc>
        <w:tc>
          <w:tcPr>
            <w:tcW w:w="7307" w:type="dxa"/>
            <w:gridSpan w:val="4"/>
          </w:tcPr>
          <w:p>
            <w:pPr>
              <w:pStyle w:val="TableParagraph"/>
              <w:spacing w:line="255" w:lineRule="exact"/>
              <w:rPr>
                <w:sz w:val="21"/>
              </w:rPr>
            </w:pPr>
            <w:r>
              <w:rPr>
                <w:sz w:val="21"/>
              </w:rPr>
              <w:t>指自身免疫性肾上腺炎（既往称：特发性肾上腺皮质萎缩）导致肾上腺萎缩和</w:t>
            </w:r>
          </w:p>
          <w:p>
            <w:pPr>
              <w:pStyle w:val="TableParagraph"/>
              <w:spacing w:before="37"/>
              <w:rPr>
                <w:sz w:val="21"/>
              </w:rPr>
            </w:pPr>
            <w:r>
              <w:rPr>
                <w:sz w:val="21"/>
              </w:rPr>
              <w:t>慢性肾上腺皮质功能减退。须满足下列全部条件：</w:t>
            </w:r>
          </w:p>
          <w:p>
            <w:pPr>
              <w:pStyle w:val="TableParagraph"/>
              <w:spacing w:before="37"/>
              <w:rPr>
                <w:sz w:val="21"/>
              </w:rPr>
            </w:pPr>
            <w:r>
              <w:rPr>
                <w:sz w:val="21"/>
              </w:rPr>
              <w:t>（1）明确诊断，符合所有以下诊断标准；</w:t>
            </w:r>
          </w:p>
          <w:p>
            <w:pPr>
              <w:pStyle w:val="TableParagraph"/>
              <w:spacing w:before="37"/>
              <w:ind w:left="527"/>
              <w:rPr>
                <w:sz w:val="21"/>
              </w:rPr>
            </w:pPr>
            <w:r>
              <w:rPr>
                <w:sz w:val="21"/>
              </w:rPr>
              <w:t>①血浆促肾上腺皮质激素（ACTH)水平测定大于 100pg/ml；</w:t>
            </w:r>
          </w:p>
          <w:p>
            <w:pPr>
              <w:pStyle w:val="TableParagraph"/>
              <w:spacing w:line="273" w:lineRule="auto" w:before="37"/>
              <w:ind w:left="738" w:right="92" w:hanging="212"/>
              <w:jc w:val="both"/>
              <w:rPr>
                <w:sz w:val="21"/>
              </w:rPr>
            </w:pPr>
            <w:r>
              <w:rPr>
                <w:spacing w:val="-3"/>
                <w:sz w:val="21"/>
              </w:rPr>
              <w:t>②血浆和尿游离皮质醇及尿 </w:t>
            </w:r>
            <w:r>
              <w:rPr>
                <w:sz w:val="21"/>
              </w:rPr>
              <w:t>17</w:t>
            </w:r>
            <w:r>
              <w:rPr>
                <w:spacing w:val="-2"/>
                <w:sz w:val="21"/>
              </w:rPr>
              <w:t> 羟皮质类固醇、</w:t>
            </w:r>
            <w:r>
              <w:rPr>
                <w:sz w:val="21"/>
              </w:rPr>
              <w:t>17</w:t>
            </w:r>
            <w:r>
              <w:rPr>
                <w:spacing w:val="-3"/>
                <w:sz w:val="21"/>
              </w:rPr>
              <w:t> 酮皮质类固醇测定、</w:t>
            </w:r>
            <w:r>
              <w:rPr>
                <w:spacing w:val="-5"/>
                <w:sz w:val="21"/>
              </w:rPr>
              <w:t>血浆肾素活性、血管紧张素 </w:t>
            </w:r>
            <w:r>
              <w:rPr>
                <w:sz w:val="21"/>
              </w:rPr>
              <w:t>II</w:t>
            </w:r>
            <w:r>
              <w:rPr>
                <w:spacing w:val="-5"/>
                <w:sz w:val="21"/>
              </w:rPr>
              <w:t> 和醛固酮测定，显示为原发性肾上腺皮</w:t>
            </w:r>
            <w:r>
              <w:rPr>
                <w:spacing w:val="-4"/>
                <w:sz w:val="21"/>
              </w:rPr>
              <w:t>质功能减退症；</w:t>
            </w:r>
          </w:p>
          <w:p>
            <w:pPr>
              <w:pStyle w:val="TableParagraph"/>
              <w:spacing w:before="7"/>
              <w:ind w:left="527"/>
              <w:rPr>
                <w:sz w:val="21"/>
              </w:rPr>
            </w:pPr>
            <w:r>
              <w:rPr>
                <w:sz w:val="21"/>
              </w:rPr>
              <w:t>③促肾上腺皮质激素（ACTH)刺激试验显示为原发性肾上腺皮质功能减退</w:t>
            </w:r>
          </w:p>
        </w:tc>
      </w:tr>
    </w:tbl>
    <w:p>
      <w:pPr>
        <w:spacing w:after="0"/>
        <w:rPr>
          <w:sz w:val="21"/>
        </w:rPr>
        <w:sectPr>
          <w:pgSz w:w="11900" w:h="16840"/>
          <w:pgMar w:top="114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1249"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spacing w:line="257" w:lineRule="exact"/>
              <w:ind w:left="738"/>
              <w:rPr>
                <w:sz w:val="21"/>
              </w:rPr>
            </w:pPr>
            <w:r>
              <w:rPr>
                <w:sz w:val="21"/>
              </w:rPr>
              <w:t>症。</w:t>
            </w:r>
          </w:p>
          <w:p>
            <w:pPr>
              <w:pStyle w:val="TableParagraph"/>
              <w:spacing w:line="262" w:lineRule="exact" w:before="37"/>
              <w:rPr>
                <w:sz w:val="21"/>
              </w:rPr>
            </w:pPr>
            <w:r>
              <w:rPr>
                <w:sz w:val="21"/>
              </w:rPr>
              <w:t>（2）已经采用皮质类固醇替代治疗 180 天以上。</w:t>
            </w:r>
          </w:p>
          <w:p>
            <w:pPr>
              <w:pStyle w:val="TableParagraph"/>
              <w:spacing w:line="206" w:lineRule="auto" w:before="38"/>
              <w:ind w:right="96"/>
              <w:rPr>
                <w:rFonts w:ascii="微软雅黑" w:eastAsia="微软雅黑" w:hint="eastAsia"/>
                <w:b/>
                <w:sz w:val="21"/>
              </w:rPr>
            </w:pPr>
            <w:r>
              <w:rPr>
                <w:rFonts w:ascii="微软雅黑" w:eastAsia="微软雅黑" w:hint="eastAsia"/>
                <w:b/>
                <w:spacing w:val="-5"/>
                <w:w w:val="100"/>
                <w:sz w:val="21"/>
              </w:rPr>
              <w:t>肾上腺结核、</w:t>
            </w:r>
            <w:r>
              <w:rPr>
                <w:rFonts w:ascii="微软雅黑" w:eastAsia="微软雅黑" w:hint="eastAsia"/>
                <w:b/>
                <w:w w:val="61"/>
                <w:sz w:val="21"/>
              </w:rPr>
              <w:t>H</w:t>
            </w:r>
            <w:r>
              <w:rPr>
                <w:rFonts w:ascii="微软雅黑" w:eastAsia="微软雅黑" w:hint="eastAsia"/>
                <w:b/>
                <w:w w:val="149"/>
                <w:sz w:val="21"/>
              </w:rPr>
              <w:t>I</w:t>
            </w:r>
            <w:r>
              <w:rPr>
                <w:rFonts w:ascii="微软雅黑" w:eastAsia="微软雅黑" w:hint="eastAsia"/>
                <w:b/>
                <w:w w:val="70"/>
                <w:sz w:val="21"/>
              </w:rPr>
              <w:t>V</w:t>
            </w:r>
            <w:r>
              <w:rPr>
                <w:rFonts w:ascii="微软雅黑" w:eastAsia="微软雅黑" w:hint="eastAsia"/>
                <w:b/>
                <w:spacing w:val="-10"/>
                <w:sz w:val="21"/>
              </w:rPr>
              <w:t>  </w:t>
            </w:r>
            <w:r>
              <w:rPr>
                <w:rFonts w:ascii="微软雅黑" w:eastAsia="微软雅黑" w:hint="eastAsia"/>
                <w:b/>
                <w:spacing w:val="-8"/>
                <w:w w:val="100"/>
                <w:sz w:val="21"/>
              </w:rPr>
              <w:t>感染或艾滋病、感染、肿瘤所致的原发性肾上腺皮质功能减</w:t>
            </w:r>
            <w:r>
              <w:rPr>
                <w:rFonts w:ascii="微软雅黑" w:eastAsia="微软雅黑" w:hint="eastAsia"/>
                <w:b/>
                <w:spacing w:val="-8"/>
                <w:sz w:val="21"/>
              </w:rPr>
              <w:t>退和继发性肾上腺皮质功能减退不在保障范围内。</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62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四十八</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侵蚀性葡萄胎（或</w:t>
            </w:r>
          </w:p>
          <w:p>
            <w:pPr>
              <w:pStyle w:val="TableParagraph"/>
              <w:spacing w:line="337" w:lineRule="exact"/>
              <w:rPr>
                <w:rFonts w:ascii="微软雅黑" w:eastAsia="微软雅黑" w:hint="eastAsia"/>
                <w:b/>
                <w:sz w:val="21"/>
              </w:rPr>
            </w:pPr>
            <w:r>
              <w:rPr>
                <w:rFonts w:ascii="微软雅黑" w:eastAsia="微软雅黑" w:hint="eastAsia"/>
                <w:b/>
                <w:sz w:val="21"/>
              </w:rPr>
              <w:t>称恶性葡萄胎）</w:t>
            </w:r>
          </w:p>
        </w:tc>
        <w:tc>
          <w:tcPr>
            <w:tcW w:w="7306" w:type="dxa"/>
          </w:tcPr>
          <w:p>
            <w:pPr>
              <w:pStyle w:val="TableParagraph"/>
              <w:spacing w:line="255" w:lineRule="exact"/>
              <w:rPr>
                <w:sz w:val="21"/>
              </w:rPr>
            </w:pPr>
            <w:r>
              <w:rPr>
                <w:sz w:val="21"/>
              </w:rPr>
              <w:t>该类疾病是指异常增生的绒毛组织浸润性生长侵入子宫肌层或转移至其他器</w:t>
            </w:r>
          </w:p>
          <w:p>
            <w:pPr>
              <w:pStyle w:val="TableParagraph"/>
              <w:spacing w:before="37"/>
              <w:rPr>
                <w:sz w:val="21"/>
              </w:rPr>
            </w:pPr>
            <w:r>
              <w:rPr>
                <w:sz w:val="21"/>
              </w:rPr>
              <w:t>官或组织的葡萄胎，并已经进行化疗或手术治疗的。</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1871"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四十九</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非阿尔茨海默病所</w:t>
            </w:r>
          </w:p>
          <w:p>
            <w:pPr>
              <w:pStyle w:val="TableParagraph"/>
              <w:spacing w:line="337" w:lineRule="exact"/>
              <w:rPr>
                <w:rFonts w:ascii="微软雅黑" w:eastAsia="微软雅黑" w:hint="eastAsia"/>
                <w:b/>
                <w:sz w:val="21"/>
              </w:rPr>
            </w:pPr>
            <w:r>
              <w:rPr>
                <w:rFonts w:ascii="微软雅黑" w:eastAsia="微软雅黑" w:hint="eastAsia"/>
                <w:b/>
                <w:sz w:val="21"/>
              </w:rPr>
              <w:t>致严重痴呆</w:t>
            </w:r>
          </w:p>
        </w:tc>
        <w:tc>
          <w:tcPr>
            <w:tcW w:w="7306" w:type="dxa"/>
          </w:tcPr>
          <w:p>
            <w:pPr>
              <w:pStyle w:val="TableParagraph"/>
              <w:spacing w:line="255" w:lineRule="exact"/>
              <w:rPr>
                <w:sz w:val="21"/>
              </w:rPr>
            </w:pPr>
            <w:r>
              <w:rPr>
                <w:sz w:val="21"/>
              </w:rPr>
              <w:t>指因阿尔茨海默病以外的脑的器质性疾病造成脑功能衰竭导致永久不可逆性</w:t>
            </w:r>
          </w:p>
          <w:p>
            <w:pPr>
              <w:pStyle w:val="TableParagraph"/>
              <w:spacing w:line="273" w:lineRule="auto" w:before="37"/>
              <w:ind w:right="-15"/>
              <w:rPr>
                <w:sz w:val="21"/>
              </w:rPr>
            </w:pPr>
            <w:r>
              <w:rPr>
                <w:spacing w:val="-7"/>
                <w:sz w:val="21"/>
              </w:rPr>
              <w:t>的严重痴呆，临床表现为明显的认知能力障碍、行为异常和社交能力减退。被</w:t>
            </w:r>
            <w:r>
              <w:rPr>
                <w:spacing w:val="-9"/>
                <w:sz w:val="21"/>
              </w:rPr>
              <w:t>保险人自主生活能力完全丧失，无法独立完成六项基本日常生活活动中的三项</w:t>
            </w:r>
            <w:r>
              <w:rPr>
                <w:spacing w:val="-16"/>
                <w:sz w:val="21"/>
              </w:rPr>
              <w:t>或三项以上，日常生活必须持续受到他人监护。导致痴呆的疾病必须明确诊断， </w:t>
            </w:r>
            <w:r>
              <w:rPr>
                <w:spacing w:val="-7"/>
                <w:sz w:val="21"/>
              </w:rPr>
              <w:t>并且有完整的临床、实验室和影像学检查结果证实。</w:t>
            </w:r>
          </w:p>
          <w:p>
            <w:pPr>
              <w:pStyle w:val="TableParagraph"/>
              <w:spacing w:line="308" w:lineRule="exact"/>
              <w:rPr>
                <w:rFonts w:ascii="微软雅黑" w:eastAsia="微软雅黑" w:hint="eastAsia"/>
                <w:b/>
                <w:sz w:val="21"/>
              </w:rPr>
            </w:pPr>
            <w:r>
              <w:rPr>
                <w:rFonts w:ascii="微软雅黑" w:eastAsia="微软雅黑" w:hint="eastAsia"/>
                <w:b/>
                <w:sz w:val="21"/>
              </w:rPr>
              <w:t>神经官能症，精神疾病及酒精中毒所致脑损害不在保障范围内。</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4681"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sz w:val="21"/>
              </w:rPr>
              <w:t>五十</w:t>
            </w:r>
          </w:p>
        </w:tc>
        <w:tc>
          <w:tcPr>
            <w:tcW w:w="1932" w:type="dxa"/>
          </w:tcPr>
          <w:p>
            <w:pPr>
              <w:pStyle w:val="TableParagraph"/>
              <w:spacing w:line="257" w:lineRule="exact"/>
              <w:rPr>
                <w:rFonts w:ascii="微软雅黑" w:eastAsia="微软雅黑" w:hint="eastAsia"/>
                <w:b/>
                <w:sz w:val="21"/>
              </w:rPr>
            </w:pPr>
            <w:r>
              <w:rPr>
                <w:rFonts w:ascii="微软雅黑" w:eastAsia="微软雅黑" w:hint="eastAsia"/>
                <w:b/>
                <w:sz w:val="21"/>
              </w:rPr>
              <w:t>严重类风湿性关节</w:t>
            </w:r>
          </w:p>
          <w:p>
            <w:pPr>
              <w:pStyle w:val="TableParagraph"/>
              <w:spacing w:line="337" w:lineRule="exact"/>
              <w:rPr>
                <w:rFonts w:ascii="微软雅黑" w:eastAsia="微软雅黑" w:hint="eastAsia"/>
                <w:b/>
                <w:sz w:val="21"/>
              </w:rPr>
            </w:pPr>
            <w:r>
              <w:rPr>
                <w:rFonts w:ascii="微软雅黑" w:eastAsia="微软雅黑" w:hint="eastAsia"/>
                <w:b/>
                <w:w w:val="100"/>
                <w:sz w:val="21"/>
              </w:rPr>
              <w:t>炎</w:t>
            </w:r>
          </w:p>
        </w:tc>
        <w:tc>
          <w:tcPr>
            <w:tcW w:w="7306" w:type="dxa"/>
          </w:tcPr>
          <w:p>
            <w:pPr>
              <w:pStyle w:val="TableParagraph"/>
              <w:spacing w:line="257" w:lineRule="exact"/>
              <w:rPr>
                <w:sz w:val="21"/>
              </w:rPr>
            </w:pPr>
            <w:r>
              <w:rPr>
                <w:sz w:val="21"/>
              </w:rPr>
              <w:t>指广泛分布的慢性进行性多关节病变，表现为关节严重变形，侵犯至少三个主</w:t>
            </w:r>
          </w:p>
          <w:p>
            <w:pPr>
              <w:pStyle w:val="TableParagraph"/>
              <w:spacing w:line="273" w:lineRule="auto" w:before="37"/>
              <w:ind w:right="94"/>
              <w:jc w:val="both"/>
              <w:rPr>
                <w:sz w:val="21"/>
              </w:rPr>
            </w:pPr>
            <w:r>
              <w:rPr>
                <w:spacing w:val="-4"/>
                <w:sz w:val="21"/>
              </w:rPr>
              <w:t>要关节</w:t>
            </w:r>
            <w:r>
              <w:rPr>
                <w:sz w:val="21"/>
              </w:rPr>
              <w:t>（</w:t>
            </w:r>
            <w:r>
              <w:rPr>
                <w:spacing w:val="-8"/>
                <w:sz w:val="21"/>
              </w:rPr>
              <w:t>腕关节、肘关节、肩关节、踝关节、膝关节、髋关节</w:t>
            </w:r>
            <w:r>
              <w:rPr>
                <w:spacing w:val="-10"/>
                <w:sz w:val="21"/>
              </w:rPr>
              <w:t>）</w:t>
            </w:r>
            <w:r>
              <w:rPr>
                <w:spacing w:val="-4"/>
                <w:sz w:val="21"/>
              </w:rPr>
              <w:t>或关节组</w:t>
            </w:r>
            <w:r>
              <w:rPr>
                <w:spacing w:val="-3"/>
                <w:sz w:val="21"/>
              </w:rPr>
              <w:t>（</w:t>
            </w:r>
            <w:r>
              <w:rPr>
                <w:sz w:val="21"/>
              </w:rPr>
              <w:t>如</w:t>
            </w:r>
            <w:r>
              <w:rPr>
                <w:spacing w:val="-3"/>
                <w:sz w:val="21"/>
              </w:rPr>
              <w:t>手的多个指间、掌指关节，足的多个足趾、跖趾关节等</w:t>
            </w:r>
            <w:r>
              <w:rPr>
                <w:spacing w:val="-108"/>
                <w:sz w:val="21"/>
              </w:rPr>
              <w:t>）</w:t>
            </w:r>
            <w:r>
              <w:rPr>
                <w:spacing w:val="-3"/>
                <w:sz w:val="21"/>
              </w:rPr>
              <w:t>。类风湿性关节炎须</w:t>
            </w:r>
            <w:r>
              <w:rPr>
                <w:spacing w:val="-7"/>
                <w:sz w:val="21"/>
              </w:rPr>
              <w:t>明确诊断，并已达到类风湿性关节炎功能活动分级</w:t>
            </w:r>
            <w:r>
              <w:rPr>
                <w:sz w:val="21"/>
              </w:rPr>
              <w:t>（注</w:t>
            </w:r>
            <w:r>
              <w:rPr>
                <w:spacing w:val="-7"/>
                <w:sz w:val="21"/>
              </w:rPr>
              <w:t>）IV</w:t>
            </w:r>
            <w:r>
              <w:rPr>
                <w:sz w:val="21"/>
              </w:rPr>
              <w:t> 级的永久不可逆</w:t>
            </w:r>
            <w:r>
              <w:rPr>
                <w:spacing w:val="-3"/>
                <w:sz w:val="21"/>
              </w:rPr>
              <w:t>性关节功能障碍，且须满足下列全部条件：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816"/>
              <w:rPr>
                <w:sz w:val="21"/>
              </w:rPr>
            </w:pPr>
            <w:r>
              <w:rPr>
                <w:sz w:val="21"/>
              </w:rPr>
              <w:t>（5）X 线显示严重的关节（软骨和骨）破坏和关节畸形。注：类风湿性关节炎功能活动分级：</w:t>
            </w:r>
          </w:p>
          <w:p>
            <w:pPr>
              <w:pStyle w:val="TableParagraph"/>
              <w:spacing w:before="7"/>
              <w:jc w:val="both"/>
              <w:rPr>
                <w:sz w:val="21"/>
              </w:rPr>
            </w:pPr>
            <w:r>
              <w:rPr>
                <w:sz w:val="21"/>
              </w:rPr>
              <w:t>Ⅰ级：关节功能完整，一般活动无障碍。</w:t>
            </w:r>
          </w:p>
          <w:p>
            <w:pPr>
              <w:pStyle w:val="TableParagraph"/>
              <w:spacing w:before="37"/>
              <w:jc w:val="both"/>
              <w:rPr>
                <w:sz w:val="21"/>
              </w:rPr>
            </w:pPr>
            <w:r>
              <w:rPr>
                <w:sz w:val="21"/>
              </w:rPr>
              <w:t>Ⅱ级：有关节不适或障碍，但尚能完成一半活动。</w:t>
            </w:r>
          </w:p>
          <w:p>
            <w:pPr>
              <w:pStyle w:val="TableParagraph"/>
              <w:spacing w:before="37"/>
              <w:jc w:val="both"/>
              <w:rPr>
                <w:sz w:val="21"/>
              </w:rPr>
            </w:pPr>
            <w:r>
              <w:rPr>
                <w:sz w:val="21"/>
              </w:rPr>
              <w:t>Ⅲ级：功能活动明显受限，但大部分生活可自理。</w:t>
            </w:r>
          </w:p>
          <w:p>
            <w:pPr>
              <w:pStyle w:val="TableParagraph"/>
              <w:spacing w:before="37"/>
              <w:jc w:val="both"/>
              <w:rPr>
                <w:sz w:val="21"/>
              </w:rPr>
            </w:pPr>
            <w:r>
              <w:rPr>
                <w:sz w:val="21"/>
              </w:rPr>
              <w:t>Ⅳ级：生活不能自理或卧床。</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93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五十一</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胰腺移植</w:t>
            </w:r>
          </w:p>
        </w:tc>
        <w:tc>
          <w:tcPr>
            <w:tcW w:w="7306" w:type="dxa"/>
          </w:tcPr>
          <w:p>
            <w:pPr>
              <w:pStyle w:val="TableParagraph"/>
              <w:spacing w:line="255" w:lineRule="exact"/>
              <w:rPr>
                <w:sz w:val="21"/>
              </w:rPr>
            </w:pPr>
            <w:r>
              <w:rPr>
                <w:sz w:val="21"/>
              </w:rPr>
              <w:t>指因胰腺功能衰竭，已经实施了在全身麻醉下进行的胰腺的异体器官移植手</w:t>
            </w:r>
          </w:p>
          <w:p>
            <w:pPr>
              <w:pStyle w:val="TableParagraph"/>
              <w:spacing w:line="262" w:lineRule="exact" w:before="37"/>
              <w:rPr>
                <w:sz w:val="21"/>
              </w:rPr>
            </w:pPr>
            <w:r>
              <w:rPr>
                <w:sz w:val="21"/>
              </w:rPr>
              <w:t>术。</w:t>
            </w:r>
          </w:p>
          <w:p>
            <w:pPr>
              <w:pStyle w:val="TableParagraph"/>
              <w:spacing w:line="350" w:lineRule="exact"/>
              <w:rPr>
                <w:rFonts w:ascii="微软雅黑" w:eastAsia="微软雅黑" w:hint="eastAsia"/>
                <w:b/>
                <w:sz w:val="21"/>
              </w:rPr>
            </w:pPr>
            <w:r>
              <w:rPr>
                <w:rFonts w:ascii="微软雅黑" w:eastAsia="微软雅黑" w:hint="eastAsia"/>
                <w:b/>
                <w:sz w:val="21"/>
              </w:rPr>
              <w:t>单纯胰岛移植、部分胰腺组织或细胞的移植不在保障范围内。</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93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五十二</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埃博拉病毒感染</w:t>
            </w:r>
          </w:p>
        </w:tc>
        <w:tc>
          <w:tcPr>
            <w:tcW w:w="7306" w:type="dxa"/>
          </w:tcPr>
          <w:p>
            <w:pPr>
              <w:pStyle w:val="TableParagraph"/>
              <w:spacing w:line="255" w:lineRule="exact"/>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1250"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sz w:val="21"/>
              </w:rPr>
              <w:t>五十三</w:t>
            </w:r>
          </w:p>
        </w:tc>
        <w:tc>
          <w:tcPr>
            <w:tcW w:w="1932" w:type="dxa"/>
          </w:tcPr>
          <w:p>
            <w:pPr>
              <w:pStyle w:val="TableParagraph"/>
              <w:spacing w:line="257" w:lineRule="exact"/>
              <w:rPr>
                <w:rFonts w:ascii="微软雅黑" w:eastAsia="微软雅黑" w:hint="eastAsia"/>
                <w:b/>
                <w:sz w:val="21"/>
              </w:rPr>
            </w:pPr>
            <w:r>
              <w:rPr>
                <w:rFonts w:ascii="微软雅黑" w:eastAsia="微软雅黑" w:hint="eastAsia"/>
                <w:b/>
                <w:sz w:val="21"/>
              </w:rPr>
              <w:t>破裂脑动脉瘤夹闭</w:t>
            </w:r>
          </w:p>
          <w:p>
            <w:pPr>
              <w:pStyle w:val="TableParagraph"/>
              <w:spacing w:line="337" w:lineRule="exact"/>
              <w:rPr>
                <w:rFonts w:ascii="微软雅黑" w:eastAsia="微软雅黑" w:hint="eastAsia"/>
                <w:b/>
                <w:sz w:val="21"/>
              </w:rPr>
            </w:pPr>
            <w:r>
              <w:rPr>
                <w:rFonts w:ascii="微软雅黑" w:eastAsia="微软雅黑" w:hint="eastAsia"/>
                <w:b/>
                <w:sz w:val="21"/>
              </w:rPr>
              <w:t>手术</w:t>
            </w:r>
          </w:p>
        </w:tc>
        <w:tc>
          <w:tcPr>
            <w:tcW w:w="7306" w:type="dxa"/>
          </w:tcPr>
          <w:p>
            <w:pPr>
              <w:pStyle w:val="TableParagraph"/>
              <w:spacing w:line="257" w:lineRule="exact"/>
              <w:rPr>
                <w:sz w:val="21"/>
              </w:rPr>
            </w:pPr>
            <w:r>
              <w:rPr>
                <w:sz w:val="21"/>
              </w:rPr>
              <w:t>指因脑动脉瘤破裂造成蛛网膜下腔出血，被保险人实际接受了在全麻下进行的</w:t>
            </w:r>
          </w:p>
          <w:p>
            <w:pPr>
              <w:pStyle w:val="TableParagraph"/>
              <w:spacing w:line="262" w:lineRule="exact" w:before="37"/>
              <w:rPr>
                <w:sz w:val="21"/>
              </w:rPr>
            </w:pPr>
            <w:r>
              <w:rPr>
                <w:sz w:val="21"/>
              </w:rPr>
              <w:t>开颅动脉瘤夹闭手术。</w:t>
            </w:r>
          </w:p>
          <w:p>
            <w:pPr>
              <w:pStyle w:val="TableParagraph"/>
              <w:spacing w:line="206" w:lineRule="auto" w:before="38"/>
              <w:ind w:right="96"/>
              <w:rPr>
                <w:rFonts w:ascii="微软雅黑" w:eastAsia="微软雅黑" w:hint="eastAsia"/>
                <w:b/>
                <w:sz w:val="21"/>
              </w:rPr>
            </w:pPr>
            <w:r>
              <w:rPr>
                <w:rFonts w:ascii="微软雅黑" w:eastAsia="微软雅黑" w:hint="eastAsia"/>
                <w:b/>
                <w:spacing w:val="-4"/>
                <w:sz w:val="21"/>
              </w:rPr>
              <w:t>脑动脉瘤</w:t>
            </w:r>
            <w:r>
              <w:rPr>
                <w:rFonts w:ascii="微软雅黑" w:eastAsia="微软雅黑" w:hint="eastAsia"/>
                <w:b/>
                <w:sz w:val="21"/>
              </w:rPr>
              <w:t>（</w:t>
            </w:r>
            <w:r>
              <w:rPr>
                <w:rFonts w:ascii="微软雅黑" w:eastAsia="微软雅黑" w:hint="eastAsia"/>
                <w:b/>
                <w:spacing w:val="-2"/>
                <w:sz w:val="21"/>
              </w:rPr>
              <w:t>未破裂</w:t>
            </w:r>
            <w:r>
              <w:rPr>
                <w:rFonts w:ascii="微软雅黑" w:eastAsia="微软雅黑" w:hint="eastAsia"/>
                <w:b/>
                <w:spacing w:val="-15"/>
                <w:sz w:val="21"/>
              </w:rPr>
              <w:t>）</w:t>
            </w:r>
            <w:r>
              <w:rPr>
                <w:rFonts w:ascii="微软雅黑" w:eastAsia="微软雅黑" w:hint="eastAsia"/>
                <w:b/>
                <w:spacing w:val="-7"/>
                <w:sz w:val="21"/>
              </w:rPr>
              <w:t>预防性手术、颅骨打孔手术、动脉瘤栓塞手术、血管内手术及其他颅脑手术不在保障范围内。</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62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五十四</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丝虫病所致象皮肿</w:t>
            </w:r>
          </w:p>
        </w:tc>
        <w:tc>
          <w:tcPr>
            <w:tcW w:w="7306" w:type="dxa"/>
          </w:tcPr>
          <w:p>
            <w:pPr>
              <w:pStyle w:val="TableParagraph"/>
              <w:spacing w:line="255" w:lineRule="exact"/>
              <w:rPr>
                <w:sz w:val="21"/>
              </w:rPr>
            </w:pPr>
            <w:r>
              <w:rPr>
                <w:sz w:val="21"/>
              </w:rPr>
              <w:t>指末期丝虫病，按国际淋巴学会分级为三度淋巴液肿，其临床表现为肢体非凹</w:t>
            </w:r>
          </w:p>
          <w:p>
            <w:pPr>
              <w:pStyle w:val="TableParagraph"/>
              <w:spacing w:before="37"/>
              <w:rPr>
                <w:sz w:val="21"/>
              </w:rPr>
            </w:pPr>
            <w:r>
              <w:rPr>
                <w:sz w:val="21"/>
              </w:rPr>
              <w:t>陷性水肿伴畸形增大、硬皮症和疣状增生。此病症须经专科医生根据临床表现</w:t>
            </w:r>
          </w:p>
        </w:tc>
      </w:tr>
    </w:tbl>
    <w:p>
      <w:pPr>
        <w:spacing w:after="0"/>
        <w:rPr>
          <w:sz w:val="21"/>
        </w:rPr>
        <w:sectPr>
          <w:pgSz w:w="11900" w:h="16840"/>
          <w:pgMar w:top="114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313"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spacing w:line="257" w:lineRule="exact"/>
              <w:rPr>
                <w:sz w:val="21"/>
              </w:rPr>
            </w:pPr>
            <w:r>
              <w:rPr>
                <w:sz w:val="21"/>
              </w:rPr>
              <w:t>和微丝蚴的化验结果确诊。</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62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五十五</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嗜铬细胞瘤</w:t>
            </w:r>
          </w:p>
        </w:tc>
        <w:tc>
          <w:tcPr>
            <w:tcW w:w="7306" w:type="dxa"/>
          </w:tcPr>
          <w:p>
            <w:pPr>
              <w:pStyle w:val="TableParagraph"/>
              <w:spacing w:line="271" w:lineRule="exact"/>
              <w:rPr>
                <w:sz w:val="21"/>
              </w:rPr>
            </w:pPr>
            <w:r>
              <w:rPr>
                <w:sz w:val="21"/>
              </w:rPr>
              <w:t>是指肾上腺或嗜铬外组织出现神经内分泌肿瘤，并分</w:t>
            </w:r>
            <w:r>
              <w:rPr>
                <w:rFonts w:ascii="Times New Roman" w:hAnsi="Times New Roman" w:eastAsia="Times New Roman"/>
                <w:sz w:val="21"/>
              </w:rPr>
              <w:t>ӷ</w:t>
            </w:r>
            <w:r>
              <w:rPr>
                <w:sz w:val="21"/>
              </w:rPr>
              <w:t>过多的儿茶酚胺类，需</w:t>
            </w:r>
          </w:p>
          <w:p>
            <w:pPr>
              <w:pStyle w:val="TableParagraph"/>
              <w:spacing w:before="21"/>
              <w:rPr>
                <w:sz w:val="21"/>
                <w:szCs w:val="21"/>
              </w:rPr>
            </w:pPr>
            <w:r>
              <w:rPr>
                <w:sz w:val="21"/>
                <w:szCs w:val="21"/>
              </w:rPr>
              <w:t>要确实进</w:t>
            </w:r>
            <w:r>
              <w:rPr>
                <w:rFonts w:ascii="Times New Roman" w:hAnsi="Times New Roman" w:cs="Times New Roman" w:eastAsia="Times New Roman"/>
                <w:w w:val="110"/>
                <w:sz w:val="21"/>
                <w:szCs w:val="21"/>
              </w:rPr>
              <w:t>ཊ</w:t>
            </w:r>
            <w:r>
              <w:rPr>
                <w:sz w:val="21"/>
                <w:szCs w:val="21"/>
              </w:rPr>
              <w:t>手术以切除肿瘤。嗜铬细胞瘤的诊断必须由内分泌专科医生确定。</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2807"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五十六</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系统性硬化病（硬</w:t>
            </w:r>
          </w:p>
          <w:p>
            <w:pPr>
              <w:pStyle w:val="TableParagraph"/>
              <w:spacing w:line="337" w:lineRule="exact"/>
              <w:rPr>
                <w:rFonts w:ascii="微软雅黑" w:eastAsia="微软雅黑" w:hint="eastAsia"/>
                <w:b/>
                <w:sz w:val="21"/>
              </w:rPr>
            </w:pPr>
            <w:r>
              <w:rPr>
                <w:rFonts w:ascii="微软雅黑" w:eastAsia="微软雅黑" w:hint="eastAsia"/>
                <w:b/>
                <w:sz w:val="21"/>
              </w:rPr>
              <w:t>皮病）</w:t>
            </w:r>
          </w:p>
        </w:tc>
        <w:tc>
          <w:tcPr>
            <w:tcW w:w="7306" w:type="dxa"/>
          </w:tcPr>
          <w:p>
            <w:pPr>
              <w:pStyle w:val="TableParagraph"/>
              <w:spacing w:line="255" w:lineRule="exact"/>
              <w:rPr>
                <w:sz w:val="21"/>
              </w:rPr>
            </w:pPr>
            <w:r>
              <w:rPr>
                <w:sz w:val="21"/>
              </w:rPr>
              <w:t>指一种以局限性或弥漫性皮肤增厚和皮肤\血管\内脏器官异常纤维化为特征</w:t>
            </w:r>
          </w:p>
          <w:p>
            <w:pPr>
              <w:pStyle w:val="TableParagraph"/>
              <w:spacing w:line="273" w:lineRule="auto" w:before="37"/>
              <w:ind w:right="255" w:hanging="1"/>
              <w:rPr>
                <w:sz w:val="21"/>
              </w:rPr>
            </w:pPr>
            <w:r>
              <w:rPr>
                <w:sz w:val="21"/>
              </w:rPr>
              <w:t>的结缔组织病.本病须经专科医师明确诊断,并须满足下列至少一项为条件： 肺脏：肺部病变进而发展为肺间质纤维化和肺动脉高压；</w:t>
            </w:r>
          </w:p>
          <w:p>
            <w:pPr>
              <w:pStyle w:val="TableParagraph"/>
              <w:spacing w:line="273" w:lineRule="auto" w:before="7"/>
              <w:ind w:right="1195"/>
              <w:rPr>
                <w:sz w:val="21"/>
              </w:rPr>
            </w:pPr>
            <w:r>
              <w:rPr>
                <w:spacing w:val="-5"/>
                <w:sz w:val="21"/>
              </w:rPr>
              <w:t>心脏：心功能受酸达到美国纽约心脏学会心功能状态分级 </w:t>
            </w:r>
            <w:r>
              <w:rPr>
                <w:sz w:val="21"/>
              </w:rPr>
              <w:t>IV</w:t>
            </w:r>
            <w:r>
              <w:rPr>
                <w:spacing w:val="-15"/>
                <w:sz w:val="21"/>
              </w:rPr>
              <w:t> 级； </w:t>
            </w:r>
            <w:r>
              <w:rPr>
                <w:spacing w:val="-7"/>
                <w:sz w:val="21"/>
              </w:rPr>
              <w:t>肾脏：肾脏受酸导致双肾功能慢性不可逆衰竭,达到尿毒症期。 </w:t>
            </w:r>
            <w:r>
              <w:rPr>
                <w:spacing w:val="-5"/>
                <w:sz w:val="21"/>
              </w:rPr>
              <w:t>下列疾病不在本险种保障范围内：</w:t>
            </w:r>
          </w:p>
          <w:p>
            <w:pPr>
              <w:pStyle w:val="TableParagraph"/>
              <w:spacing w:before="7"/>
              <w:rPr>
                <w:sz w:val="21"/>
              </w:rPr>
            </w:pPr>
            <w:r>
              <w:rPr>
                <w:sz w:val="21"/>
              </w:rPr>
              <w:t>（1）局部性硬皮病（如:带状硬皮病\硬斑病)；</w:t>
            </w:r>
          </w:p>
          <w:p>
            <w:pPr>
              <w:pStyle w:val="TableParagraph"/>
              <w:spacing w:before="37"/>
              <w:rPr>
                <w:sz w:val="21"/>
              </w:rPr>
            </w:pPr>
            <w:r>
              <w:rPr>
                <w:sz w:val="21"/>
              </w:rPr>
              <w:t>（2）嗜酸性粒细胞性筋膜炎；</w:t>
            </w:r>
          </w:p>
          <w:p>
            <w:pPr>
              <w:pStyle w:val="TableParagraph"/>
              <w:spacing w:before="37"/>
              <w:rPr>
                <w:sz w:val="21"/>
              </w:rPr>
            </w:pPr>
            <w:r>
              <w:rPr>
                <w:sz w:val="21"/>
              </w:rPr>
              <w:t>（3）CREST 综合征。</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2185"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sz w:val="21"/>
              </w:rPr>
              <w:t>五十七</w:t>
            </w:r>
          </w:p>
        </w:tc>
        <w:tc>
          <w:tcPr>
            <w:tcW w:w="1932" w:type="dxa"/>
          </w:tcPr>
          <w:p>
            <w:pPr>
              <w:pStyle w:val="TableParagraph"/>
              <w:spacing w:line="283" w:lineRule="exact"/>
              <w:rPr>
                <w:rFonts w:ascii="微软雅黑" w:eastAsia="微软雅黑" w:hint="eastAsia"/>
                <w:b/>
                <w:sz w:val="21"/>
              </w:rPr>
            </w:pPr>
            <w:r>
              <w:rPr>
                <w:rFonts w:ascii="微软雅黑" w:eastAsia="微软雅黑" w:hint="eastAsia"/>
                <w:b/>
                <w:sz w:val="21"/>
              </w:rPr>
              <w:t>疯牛病</w:t>
            </w:r>
          </w:p>
        </w:tc>
        <w:tc>
          <w:tcPr>
            <w:tcW w:w="7306" w:type="dxa"/>
          </w:tcPr>
          <w:p>
            <w:pPr>
              <w:pStyle w:val="TableParagraph"/>
              <w:spacing w:line="257" w:lineRule="exact"/>
              <w:rPr>
                <w:sz w:val="21"/>
              </w:rPr>
            </w:pPr>
            <w:r>
              <w:rPr>
                <w:sz w:val="21"/>
              </w:rPr>
              <w:t>神经系统疾病及致命的成胶质状脑病，并有以下症状：</w:t>
            </w:r>
          </w:p>
          <w:p>
            <w:pPr>
              <w:pStyle w:val="TableParagraph"/>
              <w:spacing w:before="37"/>
              <w:rPr>
                <w:sz w:val="21"/>
              </w:rPr>
            </w:pPr>
            <w:r>
              <w:rPr>
                <w:sz w:val="21"/>
              </w:rPr>
              <w:t>（1）不能控制的肌肉痉挛及震颤；</w:t>
            </w:r>
          </w:p>
          <w:p>
            <w:pPr>
              <w:pStyle w:val="TableParagraph"/>
              <w:spacing w:before="37"/>
              <w:rPr>
                <w:sz w:val="21"/>
              </w:rPr>
            </w:pPr>
            <w:r>
              <w:rPr>
                <w:sz w:val="21"/>
              </w:rPr>
              <w:t>（2）逐渐痴呆；</w:t>
            </w:r>
          </w:p>
          <w:p>
            <w:pPr>
              <w:pStyle w:val="TableParagraph"/>
              <w:spacing w:before="37"/>
              <w:rPr>
                <w:sz w:val="21"/>
              </w:rPr>
            </w:pPr>
            <w:r>
              <w:rPr>
                <w:sz w:val="21"/>
              </w:rPr>
              <w:t>（3）小脑功能不良，共济失调；</w:t>
            </w:r>
          </w:p>
          <w:p>
            <w:pPr>
              <w:pStyle w:val="TableParagraph"/>
              <w:spacing w:before="37"/>
              <w:rPr>
                <w:sz w:val="21"/>
              </w:rPr>
            </w:pPr>
            <w:r>
              <w:rPr>
                <w:sz w:val="21"/>
              </w:rPr>
              <w:t>（4）手足徐动症；</w:t>
            </w:r>
          </w:p>
          <w:p>
            <w:pPr>
              <w:pStyle w:val="TableParagraph"/>
              <w:spacing w:line="273" w:lineRule="auto" w:before="37"/>
              <w:ind w:right="94"/>
              <w:rPr>
                <w:sz w:val="21"/>
              </w:rPr>
            </w:pPr>
            <w:r>
              <w:rPr>
                <w:spacing w:val="-6"/>
                <w:sz w:val="21"/>
              </w:rPr>
              <w:t>诊断必须由神经科专科医生基于以下检查报告作出：脑电图、脑脊液报告、电</w:t>
            </w:r>
            <w:r>
              <w:rPr>
                <w:spacing w:val="-4"/>
                <w:w w:val="100"/>
                <w:sz w:val="21"/>
              </w:rPr>
              <w:t>脑断层扫描</w:t>
            </w:r>
            <w:r>
              <w:rPr>
                <w:w w:val="100"/>
                <w:sz w:val="21"/>
              </w:rPr>
              <w:t>（C</w:t>
            </w:r>
            <w:r>
              <w:rPr>
                <w:spacing w:val="-3"/>
                <w:w w:val="100"/>
                <w:sz w:val="21"/>
              </w:rPr>
              <w:t>T</w:t>
            </w:r>
            <w:r>
              <w:rPr>
                <w:w w:val="100"/>
                <w:sz w:val="21"/>
              </w:rPr>
              <w:t>）</w:t>
            </w:r>
            <w:r>
              <w:rPr>
                <w:spacing w:val="-3"/>
                <w:w w:val="100"/>
                <w:sz w:val="21"/>
              </w:rPr>
              <w:t>及核磁共振（</w:t>
            </w:r>
            <w:r>
              <w:rPr>
                <w:w w:val="100"/>
                <w:sz w:val="21"/>
              </w:rPr>
              <w:t>MRI</w:t>
            </w:r>
            <w:r>
              <w:rPr>
                <w:spacing w:val="-108"/>
                <w:w w:val="100"/>
                <w:sz w:val="21"/>
              </w:rPr>
              <w:t>）</w:t>
            </w:r>
            <w:r>
              <w:rPr>
                <w:w w:val="100"/>
                <w:sz w:val="21"/>
              </w:rPr>
              <w:t>。</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1247"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五十八</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慢性复发性胰腺炎</w:t>
            </w:r>
          </w:p>
        </w:tc>
        <w:tc>
          <w:tcPr>
            <w:tcW w:w="7306" w:type="dxa"/>
          </w:tcPr>
          <w:p>
            <w:pPr>
              <w:pStyle w:val="TableParagraph"/>
              <w:spacing w:line="255" w:lineRule="exact"/>
              <w:rPr>
                <w:sz w:val="21"/>
              </w:rPr>
            </w:pPr>
            <w:r>
              <w:rPr>
                <w:sz w:val="21"/>
              </w:rPr>
              <w:t>胰腺炎反复发作超过三次以上并导致胰腺功能紊乱和营养不良，需要接受酶替</w:t>
            </w:r>
          </w:p>
          <w:p>
            <w:pPr>
              <w:pStyle w:val="TableParagraph"/>
              <w:spacing w:line="273" w:lineRule="auto" w:before="37"/>
              <w:ind w:right="250"/>
              <w:rPr>
                <w:sz w:val="21"/>
              </w:rPr>
            </w:pPr>
            <w:r>
              <w:rPr>
                <w:sz w:val="21"/>
              </w:rPr>
              <w:t>代治疗。诊断必须有消化科专科医生确认并且有内窥镜逆行胰胆管造影所证实。</w:t>
            </w:r>
          </w:p>
          <w:p>
            <w:pPr>
              <w:pStyle w:val="TableParagraph"/>
              <w:spacing w:line="308" w:lineRule="exact"/>
              <w:rPr>
                <w:rFonts w:ascii="微软雅黑" w:eastAsia="微软雅黑" w:hint="eastAsia"/>
                <w:b/>
                <w:sz w:val="21"/>
              </w:rPr>
            </w:pPr>
            <w:r>
              <w:rPr>
                <w:rFonts w:ascii="微软雅黑" w:eastAsia="微软雅黑" w:hint="eastAsia"/>
                <w:b/>
                <w:sz w:val="21"/>
              </w:rPr>
              <w:t>因酒精所致的慢性复发性胰腺炎除外。</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93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五十九</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斯蒂尔病</w:t>
            </w:r>
          </w:p>
        </w:tc>
        <w:tc>
          <w:tcPr>
            <w:tcW w:w="7306" w:type="dxa"/>
          </w:tcPr>
          <w:p>
            <w:pPr>
              <w:pStyle w:val="TableParagraph"/>
              <w:spacing w:line="255" w:lineRule="exact"/>
              <w:rPr>
                <w:sz w:val="21"/>
              </w:rPr>
            </w:pPr>
            <w:r>
              <w:rPr>
                <w:sz w:val="21"/>
              </w:rPr>
              <w:t>斯蒂尔病须满足下列全部条件：</w:t>
            </w:r>
          </w:p>
          <w:p>
            <w:pPr>
              <w:pStyle w:val="TableParagraph"/>
              <w:spacing w:before="37"/>
              <w:rPr>
                <w:sz w:val="21"/>
                <w:szCs w:val="21"/>
              </w:rPr>
            </w:pPr>
            <w:r>
              <w:rPr>
                <w:sz w:val="21"/>
                <w:szCs w:val="21"/>
              </w:rPr>
              <w:t>（1) 因该病引致广泛性关节破坏，以致需要进</w:t>
            </w:r>
            <w:r>
              <w:rPr>
                <w:rFonts w:ascii="Times New Roman" w:hAnsi="Times New Roman" w:cs="Times New Roman" w:eastAsia="Times New Roman"/>
                <w:sz w:val="21"/>
                <w:szCs w:val="21"/>
              </w:rPr>
              <w:t>ཊ</w:t>
            </w:r>
            <w:r>
              <w:rPr>
                <w:sz w:val="21"/>
                <w:szCs w:val="21"/>
              </w:rPr>
              <w:t>髋及膝关节置换；</w:t>
            </w:r>
          </w:p>
          <w:p>
            <w:pPr>
              <w:pStyle w:val="TableParagraph"/>
              <w:spacing w:before="21"/>
              <w:rPr>
                <w:sz w:val="21"/>
              </w:rPr>
            </w:pPr>
            <w:r>
              <w:rPr>
                <w:sz w:val="21"/>
              </w:rPr>
              <w:t>（2) 由风湿病专科医生确定诊断。</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937" w:hRule="atLeast"/>
        </w:trPr>
        <w:tc>
          <w:tcPr>
            <w:tcW w:w="852" w:type="dxa"/>
          </w:tcPr>
          <w:p>
            <w:pPr>
              <w:pStyle w:val="TableParagraph"/>
              <w:spacing w:line="283" w:lineRule="exact"/>
              <w:rPr>
                <w:rFonts w:ascii="微软雅黑" w:eastAsia="微软雅黑" w:hint="eastAsia"/>
                <w:b/>
                <w:sz w:val="21"/>
              </w:rPr>
            </w:pPr>
            <w:r>
              <w:rPr>
                <w:rFonts w:ascii="微软雅黑" w:eastAsia="微软雅黑" w:hint="eastAsia"/>
                <w:b/>
                <w:sz w:val="21"/>
              </w:rPr>
              <w:t>六十</w:t>
            </w:r>
          </w:p>
        </w:tc>
        <w:tc>
          <w:tcPr>
            <w:tcW w:w="1932" w:type="dxa"/>
          </w:tcPr>
          <w:p>
            <w:pPr>
              <w:pStyle w:val="TableParagraph"/>
              <w:spacing w:line="257" w:lineRule="exact"/>
              <w:rPr>
                <w:rFonts w:ascii="微软雅黑" w:eastAsia="微软雅黑" w:hint="eastAsia"/>
                <w:b/>
                <w:sz w:val="21"/>
              </w:rPr>
            </w:pPr>
            <w:r>
              <w:rPr>
                <w:rFonts w:ascii="微软雅黑" w:eastAsia="微软雅黑" w:hint="eastAsia"/>
                <w:b/>
                <w:sz w:val="21"/>
              </w:rPr>
              <w:t>溶血性链球菌引起</w:t>
            </w:r>
          </w:p>
          <w:p>
            <w:pPr>
              <w:pStyle w:val="TableParagraph"/>
              <w:spacing w:line="337" w:lineRule="exact"/>
              <w:rPr>
                <w:rFonts w:ascii="微软雅黑" w:eastAsia="微软雅黑" w:hint="eastAsia"/>
                <w:b/>
                <w:sz w:val="21"/>
              </w:rPr>
            </w:pPr>
            <w:r>
              <w:rPr>
                <w:rFonts w:ascii="微软雅黑" w:eastAsia="微软雅黑" w:hint="eastAsia"/>
                <w:b/>
                <w:sz w:val="21"/>
              </w:rPr>
              <w:t>的坏疽</w:t>
            </w:r>
          </w:p>
        </w:tc>
        <w:tc>
          <w:tcPr>
            <w:tcW w:w="7306" w:type="dxa"/>
          </w:tcPr>
          <w:p>
            <w:pPr>
              <w:pStyle w:val="TableParagraph"/>
              <w:spacing w:line="257" w:lineRule="exact"/>
              <w:rPr>
                <w:sz w:val="21"/>
              </w:rPr>
            </w:pPr>
            <w:r>
              <w:rPr>
                <w:sz w:val="21"/>
              </w:rPr>
              <w:t>躯干或肢体的浅筋膜或涉及肌肉的深筋膜感染，呈暴发性进展，必须即刻手术</w:t>
            </w:r>
          </w:p>
          <w:p>
            <w:pPr>
              <w:pStyle w:val="TableParagraph"/>
              <w:spacing w:line="273" w:lineRule="auto" w:before="37"/>
              <w:ind w:right="250"/>
              <w:rPr>
                <w:sz w:val="21"/>
              </w:rPr>
            </w:pPr>
            <w:r>
              <w:rPr>
                <w:sz w:val="21"/>
              </w:rPr>
              <w:t>清创。须在外科手术后进行组织培养证实溶血性链球菌坏疽并由专科医生确诊。</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218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注 1</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六项基本日常生活</w:t>
            </w:r>
          </w:p>
          <w:p>
            <w:pPr>
              <w:pStyle w:val="TableParagraph"/>
              <w:spacing w:line="337" w:lineRule="exact"/>
              <w:rPr>
                <w:rFonts w:ascii="微软雅黑" w:eastAsia="微软雅黑" w:hint="eastAsia"/>
                <w:b/>
                <w:sz w:val="21"/>
              </w:rPr>
            </w:pPr>
            <w:r>
              <w:rPr>
                <w:rFonts w:ascii="微软雅黑" w:eastAsia="微软雅黑" w:hint="eastAsia"/>
                <w:b/>
                <w:sz w:val="21"/>
              </w:rPr>
              <w:t>活动</w:t>
            </w:r>
          </w:p>
        </w:tc>
        <w:tc>
          <w:tcPr>
            <w:tcW w:w="7306" w:type="dxa"/>
          </w:tcPr>
          <w:p>
            <w:pPr>
              <w:pStyle w:val="TableParagraph"/>
              <w:spacing w:line="271" w:lineRule="exact"/>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62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注 2</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肢体机能完全丧失</w:t>
            </w:r>
          </w:p>
        </w:tc>
        <w:tc>
          <w:tcPr>
            <w:tcW w:w="7306" w:type="dxa"/>
          </w:tcPr>
          <w:p>
            <w:pPr>
              <w:pStyle w:val="TableParagraph"/>
              <w:spacing w:line="255" w:lineRule="exact"/>
              <w:rPr>
                <w:sz w:val="21"/>
              </w:rPr>
            </w:pPr>
            <w:r>
              <w:rPr>
                <w:sz w:val="21"/>
              </w:rPr>
              <w:t>指肢体的三大关节中的两大关节僵硬，或不能随意识活动。肢体是指包括肩关</w:t>
            </w:r>
          </w:p>
          <w:p>
            <w:pPr>
              <w:pStyle w:val="TableParagraph"/>
              <w:spacing w:before="37"/>
              <w:rPr>
                <w:sz w:val="21"/>
              </w:rPr>
            </w:pPr>
            <w:r>
              <w:rPr>
                <w:sz w:val="21"/>
              </w:rPr>
              <w:t>节的整个上肢或包括髋关节的整个下肢。</w:t>
            </w:r>
          </w:p>
        </w:tc>
      </w:tr>
    </w:tbl>
    <w:p>
      <w:pPr>
        <w:spacing w:after="0"/>
        <w:rPr>
          <w:sz w:val="21"/>
        </w:rPr>
        <w:sectPr>
          <w:pgSz w:w="11900" w:h="16840"/>
          <w:pgMar w:top="114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2"/>
        <w:gridCol w:w="7306"/>
      </w:tblGrid>
      <w:tr>
        <w:trPr>
          <w:trHeight w:val="313"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1247"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注 3</w:t>
            </w:r>
          </w:p>
        </w:tc>
        <w:tc>
          <w:tcPr>
            <w:tcW w:w="1932" w:type="dxa"/>
          </w:tcPr>
          <w:p>
            <w:pPr>
              <w:pStyle w:val="TableParagraph"/>
              <w:spacing w:line="255" w:lineRule="exact"/>
              <w:rPr>
                <w:rFonts w:ascii="微软雅黑" w:eastAsia="微软雅黑" w:hint="eastAsia"/>
                <w:b/>
                <w:sz w:val="21"/>
              </w:rPr>
            </w:pPr>
            <w:r>
              <w:rPr>
                <w:rFonts w:ascii="微软雅黑" w:eastAsia="微软雅黑" w:hint="eastAsia"/>
                <w:b/>
                <w:sz w:val="21"/>
              </w:rPr>
              <w:t>语言能力或咀嚼吞</w:t>
            </w:r>
          </w:p>
          <w:p>
            <w:pPr>
              <w:pStyle w:val="TableParagraph"/>
              <w:spacing w:line="337" w:lineRule="exact"/>
              <w:rPr>
                <w:rFonts w:ascii="微软雅黑" w:eastAsia="微软雅黑" w:hint="eastAsia"/>
                <w:b/>
                <w:sz w:val="21"/>
              </w:rPr>
            </w:pPr>
            <w:r>
              <w:rPr>
                <w:rFonts w:ascii="微软雅黑" w:eastAsia="微软雅黑" w:hint="eastAsia"/>
                <w:b/>
                <w:sz w:val="21"/>
              </w:rPr>
              <w:t>咽能力完全丧失</w:t>
            </w:r>
          </w:p>
        </w:tc>
        <w:tc>
          <w:tcPr>
            <w:tcW w:w="7306" w:type="dxa"/>
          </w:tcPr>
          <w:p>
            <w:pPr>
              <w:pStyle w:val="TableParagraph"/>
              <w:spacing w:line="255" w:lineRule="exact"/>
              <w:rPr>
                <w:sz w:val="21"/>
              </w:rPr>
            </w:pPr>
            <w:r>
              <w:rPr>
                <w:sz w:val="21"/>
              </w:rPr>
              <w:t>语言能力完全丧失，指无法发出四种语音（包括口唇音、齿舌音、口盖音和喉</w:t>
            </w:r>
          </w:p>
          <w:p>
            <w:pPr>
              <w:pStyle w:val="TableParagraph"/>
              <w:spacing w:line="273" w:lineRule="auto" w:before="37"/>
              <w:ind w:right="-15"/>
              <w:rPr>
                <w:sz w:val="21"/>
              </w:rPr>
            </w:pPr>
            <w:r>
              <w:rPr>
                <w:sz w:val="21"/>
              </w:rPr>
              <w:t>头音</w:t>
            </w:r>
            <w:r>
              <w:rPr>
                <w:spacing w:val="-56"/>
                <w:sz w:val="21"/>
              </w:rPr>
              <w:t>）</w:t>
            </w:r>
            <w:r>
              <w:rPr>
                <w:spacing w:val="-13"/>
                <w:sz w:val="21"/>
              </w:rPr>
              <w:t>中的任何三种、或声带全部切除，或因大脑语言中枢受伤害而患失语症。</w:t>
            </w:r>
            <w:r>
              <w:rPr>
                <w:spacing w:val="-9"/>
                <w:sz w:val="21"/>
              </w:rPr>
              <w:t>咀嚼吞咽能力完全丧失，指因牙齿以外的原因导致器质障碍或机能障碍，以致</w:t>
            </w:r>
            <w:r>
              <w:rPr>
                <w:spacing w:val="-5"/>
                <w:sz w:val="21"/>
              </w:rPr>
              <w:t>不能作咀嚼吞咽运动，除流质食物外不能摄取或吞咽的状态。</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623"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注 4</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永久不可逆</w:t>
            </w:r>
          </w:p>
        </w:tc>
        <w:tc>
          <w:tcPr>
            <w:tcW w:w="7306" w:type="dxa"/>
          </w:tcPr>
          <w:p>
            <w:pPr>
              <w:pStyle w:val="TableParagraph"/>
              <w:spacing w:line="271" w:lineRule="exact"/>
              <w:rPr>
                <w:sz w:val="21"/>
              </w:rPr>
            </w:pPr>
            <w:r>
              <w:rPr>
                <w:spacing w:val="-7"/>
                <w:sz w:val="21"/>
              </w:rPr>
              <w:t>指自疾病确诊或意外伤害发生之日起，经过积极治疗 </w:t>
            </w:r>
            <w:r>
              <w:rPr>
                <w:rFonts w:ascii="Times New Roman" w:eastAsia="Times New Roman"/>
                <w:sz w:val="21"/>
              </w:rPr>
              <w:t>180 </w:t>
            </w:r>
            <w:r>
              <w:rPr>
                <w:spacing w:val="-7"/>
                <w:sz w:val="21"/>
              </w:rPr>
              <w:t>天后，仍无法通过现</w:t>
            </w:r>
          </w:p>
          <w:p>
            <w:pPr>
              <w:pStyle w:val="TableParagraph"/>
              <w:spacing w:before="21"/>
              <w:rPr>
                <w:sz w:val="21"/>
              </w:rPr>
            </w:pPr>
            <w:r>
              <w:rPr>
                <w:sz w:val="21"/>
              </w:rPr>
              <w:t>有医疗手段恢复。</w:t>
            </w:r>
          </w:p>
        </w:tc>
      </w:tr>
      <w:tr>
        <w:trPr>
          <w:trHeight w:val="311" w:hRule="atLeast"/>
        </w:trPr>
        <w:tc>
          <w:tcPr>
            <w:tcW w:w="852"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6" w:type="dxa"/>
          </w:tcPr>
          <w:p>
            <w:pPr>
              <w:pStyle w:val="TableParagraph"/>
              <w:ind w:left="0"/>
              <w:rPr>
                <w:rFonts w:ascii="Times New Roman"/>
                <w:sz w:val="20"/>
              </w:rPr>
            </w:pPr>
          </w:p>
        </w:tc>
      </w:tr>
      <w:tr>
        <w:trPr>
          <w:trHeight w:val="625" w:hRule="atLeast"/>
        </w:trPr>
        <w:tc>
          <w:tcPr>
            <w:tcW w:w="852" w:type="dxa"/>
          </w:tcPr>
          <w:p>
            <w:pPr>
              <w:pStyle w:val="TableParagraph"/>
              <w:spacing w:line="280" w:lineRule="exact"/>
              <w:rPr>
                <w:rFonts w:ascii="微软雅黑" w:eastAsia="微软雅黑" w:hint="eastAsia"/>
                <w:b/>
                <w:sz w:val="21"/>
              </w:rPr>
            </w:pPr>
            <w:r>
              <w:rPr>
                <w:rFonts w:ascii="微软雅黑" w:eastAsia="微软雅黑" w:hint="eastAsia"/>
                <w:b/>
                <w:sz w:val="21"/>
              </w:rPr>
              <w:t>注 5</w:t>
            </w:r>
          </w:p>
        </w:tc>
        <w:tc>
          <w:tcPr>
            <w:tcW w:w="1932" w:type="dxa"/>
          </w:tcPr>
          <w:p>
            <w:pPr>
              <w:pStyle w:val="TableParagraph"/>
              <w:spacing w:line="280" w:lineRule="exact"/>
              <w:rPr>
                <w:rFonts w:ascii="微软雅黑" w:eastAsia="微软雅黑" w:hint="eastAsia"/>
                <w:b/>
                <w:sz w:val="21"/>
              </w:rPr>
            </w:pPr>
            <w:r>
              <w:rPr>
                <w:rFonts w:ascii="微软雅黑" w:eastAsia="微软雅黑" w:hint="eastAsia"/>
                <w:b/>
                <w:sz w:val="21"/>
              </w:rPr>
              <w:t>三大关节</w:t>
            </w:r>
          </w:p>
        </w:tc>
        <w:tc>
          <w:tcPr>
            <w:tcW w:w="7306" w:type="dxa"/>
          </w:tcPr>
          <w:p>
            <w:pPr>
              <w:pStyle w:val="TableParagraph"/>
              <w:spacing w:line="255" w:lineRule="exact"/>
              <w:rPr>
                <w:sz w:val="21"/>
              </w:rPr>
            </w:pPr>
            <w:r>
              <w:rPr>
                <w:sz w:val="21"/>
              </w:rPr>
              <w:t>上肢三大关节系指肩关节、肘关节和腕关节；</w:t>
            </w:r>
          </w:p>
          <w:p>
            <w:pPr>
              <w:pStyle w:val="TableParagraph"/>
              <w:spacing w:before="37"/>
              <w:rPr>
                <w:sz w:val="21"/>
              </w:rPr>
            </w:pPr>
            <w:r>
              <w:rPr>
                <w:sz w:val="21"/>
              </w:rPr>
              <w:t>下肢三大关节系指髋关节、膝关节和踝关节。</w:t>
            </w:r>
          </w:p>
        </w:tc>
      </w:tr>
    </w:tbl>
    <w:sectPr>
      <w:pgSz w:w="11900" w:h="16840"/>
      <w:pgMar w:top="114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Arial">
    <w:altName w:val="Arial"/>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Roman"/>
      <w:lvlText w:val="%1"/>
      <w:lvlJc w:val="left"/>
      <w:pPr>
        <w:ind w:left="266" w:hanging="159"/>
        <w:jc w:val="left"/>
      </w:pPr>
      <w:rPr>
        <w:rFonts w:hint="default" w:ascii="宋体" w:hAnsi="宋体" w:eastAsia="宋体" w:cs="宋体"/>
        <w:w w:val="100"/>
        <w:sz w:val="21"/>
        <w:szCs w:val="21"/>
      </w:rPr>
    </w:lvl>
    <w:lvl w:ilvl="1">
      <w:start w:val="0"/>
      <w:numFmt w:val="bullet"/>
      <w:lvlText w:val="•"/>
      <w:lvlJc w:val="left"/>
      <w:pPr>
        <w:ind w:left="963" w:hanging="159"/>
      </w:pPr>
      <w:rPr>
        <w:rFonts w:hint="default"/>
      </w:rPr>
    </w:lvl>
    <w:lvl w:ilvl="2">
      <w:start w:val="0"/>
      <w:numFmt w:val="bullet"/>
      <w:lvlText w:val="•"/>
      <w:lvlJc w:val="left"/>
      <w:pPr>
        <w:ind w:left="1667" w:hanging="159"/>
      </w:pPr>
      <w:rPr>
        <w:rFonts w:hint="default"/>
      </w:rPr>
    </w:lvl>
    <w:lvl w:ilvl="3">
      <w:start w:val="0"/>
      <w:numFmt w:val="bullet"/>
      <w:lvlText w:val="•"/>
      <w:lvlJc w:val="left"/>
      <w:pPr>
        <w:ind w:left="2370" w:hanging="159"/>
      </w:pPr>
      <w:rPr>
        <w:rFonts w:hint="default"/>
      </w:rPr>
    </w:lvl>
    <w:lvl w:ilvl="4">
      <w:start w:val="0"/>
      <w:numFmt w:val="bullet"/>
      <w:lvlText w:val="•"/>
      <w:lvlJc w:val="left"/>
      <w:pPr>
        <w:ind w:left="3074" w:hanging="159"/>
      </w:pPr>
      <w:rPr>
        <w:rFonts w:hint="default"/>
      </w:rPr>
    </w:lvl>
    <w:lvl w:ilvl="5">
      <w:start w:val="0"/>
      <w:numFmt w:val="bullet"/>
      <w:lvlText w:val="•"/>
      <w:lvlJc w:val="left"/>
      <w:pPr>
        <w:ind w:left="3778" w:hanging="159"/>
      </w:pPr>
      <w:rPr>
        <w:rFonts w:hint="default"/>
      </w:rPr>
    </w:lvl>
    <w:lvl w:ilvl="6">
      <w:start w:val="0"/>
      <w:numFmt w:val="bullet"/>
      <w:lvlText w:val="•"/>
      <w:lvlJc w:val="left"/>
      <w:pPr>
        <w:ind w:left="4481" w:hanging="159"/>
      </w:pPr>
      <w:rPr>
        <w:rFonts w:hint="default"/>
      </w:rPr>
    </w:lvl>
    <w:lvl w:ilvl="7">
      <w:start w:val="0"/>
      <w:numFmt w:val="bullet"/>
      <w:lvlText w:val="•"/>
      <w:lvlJc w:val="left"/>
      <w:pPr>
        <w:ind w:left="5185" w:hanging="159"/>
      </w:pPr>
      <w:rPr>
        <w:rFonts w:hint="default"/>
      </w:rPr>
    </w:lvl>
    <w:lvl w:ilvl="8">
      <w:start w:val="0"/>
      <w:numFmt w:val="bullet"/>
      <w:lvlText w:val="•"/>
      <w:lvlJc w:val="left"/>
      <w:pPr>
        <w:ind w:left="5888" w:hanging="159"/>
      </w:pPr>
      <w:rPr>
        <w:rFonts w:hint="default"/>
      </w:rPr>
    </w:lvl>
  </w:abstractNum>
  <w:abstractNum w:abstractNumId="12">
    <w:multiLevelType w:val="hybridMultilevel"/>
    <w:lvl w:ilvl="0">
      <w:start w:val="9"/>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微软雅黑" w:hAnsi="微软雅黑" w:eastAsia="微软雅黑" w:cs="微软雅黑"/>
        <w:b/>
        <w:bCs/>
        <w:w w:val="81"/>
        <w:sz w:val="21"/>
        <w:szCs w:val="21"/>
      </w:rPr>
    </w:lvl>
    <w:lvl w:ilvl="2">
      <w:start w:val="0"/>
      <w:numFmt w:val="bullet"/>
      <w:lvlText w:val="•"/>
      <w:lvlJc w:val="left"/>
      <w:pPr>
        <w:ind w:left="4464" w:hanging="852"/>
      </w:pPr>
      <w:rPr>
        <w:rFonts w:hint="default"/>
      </w:rPr>
    </w:lvl>
    <w:lvl w:ilvl="3">
      <w:start w:val="0"/>
      <w:numFmt w:val="bullet"/>
      <w:lvlText w:val="•"/>
      <w:lvlJc w:val="left"/>
      <w:pPr>
        <w:ind w:left="5196" w:hanging="852"/>
      </w:pPr>
      <w:rPr>
        <w:rFonts w:hint="default"/>
      </w:rPr>
    </w:lvl>
    <w:lvl w:ilvl="4">
      <w:start w:val="0"/>
      <w:numFmt w:val="bullet"/>
      <w:lvlText w:val="•"/>
      <w:lvlJc w:val="left"/>
      <w:pPr>
        <w:ind w:left="5928" w:hanging="852"/>
      </w:pPr>
      <w:rPr>
        <w:rFonts w:hint="default"/>
      </w:rPr>
    </w:lvl>
    <w:lvl w:ilvl="5">
      <w:start w:val="0"/>
      <w:numFmt w:val="bullet"/>
      <w:lvlText w:val="•"/>
      <w:lvlJc w:val="left"/>
      <w:pPr>
        <w:ind w:left="6660" w:hanging="852"/>
      </w:pPr>
      <w:rPr>
        <w:rFonts w:hint="default"/>
      </w:rPr>
    </w:lvl>
    <w:lvl w:ilvl="6">
      <w:start w:val="0"/>
      <w:numFmt w:val="bullet"/>
      <w:lvlText w:val="•"/>
      <w:lvlJc w:val="left"/>
      <w:pPr>
        <w:ind w:left="7392" w:hanging="852"/>
      </w:pPr>
      <w:rPr>
        <w:rFonts w:hint="default"/>
      </w:rPr>
    </w:lvl>
    <w:lvl w:ilvl="7">
      <w:start w:val="0"/>
      <w:numFmt w:val="bullet"/>
      <w:lvlText w:val="•"/>
      <w:lvlJc w:val="left"/>
      <w:pPr>
        <w:ind w:left="8124" w:hanging="852"/>
      </w:pPr>
      <w:rPr>
        <w:rFonts w:hint="default"/>
      </w:rPr>
    </w:lvl>
    <w:lvl w:ilvl="8">
      <w:start w:val="0"/>
      <w:numFmt w:val="bullet"/>
      <w:lvlText w:val="•"/>
      <w:lvlJc w:val="left"/>
      <w:pPr>
        <w:ind w:left="8856" w:hanging="852"/>
      </w:pPr>
      <w:rPr>
        <w:rFonts w:hint="default"/>
      </w:rPr>
    </w:lvl>
  </w:abstractNum>
  <w:abstractNum w:abstractNumId="11">
    <w:multiLevelType w:val="hybridMultilevel"/>
    <w:lvl w:ilvl="0">
      <w:start w:val="8"/>
      <w:numFmt w:val="decimal"/>
      <w:lvlText w:val="%1"/>
      <w:lvlJc w:val="left"/>
      <w:pPr>
        <w:ind w:left="3004" w:hanging="852"/>
        <w:jc w:val="left"/>
      </w:pPr>
      <w:rPr>
        <w:rFonts w:hint="default"/>
      </w:rPr>
    </w:lvl>
    <w:lvl w:ilvl="1">
      <w:start w:val="1"/>
      <w:numFmt w:val="decimal"/>
      <w:lvlText w:val="%1.%2"/>
      <w:lvlJc w:val="left"/>
      <w:pPr>
        <w:ind w:left="3004" w:hanging="852"/>
        <w:jc w:val="left"/>
      </w:pPr>
      <w:rPr>
        <w:rFonts w:hint="default" w:ascii="微软雅黑" w:hAnsi="微软雅黑" w:eastAsia="微软雅黑" w:cs="微软雅黑"/>
        <w:b/>
        <w:bCs/>
        <w:w w:val="81"/>
        <w:sz w:val="21"/>
        <w:szCs w:val="21"/>
      </w:rPr>
    </w:lvl>
    <w:lvl w:ilvl="2">
      <w:start w:val="0"/>
      <w:numFmt w:val="bullet"/>
      <w:lvlText w:val="•"/>
      <w:lvlJc w:val="left"/>
      <w:pPr>
        <w:ind w:left="4464" w:hanging="852"/>
      </w:pPr>
      <w:rPr>
        <w:rFonts w:hint="default"/>
      </w:rPr>
    </w:lvl>
    <w:lvl w:ilvl="3">
      <w:start w:val="0"/>
      <w:numFmt w:val="bullet"/>
      <w:lvlText w:val="•"/>
      <w:lvlJc w:val="left"/>
      <w:pPr>
        <w:ind w:left="5196" w:hanging="852"/>
      </w:pPr>
      <w:rPr>
        <w:rFonts w:hint="default"/>
      </w:rPr>
    </w:lvl>
    <w:lvl w:ilvl="4">
      <w:start w:val="0"/>
      <w:numFmt w:val="bullet"/>
      <w:lvlText w:val="•"/>
      <w:lvlJc w:val="left"/>
      <w:pPr>
        <w:ind w:left="5928" w:hanging="852"/>
      </w:pPr>
      <w:rPr>
        <w:rFonts w:hint="default"/>
      </w:rPr>
    </w:lvl>
    <w:lvl w:ilvl="5">
      <w:start w:val="0"/>
      <w:numFmt w:val="bullet"/>
      <w:lvlText w:val="•"/>
      <w:lvlJc w:val="left"/>
      <w:pPr>
        <w:ind w:left="6660" w:hanging="852"/>
      </w:pPr>
      <w:rPr>
        <w:rFonts w:hint="default"/>
      </w:rPr>
    </w:lvl>
    <w:lvl w:ilvl="6">
      <w:start w:val="0"/>
      <w:numFmt w:val="bullet"/>
      <w:lvlText w:val="•"/>
      <w:lvlJc w:val="left"/>
      <w:pPr>
        <w:ind w:left="7392" w:hanging="852"/>
      </w:pPr>
      <w:rPr>
        <w:rFonts w:hint="default"/>
      </w:rPr>
    </w:lvl>
    <w:lvl w:ilvl="7">
      <w:start w:val="0"/>
      <w:numFmt w:val="bullet"/>
      <w:lvlText w:val="•"/>
      <w:lvlJc w:val="left"/>
      <w:pPr>
        <w:ind w:left="8124" w:hanging="852"/>
      </w:pPr>
      <w:rPr>
        <w:rFonts w:hint="default"/>
      </w:rPr>
    </w:lvl>
    <w:lvl w:ilvl="8">
      <w:start w:val="0"/>
      <w:numFmt w:val="bullet"/>
      <w:lvlText w:val="•"/>
      <w:lvlJc w:val="left"/>
      <w:pPr>
        <w:ind w:left="8856" w:hanging="852"/>
      </w:pPr>
      <w:rPr>
        <w:rFonts w:hint="default"/>
      </w:rPr>
    </w:lvl>
  </w:abstractNum>
  <w:abstractNum w:abstractNumId="10">
    <w:multiLevelType w:val="hybridMultilevel"/>
    <w:lvl w:ilvl="0">
      <w:start w:val="6"/>
      <w:numFmt w:val="decimal"/>
      <w:lvlText w:val="%1"/>
      <w:lvlJc w:val="left"/>
      <w:pPr>
        <w:ind w:left="3004" w:hanging="852"/>
        <w:jc w:val="left"/>
      </w:pPr>
      <w:rPr>
        <w:rFonts w:hint="default"/>
      </w:rPr>
    </w:lvl>
    <w:lvl w:ilvl="1">
      <w:start w:val="1"/>
      <w:numFmt w:val="decimal"/>
      <w:lvlText w:val="%1.%2"/>
      <w:lvlJc w:val="left"/>
      <w:pPr>
        <w:ind w:left="3004" w:hanging="852"/>
        <w:jc w:val="left"/>
      </w:pPr>
      <w:rPr>
        <w:rFonts w:hint="default" w:ascii="微软雅黑" w:hAnsi="微软雅黑" w:eastAsia="微软雅黑" w:cs="微软雅黑"/>
        <w:b/>
        <w:bCs/>
        <w:w w:val="81"/>
        <w:sz w:val="21"/>
        <w:szCs w:val="21"/>
      </w:rPr>
    </w:lvl>
    <w:lvl w:ilvl="2">
      <w:start w:val="0"/>
      <w:numFmt w:val="bullet"/>
      <w:lvlText w:val="•"/>
      <w:lvlJc w:val="left"/>
      <w:pPr>
        <w:ind w:left="4464" w:hanging="852"/>
      </w:pPr>
      <w:rPr>
        <w:rFonts w:hint="default"/>
      </w:rPr>
    </w:lvl>
    <w:lvl w:ilvl="3">
      <w:start w:val="0"/>
      <w:numFmt w:val="bullet"/>
      <w:lvlText w:val="•"/>
      <w:lvlJc w:val="left"/>
      <w:pPr>
        <w:ind w:left="5196" w:hanging="852"/>
      </w:pPr>
      <w:rPr>
        <w:rFonts w:hint="default"/>
      </w:rPr>
    </w:lvl>
    <w:lvl w:ilvl="4">
      <w:start w:val="0"/>
      <w:numFmt w:val="bullet"/>
      <w:lvlText w:val="•"/>
      <w:lvlJc w:val="left"/>
      <w:pPr>
        <w:ind w:left="5928" w:hanging="852"/>
      </w:pPr>
      <w:rPr>
        <w:rFonts w:hint="default"/>
      </w:rPr>
    </w:lvl>
    <w:lvl w:ilvl="5">
      <w:start w:val="0"/>
      <w:numFmt w:val="bullet"/>
      <w:lvlText w:val="•"/>
      <w:lvlJc w:val="left"/>
      <w:pPr>
        <w:ind w:left="6660" w:hanging="852"/>
      </w:pPr>
      <w:rPr>
        <w:rFonts w:hint="default"/>
      </w:rPr>
    </w:lvl>
    <w:lvl w:ilvl="6">
      <w:start w:val="0"/>
      <w:numFmt w:val="bullet"/>
      <w:lvlText w:val="•"/>
      <w:lvlJc w:val="left"/>
      <w:pPr>
        <w:ind w:left="7392" w:hanging="852"/>
      </w:pPr>
      <w:rPr>
        <w:rFonts w:hint="default"/>
      </w:rPr>
    </w:lvl>
    <w:lvl w:ilvl="7">
      <w:start w:val="0"/>
      <w:numFmt w:val="bullet"/>
      <w:lvlText w:val="•"/>
      <w:lvlJc w:val="left"/>
      <w:pPr>
        <w:ind w:left="8124" w:hanging="852"/>
      </w:pPr>
      <w:rPr>
        <w:rFonts w:hint="default"/>
      </w:rPr>
    </w:lvl>
    <w:lvl w:ilvl="8">
      <w:start w:val="0"/>
      <w:numFmt w:val="bullet"/>
      <w:lvlText w:val="•"/>
      <w:lvlJc w:val="left"/>
      <w:pPr>
        <w:ind w:left="8856" w:hanging="852"/>
      </w:pPr>
      <w:rPr>
        <w:rFonts w:hint="default"/>
      </w:rPr>
    </w:lvl>
  </w:abstractNum>
  <w:abstractNum w:abstractNumId="9">
    <w:multiLevelType w:val="hybridMultilevel"/>
    <w:lvl w:ilvl="0">
      <w:start w:val="0"/>
      <w:numFmt w:val="bullet"/>
      <w:lvlText w:val="◉"/>
      <w:lvlJc w:val="left"/>
      <w:pPr>
        <w:ind w:left="1072" w:hanging="852"/>
      </w:pPr>
      <w:rPr>
        <w:rFonts w:hint="default" w:ascii="Arial" w:hAnsi="Arial" w:eastAsia="Arial" w:cs="Arial"/>
        <w:w w:val="119"/>
        <w:position w:val="-3"/>
        <w:sz w:val="40"/>
        <w:szCs w:val="40"/>
      </w:rPr>
    </w:lvl>
    <w:lvl w:ilvl="1">
      <w:start w:val="0"/>
      <w:numFmt w:val="bullet"/>
      <w:lvlText w:val="•"/>
      <w:lvlJc w:val="left"/>
      <w:pPr>
        <w:ind w:left="2004" w:hanging="852"/>
      </w:pPr>
      <w:rPr>
        <w:rFonts w:hint="default"/>
      </w:rPr>
    </w:lvl>
    <w:lvl w:ilvl="2">
      <w:start w:val="0"/>
      <w:numFmt w:val="bullet"/>
      <w:lvlText w:val="•"/>
      <w:lvlJc w:val="left"/>
      <w:pPr>
        <w:ind w:left="2928" w:hanging="852"/>
      </w:pPr>
      <w:rPr>
        <w:rFonts w:hint="default"/>
      </w:rPr>
    </w:lvl>
    <w:lvl w:ilvl="3">
      <w:start w:val="0"/>
      <w:numFmt w:val="bullet"/>
      <w:lvlText w:val="•"/>
      <w:lvlJc w:val="left"/>
      <w:pPr>
        <w:ind w:left="3852" w:hanging="852"/>
      </w:pPr>
      <w:rPr>
        <w:rFonts w:hint="default"/>
      </w:rPr>
    </w:lvl>
    <w:lvl w:ilvl="4">
      <w:start w:val="0"/>
      <w:numFmt w:val="bullet"/>
      <w:lvlText w:val="•"/>
      <w:lvlJc w:val="left"/>
      <w:pPr>
        <w:ind w:left="4776" w:hanging="852"/>
      </w:pPr>
      <w:rPr>
        <w:rFonts w:hint="default"/>
      </w:rPr>
    </w:lvl>
    <w:lvl w:ilvl="5">
      <w:start w:val="0"/>
      <w:numFmt w:val="bullet"/>
      <w:lvlText w:val="•"/>
      <w:lvlJc w:val="left"/>
      <w:pPr>
        <w:ind w:left="5700" w:hanging="852"/>
      </w:pPr>
      <w:rPr>
        <w:rFonts w:hint="default"/>
      </w:rPr>
    </w:lvl>
    <w:lvl w:ilvl="6">
      <w:start w:val="0"/>
      <w:numFmt w:val="bullet"/>
      <w:lvlText w:val="•"/>
      <w:lvlJc w:val="left"/>
      <w:pPr>
        <w:ind w:left="6624" w:hanging="852"/>
      </w:pPr>
      <w:rPr>
        <w:rFonts w:hint="default"/>
      </w:rPr>
    </w:lvl>
    <w:lvl w:ilvl="7">
      <w:start w:val="0"/>
      <w:numFmt w:val="bullet"/>
      <w:lvlText w:val="•"/>
      <w:lvlJc w:val="left"/>
      <w:pPr>
        <w:ind w:left="7548" w:hanging="852"/>
      </w:pPr>
      <w:rPr>
        <w:rFonts w:hint="default"/>
      </w:rPr>
    </w:lvl>
    <w:lvl w:ilvl="8">
      <w:start w:val="0"/>
      <w:numFmt w:val="bullet"/>
      <w:lvlText w:val="•"/>
      <w:lvlJc w:val="left"/>
      <w:pPr>
        <w:ind w:left="8472" w:hanging="852"/>
      </w:pPr>
      <w:rPr>
        <w:rFonts w:hint="default"/>
      </w:rPr>
    </w:lvl>
  </w:abstractNum>
  <w:abstractNum w:abstractNumId="8">
    <w:multiLevelType w:val="hybridMultilevel"/>
    <w:lvl w:ilvl="0">
      <w:start w:val="3"/>
      <w:numFmt w:val="decimal"/>
      <w:lvlText w:val="%1"/>
      <w:lvlJc w:val="left"/>
      <w:pPr>
        <w:ind w:left="3004" w:hanging="852"/>
        <w:jc w:val="left"/>
      </w:pPr>
      <w:rPr>
        <w:rFonts w:hint="default"/>
      </w:rPr>
    </w:lvl>
    <w:lvl w:ilvl="1">
      <w:start w:val="1"/>
      <w:numFmt w:val="decimal"/>
      <w:lvlText w:val="%1.%2"/>
      <w:lvlJc w:val="left"/>
      <w:pPr>
        <w:ind w:left="3004" w:hanging="852"/>
        <w:jc w:val="left"/>
      </w:pPr>
      <w:rPr>
        <w:rFonts w:hint="default" w:ascii="微软雅黑" w:hAnsi="微软雅黑" w:eastAsia="微软雅黑" w:cs="微软雅黑"/>
        <w:b/>
        <w:bCs/>
        <w:w w:val="81"/>
        <w:sz w:val="21"/>
        <w:szCs w:val="21"/>
      </w:rPr>
    </w:lvl>
    <w:lvl w:ilvl="2">
      <w:start w:val="0"/>
      <w:numFmt w:val="bullet"/>
      <w:lvlText w:val="•"/>
      <w:lvlJc w:val="left"/>
      <w:pPr>
        <w:ind w:left="4464" w:hanging="852"/>
      </w:pPr>
      <w:rPr>
        <w:rFonts w:hint="default"/>
      </w:rPr>
    </w:lvl>
    <w:lvl w:ilvl="3">
      <w:start w:val="0"/>
      <w:numFmt w:val="bullet"/>
      <w:lvlText w:val="•"/>
      <w:lvlJc w:val="left"/>
      <w:pPr>
        <w:ind w:left="5196" w:hanging="852"/>
      </w:pPr>
      <w:rPr>
        <w:rFonts w:hint="default"/>
      </w:rPr>
    </w:lvl>
    <w:lvl w:ilvl="4">
      <w:start w:val="0"/>
      <w:numFmt w:val="bullet"/>
      <w:lvlText w:val="•"/>
      <w:lvlJc w:val="left"/>
      <w:pPr>
        <w:ind w:left="5928" w:hanging="852"/>
      </w:pPr>
      <w:rPr>
        <w:rFonts w:hint="default"/>
      </w:rPr>
    </w:lvl>
    <w:lvl w:ilvl="5">
      <w:start w:val="0"/>
      <w:numFmt w:val="bullet"/>
      <w:lvlText w:val="•"/>
      <w:lvlJc w:val="left"/>
      <w:pPr>
        <w:ind w:left="6660" w:hanging="852"/>
      </w:pPr>
      <w:rPr>
        <w:rFonts w:hint="default"/>
      </w:rPr>
    </w:lvl>
    <w:lvl w:ilvl="6">
      <w:start w:val="0"/>
      <w:numFmt w:val="bullet"/>
      <w:lvlText w:val="•"/>
      <w:lvlJc w:val="left"/>
      <w:pPr>
        <w:ind w:left="7392" w:hanging="852"/>
      </w:pPr>
      <w:rPr>
        <w:rFonts w:hint="default"/>
      </w:rPr>
    </w:lvl>
    <w:lvl w:ilvl="7">
      <w:start w:val="0"/>
      <w:numFmt w:val="bullet"/>
      <w:lvlText w:val="•"/>
      <w:lvlJc w:val="left"/>
      <w:pPr>
        <w:ind w:left="8124" w:hanging="852"/>
      </w:pPr>
      <w:rPr>
        <w:rFonts w:hint="default"/>
      </w:rPr>
    </w:lvl>
    <w:lvl w:ilvl="8">
      <w:start w:val="0"/>
      <w:numFmt w:val="bullet"/>
      <w:lvlText w:val="•"/>
      <w:lvlJc w:val="left"/>
      <w:pPr>
        <w:ind w:left="8856" w:hanging="852"/>
      </w:pPr>
      <w:rPr>
        <w:rFonts w:hint="default"/>
      </w:rPr>
    </w:lvl>
  </w:abstractNum>
  <w:abstractNum w:abstractNumId="7">
    <w:multiLevelType w:val="hybridMultilevel"/>
    <w:lvl w:ilvl="0">
      <w:start w:val="2"/>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微软雅黑" w:hAnsi="微软雅黑" w:eastAsia="微软雅黑" w:cs="微软雅黑"/>
        <w:b/>
        <w:bCs/>
        <w:w w:val="81"/>
        <w:sz w:val="21"/>
        <w:szCs w:val="21"/>
      </w:rPr>
    </w:lvl>
    <w:lvl w:ilvl="2">
      <w:start w:val="0"/>
      <w:numFmt w:val="bullet"/>
      <w:lvlText w:val="•"/>
      <w:lvlJc w:val="left"/>
      <w:pPr>
        <w:ind w:left="4464" w:hanging="852"/>
      </w:pPr>
      <w:rPr>
        <w:rFonts w:hint="default"/>
      </w:rPr>
    </w:lvl>
    <w:lvl w:ilvl="3">
      <w:start w:val="0"/>
      <w:numFmt w:val="bullet"/>
      <w:lvlText w:val="•"/>
      <w:lvlJc w:val="left"/>
      <w:pPr>
        <w:ind w:left="5196" w:hanging="852"/>
      </w:pPr>
      <w:rPr>
        <w:rFonts w:hint="default"/>
      </w:rPr>
    </w:lvl>
    <w:lvl w:ilvl="4">
      <w:start w:val="0"/>
      <w:numFmt w:val="bullet"/>
      <w:lvlText w:val="•"/>
      <w:lvlJc w:val="left"/>
      <w:pPr>
        <w:ind w:left="5928" w:hanging="852"/>
      </w:pPr>
      <w:rPr>
        <w:rFonts w:hint="default"/>
      </w:rPr>
    </w:lvl>
    <w:lvl w:ilvl="5">
      <w:start w:val="0"/>
      <w:numFmt w:val="bullet"/>
      <w:lvlText w:val="•"/>
      <w:lvlJc w:val="left"/>
      <w:pPr>
        <w:ind w:left="6660" w:hanging="852"/>
      </w:pPr>
      <w:rPr>
        <w:rFonts w:hint="default"/>
      </w:rPr>
    </w:lvl>
    <w:lvl w:ilvl="6">
      <w:start w:val="0"/>
      <w:numFmt w:val="bullet"/>
      <w:lvlText w:val="•"/>
      <w:lvlJc w:val="left"/>
      <w:pPr>
        <w:ind w:left="7392" w:hanging="852"/>
      </w:pPr>
      <w:rPr>
        <w:rFonts w:hint="default"/>
      </w:rPr>
    </w:lvl>
    <w:lvl w:ilvl="7">
      <w:start w:val="0"/>
      <w:numFmt w:val="bullet"/>
      <w:lvlText w:val="•"/>
      <w:lvlJc w:val="left"/>
      <w:pPr>
        <w:ind w:left="8124" w:hanging="852"/>
      </w:pPr>
      <w:rPr>
        <w:rFonts w:hint="default"/>
      </w:rPr>
    </w:lvl>
    <w:lvl w:ilvl="8">
      <w:start w:val="0"/>
      <w:numFmt w:val="bullet"/>
      <w:lvlText w:val="•"/>
      <w:lvlJc w:val="left"/>
      <w:pPr>
        <w:ind w:left="8856" w:hanging="852"/>
      </w:pPr>
      <w:rPr>
        <w:rFonts w:hint="default"/>
      </w:rPr>
    </w:lvl>
  </w:abstractNum>
  <w:abstractNum w:abstractNumId="6">
    <w:multiLevelType w:val="hybridMultilevel"/>
    <w:lvl w:ilvl="0">
      <w:start w:val="9"/>
      <w:numFmt w:val="decimal"/>
      <w:lvlText w:val="%1"/>
      <w:lvlJc w:val="left"/>
      <w:pPr>
        <w:ind w:left="1004" w:hanging="423"/>
        <w:jc w:val="left"/>
      </w:pPr>
      <w:rPr>
        <w:rFonts w:hint="default"/>
      </w:rPr>
    </w:lvl>
    <w:lvl w:ilvl="1">
      <w:start w:val="1"/>
      <w:numFmt w:val="decimal"/>
      <w:lvlText w:val="%1.%2"/>
      <w:lvlJc w:val="left"/>
      <w:pPr>
        <w:ind w:left="1001" w:hanging="423"/>
        <w:jc w:val="left"/>
      </w:pPr>
      <w:rPr>
        <w:rFonts w:hint="default" w:ascii="宋体" w:hAnsi="宋体" w:eastAsia="宋体" w:cs="宋体"/>
        <w:w w:val="100"/>
        <w:sz w:val="21"/>
        <w:szCs w:val="21"/>
      </w:rPr>
    </w:lvl>
    <w:lvl w:ilvl="2">
      <w:start w:val="0"/>
      <w:numFmt w:val="bullet"/>
      <w:lvlText w:val="•"/>
      <w:lvlJc w:val="left"/>
      <w:pPr>
        <w:ind w:left="2146" w:hanging="423"/>
      </w:pPr>
      <w:rPr>
        <w:rFonts w:hint="default"/>
      </w:rPr>
    </w:lvl>
    <w:lvl w:ilvl="3">
      <w:start w:val="0"/>
      <w:numFmt w:val="bullet"/>
      <w:lvlText w:val="•"/>
      <w:lvlJc w:val="left"/>
      <w:pPr>
        <w:ind w:left="2720" w:hanging="423"/>
      </w:pPr>
      <w:rPr>
        <w:rFonts w:hint="default"/>
      </w:rPr>
    </w:lvl>
    <w:lvl w:ilvl="4">
      <w:start w:val="0"/>
      <w:numFmt w:val="bullet"/>
      <w:lvlText w:val="•"/>
      <w:lvlJc w:val="left"/>
      <w:pPr>
        <w:ind w:left="3293" w:hanging="423"/>
      </w:pPr>
      <w:rPr>
        <w:rFonts w:hint="default"/>
      </w:rPr>
    </w:lvl>
    <w:lvl w:ilvl="5">
      <w:start w:val="0"/>
      <w:numFmt w:val="bullet"/>
      <w:lvlText w:val="•"/>
      <w:lvlJc w:val="left"/>
      <w:pPr>
        <w:ind w:left="3867" w:hanging="423"/>
      </w:pPr>
      <w:rPr>
        <w:rFonts w:hint="default"/>
      </w:rPr>
    </w:lvl>
    <w:lvl w:ilvl="6">
      <w:start w:val="0"/>
      <w:numFmt w:val="bullet"/>
      <w:lvlText w:val="•"/>
      <w:lvlJc w:val="left"/>
      <w:pPr>
        <w:ind w:left="4440" w:hanging="423"/>
      </w:pPr>
      <w:rPr>
        <w:rFonts w:hint="default"/>
      </w:rPr>
    </w:lvl>
    <w:lvl w:ilvl="7">
      <w:start w:val="0"/>
      <w:numFmt w:val="bullet"/>
      <w:lvlText w:val="•"/>
      <w:lvlJc w:val="left"/>
      <w:pPr>
        <w:ind w:left="5014" w:hanging="423"/>
      </w:pPr>
      <w:rPr>
        <w:rFonts w:hint="default"/>
      </w:rPr>
    </w:lvl>
    <w:lvl w:ilvl="8">
      <w:start w:val="0"/>
      <w:numFmt w:val="bullet"/>
      <w:lvlText w:val="•"/>
      <w:lvlJc w:val="left"/>
      <w:pPr>
        <w:ind w:left="5587" w:hanging="423"/>
      </w:pPr>
      <w:rPr>
        <w:rFonts w:hint="default"/>
      </w:rPr>
    </w:lvl>
  </w:abstractNum>
  <w:abstractNum w:abstractNumId="5">
    <w:multiLevelType w:val="hybridMultilevel"/>
    <w:lvl w:ilvl="0">
      <w:start w:val="8"/>
      <w:numFmt w:val="decimal"/>
      <w:lvlText w:val="%1"/>
      <w:lvlJc w:val="left"/>
      <w:pPr>
        <w:ind w:left="1004" w:hanging="423"/>
        <w:jc w:val="left"/>
      </w:pPr>
      <w:rPr>
        <w:rFonts w:hint="default"/>
      </w:rPr>
    </w:lvl>
    <w:lvl w:ilvl="1">
      <w:start w:val="1"/>
      <w:numFmt w:val="decimal"/>
      <w:lvlText w:val="%1.%2"/>
      <w:lvlJc w:val="left"/>
      <w:pPr>
        <w:ind w:left="1004" w:hanging="423"/>
        <w:jc w:val="left"/>
      </w:pPr>
      <w:rPr>
        <w:rFonts w:hint="default" w:ascii="宋体" w:hAnsi="宋体" w:eastAsia="宋体" w:cs="宋体"/>
        <w:w w:val="100"/>
        <w:sz w:val="21"/>
        <w:szCs w:val="21"/>
      </w:rPr>
    </w:lvl>
    <w:lvl w:ilvl="2">
      <w:start w:val="0"/>
      <w:numFmt w:val="bullet"/>
      <w:lvlText w:val="•"/>
      <w:lvlJc w:val="left"/>
      <w:pPr>
        <w:ind w:left="2146" w:hanging="423"/>
      </w:pPr>
      <w:rPr>
        <w:rFonts w:hint="default"/>
      </w:rPr>
    </w:lvl>
    <w:lvl w:ilvl="3">
      <w:start w:val="0"/>
      <w:numFmt w:val="bullet"/>
      <w:lvlText w:val="•"/>
      <w:lvlJc w:val="left"/>
      <w:pPr>
        <w:ind w:left="2720" w:hanging="423"/>
      </w:pPr>
      <w:rPr>
        <w:rFonts w:hint="default"/>
      </w:rPr>
    </w:lvl>
    <w:lvl w:ilvl="4">
      <w:start w:val="0"/>
      <w:numFmt w:val="bullet"/>
      <w:lvlText w:val="•"/>
      <w:lvlJc w:val="left"/>
      <w:pPr>
        <w:ind w:left="3293" w:hanging="423"/>
      </w:pPr>
      <w:rPr>
        <w:rFonts w:hint="default"/>
      </w:rPr>
    </w:lvl>
    <w:lvl w:ilvl="5">
      <w:start w:val="0"/>
      <w:numFmt w:val="bullet"/>
      <w:lvlText w:val="•"/>
      <w:lvlJc w:val="left"/>
      <w:pPr>
        <w:ind w:left="3867" w:hanging="423"/>
      </w:pPr>
      <w:rPr>
        <w:rFonts w:hint="default"/>
      </w:rPr>
    </w:lvl>
    <w:lvl w:ilvl="6">
      <w:start w:val="0"/>
      <w:numFmt w:val="bullet"/>
      <w:lvlText w:val="•"/>
      <w:lvlJc w:val="left"/>
      <w:pPr>
        <w:ind w:left="4440" w:hanging="423"/>
      </w:pPr>
      <w:rPr>
        <w:rFonts w:hint="default"/>
      </w:rPr>
    </w:lvl>
    <w:lvl w:ilvl="7">
      <w:start w:val="0"/>
      <w:numFmt w:val="bullet"/>
      <w:lvlText w:val="•"/>
      <w:lvlJc w:val="left"/>
      <w:pPr>
        <w:ind w:left="5014" w:hanging="423"/>
      </w:pPr>
      <w:rPr>
        <w:rFonts w:hint="default"/>
      </w:rPr>
    </w:lvl>
    <w:lvl w:ilvl="8">
      <w:start w:val="0"/>
      <w:numFmt w:val="bullet"/>
      <w:lvlText w:val="•"/>
      <w:lvlJc w:val="left"/>
      <w:pPr>
        <w:ind w:left="5587" w:hanging="423"/>
      </w:pPr>
      <w:rPr>
        <w:rFonts w:hint="default"/>
      </w:rPr>
    </w:lvl>
  </w:abstractNum>
  <w:abstractNum w:abstractNumId="4">
    <w:multiLevelType w:val="hybridMultilevel"/>
    <w:lvl w:ilvl="0">
      <w:start w:val="6"/>
      <w:numFmt w:val="decimal"/>
      <w:lvlText w:val="%1"/>
      <w:lvlJc w:val="left"/>
      <w:pPr>
        <w:ind w:left="1752" w:hanging="423"/>
        <w:jc w:val="left"/>
      </w:pPr>
      <w:rPr>
        <w:rFonts w:hint="default"/>
      </w:rPr>
    </w:lvl>
    <w:lvl w:ilvl="1">
      <w:start w:val="1"/>
      <w:numFmt w:val="decimal"/>
      <w:lvlText w:val="%1.%2"/>
      <w:lvlJc w:val="left"/>
      <w:pPr>
        <w:ind w:left="1752" w:hanging="423"/>
        <w:jc w:val="left"/>
      </w:pPr>
      <w:rPr>
        <w:rFonts w:hint="default" w:ascii="宋体" w:hAnsi="宋体" w:eastAsia="宋体" w:cs="宋体"/>
        <w:w w:val="100"/>
        <w:sz w:val="21"/>
        <w:szCs w:val="21"/>
      </w:rPr>
    </w:lvl>
    <w:lvl w:ilvl="2">
      <w:start w:val="0"/>
      <w:numFmt w:val="bullet"/>
      <w:lvlText w:val="•"/>
      <w:lvlJc w:val="left"/>
      <w:pPr>
        <w:ind w:left="2117" w:hanging="423"/>
      </w:pPr>
      <w:rPr>
        <w:rFonts w:hint="default"/>
      </w:rPr>
    </w:lvl>
    <w:lvl w:ilvl="3">
      <w:start w:val="0"/>
      <w:numFmt w:val="bullet"/>
      <w:lvlText w:val="•"/>
      <w:lvlJc w:val="left"/>
      <w:pPr>
        <w:ind w:left="2295" w:hanging="423"/>
      </w:pPr>
      <w:rPr>
        <w:rFonts w:hint="default"/>
      </w:rPr>
    </w:lvl>
    <w:lvl w:ilvl="4">
      <w:start w:val="0"/>
      <w:numFmt w:val="bullet"/>
      <w:lvlText w:val="•"/>
      <w:lvlJc w:val="left"/>
      <w:pPr>
        <w:ind w:left="2474" w:hanging="423"/>
      </w:pPr>
      <w:rPr>
        <w:rFonts w:hint="default"/>
      </w:rPr>
    </w:lvl>
    <w:lvl w:ilvl="5">
      <w:start w:val="0"/>
      <w:numFmt w:val="bullet"/>
      <w:lvlText w:val="•"/>
      <w:lvlJc w:val="left"/>
      <w:pPr>
        <w:ind w:left="2652" w:hanging="423"/>
      </w:pPr>
      <w:rPr>
        <w:rFonts w:hint="default"/>
      </w:rPr>
    </w:lvl>
    <w:lvl w:ilvl="6">
      <w:start w:val="0"/>
      <w:numFmt w:val="bullet"/>
      <w:lvlText w:val="•"/>
      <w:lvlJc w:val="left"/>
      <w:pPr>
        <w:ind w:left="2831" w:hanging="423"/>
      </w:pPr>
      <w:rPr>
        <w:rFonts w:hint="default"/>
      </w:rPr>
    </w:lvl>
    <w:lvl w:ilvl="7">
      <w:start w:val="0"/>
      <w:numFmt w:val="bullet"/>
      <w:lvlText w:val="•"/>
      <w:lvlJc w:val="left"/>
      <w:pPr>
        <w:ind w:left="3009" w:hanging="423"/>
      </w:pPr>
      <w:rPr>
        <w:rFonts w:hint="default"/>
      </w:rPr>
    </w:lvl>
    <w:lvl w:ilvl="8">
      <w:start w:val="0"/>
      <w:numFmt w:val="bullet"/>
      <w:lvlText w:val="•"/>
      <w:lvlJc w:val="left"/>
      <w:pPr>
        <w:ind w:left="3188" w:hanging="423"/>
      </w:pPr>
      <w:rPr>
        <w:rFonts w:hint="default"/>
      </w:rPr>
    </w:lvl>
  </w:abstractNum>
  <w:abstractNum w:abstractNumId="3">
    <w:multiLevelType w:val="hybridMultilevel"/>
    <w:lvl w:ilvl="0">
      <w:start w:val="4"/>
      <w:numFmt w:val="decimal"/>
      <w:lvlText w:val="%1."/>
      <w:lvlJc w:val="left"/>
      <w:pPr>
        <w:ind w:left="1436" w:hanging="317"/>
        <w:jc w:val="left"/>
      </w:pPr>
      <w:rPr>
        <w:rFonts w:hint="default" w:ascii="宋体" w:hAnsi="宋体" w:eastAsia="宋体" w:cs="宋体"/>
        <w:w w:val="100"/>
        <w:sz w:val="21"/>
        <w:szCs w:val="21"/>
      </w:rPr>
    </w:lvl>
    <w:lvl w:ilvl="1">
      <w:start w:val="1"/>
      <w:numFmt w:val="decimal"/>
      <w:lvlText w:val="%1.%2"/>
      <w:lvlJc w:val="left"/>
      <w:pPr>
        <w:ind w:left="1752" w:hanging="423"/>
        <w:jc w:val="left"/>
      </w:pPr>
      <w:rPr>
        <w:rFonts w:hint="default" w:ascii="宋体" w:hAnsi="宋体" w:eastAsia="宋体" w:cs="宋体"/>
        <w:w w:val="100"/>
        <w:sz w:val="21"/>
        <w:szCs w:val="21"/>
      </w:rPr>
    </w:lvl>
    <w:lvl w:ilvl="2">
      <w:start w:val="0"/>
      <w:numFmt w:val="bullet"/>
      <w:lvlText w:val="•"/>
      <w:lvlJc w:val="left"/>
      <w:pPr>
        <w:ind w:left="1958" w:hanging="423"/>
      </w:pPr>
      <w:rPr>
        <w:rFonts w:hint="default"/>
      </w:rPr>
    </w:lvl>
    <w:lvl w:ilvl="3">
      <w:start w:val="0"/>
      <w:numFmt w:val="bullet"/>
      <w:lvlText w:val="•"/>
      <w:lvlJc w:val="left"/>
      <w:pPr>
        <w:ind w:left="2156" w:hanging="423"/>
      </w:pPr>
      <w:rPr>
        <w:rFonts w:hint="default"/>
      </w:rPr>
    </w:lvl>
    <w:lvl w:ilvl="4">
      <w:start w:val="0"/>
      <w:numFmt w:val="bullet"/>
      <w:lvlText w:val="•"/>
      <w:lvlJc w:val="left"/>
      <w:pPr>
        <w:ind w:left="2355" w:hanging="423"/>
      </w:pPr>
      <w:rPr>
        <w:rFonts w:hint="default"/>
      </w:rPr>
    </w:lvl>
    <w:lvl w:ilvl="5">
      <w:start w:val="0"/>
      <w:numFmt w:val="bullet"/>
      <w:lvlText w:val="•"/>
      <w:lvlJc w:val="left"/>
      <w:pPr>
        <w:ind w:left="2553" w:hanging="423"/>
      </w:pPr>
      <w:rPr>
        <w:rFonts w:hint="default"/>
      </w:rPr>
    </w:lvl>
    <w:lvl w:ilvl="6">
      <w:start w:val="0"/>
      <w:numFmt w:val="bullet"/>
      <w:lvlText w:val="•"/>
      <w:lvlJc w:val="left"/>
      <w:pPr>
        <w:ind w:left="2751" w:hanging="423"/>
      </w:pPr>
      <w:rPr>
        <w:rFonts w:hint="default"/>
      </w:rPr>
    </w:lvl>
    <w:lvl w:ilvl="7">
      <w:start w:val="0"/>
      <w:numFmt w:val="bullet"/>
      <w:lvlText w:val="•"/>
      <w:lvlJc w:val="left"/>
      <w:pPr>
        <w:ind w:left="2950" w:hanging="423"/>
      </w:pPr>
      <w:rPr>
        <w:rFonts w:hint="default"/>
      </w:rPr>
    </w:lvl>
    <w:lvl w:ilvl="8">
      <w:start w:val="0"/>
      <w:numFmt w:val="bullet"/>
      <w:lvlText w:val="•"/>
      <w:lvlJc w:val="left"/>
      <w:pPr>
        <w:ind w:left="3148" w:hanging="423"/>
      </w:pPr>
      <w:rPr>
        <w:rFonts w:hint="default"/>
      </w:rPr>
    </w:lvl>
  </w:abstractNum>
  <w:abstractNum w:abstractNumId="2">
    <w:multiLevelType w:val="hybridMultilevel"/>
    <w:lvl w:ilvl="0">
      <w:start w:val="3"/>
      <w:numFmt w:val="decimal"/>
      <w:lvlText w:val="%1"/>
      <w:lvlJc w:val="left"/>
      <w:pPr>
        <w:ind w:left="1752" w:hanging="423"/>
        <w:jc w:val="left"/>
      </w:pPr>
      <w:rPr>
        <w:rFonts w:hint="default"/>
      </w:rPr>
    </w:lvl>
    <w:lvl w:ilvl="1">
      <w:start w:val="1"/>
      <w:numFmt w:val="decimal"/>
      <w:lvlText w:val="%1.%2"/>
      <w:lvlJc w:val="left"/>
      <w:pPr>
        <w:ind w:left="1752" w:hanging="423"/>
        <w:jc w:val="left"/>
      </w:pPr>
      <w:rPr>
        <w:rFonts w:hint="default" w:ascii="宋体" w:hAnsi="宋体" w:eastAsia="宋体" w:cs="宋体"/>
        <w:w w:val="100"/>
        <w:sz w:val="21"/>
        <w:szCs w:val="21"/>
      </w:rPr>
    </w:lvl>
    <w:lvl w:ilvl="2">
      <w:start w:val="0"/>
      <w:numFmt w:val="bullet"/>
      <w:lvlText w:val="•"/>
      <w:lvlJc w:val="left"/>
      <w:pPr>
        <w:ind w:left="2117" w:hanging="423"/>
      </w:pPr>
      <w:rPr>
        <w:rFonts w:hint="default"/>
      </w:rPr>
    </w:lvl>
    <w:lvl w:ilvl="3">
      <w:start w:val="0"/>
      <w:numFmt w:val="bullet"/>
      <w:lvlText w:val="•"/>
      <w:lvlJc w:val="left"/>
      <w:pPr>
        <w:ind w:left="2295" w:hanging="423"/>
      </w:pPr>
      <w:rPr>
        <w:rFonts w:hint="default"/>
      </w:rPr>
    </w:lvl>
    <w:lvl w:ilvl="4">
      <w:start w:val="0"/>
      <w:numFmt w:val="bullet"/>
      <w:lvlText w:val="•"/>
      <w:lvlJc w:val="left"/>
      <w:pPr>
        <w:ind w:left="2474" w:hanging="423"/>
      </w:pPr>
      <w:rPr>
        <w:rFonts w:hint="default"/>
      </w:rPr>
    </w:lvl>
    <w:lvl w:ilvl="5">
      <w:start w:val="0"/>
      <w:numFmt w:val="bullet"/>
      <w:lvlText w:val="•"/>
      <w:lvlJc w:val="left"/>
      <w:pPr>
        <w:ind w:left="2652" w:hanging="423"/>
      </w:pPr>
      <w:rPr>
        <w:rFonts w:hint="default"/>
      </w:rPr>
    </w:lvl>
    <w:lvl w:ilvl="6">
      <w:start w:val="0"/>
      <w:numFmt w:val="bullet"/>
      <w:lvlText w:val="•"/>
      <w:lvlJc w:val="left"/>
      <w:pPr>
        <w:ind w:left="2831" w:hanging="423"/>
      </w:pPr>
      <w:rPr>
        <w:rFonts w:hint="default"/>
      </w:rPr>
    </w:lvl>
    <w:lvl w:ilvl="7">
      <w:start w:val="0"/>
      <w:numFmt w:val="bullet"/>
      <w:lvlText w:val="•"/>
      <w:lvlJc w:val="left"/>
      <w:pPr>
        <w:ind w:left="3009" w:hanging="423"/>
      </w:pPr>
      <w:rPr>
        <w:rFonts w:hint="default"/>
      </w:rPr>
    </w:lvl>
    <w:lvl w:ilvl="8">
      <w:start w:val="0"/>
      <w:numFmt w:val="bullet"/>
      <w:lvlText w:val="•"/>
      <w:lvlJc w:val="left"/>
      <w:pPr>
        <w:ind w:left="3188" w:hanging="423"/>
      </w:pPr>
      <w:rPr>
        <w:rFonts w:hint="default"/>
      </w:rPr>
    </w:lvl>
  </w:abstractNum>
  <w:abstractNum w:abstractNumId="1">
    <w:multiLevelType w:val="hybridMultilevel"/>
    <w:lvl w:ilvl="0">
      <w:start w:val="2"/>
      <w:numFmt w:val="decimal"/>
      <w:lvlText w:val="%1"/>
      <w:lvlJc w:val="left"/>
      <w:pPr>
        <w:ind w:left="1752" w:hanging="423"/>
        <w:jc w:val="left"/>
      </w:pPr>
      <w:rPr>
        <w:rFonts w:hint="default"/>
      </w:rPr>
    </w:lvl>
    <w:lvl w:ilvl="1">
      <w:start w:val="1"/>
      <w:numFmt w:val="decimal"/>
      <w:lvlText w:val="%1.%2"/>
      <w:lvlJc w:val="left"/>
      <w:pPr>
        <w:ind w:left="1752" w:hanging="423"/>
        <w:jc w:val="left"/>
      </w:pPr>
      <w:rPr>
        <w:rFonts w:hint="default" w:ascii="宋体" w:hAnsi="宋体" w:eastAsia="宋体" w:cs="宋体"/>
        <w:w w:val="100"/>
        <w:sz w:val="21"/>
        <w:szCs w:val="21"/>
      </w:rPr>
    </w:lvl>
    <w:lvl w:ilvl="2">
      <w:start w:val="0"/>
      <w:numFmt w:val="bullet"/>
      <w:lvlText w:val="•"/>
      <w:lvlJc w:val="left"/>
      <w:pPr>
        <w:ind w:left="2117" w:hanging="423"/>
      </w:pPr>
      <w:rPr>
        <w:rFonts w:hint="default"/>
      </w:rPr>
    </w:lvl>
    <w:lvl w:ilvl="3">
      <w:start w:val="0"/>
      <w:numFmt w:val="bullet"/>
      <w:lvlText w:val="•"/>
      <w:lvlJc w:val="left"/>
      <w:pPr>
        <w:ind w:left="2295" w:hanging="423"/>
      </w:pPr>
      <w:rPr>
        <w:rFonts w:hint="default"/>
      </w:rPr>
    </w:lvl>
    <w:lvl w:ilvl="4">
      <w:start w:val="0"/>
      <w:numFmt w:val="bullet"/>
      <w:lvlText w:val="•"/>
      <w:lvlJc w:val="left"/>
      <w:pPr>
        <w:ind w:left="2474" w:hanging="423"/>
      </w:pPr>
      <w:rPr>
        <w:rFonts w:hint="default"/>
      </w:rPr>
    </w:lvl>
    <w:lvl w:ilvl="5">
      <w:start w:val="0"/>
      <w:numFmt w:val="bullet"/>
      <w:lvlText w:val="•"/>
      <w:lvlJc w:val="left"/>
      <w:pPr>
        <w:ind w:left="2652" w:hanging="423"/>
      </w:pPr>
      <w:rPr>
        <w:rFonts w:hint="default"/>
      </w:rPr>
    </w:lvl>
    <w:lvl w:ilvl="6">
      <w:start w:val="0"/>
      <w:numFmt w:val="bullet"/>
      <w:lvlText w:val="•"/>
      <w:lvlJc w:val="left"/>
      <w:pPr>
        <w:ind w:left="2831" w:hanging="423"/>
      </w:pPr>
      <w:rPr>
        <w:rFonts w:hint="default"/>
      </w:rPr>
    </w:lvl>
    <w:lvl w:ilvl="7">
      <w:start w:val="0"/>
      <w:numFmt w:val="bullet"/>
      <w:lvlText w:val="•"/>
      <w:lvlJc w:val="left"/>
      <w:pPr>
        <w:ind w:left="3009" w:hanging="423"/>
      </w:pPr>
      <w:rPr>
        <w:rFonts w:hint="default"/>
      </w:rPr>
    </w:lvl>
    <w:lvl w:ilvl="8">
      <w:start w:val="0"/>
      <w:numFmt w:val="bullet"/>
      <w:lvlText w:val="•"/>
      <w:lvlJc w:val="left"/>
      <w:pPr>
        <w:ind w:left="3188" w:hanging="423"/>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62" w:hanging="420"/>
      </w:pPr>
      <w:rPr>
        <w:rFonts w:hint="default"/>
      </w:rPr>
    </w:lvl>
    <w:lvl w:ilvl="2">
      <w:start w:val="0"/>
      <w:numFmt w:val="bullet"/>
      <w:lvlText w:val="•"/>
      <w:lvlJc w:val="left"/>
      <w:pPr>
        <w:ind w:left="3424" w:hanging="420"/>
      </w:pPr>
      <w:rPr>
        <w:rFonts w:hint="default"/>
      </w:rPr>
    </w:lvl>
    <w:lvl w:ilvl="3">
      <w:start w:val="0"/>
      <w:numFmt w:val="bullet"/>
      <w:lvlText w:val="•"/>
      <w:lvlJc w:val="left"/>
      <w:pPr>
        <w:ind w:left="4286" w:hanging="420"/>
      </w:pPr>
      <w:rPr>
        <w:rFonts w:hint="default"/>
      </w:rPr>
    </w:lvl>
    <w:lvl w:ilvl="4">
      <w:start w:val="0"/>
      <w:numFmt w:val="bullet"/>
      <w:lvlText w:val="•"/>
      <w:lvlJc w:val="left"/>
      <w:pPr>
        <w:ind w:left="5148" w:hanging="420"/>
      </w:pPr>
      <w:rPr>
        <w:rFonts w:hint="default"/>
      </w:rPr>
    </w:lvl>
    <w:lvl w:ilvl="5">
      <w:start w:val="0"/>
      <w:numFmt w:val="bullet"/>
      <w:lvlText w:val="•"/>
      <w:lvlJc w:val="left"/>
      <w:pPr>
        <w:ind w:left="6010" w:hanging="420"/>
      </w:pPr>
      <w:rPr>
        <w:rFonts w:hint="default"/>
      </w:rPr>
    </w:lvl>
    <w:lvl w:ilvl="6">
      <w:start w:val="0"/>
      <w:numFmt w:val="bullet"/>
      <w:lvlText w:val="•"/>
      <w:lvlJc w:val="left"/>
      <w:pPr>
        <w:ind w:left="6872"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596"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9"/>
      <w:outlineLvl w:val="2"/>
    </w:pPr>
    <w:rPr>
      <w:rFonts w:ascii="微软雅黑" w:hAnsi="微软雅黑" w:eastAsia="微软雅黑" w:cs="微软雅黑"/>
      <w:b/>
      <w:bCs/>
      <w:sz w:val="24"/>
      <w:szCs w:val="24"/>
    </w:rPr>
  </w:style>
  <w:style w:styleId="Heading3" w:type="paragraph">
    <w:name w:val="Heading 3"/>
    <w:basedOn w:val="Normal"/>
    <w:uiPriority w:val="1"/>
    <w:qFormat/>
    <w:pPr>
      <w:spacing w:line="295" w:lineRule="exact"/>
      <w:ind w:left="1119"/>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1752"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ocommlife.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sunzz</dc:creator>
  <dcterms:created xsi:type="dcterms:W3CDTF">2018-10-20T04:37:44Z</dcterms:created>
  <dcterms:modified xsi:type="dcterms:W3CDTF">2018-10-20T04:37:44Z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PDFCreator Version 1.2.3</vt:lpwstr>
  </property>
  <property fmtid="{D5CDD505-2E9C-101B-9397-08002B2CF9AE}" pid="4" name="LastSaved">
    <vt:filetime>2018-10-19T00:00:00Z</vt:filetime>
  </property>
</Properties>
</file>