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left="6645"/>
      </w:pPr>
      <w:r>
        <w:rPr/>
        <w:drawing>
          <wp:anchor distT="0" distB="0" distL="0" distR="0" allowOverlap="1" layoutInCell="1" locked="0" behindDoc="0" simplePos="0" relativeHeight="0">
            <wp:simplePos x="0" y="0"/>
            <wp:positionH relativeFrom="page">
              <wp:posOffset>5981700</wp:posOffset>
            </wp:positionH>
            <wp:positionV relativeFrom="paragraph">
              <wp:posOffset>253030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和泰人寿[2017]疾病保险 010 号</w:t>
      </w:r>
    </w:p>
    <w:p>
      <w:pPr>
        <w:spacing w:after="0"/>
        <w:sectPr>
          <w:type w:val="continuous"/>
          <w:pgSz w:w="11910" w:h="16840"/>
          <w:pgMar w:top="1120" w:bottom="280" w:left="980" w:right="520"/>
        </w:sectPr>
      </w:pPr>
    </w:p>
    <w:p>
      <w:pPr>
        <w:pStyle w:val="Heading1"/>
        <w:spacing w:before="296"/>
        <w:ind w:left="3279"/>
      </w:pPr>
      <w:r>
        <w:rPr/>
        <w:t>和泰安康重大疾病保险条款</w:t>
      </w:r>
    </w:p>
    <w:p>
      <w:pPr>
        <w:pStyle w:val="BodyText"/>
        <w:spacing w:before="16"/>
        <w:ind w:left="315"/>
      </w:pPr>
      <w:r>
        <w:rPr/>
        <w:br w:type="column"/>
      </w:r>
      <w:r>
        <w:rPr/>
        <w:t>请扫描以查询验证条款</w:t>
      </w:r>
    </w:p>
    <w:p>
      <w:pPr>
        <w:spacing w:after="0"/>
        <w:sectPr>
          <w:type w:val="continuous"/>
          <w:pgSz w:w="11910" w:h="16840"/>
          <w:pgMar w:top="1120" w:bottom="280" w:left="980" w:right="520"/>
          <w:cols w:num="2" w:equalWidth="0">
            <w:col w:w="7131" w:space="40"/>
            <w:col w:w="3239"/>
          </w:cols>
        </w:sectPr>
      </w:pPr>
    </w:p>
    <w:p>
      <w:pPr>
        <w:pStyle w:val="BodyText"/>
        <w:rPr>
          <w:sz w:val="20"/>
        </w:rPr>
      </w:pPr>
    </w:p>
    <w:p>
      <w:pPr>
        <w:spacing w:before="72"/>
        <w:ind w:left="4196" w:right="4196" w:firstLine="0"/>
        <w:jc w:val="center"/>
        <w:rPr>
          <w:rFonts w:ascii="微软雅黑" w:eastAsia="微软雅黑" w:hint="eastAsia"/>
          <w:b/>
          <w:sz w:val="36"/>
        </w:rPr>
      </w:pPr>
      <w:r>
        <w:rPr>
          <w:rFonts w:ascii="微软雅黑" w:eastAsia="微软雅黑" w:hint="eastAsia"/>
          <w:b/>
          <w:sz w:val="36"/>
        </w:rPr>
        <w:t>阅  读  指 引</w:t>
      </w:r>
    </w:p>
    <w:p>
      <w:pPr>
        <w:pStyle w:val="BodyText"/>
        <w:spacing w:before="140"/>
        <w:ind w:left="244"/>
      </w:pPr>
      <w:r>
        <w:rPr/>
        <w:drawing>
          <wp:anchor distT="0" distB="0" distL="0" distR="0" allowOverlap="1" layoutInCell="1" locked="0" behindDoc="1" simplePos="0" relativeHeight="268403711">
            <wp:simplePos x="0" y="0"/>
            <wp:positionH relativeFrom="page">
              <wp:posOffset>689152</wp:posOffset>
            </wp:positionH>
            <wp:positionV relativeFrom="paragraph">
              <wp:posOffset>58720</wp:posOffset>
            </wp:positionV>
            <wp:extent cx="6470345" cy="666478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0345" cy="6664782"/>
                    </a:xfrm>
                    <a:prstGeom prst="rect">
                      <a:avLst/>
                    </a:prstGeom>
                  </pic:spPr>
                </pic:pic>
              </a:graphicData>
            </a:graphic>
          </wp:anchor>
        </w:drawing>
      </w:r>
      <w:r>
        <w:rPr/>
        <w:t>本阅读指引有助于您理解条款，对“和泰安康重大疾病保险合同”内容的解释以条款为准。</w:t>
      </w:r>
    </w:p>
    <w:p>
      <w:pPr>
        <w:spacing w:before="76"/>
        <w:ind w:left="244" w:right="0" w:firstLine="0"/>
        <w:jc w:val="left"/>
        <w:rPr>
          <w:sz w:val="21"/>
        </w:rPr>
      </w:pPr>
      <w:r>
        <w:rPr>
          <w:rFonts w:ascii="Wingdings" w:hAnsi="Wingdings" w:eastAsia="Wingdings"/>
          <w:b/>
          <w:sz w:val="32"/>
        </w:rPr>
        <w:t></w:t>
      </w:r>
      <w:r>
        <w:rPr>
          <w:rFonts w:ascii="Microsoft JhengHei" w:hAnsi="Microsoft JhengHei" w:eastAsia="Microsoft JhengHei" w:hint="eastAsia"/>
          <w:b/>
          <w:spacing w:val="-149"/>
          <w:sz w:val="21"/>
        </w:rPr>
        <w:t>您</w:t>
      </w:r>
      <w:r>
        <w:rPr>
          <w:spacing w:val="-63"/>
          <w:position w:val="-7"/>
          <w:sz w:val="21"/>
        </w:rPr>
        <w:t>．</w:t>
      </w:r>
      <w:r>
        <w:rPr>
          <w:rFonts w:ascii="Microsoft JhengHei" w:hAnsi="Microsoft JhengHei" w:eastAsia="Microsoft JhengHei" w:hint="eastAsia"/>
          <w:b/>
          <w:spacing w:val="-149"/>
          <w:sz w:val="21"/>
        </w:rPr>
        <w:t>拥</w:t>
      </w:r>
      <w:r>
        <w:rPr>
          <w:spacing w:val="-63"/>
          <w:position w:val="-7"/>
          <w:sz w:val="21"/>
        </w:rPr>
        <w:t>．</w:t>
      </w:r>
      <w:r>
        <w:rPr>
          <w:rFonts w:ascii="Microsoft JhengHei" w:hAnsi="Microsoft JhengHei" w:eastAsia="Microsoft JhengHei" w:hint="eastAsia"/>
          <w:b/>
          <w:spacing w:val="-149"/>
          <w:sz w:val="21"/>
        </w:rPr>
        <w:t>有</w:t>
      </w:r>
      <w:r>
        <w:rPr>
          <w:spacing w:val="-63"/>
          <w:position w:val="-7"/>
          <w:sz w:val="21"/>
        </w:rPr>
        <w:t>．</w:t>
      </w:r>
      <w:r>
        <w:rPr>
          <w:rFonts w:ascii="Microsoft JhengHei" w:hAnsi="Microsoft JhengHei" w:eastAsia="Microsoft JhengHei" w:hint="eastAsia"/>
          <w:b/>
          <w:spacing w:val="-149"/>
          <w:sz w:val="21"/>
        </w:rPr>
        <w:t>的</w:t>
      </w:r>
      <w:r>
        <w:rPr>
          <w:spacing w:val="-63"/>
          <w:position w:val="-7"/>
          <w:sz w:val="21"/>
        </w:rPr>
        <w:t>．</w:t>
      </w:r>
      <w:r>
        <w:rPr>
          <w:rFonts w:ascii="Microsoft JhengHei" w:hAnsi="Microsoft JhengHei" w:eastAsia="Microsoft JhengHei" w:hint="eastAsia"/>
          <w:b/>
          <w:spacing w:val="-149"/>
          <w:sz w:val="21"/>
        </w:rPr>
        <w:t>重</w:t>
      </w:r>
      <w:r>
        <w:rPr>
          <w:spacing w:val="-63"/>
          <w:position w:val="-7"/>
          <w:sz w:val="21"/>
        </w:rPr>
        <w:t>．</w:t>
      </w:r>
      <w:r>
        <w:rPr>
          <w:rFonts w:ascii="Microsoft JhengHei" w:hAnsi="Microsoft JhengHei" w:eastAsia="Microsoft JhengHei" w:hint="eastAsia"/>
          <w:b/>
          <w:spacing w:val="-149"/>
          <w:sz w:val="21"/>
        </w:rPr>
        <w:t>要</w:t>
      </w:r>
      <w:r>
        <w:rPr>
          <w:spacing w:val="-63"/>
          <w:position w:val="-7"/>
          <w:sz w:val="21"/>
        </w:rPr>
        <w:t>．</w:t>
      </w:r>
      <w:r>
        <w:rPr>
          <w:rFonts w:ascii="Microsoft JhengHei" w:hAnsi="Microsoft JhengHei" w:eastAsia="Microsoft JhengHei" w:hint="eastAsia"/>
          <w:b/>
          <w:spacing w:val="-149"/>
          <w:sz w:val="21"/>
        </w:rPr>
        <w:t>权</w:t>
      </w:r>
      <w:r>
        <w:rPr>
          <w:spacing w:val="-63"/>
          <w:position w:val="-7"/>
          <w:sz w:val="21"/>
        </w:rPr>
        <w:t>．</w:t>
      </w:r>
      <w:r>
        <w:rPr>
          <w:rFonts w:ascii="Microsoft JhengHei" w:hAnsi="Microsoft JhengHei" w:eastAsia="Microsoft JhengHei" w:hint="eastAsia"/>
          <w:b/>
          <w:spacing w:val="-153"/>
          <w:sz w:val="21"/>
        </w:rPr>
        <w:t>益</w:t>
      </w:r>
      <w:r>
        <w:rPr>
          <w:position w:val="-7"/>
          <w:sz w:val="21"/>
        </w:rPr>
        <w:t>．</w:t>
      </w:r>
    </w:p>
    <w:p>
      <w:pPr>
        <w:pStyle w:val="BodyText"/>
        <w:tabs>
          <w:tab w:pos="1190" w:val="left" w:leader="none"/>
          <w:tab w:pos="9704" w:val="right" w:leader="dot"/>
        </w:tabs>
        <w:spacing w:before="164"/>
        <w:ind w:left="767"/>
      </w:pPr>
      <w:r>
        <w:rPr>
          <w:rFonts w:ascii="Wingdings" w:hAnsi="Wingdings" w:eastAsia="Wingdings"/>
        </w:rPr>
        <w:t></w:t>
      </w:r>
      <w:r>
        <w:rPr>
          <w:rFonts w:ascii="Times New Roman" w:hAnsi="Times New Roman" w:eastAsia="Times New Roman"/>
        </w:rPr>
        <w:tab/>
      </w:r>
      <w:r>
        <w:rPr/>
        <w:t>被保险人</w:t>
      </w:r>
      <w:r>
        <w:rPr>
          <w:spacing w:val="-5"/>
        </w:rPr>
        <w:t>可</w:t>
      </w:r>
      <w:r>
        <w:rPr/>
        <w:t>以享受</w:t>
      </w:r>
      <w:r>
        <w:rPr>
          <w:spacing w:val="-5"/>
        </w:rPr>
        <w:t>本</w:t>
      </w:r>
      <w:r>
        <w:rPr/>
        <w:t>主险合</w:t>
      </w:r>
      <w:r>
        <w:rPr>
          <w:spacing w:val="-5"/>
        </w:rPr>
        <w:t>同</w:t>
      </w:r>
      <w:r>
        <w:rPr/>
        <w:t>提供的</w:t>
      </w:r>
      <w:r>
        <w:rPr>
          <w:spacing w:val="-5"/>
        </w:rPr>
        <w:t>保</w:t>
      </w:r>
      <w:r>
        <w:rPr/>
        <w:t>障</w:t>
        <w:tab/>
        <w:t>1.4</w:t>
      </w:r>
    </w:p>
    <w:p>
      <w:pPr>
        <w:pStyle w:val="BodyText"/>
        <w:tabs>
          <w:tab w:pos="1190" w:val="left" w:leader="none"/>
          <w:tab w:pos="9704" w:val="right" w:leader="dot"/>
        </w:tabs>
        <w:spacing w:before="22"/>
        <w:ind w:left="767"/>
      </w:pPr>
      <w:r>
        <w:rPr>
          <w:rFonts w:ascii="Wingdings" w:hAnsi="Wingdings" w:eastAsia="Wingdings"/>
        </w:rPr>
        <w:t></w:t>
      </w:r>
      <w:r>
        <w:rPr>
          <w:rFonts w:ascii="Times New Roman" w:hAnsi="Times New Roman" w:eastAsia="Times New Roman"/>
        </w:rPr>
        <w:tab/>
      </w:r>
      <w:r>
        <w:rPr/>
        <w:t>您有退保</w:t>
      </w:r>
      <w:r>
        <w:rPr>
          <w:spacing w:val="-5"/>
        </w:rPr>
        <w:t>的</w:t>
      </w:r>
      <w:r>
        <w:rPr/>
        <w:t>权利</w:t>
        <w:tab/>
        <w:t>4.1</w:t>
      </w:r>
    </w:p>
    <w:p>
      <w:pPr>
        <w:spacing w:before="61"/>
        <w:ind w:left="244" w:right="0" w:firstLine="0"/>
        <w:jc w:val="left"/>
        <w:rPr>
          <w:sz w:val="21"/>
        </w:rPr>
      </w:pPr>
      <w:r>
        <w:rPr>
          <w:rFonts w:ascii="Wingdings" w:hAnsi="Wingdings" w:eastAsia="Wingdings"/>
          <w:b/>
          <w:sz w:val="32"/>
        </w:rPr>
        <w:t></w:t>
      </w:r>
      <w:r>
        <w:rPr>
          <w:rFonts w:ascii="Microsoft JhengHei" w:hAnsi="Microsoft JhengHei" w:eastAsia="Microsoft JhengHei" w:hint="eastAsia"/>
          <w:b/>
          <w:spacing w:val="-149"/>
          <w:sz w:val="21"/>
        </w:rPr>
        <w:t>您</w:t>
      </w:r>
      <w:r>
        <w:rPr>
          <w:spacing w:val="-63"/>
          <w:position w:val="-7"/>
          <w:sz w:val="21"/>
        </w:rPr>
        <w:t>．</w:t>
      </w:r>
      <w:r>
        <w:rPr>
          <w:rFonts w:ascii="Microsoft JhengHei" w:hAnsi="Microsoft JhengHei" w:eastAsia="Microsoft JhengHei" w:hint="eastAsia"/>
          <w:b/>
          <w:spacing w:val="-149"/>
          <w:sz w:val="21"/>
        </w:rPr>
        <w:t>应</w:t>
      </w:r>
      <w:r>
        <w:rPr>
          <w:spacing w:val="-63"/>
          <w:position w:val="-7"/>
          <w:sz w:val="21"/>
        </w:rPr>
        <w:t>．</w:t>
      </w:r>
      <w:r>
        <w:rPr>
          <w:rFonts w:ascii="Microsoft JhengHei" w:hAnsi="Microsoft JhengHei" w:eastAsia="Microsoft JhengHei" w:hint="eastAsia"/>
          <w:b/>
          <w:spacing w:val="-149"/>
          <w:sz w:val="21"/>
        </w:rPr>
        <w:t>当</w:t>
      </w:r>
      <w:r>
        <w:rPr>
          <w:spacing w:val="-63"/>
          <w:position w:val="-7"/>
          <w:sz w:val="21"/>
        </w:rPr>
        <w:t>．</w:t>
      </w:r>
      <w:r>
        <w:rPr>
          <w:rFonts w:ascii="Microsoft JhengHei" w:hAnsi="Microsoft JhengHei" w:eastAsia="Microsoft JhengHei" w:hint="eastAsia"/>
          <w:b/>
          <w:spacing w:val="-149"/>
          <w:sz w:val="21"/>
        </w:rPr>
        <w:t>特</w:t>
      </w:r>
      <w:r>
        <w:rPr>
          <w:spacing w:val="-63"/>
          <w:position w:val="-7"/>
          <w:sz w:val="21"/>
        </w:rPr>
        <w:t>．</w:t>
      </w:r>
      <w:r>
        <w:rPr>
          <w:rFonts w:ascii="Microsoft JhengHei" w:hAnsi="Microsoft JhengHei" w:eastAsia="Microsoft JhengHei" w:hint="eastAsia"/>
          <w:b/>
          <w:spacing w:val="-149"/>
          <w:sz w:val="21"/>
        </w:rPr>
        <w:t>别</w:t>
      </w:r>
      <w:r>
        <w:rPr>
          <w:spacing w:val="-63"/>
          <w:position w:val="-7"/>
          <w:sz w:val="21"/>
        </w:rPr>
        <w:t>．</w:t>
      </w:r>
      <w:r>
        <w:rPr>
          <w:rFonts w:ascii="Microsoft JhengHei" w:hAnsi="Microsoft JhengHei" w:eastAsia="Microsoft JhengHei" w:hint="eastAsia"/>
          <w:b/>
          <w:spacing w:val="-149"/>
          <w:sz w:val="21"/>
        </w:rPr>
        <w:t>注</w:t>
      </w:r>
      <w:r>
        <w:rPr>
          <w:spacing w:val="-63"/>
          <w:position w:val="-7"/>
          <w:sz w:val="21"/>
        </w:rPr>
        <w:t>．</w:t>
      </w:r>
      <w:r>
        <w:rPr>
          <w:rFonts w:ascii="Microsoft JhengHei" w:hAnsi="Microsoft JhengHei" w:eastAsia="Microsoft JhengHei" w:hint="eastAsia"/>
          <w:b/>
          <w:spacing w:val="-149"/>
          <w:sz w:val="21"/>
        </w:rPr>
        <w:t>意</w:t>
      </w:r>
      <w:r>
        <w:rPr>
          <w:spacing w:val="-63"/>
          <w:position w:val="-7"/>
          <w:sz w:val="21"/>
        </w:rPr>
        <w:t>．</w:t>
      </w:r>
      <w:r>
        <w:rPr>
          <w:rFonts w:ascii="Microsoft JhengHei" w:hAnsi="Microsoft JhengHei" w:eastAsia="Microsoft JhengHei" w:hint="eastAsia"/>
          <w:b/>
          <w:spacing w:val="-148"/>
          <w:sz w:val="21"/>
        </w:rPr>
        <w:t>的</w:t>
      </w:r>
      <w:r>
        <w:rPr>
          <w:spacing w:val="-64"/>
          <w:position w:val="-7"/>
          <w:sz w:val="21"/>
        </w:rPr>
        <w:t>．</w:t>
      </w:r>
      <w:r>
        <w:rPr>
          <w:rFonts w:ascii="Microsoft JhengHei" w:hAnsi="Microsoft JhengHei" w:eastAsia="Microsoft JhengHei" w:hint="eastAsia"/>
          <w:b/>
          <w:spacing w:val="-148"/>
          <w:sz w:val="21"/>
        </w:rPr>
        <w:t>事</w:t>
      </w:r>
      <w:r>
        <w:rPr>
          <w:spacing w:val="-64"/>
          <w:position w:val="-7"/>
          <w:sz w:val="21"/>
        </w:rPr>
        <w:t>．</w:t>
      </w:r>
      <w:r>
        <w:rPr>
          <w:rFonts w:ascii="Microsoft JhengHei" w:hAnsi="Microsoft JhengHei" w:eastAsia="Microsoft JhengHei" w:hint="eastAsia"/>
          <w:b/>
          <w:spacing w:val="-153"/>
          <w:sz w:val="21"/>
        </w:rPr>
        <w:t>项</w:t>
      </w:r>
      <w:r>
        <w:rPr>
          <w:position w:val="-7"/>
          <w:sz w:val="21"/>
        </w:rPr>
        <w:t>．</w:t>
      </w:r>
    </w:p>
    <w:p>
      <w:pPr>
        <w:pStyle w:val="BodyText"/>
        <w:tabs>
          <w:tab w:pos="1190" w:val="left" w:leader="none"/>
          <w:tab w:pos="9704" w:val="right" w:leader="dot"/>
        </w:tabs>
        <w:spacing w:before="163"/>
        <w:ind w:left="767"/>
      </w:pPr>
      <w:r>
        <w:rPr>
          <w:rFonts w:ascii="Wingdings" w:hAnsi="Wingdings" w:eastAsia="Wingdings"/>
        </w:rPr>
        <w:t></w:t>
      </w:r>
      <w:r>
        <w:rPr>
          <w:rFonts w:ascii="Times New Roman" w:hAnsi="Times New Roman" w:eastAsia="Times New Roman"/>
        </w:rPr>
        <w:tab/>
      </w:r>
      <w:r>
        <w:rPr/>
        <w:t>您有及时</w:t>
      </w:r>
      <w:r>
        <w:rPr>
          <w:spacing w:val="-5"/>
        </w:rPr>
        <w:t>向</w:t>
      </w:r>
      <w:r>
        <w:rPr/>
        <w:t>我们通</w:t>
      </w:r>
      <w:r>
        <w:rPr>
          <w:spacing w:val="-5"/>
        </w:rPr>
        <w:t>知</w:t>
      </w:r>
      <w:r>
        <w:rPr/>
        <w:t>保险事</w:t>
      </w:r>
      <w:r>
        <w:rPr>
          <w:spacing w:val="-5"/>
        </w:rPr>
        <w:t>故</w:t>
      </w:r>
      <w:r>
        <w:rPr/>
        <w:t>的责任</w:t>
        <w:tab/>
        <w:t>2.2</w:t>
      </w:r>
    </w:p>
    <w:p>
      <w:pPr>
        <w:pStyle w:val="BodyText"/>
        <w:tabs>
          <w:tab w:pos="1190" w:val="left" w:leader="none"/>
          <w:tab w:pos="9704" w:val="right" w:leader="dot"/>
        </w:tabs>
        <w:spacing w:before="22"/>
        <w:ind w:left="767"/>
      </w:pPr>
      <w:r>
        <w:rPr>
          <w:rFonts w:ascii="Wingdings" w:hAnsi="Wingdings" w:eastAsia="Wingdings"/>
        </w:rPr>
        <w:t></w:t>
      </w:r>
      <w:r>
        <w:rPr>
          <w:rFonts w:ascii="Times New Roman" w:hAnsi="Times New Roman" w:eastAsia="Times New Roman"/>
        </w:rPr>
        <w:tab/>
      </w:r>
      <w:r>
        <w:rPr/>
        <w:t>您应当按</w:t>
      </w:r>
      <w:r>
        <w:rPr>
          <w:spacing w:val="-5"/>
        </w:rPr>
        <w:t>时</w:t>
      </w:r>
      <w:r>
        <w:rPr/>
        <w:t>支付保</w:t>
      </w:r>
      <w:r>
        <w:rPr>
          <w:spacing w:val="-5"/>
        </w:rPr>
        <w:t>险</w:t>
      </w:r>
      <w:r>
        <w:rPr/>
        <w:t>费</w:t>
        <w:tab/>
        <w:t>3.1</w:t>
      </w:r>
    </w:p>
    <w:p>
      <w:pPr>
        <w:pStyle w:val="BodyText"/>
        <w:tabs>
          <w:tab w:pos="1190" w:val="left" w:leader="none"/>
          <w:tab w:pos="9704" w:val="right" w:leader="dot"/>
        </w:tabs>
        <w:spacing w:before="22"/>
        <w:ind w:left="767"/>
      </w:pPr>
      <w:r>
        <w:rPr>
          <w:rFonts w:ascii="Wingdings" w:hAnsi="Wingdings" w:eastAsia="Wingdings"/>
        </w:rPr>
        <w:t></w:t>
      </w:r>
      <w:r>
        <w:rPr>
          <w:rFonts w:ascii="Times New Roman" w:hAnsi="Times New Roman" w:eastAsia="Times New Roman"/>
        </w:rPr>
        <w:tab/>
      </w: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4.1</w:t>
      </w:r>
    </w:p>
    <w:p>
      <w:pPr>
        <w:pStyle w:val="BodyText"/>
        <w:tabs>
          <w:tab w:pos="1190" w:val="left" w:leader="none"/>
          <w:tab w:pos="9704" w:val="right" w:leader="dot"/>
        </w:tabs>
        <w:spacing w:before="22"/>
        <w:ind w:left="767"/>
      </w:pPr>
      <w:r>
        <w:rPr>
          <w:rFonts w:ascii="Wingdings" w:hAnsi="Wingdings" w:eastAsia="Wingdings"/>
        </w:rPr>
        <w:t></w:t>
      </w:r>
      <w:r>
        <w:rPr>
          <w:rFonts w:ascii="Times New Roman" w:hAnsi="Times New Roman" w:eastAsia="Times New Roman"/>
        </w:rPr>
        <w:tab/>
      </w:r>
      <w:r>
        <w:rPr/>
        <w:t>您有如实</w:t>
      </w:r>
      <w:r>
        <w:rPr>
          <w:spacing w:val="-5"/>
        </w:rPr>
        <w:t>告</w:t>
      </w:r>
      <w:r>
        <w:rPr/>
        <w:t>知的义务</w:t>
        <w:tab/>
        <w:t>5.4</w:t>
      </w:r>
    </w:p>
    <w:p>
      <w:pPr>
        <w:pStyle w:val="BodyText"/>
        <w:tabs>
          <w:tab w:pos="1190" w:val="left" w:leader="none"/>
          <w:tab w:pos="9493" w:val="right" w:leader="dot"/>
        </w:tabs>
        <w:spacing w:before="22"/>
        <w:ind w:left="767"/>
      </w:pPr>
      <w:r>
        <w:rPr>
          <w:rFonts w:ascii="Wingdings" w:hAnsi="Wingdings" w:eastAsia="Wingdings"/>
        </w:rPr>
        <w:t></w:t>
      </w:r>
      <w:r>
        <w:rPr>
          <w:rFonts w:ascii="Times New Roman" w:hAnsi="Times New Roman" w:eastAsia="Times New Roman"/>
        </w:rPr>
        <w:tab/>
      </w:r>
      <w:r>
        <w:rPr/>
        <w:t>我们对一</w:t>
      </w:r>
      <w:r>
        <w:rPr>
          <w:spacing w:val="-5"/>
        </w:rPr>
        <w:t>些</w:t>
      </w:r>
      <w:r>
        <w:rPr/>
        <w:t>重要术</w:t>
      </w:r>
      <w:r>
        <w:rPr>
          <w:spacing w:val="-5"/>
        </w:rPr>
        <w:t>语</w:t>
      </w:r>
      <w:r>
        <w:rPr/>
        <w:t>进行了</w:t>
      </w:r>
      <w:r>
        <w:rPr>
          <w:spacing w:val="-5"/>
        </w:rPr>
        <w:t>解</w:t>
      </w:r>
      <w:r>
        <w:rPr/>
        <w:t>释，并</w:t>
      </w:r>
      <w:r>
        <w:rPr>
          <w:spacing w:val="-5"/>
        </w:rPr>
        <w:t>作</w:t>
      </w:r>
      <w:r>
        <w:rPr/>
        <w:t>了显著</w:t>
      </w:r>
      <w:r>
        <w:rPr>
          <w:spacing w:val="-5"/>
        </w:rPr>
        <w:t>标</w:t>
      </w:r>
      <w:r>
        <w:rPr/>
        <w:t>识</w:t>
      </w:r>
      <w:r>
        <w:rPr>
          <w:spacing w:val="-5"/>
        </w:rPr>
        <w:t>，</w:t>
      </w:r>
      <w:r>
        <w:rPr/>
        <w:t>请您注意</w:t>
        <w:tab/>
        <w:t>6</w:t>
      </w:r>
    </w:p>
    <w:p>
      <w:pPr>
        <w:pStyle w:val="BodyText"/>
        <w:tabs>
          <w:tab w:pos="1190" w:val="left" w:leader="none"/>
        </w:tabs>
        <w:spacing w:line="259" w:lineRule="auto" w:before="22"/>
        <w:ind w:left="1190" w:right="600" w:hanging="423"/>
      </w:pPr>
      <w:r>
        <w:rPr>
          <w:rFonts w:ascii="Wingdings" w:hAnsi="Wingdings" w:eastAsia="Wingdings"/>
        </w:rPr>
        <w:t></w:t>
      </w:r>
      <w:r>
        <w:rPr>
          <w:rFonts w:ascii="Times New Roman" w:hAnsi="Times New Roman" w:eastAsia="Times New Roman"/>
        </w:rPr>
        <w:tab/>
      </w:r>
      <w:r>
        <w:rPr>
          <w:spacing w:val="-5"/>
        </w:rPr>
        <w:t>我们对可能影响本主险合同保障的重要内容进行了显著标识，请您仔细阅读正文中背景突出显 示的内容。</w:t>
      </w:r>
    </w:p>
    <w:p>
      <w:pPr>
        <w:spacing w:before="39"/>
        <w:ind w:left="244" w:right="0" w:firstLine="0"/>
        <w:jc w:val="left"/>
        <w:rPr>
          <w:sz w:val="21"/>
        </w:rPr>
      </w:pPr>
      <w:r>
        <w:rPr>
          <w:rFonts w:ascii="Wingdings" w:hAnsi="Wingdings" w:eastAsia="Wingdings"/>
          <w:b/>
          <w:sz w:val="32"/>
        </w:rPr>
        <w:t></w:t>
      </w:r>
      <w:r>
        <w:rPr>
          <w:rFonts w:ascii="Microsoft JhengHei" w:hAnsi="Microsoft JhengHei" w:eastAsia="Microsoft JhengHei" w:hint="eastAsia"/>
          <w:b/>
          <w:spacing w:val="-149"/>
          <w:sz w:val="21"/>
        </w:rPr>
        <w:t>条</w:t>
      </w:r>
      <w:r>
        <w:rPr>
          <w:spacing w:val="-63"/>
          <w:position w:val="-7"/>
          <w:sz w:val="21"/>
        </w:rPr>
        <w:t>．</w:t>
      </w:r>
      <w:r>
        <w:rPr>
          <w:rFonts w:ascii="Microsoft JhengHei" w:hAnsi="Microsoft JhengHei" w:eastAsia="Microsoft JhengHei" w:hint="eastAsia"/>
          <w:b/>
          <w:spacing w:val="-149"/>
          <w:sz w:val="21"/>
        </w:rPr>
        <w:t>款</w:t>
      </w:r>
      <w:r>
        <w:rPr>
          <w:spacing w:val="-63"/>
          <w:position w:val="-7"/>
          <w:sz w:val="21"/>
        </w:rPr>
        <w:t>．</w:t>
      </w:r>
      <w:r>
        <w:rPr>
          <w:rFonts w:ascii="Microsoft JhengHei" w:hAnsi="Microsoft JhengHei" w:eastAsia="Microsoft JhengHei" w:hint="eastAsia"/>
          <w:b/>
          <w:spacing w:val="-149"/>
          <w:sz w:val="21"/>
        </w:rPr>
        <w:t>是</w:t>
      </w:r>
      <w:r>
        <w:rPr>
          <w:spacing w:val="-63"/>
          <w:position w:val="-7"/>
          <w:sz w:val="21"/>
        </w:rPr>
        <w:t>．</w:t>
      </w:r>
      <w:r>
        <w:rPr>
          <w:rFonts w:ascii="Microsoft JhengHei" w:hAnsi="Microsoft JhengHei" w:eastAsia="Microsoft JhengHei" w:hint="eastAsia"/>
          <w:b/>
          <w:spacing w:val="-149"/>
          <w:sz w:val="21"/>
        </w:rPr>
        <w:t>保</w:t>
      </w:r>
      <w:r>
        <w:rPr>
          <w:spacing w:val="-63"/>
          <w:position w:val="-7"/>
          <w:sz w:val="21"/>
        </w:rPr>
        <w:t>．</w:t>
      </w:r>
      <w:r>
        <w:rPr>
          <w:rFonts w:ascii="Microsoft JhengHei" w:hAnsi="Microsoft JhengHei" w:eastAsia="Microsoft JhengHei" w:hint="eastAsia"/>
          <w:b/>
          <w:spacing w:val="-149"/>
          <w:sz w:val="21"/>
        </w:rPr>
        <w:t>险</w:t>
      </w:r>
      <w:r>
        <w:rPr>
          <w:spacing w:val="-63"/>
          <w:position w:val="-7"/>
          <w:sz w:val="21"/>
        </w:rPr>
        <w:t>．</w:t>
      </w:r>
      <w:r>
        <w:rPr>
          <w:rFonts w:ascii="Microsoft JhengHei" w:hAnsi="Microsoft JhengHei" w:eastAsia="Microsoft JhengHei" w:hint="eastAsia"/>
          <w:b/>
          <w:spacing w:val="-149"/>
          <w:sz w:val="21"/>
        </w:rPr>
        <w:t>合</w:t>
      </w:r>
      <w:r>
        <w:rPr>
          <w:spacing w:val="-63"/>
          <w:position w:val="-7"/>
          <w:sz w:val="21"/>
        </w:rPr>
        <w:t>．</w:t>
      </w:r>
      <w:r>
        <w:rPr>
          <w:rFonts w:ascii="Microsoft JhengHei" w:hAnsi="Microsoft JhengHei" w:eastAsia="Microsoft JhengHei" w:hint="eastAsia"/>
          <w:b/>
          <w:spacing w:val="-149"/>
          <w:sz w:val="21"/>
        </w:rPr>
        <w:t>同</w:t>
      </w:r>
      <w:r>
        <w:rPr>
          <w:spacing w:val="-63"/>
          <w:position w:val="-7"/>
          <w:sz w:val="21"/>
        </w:rPr>
        <w:t>．</w:t>
      </w:r>
      <w:r>
        <w:rPr>
          <w:rFonts w:ascii="Microsoft JhengHei" w:hAnsi="Microsoft JhengHei" w:eastAsia="Microsoft JhengHei" w:hint="eastAsia"/>
          <w:b/>
          <w:spacing w:val="-148"/>
          <w:sz w:val="21"/>
        </w:rPr>
        <w:t>的</w:t>
      </w:r>
      <w:r>
        <w:rPr>
          <w:spacing w:val="-64"/>
          <w:position w:val="-7"/>
          <w:sz w:val="21"/>
        </w:rPr>
        <w:t>．</w:t>
      </w:r>
      <w:r>
        <w:rPr>
          <w:rFonts w:ascii="Microsoft JhengHei" w:hAnsi="Microsoft JhengHei" w:eastAsia="Microsoft JhengHei" w:hint="eastAsia"/>
          <w:b/>
          <w:spacing w:val="-148"/>
          <w:sz w:val="21"/>
        </w:rPr>
        <w:t>重</w:t>
      </w:r>
      <w:r>
        <w:rPr>
          <w:spacing w:val="-64"/>
          <w:position w:val="-7"/>
          <w:sz w:val="21"/>
        </w:rPr>
        <w:t>．</w:t>
      </w:r>
      <w:r>
        <w:rPr>
          <w:rFonts w:ascii="Microsoft JhengHei" w:hAnsi="Microsoft JhengHei" w:eastAsia="Microsoft JhengHei" w:hint="eastAsia"/>
          <w:b/>
          <w:spacing w:val="-148"/>
          <w:sz w:val="21"/>
        </w:rPr>
        <w:t>要</w:t>
      </w:r>
      <w:r>
        <w:rPr>
          <w:spacing w:val="-64"/>
          <w:position w:val="-7"/>
          <w:sz w:val="21"/>
        </w:rPr>
        <w:t>．</w:t>
      </w:r>
      <w:r>
        <w:rPr>
          <w:rFonts w:ascii="Microsoft JhengHei" w:hAnsi="Microsoft JhengHei" w:eastAsia="Microsoft JhengHei" w:hint="eastAsia"/>
          <w:b/>
          <w:spacing w:val="-148"/>
          <w:sz w:val="21"/>
        </w:rPr>
        <w:t>内</w:t>
      </w:r>
      <w:r>
        <w:rPr>
          <w:spacing w:val="-64"/>
          <w:position w:val="-7"/>
          <w:sz w:val="21"/>
        </w:rPr>
        <w:t>．</w:t>
      </w:r>
      <w:r>
        <w:rPr>
          <w:rFonts w:ascii="Microsoft JhengHei" w:hAnsi="Microsoft JhengHei" w:eastAsia="Microsoft JhengHei" w:hint="eastAsia"/>
          <w:b/>
          <w:spacing w:val="-153"/>
          <w:sz w:val="21"/>
        </w:rPr>
        <w:t>容</w:t>
      </w:r>
      <w:r>
        <w:rPr>
          <w:spacing w:val="-92"/>
          <w:position w:val="-7"/>
          <w:sz w:val="21"/>
        </w:rPr>
        <w:t>．</w:t>
      </w:r>
      <w:r>
        <w:rPr>
          <w:rFonts w:ascii="Microsoft JhengHei" w:hAnsi="Microsoft JhengHei" w:eastAsia="Microsoft JhengHei" w:hint="eastAsia"/>
          <w:b/>
          <w:spacing w:val="-92"/>
          <w:sz w:val="21"/>
        </w:rPr>
        <w:t>，</w:t>
      </w:r>
      <w:r>
        <w:rPr>
          <w:spacing w:val="-92"/>
          <w:position w:val="-7"/>
          <w:sz w:val="21"/>
        </w:rPr>
        <w:t>．</w:t>
      </w:r>
      <w:r>
        <w:rPr>
          <w:rFonts w:ascii="Microsoft JhengHei" w:hAnsi="Microsoft JhengHei" w:eastAsia="Microsoft JhengHei" w:hint="eastAsia"/>
          <w:b/>
          <w:spacing w:val="-148"/>
          <w:sz w:val="21"/>
        </w:rPr>
        <w:t>为</w:t>
      </w:r>
      <w:r>
        <w:rPr>
          <w:spacing w:val="-64"/>
          <w:position w:val="-7"/>
          <w:sz w:val="21"/>
        </w:rPr>
        <w:t>．</w:t>
      </w:r>
      <w:r>
        <w:rPr>
          <w:rFonts w:ascii="Microsoft JhengHei" w:hAnsi="Microsoft JhengHei" w:eastAsia="Microsoft JhengHei" w:hint="eastAsia"/>
          <w:b/>
          <w:spacing w:val="-148"/>
          <w:sz w:val="21"/>
        </w:rPr>
        <w:t>充</w:t>
      </w:r>
      <w:r>
        <w:rPr>
          <w:spacing w:val="-64"/>
          <w:position w:val="-7"/>
          <w:sz w:val="21"/>
        </w:rPr>
        <w:t>．</w:t>
      </w:r>
      <w:r>
        <w:rPr>
          <w:rFonts w:ascii="Microsoft JhengHei" w:hAnsi="Microsoft JhengHei" w:eastAsia="Microsoft JhengHei" w:hint="eastAsia"/>
          <w:b/>
          <w:spacing w:val="-148"/>
          <w:sz w:val="21"/>
        </w:rPr>
        <w:t>分</w:t>
      </w:r>
      <w:r>
        <w:rPr>
          <w:spacing w:val="-64"/>
          <w:position w:val="-7"/>
          <w:sz w:val="21"/>
        </w:rPr>
        <w:t>．</w:t>
      </w:r>
      <w:r>
        <w:rPr>
          <w:rFonts w:ascii="Microsoft JhengHei" w:hAnsi="Microsoft JhengHei" w:eastAsia="Microsoft JhengHei" w:hint="eastAsia"/>
          <w:b/>
          <w:spacing w:val="-148"/>
          <w:sz w:val="21"/>
        </w:rPr>
        <w:t>保</w:t>
      </w:r>
      <w:r>
        <w:rPr>
          <w:spacing w:val="-64"/>
          <w:position w:val="-7"/>
          <w:sz w:val="21"/>
        </w:rPr>
        <w:t>．</w:t>
      </w:r>
      <w:r>
        <w:rPr>
          <w:rFonts w:ascii="Microsoft JhengHei" w:hAnsi="Microsoft JhengHei" w:eastAsia="Microsoft JhengHei" w:hint="eastAsia"/>
          <w:b/>
          <w:spacing w:val="-148"/>
          <w:sz w:val="21"/>
        </w:rPr>
        <w:t>障</w:t>
      </w:r>
      <w:r>
        <w:rPr>
          <w:spacing w:val="-64"/>
          <w:position w:val="-7"/>
          <w:sz w:val="21"/>
        </w:rPr>
        <w:t>．</w:t>
      </w:r>
      <w:r>
        <w:rPr>
          <w:rFonts w:ascii="Microsoft JhengHei" w:hAnsi="Microsoft JhengHei" w:eastAsia="Microsoft JhengHei" w:hint="eastAsia"/>
          <w:b/>
          <w:spacing w:val="-148"/>
          <w:sz w:val="21"/>
        </w:rPr>
        <w:t>您</w:t>
      </w:r>
      <w:r>
        <w:rPr>
          <w:spacing w:val="-64"/>
          <w:position w:val="-7"/>
          <w:sz w:val="21"/>
        </w:rPr>
        <w:t>．</w:t>
      </w:r>
      <w:r>
        <w:rPr>
          <w:rFonts w:ascii="Microsoft JhengHei" w:hAnsi="Microsoft JhengHei" w:eastAsia="Microsoft JhengHei" w:hint="eastAsia"/>
          <w:b/>
          <w:spacing w:val="-147"/>
          <w:sz w:val="21"/>
        </w:rPr>
        <w:t>的</w:t>
      </w:r>
      <w:r>
        <w:rPr>
          <w:spacing w:val="-65"/>
          <w:position w:val="-7"/>
          <w:sz w:val="21"/>
        </w:rPr>
        <w:t>．</w:t>
      </w:r>
      <w:r>
        <w:rPr>
          <w:rFonts w:ascii="Microsoft JhengHei" w:hAnsi="Microsoft JhengHei" w:eastAsia="Microsoft JhengHei" w:hint="eastAsia"/>
          <w:b/>
          <w:spacing w:val="-152"/>
          <w:sz w:val="21"/>
        </w:rPr>
        <w:t>权</w:t>
      </w:r>
      <w:r>
        <w:rPr>
          <w:spacing w:val="-65"/>
          <w:position w:val="-7"/>
          <w:sz w:val="21"/>
        </w:rPr>
        <w:t>．</w:t>
      </w:r>
      <w:r>
        <w:rPr>
          <w:rFonts w:ascii="Microsoft JhengHei" w:hAnsi="Microsoft JhengHei" w:eastAsia="Microsoft JhengHei" w:hint="eastAsia"/>
          <w:b/>
          <w:spacing w:val="-147"/>
          <w:sz w:val="21"/>
        </w:rPr>
        <w:t>益</w:t>
      </w:r>
      <w:r>
        <w:rPr>
          <w:spacing w:val="-93"/>
          <w:position w:val="-7"/>
          <w:sz w:val="21"/>
        </w:rPr>
        <w:t>．</w:t>
      </w:r>
      <w:r>
        <w:rPr>
          <w:rFonts w:ascii="Microsoft JhengHei" w:hAnsi="Microsoft JhengHei" w:eastAsia="Microsoft JhengHei" w:hint="eastAsia"/>
          <w:b/>
          <w:spacing w:val="-93"/>
          <w:sz w:val="21"/>
        </w:rPr>
        <w:t>，</w:t>
      </w:r>
      <w:r>
        <w:rPr>
          <w:spacing w:val="-93"/>
          <w:position w:val="-7"/>
          <w:sz w:val="21"/>
        </w:rPr>
        <w:t>．</w:t>
      </w:r>
      <w:r>
        <w:rPr>
          <w:rFonts w:ascii="Microsoft JhengHei" w:hAnsi="Microsoft JhengHei" w:eastAsia="Microsoft JhengHei" w:hint="eastAsia"/>
          <w:b/>
          <w:spacing w:val="-147"/>
          <w:sz w:val="21"/>
        </w:rPr>
        <w:t>请</w:t>
      </w:r>
      <w:r>
        <w:rPr>
          <w:spacing w:val="-65"/>
          <w:position w:val="-7"/>
          <w:sz w:val="21"/>
        </w:rPr>
        <w:t>．</w:t>
      </w:r>
      <w:r>
        <w:rPr>
          <w:rFonts w:ascii="Microsoft JhengHei" w:hAnsi="Microsoft JhengHei" w:eastAsia="Microsoft JhengHei" w:hint="eastAsia"/>
          <w:b/>
          <w:spacing w:val="-147"/>
          <w:sz w:val="21"/>
        </w:rPr>
        <w:t>您</w:t>
      </w:r>
      <w:r>
        <w:rPr>
          <w:spacing w:val="-65"/>
          <w:position w:val="-7"/>
          <w:sz w:val="21"/>
        </w:rPr>
        <w:t>．</w:t>
      </w:r>
      <w:r>
        <w:rPr>
          <w:rFonts w:ascii="Microsoft JhengHei" w:hAnsi="Microsoft JhengHei" w:eastAsia="Microsoft JhengHei" w:hint="eastAsia"/>
          <w:b/>
          <w:spacing w:val="-147"/>
          <w:sz w:val="21"/>
        </w:rPr>
        <w:t>仔</w:t>
      </w:r>
      <w:r>
        <w:rPr>
          <w:spacing w:val="-65"/>
          <w:position w:val="-7"/>
          <w:sz w:val="21"/>
        </w:rPr>
        <w:t>．</w:t>
      </w:r>
      <w:r>
        <w:rPr>
          <w:rFonts w:ascii="Microsoft JhengHei" w:hAnsi="Microsoft JhengHei" w:eastAsia="Microsoft JhengHei" w:hint="eastAsia"/>
          <w:b/>
          <w:spacing w:val="-147"/>
          <w:sz w:val="21"/>
        </w:rPr>
        <w:t>细</w:t>
      </w:r>
      <w:r>
        <w:rPr>
          <w:spacing w:val="-65"/>
          <w:position w:val="-7"/>
          <w:sz w:val="21"/>
        </w:rPr>
        <w:t>．</w:t>
      </w:r>
      <w:r>
        <w:rPr>
          <w:rFonts w:ascii="Microsoft JhengHei" w:hAnsi="Microsoft JhengHei" w:eastAsia="Microsoft JhengHei" w:hint="eastAsia"/>
          <w:b/>
          <w:spacing w:val="-147"/>
          <w:sz w:val="21"/>
        </w:rPr>
        <w:t>阅</w:t>
      </w:r>
      <w:r>
        <w:rPr>
          <w:spacing w:val="-65"/>
          <w:position w:val="-7"/>
          <w:sz w:val="21"/>
        </w:rPr>
        <w:t>．</w:t>
      </w:r>
      <w:r>
        <w:rPr>
          <w:rFonts w:ascii="Microsoft JhengHei" w:hAnsi="Microsoft JhengHei" w:eastAsia="Microsoft JhengHei" w:hint="eastAsia"/>
          <w:b/>
          <w:spacing w:val="-147"/>
          <w:sz w:val="21"/>
        </w:rPr>
        <w:t>读</w:t>
      </w:r>
      <w:r>
        <w:rPr>
          <w:spacing w:val="-65"/>
          <w:position w:val="-7"/>
          <w:sz w:val="21"/>
        </w:rPr>
        <w:t>．</w:t>
      </w:r>
      <w:r>
        <w:rPr>
          <w:rFonts w:ascii="Microsoft JhengHei" w:hAnsi="Microsoft JhengHei" w:eastAsia="Microsoft JhengHei" w:hint="eastAsia"/>
          <w:b/>
          <w:spacing w:val="-147"/>
          <w:sz w:val="21"/>
        </w:rPr>
        <w:t>本</w:t>
      </w:r>
      <w:r>
        <w:rPr>
          <w:spacing w:val="-65"/>
          <w:position w:val="-7"/>
          <w:sz w:val="21"/>
        </w:rPr>
        <w:t>．</w:t>
      </w:r>
      <w:r>
        <w:rPr>
          <w:rFonts w:ascii="Microsoft JhengHei" w:hAnsi="Microsoft JhengHei" w:eastAsia="Microsoft JhengHei" w:hint="eastAsia"/>
          <w:b/>
          <w:spacing w:val="-147"/>
          <w:sz w:val="21"/>
        </w:rPr>
        <w:t>条</w:t>
      </w:r>
      <w:r>
        <w:rPr>
          <w:spacing w:val="-65"/>
          <w:position w:val="-7"/>
          <w:sz w:val="21"/>
        </w:rPr>
        <w:t>．</w:t>
      </w:r>
      <w:r>
        <w:rPr>
          <w:rFonts w:ascii="Microsoft JhengHei" w:hAnsi="Microsoft JhengHei" w:eastAsia="Microsoft JhengHei" w:hint="eastAsia"/>
          <w:b/>
          <w:spacing w:val="-146"/>
          <w:sz w:val="21"/>
        </w:rPr>
        <w:t>款</w:t>
      </w:r>
      <w:r>
        <w:rPr>
          <w:spacing w:val="-66"/>
          <w:position w:val="-7"/>
          <w:sz w:val="21"/>
        </w:rPr>
        <w:t>．</w:t>
      </w:r>
      <w:r>
        <w:rPr>
          <w:rFonts w:ascii="Microsoft JhengHei" w:hAnsi="Microsoft JhengHei" w:eastAsia="Microsoft JhengHei" w:hint="eastAsia"/>
          <w:b/>
          <w:spacing w:val="-151"/>
          <w:sz w:val="21"/>
        </w:rPr>
        <w:t>。</w:t>
      </w:r>
      <w:r>
        <w:rPr>
          <w:position w:val="-7"/>
          <w:sz w:val="21"/>
        </w:rPr>
        <w:t>．</w:t>
      </w:r>
    </w:p>
    <w:p>
      <w:pPr>
        <w:pStyle w:val="Heading3"/>
        <w:spacing w:before="86"/>
        <w:ind w:left="244"/>
        <w:rPr>
          <w:rFonts w:ascii="Microsoft JhengHei" w:hAnsi="Microsoft JhengHei" w:eastAsia="Microsoft JhengHei" w:hint="eastAsia"/>
        </w:rPr>
      </w:pPr>
      <w:r>
        <w:rPr>
          <w:rFonts w:ascii="Wingdings" w:hAnsi="Wingdings" w:eastAsia="Wingdings"/>
          <w:sz w:val="32"/>
        </w:rPr>
        <w:t></w:t>
      </w:r>
      <w:r>
        <w:rPr>
          <w:rFonts w:ascii="Microsoft JhengHei" w:hAnsi="Microsoft JhengHei" w:eastAsia="Microsoft JhengHei" w:hint="eastAsia"/>
        </w:rPr>
        <w:t>条款目录</w:t>
      </w:r>
    </w:p>
    <w:p>
      <w:pPr>
        <w:pStyle w:val="BodyText"/>
        <w:spacing w:before="7"/>
        <w:rPr>
          <w:rFonts w:ascii="Microsoft JhengHei"/>
          <w:b/>
          <w:sz w:val="7"/>
        </w:rPr>
      </w:pPr>
    </w:p>
    <w:tbl>
      <w:tblPr>
        <w:tblW w:w="0" w:type="auto"/>
        <w:jc w:val="left"/>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3664"/>
        <w:gridCol w:w="3119"/>
      </w:tblGrid>
      <w:tr>
        <w:trPr>
          <w:trHeight w:val="4964" w:hRule="atLeast"/>
        </w:trPr>
        <w:tc>
          <w:tcPr>
            <w:tcW w:w="2888" w:type="dxa"/>
            <w:tcBorders>
              <w:right w:val="nil"/>
            </w:tcBorders>
          </w:tcPr>
          <w:p>
            <w:pPr>
              <w:pStyle w:val="TableParagraph"/>
              <w:spacing w:line="346" w:lineRule="exact" w:before="158"/>
              <w:ind w:left="105"/>
              <w:rPr>
                <w:rFonts w:ascii="Microsoft JhengHei" w:hAnsi="Microsoft JhengHei" w:eastAsia="Microsoft JhengHei" w:hint="eastAsia"/>
                <w:b/>
                <w:sz w:val="21"/>
              </w:rPr>
            </w:pPr>
            <w:r>
              <w:rPr>
                <w:rFonts w:ascii="Wingdings" w:hAnsi="Wingdings" w:eastAsia="Wingdings"/>
                <w:b/>
                <w:sz w:val="24"/>
              </w:rPr>
              <w:t></w:t>
            </w:r>
            <w:r>
              <w:rPr>
                <w:rFonts w:ascii="Times New Roman" w:hAnsi="Times New Roman" w:eastAsia="Times New Roman"/>
                <w:b/>
                <w:sz w:val="24"/>
              </w:rPr>
              <w:t>  </w:t>
            </w:r>
            <w:r>
              <w:rPr>
                <w:rFonts w:ascii="Microsoft JhengHei" w:hAnsi="Microsoft JhengHei" w:eastAsia="Microsoft JhengHei" w:hint="eastAsia"/>
                <w:b/>
                <w:sz w:val="21"/>
              </w:rPr>
              <w:t>您的保障权益</w:t>
            </w:r>
          </w:p>
          <w:p>
            <w:pPr>
              <w:pStyle w:val="TableParagraph"/>
              <w:numPr>
                <w:ilvl w:val="1"/>
                <w:numId w:val="1"/>
              </w:numPr>
              <w:tabs>
                <w:tab w:pos="687" w:val="left" w:leader="none"/>
              </w:tabs>
              <w:spacing w:line="247" w:lineRule="exact" w:before="0" w:after="0"/>
              <w:ind w:left="686" w:right="0" w:hanging="369"/>
              <w:jc w:val="left"/>
              <w:rPr>
                <w:sz w:val="21"/>
              </w:rPr>
            </w:pPr>
            <w:r>
              <w:rPr>
                <w:spacing w:val="-2"/>
                <w:sz w:val="21"/>
              </w:rPr>
              <w:t>基本保险金额</w:t>
            </w:r>
          </w:p>
          <w:p>
            <w:pPr>
              <w:pStyle w:val="TableParagraph"/>
              <w:numPr>
                <w:ilvl w:val="1"/>
                <w:numId w:val="1"/>
              </w:numPr>
              <w:tabs>
                <w:tab w:pos="687" w:val="left" w:leader="none"/>
              </w:tabs>
              <w:spacing w:line="262" w:lineRule="exact" w:before="0" w:after="0"/>
              <w:ind w:left="686" w:right="0" w:hanging="369"/>
              <w:jc w:val="left"/>
              <w:rPr>
                <w:sz w:val="21"/>
              </w:rPr>
            </w:pPr>
            <w:r>
              <w:rPr>
                <w:sz w:val="21"/>
              </w:rPr>
              <w:t>保险期间</w:t>
            </w:r>
          </w:p>
          <w:p>
            <w:pPr>
              <w:pStyle w:val="TableParagraph"/>
              <w:numPr>
                <w:ilvl w:val="1"/>
                <w:numId w:val="1"/>
              </w:numPr>
              <w:tabs>
                <w:tab w:pos="687" w:val="left" w:leader="none"/>
              </w:tabs>
              <w:spacing w:line="262" w:lineRule="exact" w:before="0" w:after="0"/>
              <w:ind w:left="686" w:right="0" w:hanging="369"/>
              <w:jc w:val="left"/>
              <w:rPr>
                <w:sz w:val="21"/>
              </w:rPr>
            </w:pPr>
            <w:r>
              <w:rPr>
                <w:sz w:val="21"/>
              </w:rPr>
              <w:t>续保</w:t>
            </w:r>
          </w:p>
          <w:p>
            <w:pPr>
              <w:pStyle w:val="TableParagraph"/>
              <w:numPr>
                <w:ilvl w:val="1"/>
                <w:numId w:val="1"/>
              </w:numPr>
              <w:tabs>
                <w:tab w:pos="687" w:val="left" w:leader="none"/>
              </w:tabs>
              <w:spacing w:line="259" w:lineRule="exact" w:before="0" w:after="0"/>
              <w:ind w:left="686" w:right="0" w:hanging="369"/>
              <w:jc w:val="left"/>
              <w:rPr>
                <w:sz w:val="21"/>
              </w:rPr>
            </w:pPr>
            <w:r>
              <w:rPr>
                <w:sz w:val="21"/>
              </w:rPr>
              <w:t>保险责任</w:t>
            </w:r>
          </w:p>
          <w:p>
            <w:pPr>
              <w:pStyle w:val="TableParagraph"/>
              <w:numPr>
                <w:ilvl w:val="1"/>
                <w:numId w:val="1"/>
              </w:numPr>
              <w:tabs>
                <w:tab w:pos="687" w:val="left" w:leader="none"/>
              </w:tabs>
              <w:spacing w:line="267" w:lineRule="exact" w:before="0" w:after="0"/>
              <w:ind w:left="686" w:right="0" w:hanging="369"/>
              <w:jc w:val="left"/>
              <w:rPr>
                <w:sz w:val="21"/>
              </w:rPr>
            </w:pPr>
            <w:r>
              <w:rPr>
                <w:sz w:val="21"/>
              </w:rPr>
              <w:t>责任免除</w:t>
            </w:r>
          </w:p>
          <w:p>
            <w:pPr>
              <w:pStyle w:val="TableParagraph"/>
              <w:spacing w:line="346" w:lineRule="exact" w:before="178"/>
              <w:ind w:left="105"/>
              <w:rPr>
                <w:rFonts w:ascii="Microsoft JhengHei" w:hAnsi="Microsoft JhengHei" w:eastAsia="Microsoft JhengHei" w:hint="eastAsia"/>
                <w:b/>
                <w:sz w:val="21"/>
              </w:rPr>
            </w:pPr>
            <w:r>
              <w:rPr>
                <w:rFonts w:ascii="Wingdings" w:hAnsi="Wingdings" w:eastAsia="Wingdings"/>
                <w:b/>
                <w:sz w:val="24"/>
              </w:rPr>
              <w:t></w:t>
            </w:r>
            <w:r>
              <w:rPr>
                <w:rFonts w:ascii="Microsoft JhengHei" w:hAnsi="Microsoft JhengHei" w:eastAsia="Microsoft JhengHei" w:hint="eastAsia"/>
                <w:b/>
                <w:sz w:val="21"/>
              </w:rPr>
              <w:t>您如何申请领取保险金</w:t>
            </w:r>
          </w:p>
          <w:p>
            <w:pPr>
              <w:pStyle w:val="TableParagraph"/>
              <w:numPr>
                <w:ilvl w:val="1"/>
                <w:numId w:val="2"/>
              </w:numPr>
              <w:tabs>
                <w:tab w:pos="740" w:val="left" w:leader="none"/>
              </w:tabs>
              <w:spacing w:line="250" w:lineRule="exact" w:before="0" w:after="0"/>
              <w:ind w:left="739" w:right="0" w:hanging="422"/>
              <w:jc w:val="left"/>
              <w:rPr>
                <w:sz w:val="21"/>
              </w:rPr>
            </w:pPr>
            <w:r>
              <w:rPr>
                <w:sz w:val="21"/>
              </w:rPr>
              <w:t>受益人</w:t>
            </w:r>
          </w:p>
          <w:p>
            <w:pPr>
              <w:pStyle w:val="TableParagraph"/>
              <w:numPr>
                <w:ilvl w:val="1"/>
                <w:numId w:val="2"/>
              </w:numPr>
              <w:tabs>
                <w:tab w:pos="740" w:val="left" w:leader="none"/>
              </w:tabs>
              <w:spacing w:line="262" w:lineRule="exact" w:before="0" w:after="0"/>
              <w:ind w:left="739" w:right="0" w:hanging="422"/>
              <w:jc w:val="left"/>
              <w:rPr>
                <w:sz w:val="21"/>
              </w:rPr>
            </w:pPr>
            <w:r>
              <w:rPr>
                <w:spacing w:val="-2"/>
                <w:sz w:val="21"/>
              </w:rPr>
              <w:t>保险事故通知</w:t>
            </w:r>
          </w:p>
          <w:p>
            <w:pPr>
              <w:pStyle w:val="TableParagraph"/>
              <w:numPr>
                <w:ilvl w:val="1"/>
                <w:numId w:val="2"/>
              </w:numPr>
              <w:tabs>
                <w:tab w:pos="740" w:val="left" w:leader="none"/>
              </w:tabs>
              <w:spacing w:line="259" w:lineRule="exact" w:before="0" w:after="0"/>
              <w:ind w:left="739" w:right="0" w:hanging="422"/>
              <w:jc w:val="left"/>
              <w:rPr>
                <w:sz w:val="21"/>
              </w:rPr>
            </w:pPr>
            <w:r>
              <w:rPr>
                <w:spacing w:val="-2"/>
                <w:sz w:val="21"/>
              </w:rPr>
              <w:t>保险金申请</w:t>
            </w:r>
          </w:p>
          <w:p>
            <w:pPr>
              <w:pStyle w:val="TableParagraph"/>
              <w:numPr>
                <w:ilvl w:val="1"/>
                <w:numId w:val="2"/>
              </w:numPr>
              <w:tabs>
                <w:tab w:pos="740" w:val="left" w:leader="none"/>
              </w:tabs>
              <w:spacing w:line="259" w:lineRule="exact" w:before="0" w:after="0"/>
              <w:ind w:left="739" w:right="0" w:hanging="422"/>
              <w:jc w:val="left"/>
              <w:rPr>
                <w:sz w:val="21"/>
              </w:rPr>
            </w:pPr>
            <w:r>
              <w:rPr>
                <w:spacing w:val="-2"/>
                <w:sz w:val="21"/>
              </w:rPr>
              <w:t>保险金的给付</w:t>
            </w:r>
          </w:p>
          <w:p>
            <w:pPr>
              <w:pStyle w:val="TableParagraph"/>
              <w:numPr>
                <w:ilvl w:val="1"/>
                <w:numId w:val="2"/>
              </w:numPr>
              <w:tabs>
                <w:tab w:pos="740" w:val="left" w:leader="none"/>
              </w:tabs>
              <w:spacing w:line="267" w:lineRule="exact" w:before="0" w:after="0"/>
              <w:ind w:left="739" w:right="0" w:hanging="422"/>
              <w:jc w:val="left"/>
              <w:rPr>
                <w:sz w:val="21"/>
              </w:rPr>
            </w:pPr>
            <w:r>
              <w:rPr>
                <w:spacing w:val="-2"/>
                <w:sz w:val="21"/>
              </w:rPr>
              <w:t>诉讼时效</w:t>
            </w:r>
          </w:p>
          <w:p>
            <w:pPr>
              <w:pStyle w:val="TableParagraph"/>
              <w:spacing w:line="348" w:lineRule="exact" w:before="177"/>
              <w:ind w:left="105"/>
              <w:rPr>
                <w:rFonts w:ascii="Microsoft JhengHei" w:hAnsi="Microsoft JhengHei" w:eastAsia="Microsoft JhengHei" w:hint="eastAsia"/>
                <w:b/>
                <w:sz w:val="21"/>
              </w:rPr>
            </w:pPr>
            <w:r>
              <w:rPr>
                <w:rFonts w:ascii="Wingdings" w:hAnsi="Wingdings" w:eastAsia="Wingdings"/>
                <w:b/>
                <w:sz w:val="24"/>
              </w:rPr>
              <w:t></w:t>
            </w:r>
            <w:r>
              <w:rPr>
                <w:rFonts w:ascii="Microsoft JhengHei" w:hAnsi="Microsoft JhengHei" w:eastAsia="Microsoft JhengHei" w:hint="eastAsia"/>
                <w:b/>
                <w:sz w:val="21"/>
              </w:rPr>
              <w:t>您如何支付保险费</w:t>
            </w:r>
          </w:p>
          <w:p>
            <w:pPr>
              <w:pStyle w:val="TableParagraph"/>
              <w:numPr>
                <w:ilvl w:val="1"/>
                <w:numId w:val="3"/>
              </w:numPr>
              <w:tabs>
                <w:tab w:pos="740" w:val="left" w:leader="none"/>
              </w:tabs>
              <w:spacing w:line="250" w:lineRule="exact" w:before="0" w:after="0"/>
              <w:ind w:left="739" w:right="0" w:hanging="422"/>
              <w:jc w:val="left"/>
              <w:rPr>
                <w:sz w:val="21"/>
              </w:rPr>
            </w:pPr>
            <w:r>
              <w:rPr>
                <w:spacing w:val="-2"/>
                <w:sz w:val="21"/>
              </w:rPr>
              <w:t>保险费的支付</w:t>
            </w:r>
          </w:p>
          <w:p>
            <w:pPr>
              <w:pStyle w:val="TableParagraph"/>
              <w:numPr>
                <w:ilvl w:val="1"/>
                <w:numId w:val="3"/>
              </w:numPr>
              <w:tabs>
                <w:tab w:pos="740" w:val="left" w:leader="none"/>
              </w:tabs>
              <w:spacing w:line="267" w:lineRule="exact" w:before="0" w:after="0"/>
              <w:ind w:left="739" w:right="0" w:hanging="422"/>
              <w:jc w:val="left"/>
              <w:rPr>
                <w:sz w:val="21"/>
              </w:rPr>
            </w:pPr>
            <w:r>
              <w:rPr>
                <w:sz w:val="21"/>
              </w:rPr>
              <w:t>宽限期</w:t>
            </w:r>
          </w:p>
        </w:tc>
        <w:tc>
          <w:tcPr>
            <w:tcW w:w="3664" w:type="dxa"/>
            <w:tcBorders>
              <w:left w:val="nil"/>
              <w:right w:val="nil"/>
            </w:tcBorders>
          </w:tcPr>
          <w:p>
            <w:pPr>
              <w:pStyle w:val="TableParagraph"/>
              <w:spacing w:line="346" w:lineRule="exact" w:before="158"/>
              <w:ind w:left="459"/>
              <w:rPr>
                <w:rFonts w:ascii="Microsoft JhengHei" w:hAnsi="Microsoft JhengHei" w:eastAsia="Microsoft JhengHei" w:hint="eastAsia"/>
                <w:b/>
                <w:sz w:val="21"/>
              </w:rPr>
            </w:pPr>
            <w:r>
              <w:rPr>
                <w:rFonts w:ascii="Wingdings" w:hAnsi="Wingdings" w:eastAsia="Wingdings"/>
                <w:b/>
                <w:sz w:val="24"/>
              </w:rPr>
              <w:t></w:t>
            </w:r>
            <w:r>
              <w:rPr>
                <w:rFonts w:ascii="Microsoft JhengHei" w:hAnsi="Microsoft JhengHei" w:eastAsia="Microsoft JhengHei" w:hint="eastAsia"/>
                <w:b/>
                <w:sz w:val="21"/>
              </w:rPr>
              <w:t>您如何解除保险合同</w:t>
            </w:r>
          </w:p>
          <w:p>
            <w:pPr>
              <w:pStyle w:val="TableParagraph"/>
              <w:spacing w:line="255" w:lineRule="exact"/>
              <w:ind w:left="670"/>
              <w:rPr>
                <w:sz w:val="21"/>
              </w:rPr>
            </w:pPr>
            <w:r>
              <w:rPr>
                <w:sz w:val="21"/>
              </w:rPr>
              <w:t>4.1 您解除合同的手续及风险</w:t>
            </w:r>
          </w:p>
          <w:p>
            <w:pPr>
              <w:pStyle w:val="TableParagraph"/>
              <w:spacing w:before="8"/>
              <w:ind w:left="0"/>
              <w:rPr>
                <w:rFonts w:ascii="Microsoft JhengHei"/>
                <w:b/>
                <w:sz w:val="10"/>
              </w:rPr>
            </w:pPr>
          </w:p>
          <w:p>
            <w:pPr>
              <w:pStyle w:val="TableParagraph"/>
              <w:spacing w:line="346" w:lineRule="exact"/>
              <w:ind w:left="459"/>
              <w:rPr>
                <w:rFonts w:ascii="Microsoft JhengHei" w:hAnsi="Microsoft JhengHei" w:eastAsia="Microsoft JhengHei" w:hint="eastAsia"/>
                <w:b/>
                <w:sz w:val="21"/>
              </w:rPr>
            </w:pPr>
            <w:r>
              <w:rPr>
                <w:rFonts w:ascii="Wingdings" w:hAnsi="Wingdings" w:eastAsia="Wingdings"/>
                <w:b/>
                <w:sz w:val="24"/>
              </w:rPr>
              <w:t></w:t>
            </w:r>
            <w:r>
              <w:rPr>
                <w:rFonts w:ascii="Microsoft JhengHei" w:hAnsi="Microsoft JhengHei" w:eastAsia="Microsoft JhengHei" w:hint="eastAsia"/>
                <w:b/>
                <w:sz w:val="21"/>
              </w:rPr>
              <w:t>您需要关注的其他事项</w:t>
            </w:r>
          </w:p>
          <w:p>
            <w:pPr>
              <w:pStyle w:val="TableParagraph"/>
              <w:numPr>
                <w:ilvl w:val="1"/>
                <w:numId w:val="4"/>
              </w:numPr>
              <w:tabs>
                <w:tab w:pos="1094" w:val="left" w:leader="none"/>
              </w:tabs>
              <w:spacing w:line="247" w:lineRule="exact" w:before="0" w:after="0"/>
              <w:ind w:left="1093" w:right="0" w:hanging="423"/>
              <w:jc w:val="left"/>
              <w:rPr>
                <w:sz w:val="21"/>
              </w:rPr>
            </w:pPr>
            <w:r>
              <w:rPr>
                <w:spacing w:val="-2"/>
                <w:sz w:val="21"/>
              </w:rPr>
              <w:t>合同构成</w:t>
            </w:r>
          </w:p>
          <w:p>
            <w:pPr>
              <w:pStyle w:val="TableParagraph"/>
              <w:numPr>
                <w:ilvl w:val="1"/>
                <w:numId w:val="4"/>
              </w:numPr>
              <w:tabs>
                <w:tab w:pos="1094" w:val="left" w:leader="none"/>
              </w:tabs>
              <w:spacing w:line="259" w:lineRule="exact" w:before="0" w:after="0"/>
              <w:ind w:left="1093" w:right="0" w:hanging="423"/>
              <w:jc w:val="left"/>
              <w:rPr>
                <w:sz w:val="21"/>
              </w:rPr>
            </w:pPr>
            <w:r>
              <w:rPr>
                <w:spacing w:val="-2"/>
                <w:sz w:val="21"/>
              </w:rPr>
              <w:t>合同成立与生效</w:t>
            </w:r>
          </w:p>
          <w:p>
            <w:pPr>
              <w:pStyle w:val="TableParagraph"/>
              <w:numPr>
                <w:ilvl w:val="1"/>
                <w:numId w:val="4"/>
              </w:numPr>
              <w:tabs>
                <w:tab w:pos="1094" w:val="left" w:leader="none"/>
              </w:tabs>
              <w:spacing w:line="259" w:lineRule="exact" w:before="0" w:after="0"/>
              <w:ind w:left="1093" w:right="0" w:hanging="423"/>
              <w:jc w:val="left"/>
              <w:rPr>
                <w:sz w:val="21"/>
              </w:rPr>
            </w:pPr>
            <w:r>
              <w:rPr>
                <w:spacing w:val="-2"/>
                <w:sz w:val="21"/>
              </w:rPr>
              <w:t>投保年龄</w:t>
            </w:r>
          </w:p>
          <w:p>
            <w:pPr>
              <w:pStyle w:val="TableParagraph"/>
              <w:numPr>
                <w:ilvl w:val="1"/>
                <w:numId w:val="4"/>
              </w:numPr>
              <w:tabs>
                <w:tab w:pos="1094" w:val="left" w:leader="none"/>
              </w:tabs>
              <w:spacing w:line="259" w:lineRule="exact" w:before="0" w:after="0"/>
              <w:ind w:left="1093" w:right="0" w:hanging="423"/>
              <w:jc w:val="left"/>
              <w:rPr>
                <w:sz w:val="21"/>
              </w:rPr>
            </w:pPr>
            <w:r>
              <w:rPr>
                <w:spacing w:val="-3"/>
                <w:sz w:val="21"/>
              </w:rPr>
              <w:t>明确说明与如实告知</w:t>
            </w:r>
          </w:p>
          <w:p>
            <w:pPr>
              <w:pStyle w:val="TableParagraph"/>
              <w:numPr>
                <w:ilvl w:val="1"/>
                <w:numId w:val="4"/>
              </w:numPr>
              <w:tabs>
                <w:tab w:pos="1094" w:val="left" w:leader="none"/>
              </w:tabs>
              <w:spacing w:line="262" w:lineRule="exact" w:before="0" w:after="0"/>
              <w:ind w:left="1093" w:right="0" w:hanging="423"/>
              <w:jc w:val="left"/>
              <w:rPr>
                <w:sz w:val="21"/>
              </w:rPr>
            </w:pPr>
            <w:r>
              <w:rPr>
                <w:spacing w:val="-3"/>
                <w:sz w:val="21"/>
              </w:rPr>
              <w:t>本公司合同解除权的限制</w:t>
            </w:r>
          </w:p>
          <w:p>
            <w:pPr>
              <w:pStyle w:val="TableParagraph"/>
              <w:numPr>
                <w:ilvl w:val="1"/>
                <w:numId w:val="4"/>
              </w:numPr>
              <w:tabs>
                <w:tab w:pos="1094" w:val="left" w:leader="none"/>
              </w:tabs>
              <w:spacing w:line="262" w:lineRule="exact" w:before="0" w:after="0"/>
              <w:ind w:left="1093" w:right="0" w:hanging="423"/>
              <w:jc w:val="left"/>
              <w:rPr>
                <w:sz w:val="21"/>
              </w:rPr>
            </w:pPr>
            <w:r>
              <w:rPr>
                <w:spacing w:val="-2"/>
                <w:sz w:val="21"/>
              </w:rPr>
              <w:t>年龄错误</w:t>
            </w:r>
          </w:p>
          <w:p>
            <w:pPr>
              <w:pStyle w:val="TableParagraph"/>
              <w:numPr>
                <w:ilvl w:val="1"/>
                <w:numId w:val="4"/>
              </w:numPr>
              <w:tabs>
                <w:tab w:pos="1094" w:val="left" w:leader="none"/>
              </w:tabs>
              <w:spacing w:line="259" w:lineRule="exact" w:before="0" w:after="0"/>
              <w:ind w:left="1093" w:right="0" w:hanging="423"/>
              <w:jc w:val="left"/>
              <w:rPr>
                <w:sz w:val="21"/>
              </w:rPr>
            </w:pPr>
            <w:r>
              <w:rPr>
                <w:spacing w:val="-2"/>
                <w:sz w:val="21"/>
              </w:rPr>
              <w:t>合同内容变更</w:t>
            </w:r>
          </w:p>
          <w:p>
            <w:pPr>
              <w:pStyle w:val="TableParagraph"/>
              <w:numPr>
                <w:ilvl w:val="1"/>
                <w:numId w:val="4"/>
              </w:numPr>
              <w:tabs>
                <w:tab w:pos="1094" w:val="left" w:leader="none"/>
              </w:tabs>
              <w:spacing w:line="259" w:lineRule="exact" w:before="0" w:after="0"/>
              <w:ind w:left="1093" w:right="0" w:hanging="423"/>
              <w:jc w:val="left"/>
              <w:rPr>
                <w:sz w:val="21"/>
              </w:rPr>
            </w:pPr>
            <w:r>
              <w:rPr>
                <w:spacing w:val="-2"/>
                <w:sz w:val="21"/>
              </w:rPr>
              <w:t>联系方式变更</w:t>
            </w:r>
          </w:p>
          <w:p>
            <w:pPr>
              <w:pStyle w:val="TableParagraph"/>
              <w:numPr>
                <w:ilvl w:val="1"/>
                <w:numId w:val="4"/>
              </w:numPr>
              <w:tabs>
                <w:tab w:pos="1094" w:val="left" w:leader="none"/>
              </w:tabs>
              <w:spacing w:line="267" w:lineRule="exact" w:before="0" w:after="0"/>
              <w:ind w:left="1093" w:right="0" w:hanging="423"/>
              <w:jc w:val="left"/>
              <w:rPr>
                <w:sz w:val="21"/>
              </w:rPr>
            </w:pPr>
            <w:r>
              <w:rPr>
                <w:spacing w:val="-2"/>
                <w:sz w:val="21"/>
              </w:rPr>
              <w:t>争议处理</w:t>
            </w:r>
          </w:p>
          <w:p>
            <w:pPr>
              <w:pStyle w:val="TableParagraph"/>
              <w:spacing w:line="348" w:lineRule="exact" w:before="177"/>
              <w:ind w:left="459"/>
              <w:rPr>
                <w:rFonts w:ascii="Microsoft JhengHei" w:hAnsi="Microsoft JhengHei" w:eastAsia="Microsoft JhengHei" w:hint="eastAsia"/>
                <w:b/>
                <w:sz w:val="21"/>
              </w:rPr>
            </w:pPr>
            <w:r>
              <w:rPr>
                <w:rFonts w:ascii="Wingdings" w:hAnsi="Wingdings" w:eastAsia="Wingdings"/>
                <w:b/>
                <w:sz w:val="21"/>
              </w:rPr>
              <w:t></w:t>
            </w:r>
            <w:r>
              <w:rPr>
                <w:rFonts w:ascii="Microsoft JhengHei" w:hAnsi="Microsoft JhengHei" w:eastAsia="Microsoft JhengHei" w:hint="eastAsia"/>
                <w:b/>
                <w:sz w:val="21"/>
              </w:rPr>
              <w:t>释义</w:t>
            </w:r>
          </w:p>
          <w:p>
            <w:pPr>
              <w:pStyle w:val="TableParagraph"/>
              <w:numPr>
                <w:ilvl w:val="1"/>
                <w:numId w:val="5"/>
              </w:numPr>
              <w:tabs>
                <w:tab w:pos="1094" w:val="left" w:leader="none"/>
              </w:tabs>
              <w:spacing w:line="250" w:lineRule="exact" w:before="0" w:after="0"/>
              <w:ind w:left="1093" w:right="0" w:hanging="423"/>
              <w:jc w:val="left"/>
              <w:rPr>
                <w:sz w:val="21"/>
              </w:rPr>
            </w:pPr>
            <w:r>
              <w:rPr>
                <w:sz w:val="21"/>
              </w:rPr>
              <w:t>医院</w:t>
            </w:r>
          </w:p>
          <w:p>
            <w:pPr>
              <w:pStyle w:val="TableParagraph"/>
              <w:numPr>
                <w:ilvl w:val="1"/>
                <w:numId w:val="5"/>
              </w:numPr>
              <w:tabs>
                <w:tab w:pos="1094" w:val="left" w:leader="none"/>
              </w:tabs>
              <w:spacing w:line="267" w:lineRule="exact" w:before="0" w:after="0"/>
              <w:ind w:left="1093" w:right="0" w:hanging="423"/>
              <w:jc w:val="left"/>
              <w:rPr>
                <w:sz w:val="21"/>
              </w:rPr>
            </w:pPr>
            <w:r>
              <w:rPr>
                <w:spacing w:val="-2"/>
                <w:sz w:val="21"/>
              </w:rPr>
              <w:t>专科医生</w:t>
            </w:r>
          </w:p>
        </w:tc>
        <w:tc>
          <w:tcPr>
            <w:tcW w:w="3119" w:type="dxa"/>
            <w:tcBorders>
              <w:left w:val="nil"/>
              <w:right w:val="nil"/>
            </w:tcBorders>
          </w:tcPr>
          <w:p>
            <w:pPr>
              <w:pStyle w:val="TableParagraph"/>
              <w:numPr>
                <w:ilvl w:val="1"/>
                <w:numId w:val="6"/>
              </w:numPr>
              <w:tabs>
                <w:tab w:pos="690" w:val="left" w:leader="none"/>
              </w:tabs>
              <w:spacing w:line="233" w:lineRule="exact" w:before="0" w:after="0"/>
              <w:ind w:left="790" w:right="0" w:hanging="524"/>
              <w:jc w:val="left"/>
              <w:rPr>
                <w:sz w:val="21"/>
              </w:rPr>
            </w:pPr>
            <w:r>
              <w:rPr>
                <w:spacing w:val="-2"/>
                <w:sz w:val="21"/>
              </w:rPr>
              <w:t>重大疾病</w:t>
            </w:r>
          </w:p>
          <w:p>
            <w:pPr>
              <w:pStyle w:val="TableParagraph"/>
              <w:numPr>
                <w:ilvl w:val="1"/>
                <w:numId w:val="6"/>
              </w:numPr>
              <w:tabs>
                <w:tab w:pos="690" w:val="left" w:leader="none"/>
              </w:tabs>
              <w:spacing w:line="260" w:lineRule="exact" w:before="0" w:after="0"/>
              <w:ind w:left="790" w:right="0" w:hanging="524"/>
              <w:jc w:val="left"/>
              <w:rPr>
                <w:sz w:val="21"/>
              </w:rPr>
            </w:pPr>
            <w:r>
              <w:rPr>
                <w:spacing w:val="-2"/>
                <w:sz w:val="21"/>
              </w:rPr>
              <w:t>意外伤害</w:t>
            </w:r>
          </w:p>
          <w:p>
            <w:pPr>
              <w:pStyle w:val="TableParagraph"/>
              <w:numPr>
                <w:ilvl w:val="1"/>
                <w:numId w:val="6"/>
              </w:numPr>
              <w:tabs>
                <w:tab w:pos="690" w:val="left" w:leader="none"/>
              </w:tabs>
              <w:spacing w:line="259" w:lineRule="exact" w:before="0" w:after="0"/>
              <w:ind w:left="790" w:right="0" w:hanging="524"/>
              <w:jc w:val="left"/>
              <w:rPr>
                <w:sz w:val="21"/>
              </w:rPr>
            </w:pPr>
            <w:r>
              <w:rPr>
                <w:sz w:val="21"/>
              </w:rPr>
              <w:t>毒品</w:t>
            </w:r>
          </w:p>
          <w:p>
            <w:pPr>
              <w:pStyle w:val="TableParagraph"/>
              <w:numPr>
                <w:ilvl w:val="1"/>
                <w:numId w:val="6"/>
              </w:numPr>
              <w:tabs>
                <w:tab w:pos="690" w:val="left" w:leader="none"/>
              </w:tabs>
              <w:spacing w:line="262" w:lineRule="exact" w:before="0" w:after="0"/>
              <w:ind w:left="790" w:right="0" w:hanging="524"/>
              <w:jc w:val="left"/>
              <w:rPr>
                <w:sz w:val="21"/>
              </w:rPr>
            </w:pPr>
            <w:r>
              <w:rPr>
                <w:spacing w:val="-2"/>
                <w:sz w:val="21"/>
              </w:rPr>
              <w:t>酒后驾驶</w:t>
            </w:r>
          </w:p>
          <w:p>
            <w:pPr>
              <w:pStyle w:val="TableParagraph"/>
              <w:numPr>
                <w:ilvl w:val="1"/>
                <w:numId w:val="6"/>
              </w:numPr>
              <w:tabs>
                <w:tab w:pos="690" w:val="left" w:leader="none"/>
              </w:tabs>
              <w:spacing w:line="262" w:lineRule="exact" w:before="0" w:after="0"/>
              <w:ind w:left="790" w:right="0" w:hanging="524"/>
              <w:jc w:val="left"/>
              <w:rPr>
                <w:sz w:val="21"/>
              </w:rPr>
            </w:pPr>
            <w:r>
              <w:rPr>
                <w:spacing w:val="-3"/>
                <w:sz w:val="21"/>
              </w:rPr>
              <w:t>无合法有效驾驶证驾驶</w:t>
            </w:r>
          </w:p>
          <w:p>
            <w:pPr>
              <w:pStyle w:val="TableParagraph"/>
              <w:numPr>
                <w:ilvl w:val="1"/>
                <w:numId w:val="6"/>
              </w:numPr>
              <w:tabs>
                <w:tab w:pos="690" w:val="left" w:leader="none"/>
              </w:tabs>
              <w:spacing w:line="267" w:lineRule="exact" w:before="0" w:after="0"/>
              <w:ind w:left="790" w:right="0" w:hanging="524"/>
              <w:jc w:val="left"/>
              <w:rPr>
                <w:sz w:val="21"/>
              </w:rPr>
            </w:pPr>
            <w:r>
              <w:rPr>
                <w:spacing w:val="-2"/>
                <w:sz w:val="21"/>
              </w:rPr>
              <w:t>无有效行驶证</w:t>
            </w:r>
          </w:p>
          <w:p>
            <w:pPr>
              <w:pStyle w:val="TableParagraph"/>
              <w:numPr>
                <w:ilvl w:val="1"/>
                <w:numId w:val="6"/>
              </w:numPr>
              <w:tabs>
                <w:tab w:pos="690" w:val="left" w:leader="none"/>
              </w:tabs>
              <w:spacing w:line="240" w:lineRule="auto" w:before="8" w:after="0"/>
              <w:ind w:left="790" w:right="0" w:hanging="524"/>
              <w:jc w:val="left"/>
              <w:rPr>
                <w:sz w:val="21"/>
              </w:rPr>
            </w:pPr>
            <w:r>
              <w:rPr>
                <w:sz w:val="21"/>
              </w:rPr>
              <w:t>机动车</w:t>
            </w:r>
          </w:p>
          <w:p>
            <w:pPr>
              <w:pStyle w:val="TableParagraph"/>
              <w:numPr>
                <w:ilvl w:val="1"/>
                <w:numId w:val="6"/>
              </w:numPr>
              <w:tabs>
                <w:tab w:pos="815" w:val="left" w:leader="none"/>
              </w:tabs>
              <w:spacing w:line="273" w:lineRule="auto" w:before="37" w:after="0"/>
              <w:ind w:left="790" w:right="200" w:hanging="524"/>
              <w:jc w:val="left"/>
              <w:rPr>
                <w:sz w:val="21"/>
              </w:rPr>
            </w:pPr>
            <w:r>
              <w:rPr>
                <w:spacing w:val="-3"/>
                <w:sz w:val="21"/>
              </w:rPr>
              <w:t>患艾滋病或感染艾滋病病毒</w:t>
            </w:r>
          </w:p>
          <w:p>
            <w:pPr>
              <w:pStyle w:val="TableParagraph"/>
              <w:numPr>
                <w:ilvl w:val="1"/>
                <w:numId w:val="6"/>
              </w:numPr>
              <w:tabs>
                <w:tab w:pos="795" w:val="left" w:leader="none"/>
              </w:tabs>
              <w:spacing w:line="240" w:lineRule="auto" w:before="7" w:after="0"/>
              <w:ind w:left="794" w:right="0" w:hanging="528"/>
              <w:jc w:val="left"/>
              <w:rPr>
                <w:sz w:val="21"/>
              </w:rPr>
            </w:pPr>
            <w:r>
              <w:rPr>
                <w:spacing w:val="-2"/>
                <w:sz w:val="21"/>
              </w:rPr>
              <w:t>遗传性疾病</w:t>
            </w:r>
          </w:p>
          <w:p>
            <w:pPr>
              <w:pStyle w:val="TableParagraph"/>
              <w:numPr>
                <w:ilvl w:val="1"/>
                <w:numId w:val="6"/>
              </w:numPr>
              <w:tabs>
                <w:tab w:pos="815" w:val="left" w:leader="none"/>
              </w:tabs>
              <w:spacing w:line="273" w:lineRule="auto" w:before="36" w:after="0"/>
              <w:ind w:left="790" w:right="200" w:hanging="524"/>
              <w:jc w:val="left"/>
              <w:rPr>
                <w:sz w:val="21"/>
              </w:rPr>
            </w:pPr>
            <w:r>
              <w:rPr>
                <w:spacing w:val="-3"/>
                <w:sz w:val="21"/>
              </w:rPr>
              <w:t>先天性畸形、变形或染色体异常</w:t>
            </w:r>
          </w:p>
          <w:p>
            <w:pPr>
              <w:pStyle w:val="TableParagraph"/>
              <w:numPr>
                <w:ilvl w:val="1"/>
                <w:numId w:val="6"/>
              </w:numPr>
              <w:tabs>
                <w:tab w:pos="795" w:val="left" w:leader="none"/>
              </w:tabs>
              <w:spacing w:line="240" w:lineRule="auto" w:before="7" w:after="0"/>
              <w:ind w:left="794" w:right="0" w:hanging="528"/>
              <w:jc w:val="left"/>
              <w:rPr>
                <w:sz w:val="21"/>
              </w:rPr>
            </w:pPr>
            <w:r>
              <w:rPr>
                <w:sz w:val="21"/>
              </w:rPr>
              <w:t>既往症</w:t>
            </w:r>
          </w:p>
          <w:p>
            <w:pPr>
              <w:pStyle w:val="TableParagraph"/>
              <w:numPr>
                <w:ilvl w:val="1"/>
                <w:numId w:val="6"/>
              </w:numPr>
              <w:tabs>
                <w:tab w:pos="795" w:val="left" w:leader="none"/>
              </w:tabs>
              <w:spacing w:line="240" w:lineRule="auto" w:before="36" w:after="0"/>
              <w:ind w:left="794" w:right="0" w:hanging="528"/>
              <w:jc w:val="left"/>
              <w:rPr>
                <w:sz w:val="21"/>
              </w:rPr>
            </w:pPr>
            <w:r>
              <w:rPr>
                <w:spacing w:val="-2"/>
                <w:sz w:val="21"/>
              </w:rPr>
              <w:t>现金价值</w:t>
            </w:r>
          </w:p>
          <w:p>
            <w:pPr>
              <w:pStyle w:val="TableParagraph"/>
              <w:numPr>
                <w:ilvl w:val="1"/>
                <w:numId w:val="6"/>
              </w:numPr>
              <w:tabs>
                <w:tab w:pos="795" w:val="left" w:leader="none"/>
              </w:tabs>
              <w:spacing w:line="240" w:lineRule="auto" w:before="36" w:after="0"/>
              <w:ind w:left="794" w:right="0" w:hanging="528"/>
              <w:jc w:val="left"/>
              <w:rPr>
                <w:sz w:val="21"/>
              </w:rPr>
            </w:pPr>
            <w:r>
              <w:rPr>
                <w:spacing w:val="-2"/>
                <w:sz w:val="21"/>
              </w:rPr>
              <w:t>有效身份证件</w:t>
            </w:r>
          </w:p>
          <w:p>
            <w:pPr>
              <w:pStyle w:val="TableParagraph"/>
              <w:numPr>
                <w:ilvl w:val="1"/>
                <w:numId w:val="6"/>
              </w:numPr>
              <w:tabs>
                <w:tab w:pos="795" w:val="left" w:leader="none"/>
              </w:tabs>
              <w:spacing w:line="240" w:lineRule="auto" w:before="36" w:after="0"/>
              <w:ind w:left="794" w:right="0" w:hanging="528"/>
              <w:jc w:val="left"/>
              <w:rPr>
                <w:sz w:val="21"/>
              </w:rPr>
            </w:pPr>
            <w:r>
              <w:rPr>
                <w:sz w:val="21"/>
              </w:rPr>
              <w:t>周岁</w:t>
            </w:r>
          </w:p>
        </w:tc>
      </w:tr>
    </w:tbl>
    <w:p>
      <w:pPr>
        <w:spacing w:before="72"/>
        <w:ind w:left="0" w:right="1235" w:firstLine="0"/>
        <w:jc w:val="right"/>
        <w:rPr>
          <w:rFonts w:ascii="微软雅黑" w:eastAsia="微软雅黑" w:hint="eastAsia"/>
          <w:b/>
          <w:sz w:val="21"/>
        </w:rPr>
      </w:pPr>
      <w:r>
        <w:rPr>
          <w:rFonts w:ascii="微软雅黑" w:eastAsia="微软雅黑" w:hint="eastAsia"/>
          <w:b/>
          <w:sz w:val="21"/>
        </w:rPr>
        <w:t>[本页内容结束]</w:t>
      </w:r>
    </w:p>
    <w:p>
      <w:pPr>
        <w:spacing w:after="0"/>
        <w:jc w:val="right"/>
        <w:rPr>
          <w:rFonts w:ascii="微软雅黑" w:eastAsia="微软雅黑" w:hint="eastAsia"/>
          <w:sz w:val="21"/>
        </w:rPr>
        <w:sectPr>
          <w:type w:val="continuous"/>
          <w:pgSz w:w="11910" w:h="16840"/>
          <w:pgMar w:top="1120" w:bottom="280" w:left="980" w:right="520"/>
        </w:sectPr>
      </w:pPr>
    </w:p>
    <w:p>
      <w:pPr>
        <w:spacing w:line="493" w:lineRule="exact" w:before="0"/>
        <w:ind w:left="3228" w:right="0" w:firstLine="0"/>
        <w:jc w:val="left"/>
        <w:rPr>
          <w:rFonts w:ascii="微软雅黑" w:eastAsia="微软雅黑" w:hint="eastAsia"/>
          <w:b/>
          <w:sz w:val="32"/>
        </w:rPr>
      </w:pPr>
      <w:r>
        <w:rPr>
          <w:rFonts w:ascii="微软雅黑" w:eastAsia="微软雅黑" w:hint="eastAsia"/>
          <w:b/>
          <w:sz w:val="32"/>
        </w:rPr>
        <w:t>和泰安康重大疾病保险条款</w:t>
      </w:r>
    </w:p>
    <w:p>
      <w:pPr>
        <w:pStyle w:val="BodyText"/>
        <w:spacing w:line="273" w:lineRule="auto" w:before="103"/>
        <w:ind w:left="294" w:right="345" w:hanging="5"/>
      </w:pPr>
      <w:r>
        <w:rPr>
          <w:spacing w:val="-5"/>
        </w:rPr>
        <w:t>在本条款中，“您”指投保人，“我们”、“本公司”均指和泰人寿保险股份有限公司。“本主险合同” 指您与我们之间订立的“和泰安康重大疾病保险合同”。</w:t>
      </w:r>
    </w:p>
    <w:p>
      <w:pPr>
        <w:pStyle w:val="BodyText"/>
        <w:spacing w:before="1"/>
        <w:rPr>
          <w:sz w:val="18"/>
        </w:rPr>
      </w:pPr>
    </w:p>
    <w:p>
      <w:pPr>
        <w:tabs>
          <w:tab w:pos="899" w:val="left" w:leader="none"/>
        </w:tabs>
        <w:spacing w:before="1"/>
        <w:ind w:left="218" w:right="0" w:firstLine="0"/>
        <w:jc w:val="left"/>
        <w:rPr>
          <w:rFonts w:ascii="微软雅黑" w:hAnsi="微软雅黑" w:eastAsia="微软雅黑" w:hint="eastAsia"/>
          <w:b/>
          <w:sz w:val="24"/>
        </w:rPr>
      </w:pPr>
      <w:r>
        <w:rPr/>
        <w:pict>
          <v:group style="position:absolute;margin-left:45.624001pt;margin-top:28.674713pt;width:504.45pt;height:.5pt;mso-position-horizontal-relative:page;mso-position-vertical-relative:paragraph;z-index:1072;mso-wrap-distance-left:0;mso-wrap-distance-right:0" coordorigin="912,573" coordsize="10089,10">
            <v:line style="position:absolute" from="912,578" to="1589,578" stroked="true" strokeweight=".48pt" strokecolor="#000000">
              <v:stroke dashstyle="solid"/>
            </v:line>
            <v:rect style="position:absolute;left:1589;top:573;width:10;height:10" filled="true" fillcolor="#000000" stroked="false">
              <v:fill type="solid"/>
            </v:rect>
            <v:line style="position:absolute" from="1599,578" to="3294,578" stroked="true" strokeweight=".48pt" strokecolor="#000000">
              <v:stroke dashstyle="solid"/>
            </v:line>
            <v:rect style="position:absolute;left:3294;top:573;width:10;height:10" filled="true" fillcolor="#000000" stroked="false">
              <v:fill type="solid"/>
            </v:rect>
            <v:line style="position:absolute" from="3304,578" to="11001,578" stroked="true" strokeweight=".48pt" strokecolor="#000000">
              <v:stroke dashstyle="solid"/>
            </v:line>
            <w10:wrap type="topAndBottom"/>
          </v:group>
        </w:pict>
      </w:r>
      <w:r>
        <w:rPr>
          <w:rFonts w:ascii="Wingdings" w:hAnsi="Wingdings" w:eastAsia="Wingdings"/>
          <w:b/>
          <w:position w:val="-4"/>
          <w:sz w:val="40"/>
        </w:rPr>
        <w:t></w:t>
      </w:r>
      <w:r>
        <w:rPr>
          <w:rFonts w:ascii="Times New Roman" w:hAnsi="Times New Roman" w:eastAsia="Times New Roman"/>
          <w:position w:val="-4"/>
          <w:sz w:val="40"/>
        </w:rPr>
        <w:tab/>
      </w:r>
      <w:r>
        <w:rPr>
          <w:rFonts w:ascii="微软雅黑" w:hAnsi="微软雅黑" w:eastAsia="微软雅黑" w:hint="eastAsia"/>
          <w:b/>
          <w:sz w:val="24"/>
        </w:rPr>
        <w:t>您的保障权益</w:t>
      </w:r>
    </w:p>
    <w:p>
      <w:pPr>
        <w:pStyle w:val="BodyText"/>
        <w:spacing w:before="9"/>
        <w:rPr>
          <w:rFonts w:ascii="微软雅黑"/>
          <w:b/>
          <w:sz w:val="4"/>
        </w:rPr>
      </w:pPr>
    </w:p>
    <w:p>
      <w:pPr>
        <w:pStyle w:val="ListParagraph"/>
        <w:numPr>
          <w:ilvl w:val="1"/>
          <w:numId w:val="7"/>
        </w:numPr>
        <w:tabs>
          <w:tab w:pos="899" w:val="left" w:leader="none"/>
          <w:tab w:pos="900" w:val="left" w:leader="none"/>
          <w:tab w:pos="2599" w:val="left" w:leader="none"/>
        </w:tabs>
        <w:spacing w:line="312" w:lineRule="exact" w:before="32" w:after="0"/>
        <w:ind w:left="2599" w:right="209" w:hanging="2381"/>
        <w:jc w:val="left"/>
        <w:rPr>
          <w:sz w:val="21"/>
        </w:rPr>
      </w:pPr>
      <w:r>
        <w:rPr>
          <w:rFonts w:ascii="微软雅黑" w:eastAsia="微软雅黑" w:hint="eastAsia"/>
          <w:b/>
          <w:sz w:val="21"/>
        </w:rPr>
        <w:t>保险金额</w:t>
        <w:tab/>
      </w:r>
      <w:r>
        <w:rPr>
          <w:spacing w:val="2"/>
          <w:sz w:val="21"/>
        </w:rPr>
        <w:t>本主</w:t>
      </w:r>
      <w:r>
        <w:rPr>
          <w:sz w:val="21"/>
        </w:rPr>
        <w:t>险</w:t>
      </w:r>
      <w:r>
        <w:rPr>
          <w:spacing w:val="2"/>
          <w:sz w:val="21"/>
        </w:rPr>
        <w:t>合同</w:t>
      </w:r>
      <w:r>
        <w:rPr>
          <w:sz w:val="21"/>
        </w:rPr>
        <w:t>的</w:t>
      </w:r>
      <w:r>
        <w:rPr>
          <w:spacing w:val="2"/>
          <w:sz w:val="21"/>
        </w:rPr>
        <w:t>各</w:t>
      </w:r>
      <w:r>
        <w:rPr>
          <w:sz w:val="21"/>
        </w:rPr>
        <w:t>项</w:t>
      </w:r>
      <w:r>
        <w:rPr>
          <w:spacing w:val="2"/>
          <w:sz w:val="21"/>
        </w:rPr>
        <w:t>保</w:t>
      </w:r>
      <w:r>
        <w:rPr>
          <w:sz w:val="21"/>
        </w:rPr>
        <w:t>险</w:t>
      </w:r>
      <w:r>
        <w:rPr>
          <w:spacing w:val="2"/>
          <w:sz w:val="21"/>
        </w:rPr>
        <w:t>责任</w:t>
      </w:r>
      <w:r>
        <w:rPr>
          <w:sz w:val="21"/>
        </w:rPr>
        <w:t>的</w:t>
      </w:r>
      <w:r>
        <w:rPr>
          <w:spacing w:val="2"/>
          <w:sz w:val="21"/>
        </w:rPr>
        <w:t>保</w:t>
      </w:r>
      <w:r>
        <w:rPr>
          <w:sz w:val="21"/>
        </w:rPr>
        <w:t>险</w:t>
      </w:r>
      <w:r>
        <w:rPr>
          <w:spacing w:val="2"/>
          <w:sz w:val="21"/>
        </w:rPr>
        <w:t>金</w:t>
      </w:r>
      <w:r>
        <w:rPr>
          <w:spacing w:val="5"/>
          <w:sz w:val="21"/>
        </w:rPr>
        <w:t>额</w:t>
      </w:r>
      <w:r>
        <w:rPr>
          <w:sz w:val="21"/>
        </w:rPr>
        <w:t>由</w:t>
      </w:r>
      <w:r>
        <w:rPr>
          <w:spacing w:val="2"/>
          <w:sz w:val="21"/>
        </w:rPr>
        <w:t>您</w:t>
      </w:r>
      <w:r>
        <w:rPr>
          <w:sz w:val="21"/>
        </w:rPr>
        <w:t>在</w:t>
      </w:r>
      <w:r>
        <w:rPr>
          <w:spacing w:val="2"/>
          <w:sz w:val="21"/>
        </w:rPr>
        <w:t>投</w:t>
      </w:r>
      <w:r>
        <w:rPr>
          <w:sz w:val="21"/>
        </w:rPr>
        <w:t>保</w:t>
      </w:r>
      <w:r>
        <w:rPr>
          <w:spacing w:val="2"/>
          <w:sz w:val="21"/>
        </w:rPr>
        <w:t>时与</w:t>
      </w:r>
      <w:r>
        <w:rPr>
          <w:sz w:val="21"/>
        </w:rPr>
        <w:t>我</w:t>
      </w:r>
      <w:r>
        <w:rPr>
          <w:spacing w:val="2"/>
          <w:sz w:val="21"/>
        </w:rPr>
        <w:t>们约</w:t>
      </w:r>
      <w:r>
        <w:rPr>
          <w:sz w:val="21"/>
        </w:rPr>
        <w:t>定</w:t>
      </w:r>
      <w:r>
        <w:rPr>
          <w:spacing w:val="2"/>
          <w:sz w:val="21"/>
        </w:rPr>
        <w:t>并</w:t>
      </w:r>
      <w:r>
        <w:rPr>
          <w:sz w:val="21"/>
        </w:rPr>
        <w:t>在</w:t>
      </w:r>
      <w:r>
        <w:rPr>
          <w:spacing w:val="2"/>
          <w:sz w:val="21"/>
        </w:rPr>
        <w:t>保</w:t>
      </w:r>
      <w:r>
        <w:rPr>
          <w:sz w:val="21"/>
        </w:rPr>
        <w:t>险</w:t>
      </w:r>
      <w:r>
        <w:rPr>
          <w:spacing w:val="2"/>
          <w:sz w:val="21"/>
        </w:rPr>
        <w:t>单上</w:t>
      </w:r>
      <w:r>
        <w:rPr>
          <w:sz w:val="21"/>
        </w:rPr>
        <w:t>载 明。</w:t>
      </w:r>
    </w:p>
    <w:p>
      <w:pPr>
        <w:pStyle w:val="ListParagraph"/>
        <w:numPr>
          <w:ilvl w:val="1"/>
          <w:numId w:val="7"/>
        </w:numPr>
        <w:tabs>
          <w:tab w:pos="899" w:val="left" w:leader="none"/>
          <w:tab w:pos="900" w:val="left" w:leader="none"/>
          <w:tab w:pos="2599" w:val="left" w:leader="none"/>
        </w:tabs>
        <w:spacing w:line="247" w:lineRule="auto" w:before="110" w:after="0"/>
        <w:ind w:left="2599" w:right="137" w:hanging="2381"/>
        <w:jc w:val="left"/>
        <w:rPr>
          <w:sz w:val="21"/>
        </w:rPr>
      </w:pPr>
      <w:r>
        <w:rPr>
          <w:rFonts w:ascii="微软雅黑" w:eastAsia="微软雅黑" w:hint="eastAsia"/>
          <w:b/>
          <w:sz w:val="21"/>
        </w:rPr>
        <w:t>保险期间</w:t>
        <w:tab/>
      </w:r>
      <w:r>
        <w:rPr>
          <w:sz w:val="21"/>
        </w:rPr>
        <w:t>本主险合</w:t>
      </w:r>
      <w:r>
        <w:rPr>
          <w:spacing w:val="-5"/>
          <w:sz w:val="21"/>
        </w:rPr>
        <w:t>同</w:t>
      </w:r>
      <w:r>
        <w:rPr>
          <w:sz w:val="21"/>
        </w:rPr>
        <w:t>的保险</w:t>
      </w:r>
      <w:r>
        <w:rPr>
          <w:spacing w:val="-5"/>
          <w:sz w:val="21"/>
        </w:rPr>
        <w:t>期</w:t>
      </w:r>
      <w:r>
        <w:rPr>
          <w:sz w:val="21"/>
        </w:rPr>
        <w:t>间由您</w:t>
      </w:r>
      <w:r>
        <w:rPr>
          <w:spacing w:val="-5"/>
          <w:sz w:val="21"/>
        </w:rPr>
        <w:t>在</w:t>
      </w:r>
      <w:r>
        <w:rPr>
          <w:sz w:val="21"/>
        </w:rPr>
        <w:t>投保时</w:t>
      </w:r>
      <w:r>
        <w:rPr>
          <w:spacing w:val="-5"/>
          <w:sz w:val="21"/>
        </w:rPr>
        <w:t>与</w:t>
      </w:r>
      <w:r>
        <w:rPr>
          <w:sz w:val="21"/>
        </w:rPr>
        <w:t>我们约</w:t>
      </w:r>
      <w:r>
        <w:rPr>
          <w:spacing w:val="-5"/>
          <w:sz w:val="21"/>
        </w:rPr>
        <w:t>定</w:t>
      </w:r>
      <w:r>
        <w:rPr>
          <w:sz w:val="21"/>
        </w:rPr>
        <w:t>，</w:t>
      </w:r>
      <w:r>
        <w:rPr>
          <w:spacing w:val="-5"/>
          <w:sz w:val="21"/>
        </w:rPr>
        <w:t>并</w:t>
      </w:r>
      <w:r>
        <w:rPr>
          <w:sz w:val="21"/>
        </w:rPr>
        <w:t>在我们签</w:t>
      </w:r>
      <w:r>
        <w:rPr>
          <w:spacing w:val="-5"/>
          <w:sz w:val="21"/>
        </w:rPr>
        <w:t>发</w:t>
      </w:r>
      <w:r>
        <w:rPr>
          <w:sz w:val="21"/>
        </w:rPr>
        <w:t>的保险</w:t>
      </w:r>
      <w:r>
        <w:rPr>
          <w:spacing w:val="-5"/>
          <w:sz w:val="21"/>
        </w:rPr>
        <w:t>单</w:t>
      </w:r>
      <w:r>
        <w:rPr>
          <w:sz w:val="21"/>
        </w:rPr>
        <w:t>上载明， 最长不超过</w:t>
      </w:r>
      <w:r>
        <w:rPr>
          <w:spacing w:val="-53"/>
          <w:sz w:val="21"/>
        </w:rPr>
        <w:t> </w:t>
      </w:r>
      <w:r>
        <w:rPr>
          <w:sz w:val="21"/>
        </w:rPr>
        <w:t>1</w:t>
      </w:r>
      <w:r>
        <w:rPr>
          <w:spacing w:val="-49"/>
          <w:sz w:val="21"/>
        </w:rPr>
        <w:t> </w:t>
      </w:r>
      <w:r>
        <w:rPr>
          <w:sz w:val="21"/>
        </w:rPr>
        <w:t>年。</w:t>
      </w:r>
    </w:p>
    <w:p>
      <w:pPr>
        <w:pStyle w:val="ListParagraph"/>
        <w:numPr>
          <w:ilvl w:val="1"/>
          <w:numId w:val="7"/>
        </w:numPr>
        <w:tabs>
          <w:tab w:pos="899" w:val="left" w:leader="none"/>
          <w:tab w:pos="900" w:val="left" w:leader="none"/>
          <w:tab w:pos="2599" w:val="left" w:leader="none"/>
        </w:tabs>
        <w:spacing w:line="240" w:lineRule="auto" w:before="141" w:after="0"/>
        <w:ind w:left="2599" w:right="0" w:hanging="2381"/>
        <w:jc w:val="left"/>
        <w:rPr>
          <w:sz w:val="21"/>
        </w:rPr>
      </w:pPr>
      <w:r>
        <w:rPr>
          <w:rFonts w:ascii="微软雅黑" w:eastAsia="微软雅黑" w:hint="eastAsia"/>
          <w:b/>
          <w:sz w:val="21"/>
        </w:rPr>
        <w:t>续保</w:t>
        <w:tab/>
      </w:r>
      <w:r>
        <w:rPr>
          <w:sz w:val="21"/>
        </w:rPr>
        <w:t>您可在投</w:t>
      </w:r>
      <w:r>
        <w:rPr>
          <w:spacing w:val="-5"/>
          <w:sz w:val="21"/>
        </w:rPr>
        <w:t>保</w:t>
      </w:r>
      <w:r>
        <w:rPr>
          <w:sz w:val="21"/>
        </w:rPr>
        <w:t>时选择</w:t>
      </w:r>
      <w:r>
        <w:rPr>
          <w:spacing w:val="-5"/>
          <w:sz w:val="21"/>
        </w:rPr>
        <w:t>是</w:t>
      </w:r>
      <w:r>
        <w:rPr>
          <w:sz w:val="21"/>
        </w:rPr>
        <w:t>否在本</w:t>
      </w:r>
      <w:r>
        <w:rPr>
          <w:spacing w:val="-5"/>
          <w:sz w:val="21"/>
        </w:rPr>
        <w:t>主</w:t>
      </w:r>
      <w:r>
        <w:rPr>
          <w:sz w:val="21"/>
        </w:rPr>
        <w:t>险合同</w:t>
      </w:r>
      <w:r>
        <w:rPr>
          <w:spacing w:val="-5"/>
          <w:sz w:val="21"/>
        </w:rPr>
        <w:t>保</w:t>
      </w:r>
      <w:r>
        <w:rPr>
          <w:sz w:val="21"/>
        </w:rPr>
        <w:t>险期间</w:t>
      </w:r>
      <w:r>
        <w:rPr>
          <w:spacing w:val="-5"/>
          <w:sz w:val="21"/>
        </w:rPr>
        <w:t>届</w:t>
      </w:r>
      <w:r>
        <w:rPr>
          <w:sz w:val="21"/>
        </w:rPr>
        <w:t>满</w:t>
      </w:r>
      <w:r>
        <w:rPr>
          <w:spacing w:val="-5"/>
          <w:sz w:val="21"/>
        </w:rPr>
        <w:t>时</w:t>
      </w:r>
      <w:r>
        <w:rPr>
          <w:sz w:val="21"/>
        </w:rPr>
        <w:t>自动续保</w:t>
      </w:r>
      <w:r>
        <w:rPr>
          <w:spacing w:val="-5"/>
          <w:sz w:val="21"/>
        </w:rPr>
        <w:t>本</w:t>
      </w:r>
      <w:r>
        <w:rPr>
          <w:sz w:val="21"/>
        </w:rPr>
        <w:t>主险合</w:t>
      </w:r>
      <w:r>
        <w:rPr>
          <w:spacing w:val="-5"/>
          <w:sz w:val="21"/>
        </w:rPr>
        <w:t>同</w:t>
      </w:r>
      <w:r>
        <w:rPr>
          <w:sz w:val="21"/>
        </w:rPr>
        <w:t>。</w:t>
      </w:r>
    </w:p>
    <w:p>
      <w:pPr>
        <w:pStyle w:val="BodyText"/>
        <w:spacing w:line="273" w:lineRule="auto" w:before="12"/>
        <w:ind w:left="2599" w:right="137"/>
      </w:pPr>
      <w:r>
        <w:rPr>
          <w:spacing w:val="-5"/>
        </w:rPr>
        <w:t>若您在投保时选择自动续保，且我们同意您按本主险合同约定的承保条件续保的， </w:t>
      </w:r>
      <w:r>
        <w:rPr>
          <w:spacing w:val="-8"/>
        </w:rPr>
        <w:t>我们将根据被保险人续保时的年龄及费率标准收取续保保险费，并为您办理自动续</w:t>
      </w:r>
      <w:r>
        <w:rPr>
          <w:spacing w:val="-12"/>
        </w:rPr>
        <w:t>保手续，本主险合同自保险期间届满日的次日零时起生效，有效期为 </w:t>
      </w:r>
      <w:r>
        <w:rPr/>
        <w:t>1</w:t>
      </w:r>
      <w:r>
        <w:rPr>
          <w:spacing w:val="-7"/>
        </w:rPr>
        <w:t> 年。每次续</w:t>
      </w:r>
      <w:r>
        <w:rPr>
          <w:spacing w:val="-10"/>
        </w:rPr>
        <w:t>保，均按照前述规则类推；我们同意您按本主险合同约定的承保条件续保的，则本</w:t>
      </w:r>
      <w:r>
        <w:rPr>
          <w:spacing w:val="-8"/>
        </w:rPr>
        <w:t>主险合同保险期间届满之日起 </w:t>
      </w:r>
      <w:r>
        <w:rPr/>
        <w:t>30</w:t>
      </w:r>
      <w:r>
        <w:rPr>
          <w:spacing w:val="-5"/>
        </w:rPr>
        <w:t> 日内发生事故的，我们仍会承担责任，但在给付</w:t>
      </w:r>
    </w:p>
    <w:p>
      <w:pPr>
        <w:pStyle w:val="BodyText"/>
        <w:spacing w:before="8"/>
        <w:ind w:left="2599"/>
      </w:pPr>
      <w:r>
        <w:rPr/>
        <w:t>保险金时会扣减您欠交的保险费。若您自本主险合同保险期间届满之日起 30 日内</w:t>
      </w:r>
    </w:p>
    <w:p>
      <w:pPr>
        <w:pStyle w:val="BodyText"/>
        <w:spacing w:line="273" w:lineRule="auto" w:before="37"/>
        <w:ind w:left="2599" w:right="149"/>
      </w:pPr>
      <w:r>
        <w:rPr/>
        <w:t>仍未支付保险费，则本主险合同自保险期间届满之日起第 30 日的 24 时起效力终止。</w:t>
      </w:r>
    </w:p>
    <w:p>
      <w:pPr>
        <w:pStyle w:val="BodyText"/>
        <w:spacing w:line="273" w:lineRule="auto" w:before="7"/>
        <w:ind w:left="2599" w:right="209"/>
      </w:pPr>
      <w:r>
        <w:rPr>
          <w:spacing w:val="-8"/>
        </w:rPr>
        <w:t>若您宽限期结束之后仍未支付保险费，则本主险合同自宽限期满的次日零时起效力终止。</w:t>
      </w:r>
    </w:p>
    <w:p>
      <w:pPr>
        <w:pStyle w:val="BodyText"/>
        <w:spacing w:line="273" w:lineRule="auto" w:before="7"/>
        <w:ind w:left="2599" w:right="209"/>
      </w:pPr>
      <w:r>
        <w:rPr>
          <w:spacing w:val="-7"/>
        </w:rPr>
        <w:t>若我们做出不同意续保本主险合同的决定，我们将以书面形式通知您，本主险合同</w:t>
      </w:r>
      <w:r>
        <w:rPr>
          <w:spacing w:val="-6"/>
        </w:rPr>
        <w:t>自保险期间届满日的次日零时起终止。</w:t>
      </w:r>
    </w:p>
    <w:p>
      <w:pPr>
        <w:pStyle w:val="BodyText"/>
        <w:spacing w:line="273" w:lineRule="auto" w:before="7"/>
        <w:ind w:left="2599" w:right="212"/>
      </w:pPr>
      <w:r>
        <w:rPr/>
        <w:t>若您在本主险合同保险期间届满前书面申请终止自动续保或在投保时未选择自动续保的，本主险合同自保险期间届满日的次日零时起终止。</w:t>
      </w:r>
    </w:p>
    <w:p>
      <w:pPr>
        <w:pStyle w:val="ListParagraph"/>
        <w:numPr>
          <w:ilvl w:val="1"/>
          <w:numId w:val="7"/>
        </w:numPr>
        <w:tabs>
          <w:tab w:pos="899" w:val="left" w:leader="none"/>
          <w:tab w:pos="900" w:val="left" w:leader="none"/>
          <w:tab w:pos="2599" w:val="left" w:leader="none"/>
        </w:tabs>
        <w:spacing w:line="240" w:lineRule="auto" w:before="113" w:after="0"/>
        <w:ind w:left="2599" w:right="0" w:hanging="2381"/>
        <w:jc w:val="left"/>
        <w:rPr>
          <w:sz w:val="21"/>
        </w:rPr>
      </w:pPr>
      <w:r>
        <w:rPr>
          <w:rFonts w:ascii="微软雅黑" w:eastAsia="微软雅黑" w:hint="eastAsia"/>
          <w:b/>
          <w:sz w:val="21"/>
        </w:rPr>
        <w:t>保险责任</w:t>
        <w:tab/>
      </w:r>
      <w:r>
        <w:rPr>
          <w:sz w:val="21"/>
        </w:rPr>
        <w:t>在本主险</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如</w:t>
      </w:r>
      <w:r>
        <w:rPr>
          <w:sz w:val="21"/>
        </w:rPr>
        <w:t>下保险</w:t>
      </w:r>
      <w:r>
        <w:rPr>
          <w:spacing w:val="-5"/>
          <w:sz w:val="21"/>
        </w:rPr>
        <w:t>责</w:t>
      </w:r>
      <w:r>
        <w:rPr>
          <w:sz w:val="21"/>
        </w:rPr>
        <w:t>任：</w:t>
      </w:r>
    </w:p>
    <w:p>
      <w:pPr>
        <w:spacing w:before="88"/>
        <w:ind w:left="899" w:right="0" w:firstLine="0"/>
        <w:jc w:val="left"/>
        <w:rPr>
          <w:rFonts w:ascii="Microsoft JhengHei" w:eastAsia="Microsoft JhengHei" w:hint="eastAsia"/>
          <w:b/>
          <w:sz w:val="24"/>
        </w:rPr>
      </w:pPr>
      <w:r>
        <w:rPr/>
        <w:pict>
          <v:group style="position:absolute;margin-left:169.990005pt;margin-top:26.793648pt;width:379.85pt;height:15.85pt;mso-position-horizontal-relative:page;mso-position-vertical-relative:paragraph;z-index:1120;mso-wrap-distance-left:0;mso-wrap-distance-right:0" coordorigin="3400,536" coordsize="7597,317">
            <v:rect style="position:absolute;left:3399;top:535;width:7491;height:317" filled="true" fillcolor="#d9d9d9" stroked="false">
              <v:fill type="solid"/>
            </v:rect>
            <v:shapetype id="_x0000_t202" o:spt="202" coordsize="21600,21600" path="m,l,21600r21600,l21600,xe">
              <v:stroke joinstyle="miter"/>
              <v:path gradientshapeok="t" o:connecttype="rect"/>
            </v:shapetype>
            <v:shape style="position:absolute;left:3399;top:535;width:7597;height:317" type="#_x0000_t202" filled="false" stroked="false">
              <v:textbox inset="0,0,0,0">
                <w:txbxContent>
                  <w:p>
                    <w:pPr>
                      <w:spacing w:line="300" w:lineRule="exact" w:before="0"/>
                      <w:ind w:left="0" w:right="0" w:firstLine="0"/>
                      <w:jc w:val="left"/>
                      <w:rPr>
                        <w:sz w:val="21"/>
                      </w:rPr>
                    </w:pPr>
                    <w:r>
                      <w:rPr>
                        <w:sz w:val="21"/>
                      </w:rPr>
                      <w:t>6.1）的</w:t>
                    </w:r>
                    <w:r>
                      <w:rPr>
                        <w:rFonts w:ascii="微软雅黑" w:eastAsia="微软雅黑" w:hint="eastAsia"/>
                        <w:b/>
                        <w:sz w:val="21"/>
                      </w:rPr>
                      <w:t>专科医生</w:t>
                    </w:r>
                    <w:r>
                      <w:rPr>
                        <w:sz w:val="21"/>
                      </w:rPr>
                      <w:t>（见6.2）确诊首次发生本主险合同约定的</w:t>
                    </w:r>
                    <w:r>
                      <w:rPr>
                        <w:rFonts w:ascii="微软雅黑" w:eastAsia="微软雅黑" w:hint="eastAsia"/>
                        <w:b/>
                        <w:sz w:val="21"/>
                      </w:rPr>
                      <w:t>重大疾病</w:t>
                    </w:r>
                    <w:r>
                      <w:rPr>
                        <w:sz w:val="24"/>
                      </w:rPr>
                      <w:t>（见6.3）</w:t>
                    </w:r>
                    <w:r>
                      <w:rPr>
                        <w:sz w:val="21"/>
                      </w:rPr>
                      <w:t>，</w:t>
                    </w:r>
                  </w:p>
                </w:txbxContent>
              </v:textbox>
              <w10:wrap type="none"/>
            </v:shape>
            <w10:wrap type="topAndBottom"/>
          </v:group>
        </w:pict>
      </w:r>
      <w:r>
        <w:rPr/>
        <w:pict>
          <v:shape style="position:absolute;margin-left:169.990005pt;margin-top:12.153647pt;width:374.55pt;height:13.95pt;mso-position-horizontal-relative:page;mso-position-vertical-relative:paragraph;z-index:1168" type="#_x0000_t202" filled="true" fillcolor="#d9d9d9" stroked="false">
            <v:textbox inset="0,0,0,0">
              <w:txbxContent>
                <w:p>
                  <w:pPr>
                    <w:pStyle w:val="BodyText"/>
                    <w:spacing w:line="271" w:lineRule="exact"/>
                    <w:ind w:right="-15"/>
                  </w:pPr>
                  <w:r>
                    <w:rPr>
                      <w:spacing w:val="-1"/>
                    </w:rPr>
                    <w:t>本主险合同生效日起</w:t>
                  </w:r>
                  <w:r>
                    <w:rPr>
                      <w:spacing w:val="-3"/>
                    </w:rPr>
                    <w:t>90</w:t>
                  </w:r>
                  <w:r>
                    <w:rPr>
                      <w:spacing w:val="-20"/>
                    </w:rPr>
                    <w:t>日</w:t>
                  </w:r>
                  <w:r>
                    <w:rPr/>
                    <w:t>（</w:t>
                  </w:r>
                  <w:r>
                    <w:rPr>
                      <w:spacing w:val="-3"/>
                    </w:rPr>
                    <w:t>含第</w:t>
                  </w:r>
                  <w:r>
                    <w:rPr/>
                    <w:t>90日</w:t>
                  </w:r>
                  <w:r>
                    <w:rPr>
                      <w:spacing w:val="-20"/>
                    </w:rPr>
                    <w:t>）</w:t>
                  </w:r>
                  <w:r>
                    <w:rPr>
                      <w:spacing w:val="-6"/>
                    </w:rPr>
                    <w:t>为等待期。被保险人在等待期内经</w:t>
                  </w:r>
                  <w:r>
                    <w:rPr>
                      <w:rFonts w:ascii="微软雅黑" w:eastAsia="微软雅黑" w:hint="eastAsia"/>
                      <w:b/>
                      <w:spacing w:val="-10"/>
                    </w:rPr>
                    <w:t>医院</w:t>
                  </w:r>
                  <w:r>
                    <w:rPr/>
                    <w:t>（见</w:t>
                  </w:r>
                </w:p>
              </w:txbxContent>
            </v:textbox>
            <v:fill type="solid"/>
            <w10:wrap type="none"/>
          </v:shape>
        </w:pict>
      </w:r>
      <w:r>
        <w:rPr>
          <w:rFonts w:ascii="Microsoft JhengHei" w:eastAsia="Microsoft JhengHei" w:hint="eastAsia"/>
          <w:b/>
          <w:sz w:val="24"/>
        </w:rPr>
        <w:t>等待期</w:t>
      </w:r>
    </w:p>
    <w:p>
      <w:pPr>
        <w:pStyle w:val="BodyText"/>
        <w:spacing w:line="278" w:lineRule="exact"/>
        <w:ind w:left="2599"/>
        <w:rPr>
          <w:rFonts w:ascii="Microsoft JhengHei"/>
          <w:sz w:val="20"/>
        </w:rPr>
      </w:pPr>
      <w:r>
        <w:rPr>
          <w:rFonts w:ascii="Microsoft JhengHei"/>
          <w:position w:val="-5"/>
          <w:sz w:val="20"/>
        </w:rPr>
        <w:pict>
          <v:shape style="width:374.55pt;height:13.95pt;mso-position-horizontal-relative:char;mso-position-vertical-relative:line" type="#_x0000_t202" filled="true" fillcolor="#d9d9d9" stroked="false">
            <w10:anchorlock/>
            <v:textbox inset="0,0,0,0">
              <w:txbxContent>
                <w:p>
                  <w:pPr>
                    <w:pStyle w:val="BodyText"/>
                    <w:spacing w:line="246" w:lineRule="exact"/>
                  </w:pPr>
                  <w:r>
                    <w:rPr/>
                    <w:t>本公司将无息全额退还本主险合同的保险费，本主险合同效力终止。</w:t>
                  </w:r>
                </w:p>
              </w:txbxContent>
            </v:textbox>
            <v:fill type="solid"/>
          </v:shape>
        </w:pict>
      </w:r>
      <w:r>
        <w:rPr>
          <w:rFonts w:ascii="Microsoft JhengHei"/>
          <w:position w:val="-5"/>
          <w:sz w:val="20"/>
        </w:rPr>
      </w:r>
    </w:p>
    <w:p>
      <w:pPr>
        <w:spacing w:after="0" w:line="278" w:lineRule="exact"/>
        <w:rPr>
          <w:rFonts w:ascii="Microsoft JhengHei"/>
          <w:sz w:val="20"/>
        </w:rPr>
        <w:sectPr>
          <w:pgSz w:w="11910" w:h="16840"/>
          <w:pgMar w:top="1440" w:bottom="280" w:left="800" w:right="800"/>
        </w:sectPr>
      </w:pPr>
    </w:p>
    <w:p>
      <w:pPr>
        <w:pStyle w:val="BodyText"/>
        <w:rPr>
          <w:rFonts w:ascii="Microsoft JhengHei"/>
          <w:b/>
          <w:sz w:val="24"/>
        </w:rPr>
      </w:pPr>
    </w:p>
    <w:p>
      <w:pPr>
        <w:pStyle w:val="BodyText"/>
        <w:spacing w:before="16"/>
        <w:rPr>
          <w:rFonts w:ascii="Microsoft JhengHei"/>
          <w:b/>
          <w:sz w:val="18"/>
        </w:rPr>
      </w:pPr>
    </w:p>
    <w:p>
      <w:pPr>
        <w:pStyle w:val="Heading2"/>
        <w:spacing w:line="182" w:lineRule="auto"/>
        <w:ind w:left="899"/>
        <w:rPr>
          <w:rFonts w:ascii="Microsoft JhengHei" w:eastAsia="Microsoft JhengHei" w:hint="eastAsia"/>
        </w:rPr>
      </w:pPr>
      <w:r>
        <w:rPr>
          <w:rFonts w:ascii="Microsoft JhengHei" w:eastAsia="Microsoft JhengHei" w:hint="eastAsia"/>
        </w:rPr>
        <w:t>重大疾病保险金</w:t>
      </w:r>
    </w:p>
    <w:p>
      <w:pPr>
        <w:pStyle w:val="BodyText"/>
        <w:spacing w:line="252" w:lineRule="exact"/>
        <w:ind w:left="219"/>
      </w:pPr>
      <w:r>
        <w:rPr/>
        <w:br w:type="column"/>
      </w:r>
      <w:r>
        <w:rPr/>
        <w:t>本主险合同续保无等待期。</w:t>
      </w:r>
    </w:p>
    <w:p>
      <w:pPr>
        <w:pStyle w:val="BodyText"/>
        <w:spacing w:line="350" w:lineRule="exact"/>
        <w:ind w:left="219"/>
      </w:pPr>
      <w:r>
        <w:rPr/>
        <w:t>被保险人因</w:t>
      </w:r>
      <w:r>
        <w:rPr>
          <w:rFonts w:ascii="微软雅黑" w:eastAsia="微软雅黑" w:hint="eastAsia"/>
          <w:b/>
        </w:rPr>
        <w:t>意外伤害</w:t>
      </w:r>
      <w:r>
        <w:rPr/>
        <w:t>（见6.4）发生下述情形的无等待期。</w:t>
      </w:r>
    </w:p>
    <w:p>
      <w:pPr>
        <w:pStyle w:val="BodyText"/>
        <w:spacing w:line="273" w:lineRule="auto" w:before="170"/>
        <w:ind w:left="219" w:right="206"/>
        <w:jc w:val="both"/>
      </w:pPr>
      <w:r>
        <w:rPr>
          <w:spacing w:val="1"/>
        </w:rPr>
        <w:t>被保险人在等待期后经医院的专科医生确诊首次发生重大疾病的(无论一种或多种</w:t>
      </w:r>
      <w:r>
        <w:rPr>
          <w:spacing w:val="-37"/>
        </w:rPr>
        <w:t>）</w:t>
      </w:r>
      <w:r>
        <w:rPr>
          <w:spacing w:val="-8"/>
        </w:rPr>
        <w:t>，我们按本主险合同保险单或其他保险凭证载明的重大疾病保险金额给付重大</w:t>
      </w:r>
      <w:r>
        <w:rPr>
          <w:spacing w:val="-6"/>
        </w:rPr>
        <w:t>疾病保险金，本主险合同效力终止。</w:t>
      </w:r>
    </w:p>
    <w:p>
      <w:pPr>
        <w:spacing w:after="0" w:line="273" w:lineRule="auto"/>
        <w:jc w:val="both"/>
        <w:sectPr>
          <w:type w:val="continuous"/>
          <w:pgSz w:w="11910" w:h="16840"/>
          <w:pgMar w:top="1120" w:bottom="280" w:left="800" w:right="800"/>
          <w:cols w:num="2" w:equalWidth="0">
            <w:col w:w="2341" w:space="40"/>
            <w:col w:w="7929"/>
          </w:cols>
        </w:sectPr>
      </w:pPr>
    </w:p>
    <w:p>
      <w:pPr>
        <w:pStyle w:val="BodyText"/>
        <w:spacing w:before="8"/>
        <w:rPr>
          <w:sz w:val="10"/>
        </w:rPr>
      </w:pPr>
    </w:p>
    <w:p>
      <w:pPr>
        <w:pStyle w:val="ListParagraph"/>
        <w:numPr>
          <w:ilvl w:val="1"/>
          <w:numId w:val="7"/>
        </w:numPr>
        <w:tabs>
          <w:tab w:pos="899" w:val="left" w:leader="none"/>
          <w:tab w:pos="900" w:val="left" w:leader="none"/>
          <w:tab w:pos="2599" w:val="left" w:leader="none"/>
        </w:tabs>
        <w:spacing w:line="312" w:lineRule="exact" w:before="32" w:after="0"/>
        <w:ind w:left="2599" w:right="207" w:hanging="2381"/>
        <w:jc w:val="left"/>
        <w:rPr>
          <w:sz w:val="21"/>
        </w:rPr>
      </w:pPr>
      <w:r>
        <w:rPr>
          <w:rFonts w:ascii="微软雅黑" w:eastAsia="微软雅黑" w:hint="eastAsia"/>
          <w:b/>
          <w:sz w:val="21"/>
        </w:rPr>
        <w:t>责任免除</w:t>
        <w:tab/>
      </w:r>
      <w:r>
        <w:rPr>
          <w:sz w:val="21"/>
          <w:shd w:fill="D9D9D9" w:color="auto" w:val="clear"/>
        </w:rPr>
        <w:t>因下列情</w:t>
      </w:r>
      <w:r>
        <w:rPr>
          <w:spacing w:val="-5"/>
          <w:sz w:val="21"/>
          <w:shd w:fill="D9D9D9" w:color="auto" w:val="clear"/>
        </w:rPr>
        <w:t>形</w:t>
      </w:r>
      <w:r>
        <w:rPr>
          <w:sz w:val="21"/>
          <w:shd w:fill="D9D9D9" w:color="auto" w:val="clear"/>
        </w:rPr>
        <w:t>之</w:t>
      </w:r>
      <w:r>
        <w:rPr>
          <w:spacing w:val="-5"/>
          <w:sz w:val="21"/>
          <w:shd w:fill="D9D9D9" w:color="auto" w:val="clear"/>
        </w:rPr>
        <w:t>一</w:t>
      </w:r>
      <w:r>
        <w:rPr>
          <w:spacing w:val="-34"/>
          <w:sz w:val="21"/>
          <w:shd w:fill="D9D9D9" w:color="auto" w:val="clear"/>
        </w:rPr>
        <w:t>，</w:t>
      </w:r>
      <w:r>
        <w:rPr>
          <w:sz w:val="21"/>
          <w:shd w:fill="D9D9D9" w:color="auto" w:val="clear"/>
        </w:rPr>
        <w:t>导致</w:t>
      </w:r>
      <w:r>
        <w:rPr>
          <w:spacing w:val="-5"/>
          <w:sz w:val="21"/>
          <w:shd w:fill="D9D9D9" w:color="auto" w:val="clear"/>
        </w:rPr>
        <w:t>被</w:t>
      </w:r>
      <w:r>
        <w:rPr>
          <w:sz w:val="21"/>
          <w:shd w:fill="D9D9D9" w:color="auto" w:val="clear"/>
        </w:rPr>
        <w:t>保险人</w:t>
      </w:r>
      <w:r>
        <w:rPr>
          <w:spacing w:val="-5"/>
          <w:sz w:val="21"/>
          <w:shd w:fill="D9D9D9" w:color="auto" w:val="clear"/>
        </w:rPr>
        <w:t>发</w:t>
      </w:r>
      <w:r>
        <w:rPr>
          <w:sz w:val="21"/>
          <w:shd w:fill="D9D9D9" w:color="auto" w:val="clear"/>
        </w:rPr>
        <w:t>生符合</w:t>
      </w:r>
      <w:r>
        <w:rPr>
          <w:spacing w:val="-5"/>
          <w:sz w:val="21"/>
          <w:shd w:fill="D9D9D9" w:color="auto" w:val="clear"/>
        </w:rPr>
        <w:t>本</w:t>
      </w:r>
      <w:r>
        <w:rPr>
          <w:sz w:val="21"/>
          <w:shd w:fill="D9D9D9" w:color="auto" w:val="clear"/>
        </w:rPr>
        <w:t>主险合</w:t>
      </w:r>
      <w:r>
        <w:rPr>
          <w:spacing w:val="-5"/>
          <w:sz w:val="21"/>
          <w:shd w:fill="D9D9D9" w:color="auto" w:val="clear"/>
        </w:rPr>
        <w:t>同</w:t>
      </w:r>
      <w:r>
        <w:rPr>
          <w:sz w:val="21"/>
          <w:shd w:fill="D9D9D9" w:color="auto" w:val="clear"/>
        </w:rPr>
        <w:t>定义的重</w:t>
      </w:r>
      <w:r>
        <w:rPr>
          <w:spacing w:val="-5"/>
          <w:sz w:val="21"/>
          <w:shd w:fill="D9D9D9" w:color="auto" w:val="clear"/>
        </w:rPr>
        <w:t>大</w:t>
      </w:r>
      <w:r>
        <w:rPr>
          <w:sz w:val="21"/>
          <w:shd w:fill="D9D9D9" w:color="auto" w:val="clear"/>
        </w:rPr>
        <w:t>疾病</w:t>
      </w:r>
      <w:r>
        <w:rPr>
          <w:spacing w:val="-5"/>
          <w:sz w:val="21"/>
          <w:shd w:fill="D9D9D9" w:color="auto" w:val="clear"/>
        </w:rPr>
        <w:t>的</w:t>
      </w:r>
      <w:r>
        <w:rPr>
          <w:spacing w:val="-34"/>
          <w:sz w:val="21"/>
          <w:shd w:fill="D9D9D9" w:color="auto" w:val="clear"/>
        </w:rPr>
        <w:t>，</w:t>
      </w:r>
      <w:r>
        <w:rPr>
          <w:sz w:val="21"/>
          <w:shd w:fill="D9D9D9" w:color="auto" w:val="clear"/>
        </w:rPr>
        <w:t>本</w:t>
      </w:r>
      <w:r>
        <w:rPr>
          <w:spacing w:val="-5"/>
          <w:sz w:val="21"/>
          <w:shd w:fill="D9D9D9" w:color="auto" w:val="clear"/>
        </w:rPr>
        <w:t>公</w:t>
      </w:r>
      <w:r>
        <w:rPr>
          <w:sz w:val="21"/>
          <w:shd w:fill="D9D9D9" w:color="auto" w:val="clear"/>
        </w:rPr>
        <w:t>司不</w:t>
      </w:r>
      <w:r>
        <w:rPr>
          <w:spacing w:val="-212"/>
          <w:sz w:val="21"/>
          <w:shd w:fill="D9D9D9" w:color="auto" w:val="clear"/>
        </w:rPr>
        <w:t>承</w:t>
      </w:r>
      <w:r>
        <w:rPr>
          <w:spacing w:val="-59"/>
          <w:sz w:val="21"/>
          <w:shd w:fill="D9D9D9" w:color="auto" w:val="clear"/>
        </w:rPr>
        <w:t> </w:t>
      </w:r>
      <w:r>
        <w:rPr>
          <w:sz w:val="21"/>
          <w:shd w:fill="D9D9D9" w:color="auto" w:val="clear"/>
        </w:rPr>
        <w:t>担给付</w:t>
      </w:r>
      <w:r>
        <w:rPr>
          <w:spacing w:val="-5"/>
          <w:sz w:val="21"/>
          <w:shd w:fill="D9D9D9" w:color="auto" w:val="clear"/>
        </w:rPr>
        <w:t>保</w:t>
      </w:r>
      <w:r>
        <w:rPr>
          <w:sz w:val="21"/>
          <w:shd w:fill="D9D9D9" w:color="auto" w:val="clear"/>
        </w:rPr>
        <w:t>险金的</w:t>
      </w:r>
      <w:r>
        <w:rPr>
          <w:spacing w:val="-5"/>
          <w:sz w:val="21"/>
          <w:shd w:fill="D9D9D9" w:color="auto" w:val="clear"/>
        </w:rPr>
        <w:t>责</w:t>
      </w:r>
      <w:r>
        <w:rPr>
          <w:sz w:val="21"/>
          <w:shd w:fill="D9D9D9" w:color="auto" w:val="clear"/>
        </w:rPr>
        <w:t>任：</w:t>
      </w:r>
    </w:p>
    <w:p>
      <w:pPr>
        <w:pStyle w:val="BodyText"/>
        <w:spacing w:before="4"/>
        <w:ind w:left="2599"/>
      </w:pPr>
      <w:r>
        <w:rPr>
          <w:shd w:fill="D9D9D9" w:color="auto" w:val="clear"/>
        </w:rPr>
        <w:t>（1）投保人、受益人对被保险人的故意杀害、故意伤害；</w:t>
      </w:r>
    </w:p>
    <w:p>
      <w:pPr>
        <w:pStyle w:val="BodyText"/>
        <w:spacing w:line="262" w:lineRule="exact" w:before="37"/>
        <w:ind w:left="2599"/>
      </w:pPr>
      <w:r>
        <w:rPr>
          <w:shd w:fill="D9D9D9" w:color="auto" w:val="clear"/>
        </w:rPr>
        <w:t>（2）被保险人故意自伤、故意犯罪或拒捕；</w:t>
      </w:r>
    </w:p>
    <w:p>
      <w:pPr>
        <w:pStyle w:val="BodyText"/>
        <w:spacing w:line="325" w:lineRule="exact"/>
        <w:ind w:left="2599"/>
      </w:pPr>
      <w:r>
        <w:rPr>
          <w:shd w:fill="D9D9D9" w:color="auto" w:val="clear"/>
        </w:rPr>
        <w:t>（3）被保险人主动服用、吸食或注射</w:t>
      </w:r>
      <w:r>
        <w:rPr>
          <w:rFonts w:ascii="微软雅黑" w:eastAsia="微软雅黑" w:hint="eastAsia"/>
          <w:b/>
          <w:shd w:fill="D9D9D9" w:color="auto" w:val="clear"/>
        </w:rPr>
        <w:t>毒品</w:t>
      </w:r>
      <w:r>
        <w:rPr>
          <w:shd w:fill="D9D9D9" w:color="auto" w:val="clear"/>
        </w:rPr>
        <w:t>（见6.5）；</w:t>
      </w:r>
    </w:p>
    <w:p>
      <w:pPr>
        <w:spacing w:line="337" w:lineRule="exact" w:before="0"/>
        <w:ind w:left="2599" w:right="0" w:firstLine="0"/>
        <w:jc w:val="left"/>
        <w:rPr>
          <w:rFonts w:ascii="微软雅黑" w:eastAsia="微软雅黑" w:hint="eastAsia"/>
          <w:b/>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（见6.6），</w:t>
      </w:r>
      <w:r>
        <w:rPr>
          <w:rFonts w:ascii="微软雅黑" w:eastAsia="微软雅黑" w:hint="eastAsia"/>
          <w:b/>
          <w:sz w:val="21"/>
          <w:shd w:fill="D9D9D9" w:color="auto" w:val="clear"/>
        </w:rPr>
        <w:t>无合法有效驾驶证驾驶</w:t>
      </w:r>
      <w:r>
        <w:rPr>
          <w:sz w:val="21"/>
          <w:shd w:fill="D9D9D9" w:color="auto" w:val="clear"/>
        </w:rPr>
        <w:t>（见6.7），或驾驶</w:t>
      </w:r>
      <w:r>
        <w:rPr>
          <w:rFonts w:ascii="微软雅黑" w:eastAsia="微软雅黑" w:hint="eastAsia"/>
          <w:b/>
          <w:sz w:val="21"/>
          <w:shd w:fill="D9D9D9" w:color="auto" w:val="clear"/>
        </w:rPr>
        <w:t>无</w:t>
      </w:r>
    </w:p>
    <w:p>
      <w:pPr>
        <w:spacing w:after="0" w:line="337" w:lineRule="exact"/>
        <w:jc w:val="left"/>
        <w:rPr>
          <w:rFonts w:ascii="微软雅黑" w:eastAsia="微软雅黑" w:hint="eastAsia"/>
          <w:sz w:val="21"/>
        </w:rPr>
        <w:sectPr>
          <w:type w:val="continuous"/>
          <w:pgSz w:w="11910" w:h="16840"/>
          <w:pgMar w:top="1120" w:bottom="280" w:left="800" w:right="800"/>
        </w:sectPr>
      </w:pPr>
    </w:p>
    <w:p>
      <w:pPr>
        <w:spacing w:line="287" w:lineRule="exact" w:before="0"/>
        <w:ind w:left="2599" w:right="0" w:firstLine="0"/>
        <w:jc w:val="left"/>
        <w:rPr>
          <w:sz w:val="21"/>
        </w:rPr>
      </w:pPr>
      <w:r>
        <w:rPr>
          <w:rFonts w:ascii="微软雅黑" w:eastAsia="微软雅黑" w:hint="eastAsia"/>
          <w:b/>
          <w:sz w:val="21"/>
          <w:shd w:fill="D9D9D9" w:color="auto" w:val="clear"/>
        </w:rPr>
        <w:t>有效行驶证</w:t>
      </w:r>
      <w:r>
        <w:rPr>
          <w:sz w:val="21"/>
          <w:shd w:fill="D9D9D9" w:color="auto" w:val="clear"/>
        </w:rPr>
        <w:t>(见6.8)的</w:t>
      </w:r>
      <w:r>
        <w:rPr>
          <w:rFonts w:ascii="微软雅黑" w:eastAsia="微软雅黑" w:hint="eastAsia"/>
          <w:b/>
          <w:sz w:val="21"/>
          <w:shd w:fill="D9D9D9" w:color="auto" w:val="clear"/>
        </w:rPr>
        <w:t>机动车</w:t>
      </w:r>
      <w:r>
        <w:rPr>
          <w:sz w:val="21"/>
          <w:shd w:fill="D9D9D9" w:color="auto" w:val="clear"/>
        </w:rPr>
        <w:t>(见6.9)；</w:t>
      </w:r>
    </w:p>
    <w:p>
      <w:pPr>
        <w:pStyle w:val="BodyText"/>
        <w:spacing w:line="312" w:lineRule="exact" w:before="32"/>
        <w:ind w:left="2599" w:right="231"/>
      </w:pPr>
      <w:r>
        <w:rPr>
          <w:spacing w:val="-1"/>
          <w:shd w:fill="D9D9D9" w:color="auto" w:val="clear"/>
        </w:rPr>
        <w:t>（5）</w:t>
      </w:r>
      <w:r>
        <w:rPr>
          <w:spacing w:val="-3"/>
          <w:shd w:fill="D9D9D9" w:color="auto" w:val="clear"/>
        </w:rPr>
        <w:t>被保险人</w:t>
      </w:r>
      <w:r>
        <w:rPr>
          <w:rFonts w:ascii="微软雅黑" w:eastAsia="微软雅黑" w:hint="eastAsia"/>
          <w:b/>
          <w:shd w:fill="D9D9D9" w:color="auto" w:val="clear"/>
        </w:rPr>
        <w:t>患艾滋病或感染艾滋病病毒</w:t>
      </w:r>
      <w:r>
        <w:rPr>
          <w:shd w:fill="D9D9D9" w:color="auto" w:val="clear"/>
        </w:rPr>
        <w:t>（见6.10）（</w:t>
      </w:r>
      <w:r>
        <w:rPr>
          <w:spacing w:val="-3"/>
          <w:shd w:fill="D9D9D9" w:color="auto" w:val="clear"/>
        </w:rPr>
        <w:t>不包括经输血导致的人类</w:t>
      </w:r>
      <w:r>
        <w:rPr>
          <w:spacing w:val="-2"/>
          <w:shd w:fill="D9D9D9" w:color="auto" w:val="clear"/>
        </w:rPr>
        <w:t>免疫缺陷病</w:t>
      </w:r>
      <w:r>
        <w:rPr>
          <w:spacing w:val="-212"/>
          <w:shd w:fill="D9D9D9" w:color="auto" w:val="clear"/>
        </w:rPr>
        <w:t>毒</w:t>
      </w:r>
      <w:r>
        <w:rPr>
          <w:shd w:fill="D9D9D9" w:color="auto" w:val="clear"/>
        </w:rPr>
        <w:t>（HIV）</w:t>
      </w:r>
      <w:r>
        <w:rPr>
          <w:spacing w:val="-5"/>
          <w:shd w:fill="D9D9D9" w:color="auto" w:val="clear"/>
        </w:rPr>
        <w:t>感染、因器官移植感染人类免疫缺陷病毒</w:t>
      </w:r>
      <w:r>
        <w:rPr>
          <w:shd w:fill="D9D9D9" w:color="auto" w:val="clear"/>
        </w:rPr>
        <w:t>（HIV）</w:t>
      </w:r>
      <w:r>
        <w:rPr>
          <w:spacing w:val="-2"/>
          <w:shd w:fill="D9D9D9" w:color="auto" w:val="clear"/>
        </w:rPr>
        <w:t>和因职业</w:t>
      </w:r>
    </w:p>
    <w:p>
      <w:pPr>
        <w:pStyle w:val="BodyText"/>
        <w:spacing w:before="4"/>
        <w:ind w:left="2599"/>
      </w:pPr>
      <w:r>
        <w:rPr>
          <w:shd w:fill="D9D9D9" w:color="auto" w:val="clear"/>
        </w:rPr>
        <w:t>关系导致的人类免疫缺陷病毒 （HIV） 感染）</w:t>
      </w:r>
    </w:p>
    <w:p>
      <w:pPr>
        <w:pStyle w:val="BodyText"/>
        <w:spacing w:before="37"/>
        <w:ind w:left="2599"/>
      </w:pPr>
      <w:r>
        <w:rPr>
          <w:shd w:fill="D9D9D9" w:color="auto" w:val="clear"/>
        </w:rPr>
        <w:t>（6）战争、军事冲突、暴乱或武装叛乱；</w:t>
      </w:r>
    </w:p>
    <w:p>
      <w:pPr>
        <w:pStyle w:val="BodyText"/>
        <w:spacing w:line="262" w:lineRule="exact" w:before="37"/>
        <w:ind w:left="2599"/>
      </w:pPr>
      <w:r>
        <w:rPr>
          <w:shd w:fill="D9D9D9" w:color="auto" w:val="clear"/>
        </w:rPr>
        <w:t>（7）核爆炸、核辐射或核污染；</w:t>
      </w:r>
    </w:p>
    <w:p>
      <w:pPr>
        <w:spacing w:line="325" w:lineRule="exact" w:before="0"/>
        <w:ind w:left="2599"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（见6.11），</w:t>
      </w:r>
      <w:r>
        <w:rPr>
          <w:rFonts w:ascii="微软雅黑" w:eastAsia="微软雅黑" w:hint="eastAsia"/>
          <w:b/>
          <w:sz w:val="21"/>
          <w:shd w:fill="D9D9D9" w:color="auto" w:val="clear"/>
        </w:rPr>
        <w:t>先天性畸形</w:t>
      </w:r>
      <w:r>
        <w:rPr>
          <w:sz w:val="21"/>
          <w:shd w:fill="D9D9D9" w:color="auto" w:val="clear"/>
        </w:rPr>
        <w:t>、</w:t>
      </w:r>
      <w:r>
        <w:rPr>
          <w:rFonts w:ascii="微软雅黑" w:eastAsia="微软雅黑" w:hint="eastAsia"/>
          <w:b/>
          <w:sz w:val="21"/>
          <w:shd w:fill="D9D9D9" w:color="auto" w:val="clear"/>
        </w:rPr>
        <w:t>变形或染色体异常</w:t>
      </w:r>
      <w:r>
        <w:rPr>
          <w:sz w:val="21"/>
          <w:shd w:fill="D9D9D9" w:color="auto" w:val="clear"/>
        </w:rPr>
        <w:t>（见6.12）；</w:t>
      </w:r>
    </w:p>
    <w:p>
      <w:pPr>
        <w:pStyle w:val="BodyText"/>
        <w:spacing w:line="337" w:lineRule="exact"/>
        <w:ind w:left="2599"/>
      </w:pPr>
      <w:r>
        <w:rPr>
          <w:shd w:fill="D9D9D9" w:color="auto" w:val="clear"/>
        </w:rPr>
        <w:t>（9）被保险人患未告知的</w:t>
      </w:r>
      <w:r>
        <w:rPr>
          <w:rFonts w:ascii="微软雅黑" w:eastAsia="微软雅黑" w:hint="eastAsia"/>
          <w:b/>
          <w:shd w:fill="D9D9D9" w:color="auto" w:val="clear"/>
        </w:rPr>
        <w:t>既往症</w:t>
      </w:r>
      <w:r>
        <w:rPr>
          <w:shd w:fill="D9D9D9" w:color="auto" w:val="clear"/>
        </w:rPr>
        <w:t>(见6.13)；</w:t>
      </w:r>
    </w:p>
    <w:p>
      <w:pPr>
        <w:pStyle w:val="BodyText"/>
        <w:spacing w:before="12"/>
        <w:ind w:left="2599"/>
      </w:pPr>
      <w:r>
        <w:rPr>
          <w:shd w:fill="D9D9D9" w:color="auto" w:val="clear"/>
        </w:rPr>
        <w:t>（10）被保险人未遵医嘱，私自服用、涂用、注射药物；</w:t>
      </w:r>
    </w:p>
    <w:p>
      <w:pPr>
        <w:pStyle w:val="BodyText"/>
        <w:spacing w:line="223" w:lineRule="auto" w:before="56"/>
        <w:ind w:left="2599" w:right="207"/>
      </w:pPr>
      <w:r>
        <w:rPr>
          <w:shd w:fill="D9D9D9" w:color="auto" w:val="clear"/>
        </w:rPr>
        <w:t>发生上述第（1）</w:t>
      </w:r>
      <w:r>
        <w:rPr>
          <w:spacing w:val="-1"/>
          <w:shd w:fill="D9D9D9" w:color="auto" w:val="clear"/>
        </w:rPr>
        <w:t>项情形导致被保险人发生重大疾病的，本主险合同终止，本公司</w:t>
      </w:r>
      <w:r>
        <w:rPr>
          <w:spacing w:val="-212"/>
          <w:shd w:fill="D9D9D9" w:color="auto" w:val="clear"/>
        </w:rPr>
        <w:t>向</w:t>
      </w:r>
      <w:r>
        <w:rPr>
          <w:spacing w:val="-3"/>
          <w:shd w:fill="D9D9D9" w:color="auto" w:val="clear"/>
        </w:rPr>
        <w:t>其他权利人退还</w:t>
      </w:r>
      <w:r>
        <w:rPr>
          <w:rFonts w:ascii="微软雅黑" w:eastAsia="微软雅黑" w:hint="eastAsia"/>
          <w:b/>
          <w:shd w:fill="D9D9D9" w:color="auto" w:val="clear"/>
        </w:rPr>
        <w:t>现金价值</w:t>
      </w:r>
      <w:r>
        <w:rPr>
          <w:shd w:fill="D9D9D9" w:color="auto" w:val="clear"/>
        </w:rPr>
        <w:t>（见6.14）。</w:t>
      </w:r>
    </w:p>
    <w:p>
      <w:pPr>
        <w:pStyle w:val="BodyText"/>
        <w:spacing w:line="273" w:lineRule="auto" w:before="11"/>
        <w:ind w:left="2599" w:right="207"/>
      </w:pPr>
      <w:r>
        <w:rPr>
          <w:spacing w:val="-9"/>
          <w:shd w:fill="D9D9D9" w:color="auto" w:val="clear"/>
        </w:rPr>
        <w:t>发生上述其它情形导致被保险人发生重大疾病的，本主险合同终止，本公司向投保</w:t>
      </w:r>
      <w:r>
        <w:rPr>
          <w:spacing w:val="-7"/>
          <w:shd w:fill="D9D9D9" w:color="auto" w:val="clear"/>
        </w:rPr>
        <w:t>人退还现金价值。</w:t>
      </w:r>
    </w:p>
    <w:p>
      <w:pPr>
        <w:pStyle w:val="BodyText"/>
        <w:spacing w:before="2"/>
        <w:rPr>
          <w:sz w:val="18"/>
        </w:rPr>
      </w:pPr>
    </w:p>
    <w:p>
      <w:pPr>
        <w:pStyle w:val="Heading2"/>
        <w:tabs>
          <w:tab w:pos="899" w:val="left" w:leader="none"/>
        </w:tabs>
      </w:pPr>
      <w:r>
        <w:rPr/>
        <w:pict>
          <v:group style="position:absolute;margin-left:45.624001pt;margin-top:28.624752pt;width:504.45pt;height:.5pt;mso-position-horizontal-relative:page;mso-position-vertical-relative:paragraph;z-index:1192;mso-wrap-distance-left:0;mso-wrap-distance-right:0" coordorigin="912,572" coordsize="10089,10">
            <v:line style="position:absolute" from="912,577" to="1589,577" stroked="true" strokeweight=".48001pt" strokecolor="#000000">
              <v:stroke dashstyle="solid"/>
            </v:line>
            <v:rect style="position:absolute;left:1589;top:572;width:10;height:10" filled="true" fillcolor="#000000" stroked="false">
              <v:fill type="solid"/>
            </v:rect>
            <v:line style="position:absolute" from="1599,577" to="3294,577" stroked="true" strokeweight=".48001pt" strokecolor="#000000">
              <v:stroke dashstyle="solid"/>
            </v:line>
            <v:rect style="position:absolute;left:3294;top:572;width:10;height:10" filled="true" fillcolor="#000000" stroked="false">
              <v:fill type="solid"/>
            </v:rect>
            <v:line style="position:absolute" from="3304,577" to="11001,577" stroked="true" strokeweight=".48001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b w:val="0"/>
          <w:position w:val="-4"/>
          <w:sz w:val="40"/>
        </w:rPr>
        <w:tab/>
      </w:r>
      <w:r>
        <w:rPr/>
        <w:t>您如何申请领取保险金</w:t>
      </w:r>
    </w:p>
    <w:p>
      <w:pPr>
        <w:pStyle w:val="BodyText"/>
        <w:spacing w:before="1"/>
        <w:rPr>
          <w:rFonts w:ascii="微软雅黑"/>
          <w:b/>
          <w:sz w:val="5"/>
        </w:rPr>
      </w:pPr>
    </w:p>
    <w:p>
      <w:pPr>
        <w:pStyle w:val="ListParagraph"/>
        <w:numPr>
          <w:ilvl w:val="1"/>
          <w:numId w:val="8"/>
        </w:numPr>
        <w:tabs>
          <w:tab w:pos="899" w:val="left" w:leader="none"/>
          <w:tab w:pos="900" w:val="left" w:leader="none"/>
          <w:tab w:pos="2599" w:val="left" w:leader="none"/>
        </w:tabs>
        <w:spacing w:line="337" w:lineRule="exact" w:before="0" w:after="0"/>
        <w:ind w:left="2599" w:right="0" w:hanging="2381"/>
        <w:jc w:val="left"/>
        <w:rPr>
          <w:sz w:val="21"/>
        </w:rPr>
      </w:pPr>
      <w:r>
        <w:rPr>
          <w:rFonts w:ascii="微软雅黑" w:eastAsia="微软雅黑" w:hint="eastAsia"/>
          <w:b/>
          <w:sz w:val="21"/>
        </w:rPr>
        <w:t>受益人</w:t>
        <w:tab/>
      </w:r>
      <w:r>
        <w:rPr>
          <w:sz w:val="21"/>
        </w:rPr>
        <w:t>除另有约</w:t>
      </w:r>
      <w:r>
        <w:rPr>
          <w:spacing w:val="-5"/>
          <w:sz w:val="21"/>
        </w:rPr>
        <w:t>定</w:t>
      </w:r>
      <w:r>
        <w:rPr>
          <w:sz w:val="21"/>
        </w:rPr>
        <w:t>外，本</w:t>
      </w:r>
      <w:r>
        <w:rPr>
          <w:spacing w:val="-5"/>
          <w:sz w:val="21"/>
        </w:rPr>
        <w:t>主</w:t>
      </w:r>
      <w:r>
        <w:rPr>
          <w:sz w:val="21"/>
        </w:rPr>
        <w:t>险合同</w:t>
      </w:r>
      <w:r>
        <w:rPr>
          <w:spacing w:val="-5"/>
          <w:sz w:val="21"/>
        </w:rPr>
        <w:t>重</w:t>
      </w:r>
      <w:r>
        <w:rPr>
          <w:sz w:val="21"/>
        </w:rPr>
        <w:t>大疾病</w:t>
      </w:r>
      <w:r>
        <w:rPr>
          <w:spacing w:val="-5"/>
          <w:sz w:val="21"/>
        </w:rPr>
        <w:t>保</w:t>
      </w:r>
      <w:r>
        <w:rPr>
          <w:sz w:val="21"/>
        </w:rPr>
        <w:t>险金的</w:t>
      </w:r>
      <w:r>
        <w:rPr>
          <w:spacing w:val="-5"/>
          <w:sz w:val="21"/>
        </w:rPr>
        <w:t>受</w:t>
      </w:r>
      <w:r>
        <w:rPr>
          <w:sz w:val="21"/>
        </w:rPr>
        <w:t>益</w:t>
      </w:r>
      <w:r>
        <w:rPr>
          <w:spacing w:val="-5"/>
          <w:sz w:val="21"/>
        </w:rPr>
        <w:t>人</w:t>
      </w:r>
      <w:r>
        <w:rPr>
          <w:sz w:val="21"/>
        </w:rPr>
        <w:t>为被保险</w:t>
      </w:r>
      <w:r>
        <w:rPr>
          <w:spacing w:val="-5"/>
          <w:sz w:val="21"/>
        </w:rPr>
        <w:t>人</w:t>
      </w:r>
      <w:r>
        <w:rPr>
          <w:sz w:val="21"/>
        </w:rPr>
        <w:t>本人。</w:t>
      </w:r>
    </w:p>
    <w:p>
      <w:pPr>
        <w:pStyle w:val="BodyText"/>
        <w:spacing w:before="11"/>
        <w:rPr>
          <w:sz w:val="18"/>
        </w:rPr>
      </w:pPr>
    </w:p>
    <w:p>
      <w:pPr>
        <w:pStyle w:val="ListParagraph"/>
        <w:numPr>
          <w:ilvl w:val="1"/>
          <w:numId w:val="8"/>
        </w:numPr>
        <w:tabs>
          <w:tab w:pos="899" w:val="left" w:leader="none"/>
          <w:tab w:pos="900" w:val="left" w:leader="none"/>
          <w:tab w:pos="2599" w:val="left" w:leader="none"/>
        </w:tabs>
        <w:spacing w:line="240" w:lineRule="auto" w:before="0" w:after="0"/>
        <w:ind w:left="2599" w:right="0" w:hanging="2381"/>
        <w:jc w:val="left"/>
        <w:rPr>
          <w:sz w:val="21"/>
        </w:rPr>
      </w:pPr>
      <w:r>
        <w:rPr/>
        <w:pict>
          <v:group style="position:absolute;margin-left:169.990005pt;margin-top:20.186636pt;width:367.6pt;height:13.95pt;mso-position-horizontal-relative:page;mso-position-vertical-relative:paragraph;z-index:1240;mso-wrap-distance-left:0;mso-wrap-distance-right:0" coordorigin="3400,404" coordsize="7352,279">
            <v:rect style="position:absolute;left:3399;top:403;width:7352;height:279" filled="true" fillcolor="#d9d9d9" stroked="false">
              <v:fill type="solid"/>
            </v:rect>
            <v:shape style="position:absolute;left:3399;top:403;width:7352;height:279" type="#_x0000_t202" filled="false" stroked="false">
              <v:textbox inset="0,0,0,0">
                <w:txbxContent>
                  <w:p>
                    <w:pPr>
                      <w:spacing w:line="246" w:lineRule="exact" w:before="0"/>
                      <w:ind w:left="0" w:right="-15" w:firstLine="0"/>
                      <w:jc w:val="left"/>
                      <w:rPr>
                        <w:sz w:val="21"/>
                      </w:rPr>
                    </w:pPr>
                    <w:r>
                      <w:rPr>
                        <w:spacing w:val="-5"/>
                        <w:sz w:val="21"/>
                      </w:rPr>
                      <w:t>如果您或受益人故意或者因重大过失未及时通知，致使保险事故的性质、原因、</w:t>
                    </w:r>
                  </w:p>
                </w:txbxContent>
              </v:textbox>
              <w10:wrap type="none"/>
            </v:shape>
            <w10:wrap type="topAndBottom"/>
          </v:group>
        </w:pict>
      </w:r>
      <w:r>
        <w:rPr>
          <w:rFonts w:ascii="微软雅黑" w:eastAsia="微软雅黑" w:hint="eastAsia"/>
          <w:b/>
          <w:sz w:val="21"/>
        </w:rPr>
        <w:t>保险事故通知</w:t>
        <w:tab/>
      </w:r>
      <w:r>
        <w:rPr>
          <w:sz w:val="21"/>
        </w:rPr>
        <w:t>请您或受</w:t>
      </w:r>
      <w:r>
        <w:rPr>
          <w:spacing w:val="-5"/>
          <w:sz w:val="21"/>
        </w:rPr>
        <w:t>益</w:t>
      </w:r>
      <w:r>
        <w:rPr>
          <w:sz w:val="21"/>
        </w:rPr>
        <w:t>人在知</w:t>
      </w:r>
      <w:r>
        <w:rPr>
          <w:spacing w:val="-5"/>
          <w:sz w:val="21"/>
        </w:rPr>
        <w:t>道</w:t>
      </w:r>
      <w:r>
        <w:rPr>
          <w:sz w:val="21"/>
        </w:rPr>
        <w:t>保险事</w:t>
      </w:r>
      <w:r>
        <w:rPr>
          <w:spacing w:val="-5"/>
          <w:sz w:val="21"/>
        </w:rPr>
        <w:t>故</w:t>
      </w:r>
      <w:r>
        <w:rPr>
          <w:sz w:val="21"/>
        </w:rPr>
        <w:t>发生后</w:t>
      </w:r>
      <w:r>
        <w:rPr>
          <w:spacing w:val="-36"/>
          <w:sz w:val="21"/>
        </w:rPr>
        <w:t> </w:t>
      </w:r>
      <w:r>
        <w:rPr>
          <w:sz w:val="21"/>
        </w:rPr>
        <w:t>10</w:t>
      </w:r>
      <w:r>
        <w:rPr>
          <w:spacing w:val="-44"/>
          <w:sz w:val="21"/>
        </w:rPr>
        <w:t> </w:t>
      </w:r>
      <w:r>
        <w:rPr>
          <w:sz w:val="21"/>
        </w:rPr>
        <w:t>日内</w:t>
      </w:r>
      <w:r>
        <w:rPr>
          <w:spacing w:val="-5"/>
          <w:sz w:val="21"/>
        </w:rPr>
        <w:t>通</w:t>
      </w:r>
      <w:r>
        <w:rPr>
          <w:sz w:val="21"/>
        </w:rPr>
        <w:t>知</w:t>
      </w:r>
      <w:r>
        <w:rPr>
          <w:spacing w:val="-5"/>
          <w:sz w:val="21"/>
        </w:rPr>
        <w:t>我</w:t>
      </w:r>
      <w:r>
        <w:rPr>
          <w:sz w:val="21"/>
        </w:rPr>
        <w:t>们。</w:t>
      </w:r>
    </w:p>
    <w:p>
      <w:pPr>
        <w:pStyle w:val="BodyText"/>
        <w:ind w:left="2599"/>
        <w:rPr>
          <w:sz w:val="20"/>
        </w:rPr>
      </w:pPr>
      <w:r>
        <w:rPr>
          <w:sz w:val="20"/>
        </w:rPr>
        <w:pict>
          <v:shape style="width:367.6pt;height:13.95pt;mso-position-horizontal-relative:char;mso-position-vertical-relative:line" type="#_x0000_t202" filled="true" fillcolor="#d9d9d9" stroked="false">
            <w10:anchorlock/>
            <v:textbox inset="0,0,0,0">
              <w:txbxContent>
                <w:p>
                  <w:pPr>
                    <w:pStyle w:val="BodyText"/>
                    <w:spacing w:line="246" w:lineRule="exact"/>
                    <w:ind w:right="-15"/>
                  </w:pPr>
                  <w:r>
                    <w:rPr>
                      <w:spacing w:val="-5"/>
                    </w:rPr>
                    <w:t>伤害程度等难以确定的，我们对无法确定的部分，不承担给付保险金的责任，但</w:t>
                  </w:r>
                </w:p>
              </w:txbxContent>
            </v:textbox>
            <v:fill type="solid"/>
          </v:shape>
        </w:pict>
      </w:r>
      <w:r>
        <w:rPr>
          <w:sz w:val="20"/>
        </w:rPr>
      </w:r>
    </w:p>
    <w:p>
      <w:pPr>
        <w:pStyle w:val="BodyText"/>
        <w:spacing w:line="262" w:lineRule="exact"/>
        <w:ind w:left="2599"/>
      </w:pPr>
      <w:r>
        <w:rPr/>
        <w:t>我们通过其他途径已经及时知道或者应当及时知道保险事故发生或者虽未及时通</w:t>
      </w:r>
    </w:p>
    <w:p>
      <w:pPr>
        <w:pStyle w:val="BodyText"/>
        <w:spacing w:before="37"/>
        <w:ind w:left="2599"/>
      </w:pPr>
      <w:r>
        <w:rPr/>
        <w:t>知但不影响我们确定保险事故的性质、原因、伤害程度的除外。</w:t>
      </w:r>
    </w:p>
    <w:p>
      <w:pPr>
        <w:pStyle w:val="ListParagraph"/>
        <w:numPr>
          <w:ilvl w:val="1"/>
          <w:numId w:val="8"/>
        </w:numPr>
        <w:tabs>
          <w:tab w:pos="899" w:val="left" w:leader="none"/>
          <w:tab w:pos="900" w:val="left" w:leader="none"/>
          <w:tab w:pos="2599" w:val="left" w:leader="none"/>
        </w:tabs>
        <w:spacing w:line="240" w:lineRule="auto" w:before="143" w:after="0"/>
        <w:ind w:left="2599" w:right="0" w:hanging="2381"/>
        <w:jc w:val="left"/>
        <w:rPr>
          <w:sz w:val="21"/>
        </w:rPr>
      </w:pPr>
      <w:r>
        <w:rPr>
          <w:rFonts w:ascii="微软雅黑" w:eastAsia="微软雅黑" w:hint="eastAsia"/>
          <w:b/>
          <w:sz w:val="21"/>
        </w:rPr>
        <w:t>保险金申请</w:t>
        <w:tab/>
      </w:r>
      <w:r>
        <w:rPr>
          <w:sz w:val="21"/>
        </w:rPr>
        <w:t>在申请保</w:t>
      </w:r>
      <w:r>
        <w:rPr>
          <w:spacing w:val="-5"/>
          <w:sz w:val="21"/>
        </w:rPr>
        <w:t>险</w:t>
      </w:r>
      <w:r>
        <w:rPr>
          <w:sz w:val="21"/>
        </w:rPr>
        <w:t>金时，</w:t>
      </w:r>
      <w:r>
        <w:rPr>
          <w:spacing w:val="-5"/>
          <w:sz w:val="21"/>
        </w:rPr>
        <w:t>请</w:t>
      </w:r>
      <w:r>
        <w:rPr>
          <w:sz w:val="21"/>
        </w:rPr>
        <w:t>按照下</w:t>
      </w:r>
      <w:r>
        <w:rPr>
          <w:spacing w:val="-5"/>
          <w:sz w:val="21"/>
        </w:rPr>
        <w:t>列</w:t>
      </w:r>
      <w:r>
        <w:rPr>
          <w:sz w:val="21"/>
        </w:rPr>
        <w:t>方式办</w:t>
      </w:r>
      <w:r>
        <w:rPr>
          <w:spacing w:val="-5"/>
          <w:sz w:val="21"/>
        </w:rPr>
        <w:t>理</w:t>
      </w:r>
      <w:r>
        <w:rPr>
          <w:sz w:val="21"/>
        </w:rPr>
        <w:t>：</w:t>
      </w:r>
    </w:p>
    <w:p>
      <w:pPr>
        <w:pStyle w:val="BodyText"/>
        <w:rPr>
          <w:sz w:val="9"/>
        </w:rPr>
      </w:pPr>
    </w:p>
    <w:p>
      <w:pPr>
        <w:spacing w:after="0"/>
        <w:rPr>
          <w:sz w:val="9"/>
        </w:rPr>
        <w:sectPr>
          <w:pgSz w:w="11910" w:h="16840"/>
          <w:pgMar w:top="1400" w:bottom="280" w:left="800" w:right="800"/>
        </w:sectPr>
      </w:pPr>
    </w:p>
    <w:p>
      <w:pPr>
        <w:pStyle w:val="Heading2"/>
        <w:spacing w:line="182" w:lineRule="auto" w:before="36"/>
        <w:ind w:left="899"/>
        <w:rPr>
          <w:rFonts w:ascii="Microsoft JhengHei" w:eastAsia="Microsoft JhengHei" w:hint="eastAsia"/>
        </w:rPr>
      </w:pPr>
      <w:r>
        <w:rPr>
          <w:rFonts w:ascii="Microsoft JhengHei" w:eastAsia="Microsoft JhengHei" w:hint="eastAsia"/>
        </w:rPr>
        <w:t>重大疾病保险金申请</w:t>
      </w:r>
    </w:p>
    <w:p>
      <w:pPr>
        <w:pStyle w:val="BodyText"/>
        <w:spacing w:before="62"/>
        <w:ind w:left="219"/>
      </w:pPr>
      <w:r>
        <w:rPr/>
        <w:br w:type="column"/>
      </w:r>
      <w:r>
        <w:rPr/>
        <w:t>由申请人填写保险金给付申请书，并提供下列证明和资料：</w:t>
      </w:r>
    </w:p>
    <w:p>
      <w:pPr>
        <w:pStyle w:val="BodyText"/>
        <w:spacing w:line="262" w:lineRule="exact" w:before="37"/>
        <w:ind w:left="219"/>
      </w:pPr>
      <w:r>
        <w:rPr/>
        <w:t>（1）保险合同；</w:t>
      </w:r>
    </w:p>
    <w:p>
      <w:pPr>
        <w:spacing w:line="350" w:lineRule="exact" w:before="0"/>
        <w:ind w:left="219" w:right="0" w:firstLine="0"/>
        <w:jc w:val="left"/>
        <w:rPr>
          <w:sz w:val="21"/>
        </w:rPr>
      </w:pPr>
      <w:r>
        <w:rPr>
          <w:w w:val="100"/>
          <w:sz w:val="21"/>
        </w:rPr>
        <w:t>（2）</w:t>
      </w:r>
      <w:r>
        <w:rPr>
          <w:spacing w:val="-3"/>
          <w:w w:val="100"/>
          <w:sz w:val="21"/>
        </w:rPr>
        <w:t>受益人的</w:t>
      </w:r>
      <w:r>
        <w:rPr>
          <w:rFonts w:ascii="微软雅黑" w:eastAsia="微软雅黑" w:hint="eastAsia"/>
          <w:b/>
          <w:w w:val="100"/>
          <w:sz w:val="21"/>
        </w:rPr>
        <w:t>有效身份证件</w:t>
      </w:r>
      <w:r>
        <w:rPr>
          <w:spacing w:val="-5"/>
          <w:w w:val="100"/>
          <w:sz w:val="21"/>
        </w:rPr>
        <w:t>（</w:t>
      </w:r>
      <w:r>
        <w:rPr>
          <w:w w:val="100"/>
          <w:sz w:val="21"/>
        </w:rPr>
        <w:t>见6.15</w:t>
      </w:r>
      <w:r>
        <w:rPr>
          <w:spacing w:val="-111"/>
          <w:w w:val="100"/>
          <w:sz w:val="21"/>
        </w:rPr>
        <w:t>）</w:t>
      </w:r>
      <w:r>
        <w:rPr>
          <w:w w:val="100"/>
          <w:sz w:val="21"/>
        </w:rPr>
        <w:t>；</w:t>
      </w:r>
    </w:p>
    <w:p>
      <w:pPr>
        <w:pStyle w:val="BodyText"/>
        <w:spacing w:line="273" w:lineRule="auto" w:before="12"/>
        <w:ind w:left="742" w:right="243" w:hanging="524"/>
      </w:pPr>
      <w:r>
        <w:rPr/>
        <w:t>（3）就诊医院出具的诊断证明、完整的门诊及住院病历、出院小结、检查检验报告等完整的就诊资料；</w:t>
      </w:r>
    </w:p>
    <w:p>
      <w:pPr>
        <w:pStyle w:val="BodyText"/>
        <w:spacing w:line="273" w:lineRule="auto" w:before="7"/>
        <w:ind w:left="723" w:right="209" w:hanging="504"/>
      </w:pPr>
      <w:r>
        <w:rPr/>
        <w:t>（4）所能提供的与确认保险事故的性质、原因、伤害程度等有关的其他证明和资料。</w:t>
      </w:r>
    </w:p>
    <w:p>
      <w:pPr>
        <w:spacing w:after="0" w:line="273" w:lineRule="auto"/>
        <w:sectPr>
          <w:type w:val="continuous"/>
          <w:pgSz w:w="11910" w:h="16840"/>
          <w:pgMar w:top="1120" w:bottom="280" w:left="800" w:right="800"/>
          <w:cols w:num="2" w:equalWidth="0">
            <w:col w:w="2341" w:space="40"/>
            <w:col w:w="7929"/>
          </w:cols>
        </w:sectPr>
      </w:pPr>
    </w:p>
    <w:p>
      <w:pPr>
        <w:pStyle w:val="BodyText"/>
        <w:spacing w:before="11"/>
        <w:rPr>
          <w:sz w:val="20"/>
        </w:rPr>
      </w:pPr>
    </w:p>
    <w:p>
      <w:pPr>
        <w:pStyle w:val="ListParagraph"/>
        <w:numPr>
          <w:ilvl w:val="1"/>
          <w:numId w:val="8"/>
        </w:numPr>
        <w:tabs>
          <w:tab w:pos="899" w:val="left" w:leader="none"/>
          <w:tab w:pos="900" w:val="left" w:leader="none"/>
          <w:tab w:pos="2599" w:val="left" w:leader="none"/>
        </w:tabs>
        <w:spacing w:line="312" w:lineRule="exact" w:before="33" w:after="0"/>
        <w:ind w:left="2599" w:right="207" w:hanging="2381"/>
        <w:jc w:val="left"/>
        <w:rPr>
          <w:sz w:val="21"/>
        </w:rPr>
      </w:pPr>
      <w:r>
        <w:rPr>
          <w:rFonts w:ascii="微软雅黑" w:eastAsia="微软雅黑" w:hint="eastAsia"/>
          <w:b/>
          <w:sz w:val="21"/>
        </w:rPr>
        <w:t>保险金的给付</w:t>
        <w:tab/>
      </w:r>
      <w:r>
        <w:rPr>
          <w:sz w:val="21"/>
        </w:rPr>
        <w:t>我们在收</w:t>
      </w:r>
      <w:r>
        <w:rPr>
          <w:spacing w:val="-5"/>
          <w:sz w:val="21"/>
        </w:rPr>
        <w:t>到</w:t>
      </w:r>
      <w:r>
        <w:rPr>
          <w:sz w:val="21"/>
        </w:rPr>
        <w:t>保险金</w:t>
      </w:r>
      <w:r>
        <w:rPr>
          <w:spacing w:val="-5"/>
          <w:sz w:val="21"/>
        </w:rPr>
        <w:t>给</w:t>
      </w:r>
      <w:r>
        <w:rPr>
          <w:sz w:val="21"/>
        </w:rPr>
        <w:t>付申请</w:t>
      </w:r>
      <w:r>
        <w:rPr>
          <w:spacing w:val="-5"/>
          <w:sz w:val="21"/>
        </w:rPr>
        <w:t>书</w:t>
      </w:r>
      <w:r>
        <w:rPr>
          <w:sz w:val="21"/>
        </w:rPr>
        <w:t>及上述</w:t>
      </w:r>
      <w:r>
        <w:rPr>
          <w:spacing w:val="-5"/>
          <w:sz w:val="21"/>
        </w:rPr>
        <w:t>有</w:t>
      </w:r>
      <w:r>
        <w:rPr>
          <w:sz w:val="21"/>
        </w:rPr>
        <w:t>关证明</w:t>
      </w:r>
      <w:r>
        <w:rPr>
          <w:spacing w:val="-5"/>
          <w:sz w:val="21"/>
        </w:rPr>
        <w:t>和</w:t>
      </w:r>
      <w:r>
        <w:rPr>
          <w:sz w:val="21"/>
        </w:rPr>
        <w:t>资</w:t>
      </w:r>
      <w:r>
        <w:rPr>
          <w:spacing w:val="-5"/>
          <w:sz w:val="21"/>
        </w:rPr>
        <w:t>料</w:t>
      </w:r>
      <w:r>
        <w:rPr>
          <w:sz w:val="21"/>
        </w:rPr>
        <w:t>后</w:t>
      </w:r>
      <w:r>
        <w:rPr>
          <w:spacing w:val="-32"/>
          <w:sz w:val="21"/>
        </w:rPr>
        <w:t>，</w:t>
      </w:r>
      <w:r>
        <w:rPr>
          <w:spacing w:val="-5"/>
          <w:sz w:val="21"/>
        </w:rPr>
        <w:t>将</w:t>
      </w:r>
      <w:r>
        <w:rPr>
          <w:sz w:val="21"/>
        </w:rPr>
        <w:t>在</w:t>
      </w:r>
      <w:r>
        <w:rPr>
          <w:spacing w:val="-32"/>
          <w:sz w:val="21"/>
        </w:rPr>
        <w:t> </w:t>
      </w:r>
      <w:r>
        <w:rPr>
          <w:sz w:val="21"/>
        </w:rPr>
        <w:t>5</w:t>
      </w:r>
      <w:r>
        <w:rPr>
          <w:spacing w:val="-31"/>
          <w:sz w:val="21"/>
        </w:rPr>
        <w:t> </w:t>
      </w:r>
      <w:r>
        <w:rPr>
          <w:sz w:val="21"/>
        </w:rPr>
        <w:t>日</w:t>
      </w:r>
      <w:r>
        <w:rPr>
          <w:spacing w:val="-5"/>
          <w:sz w:val="21"/>
        </w:rPr>
        <w:t>内</w:t>
      </w:r>
      <w:r>
        <w:rPr>
          <w:sz w:val="21"/>
        </w:rPr>
        <w:t>作出核</w:t>
      </w:r>
      <w:r>
        <w:rPr>
          <w:spacing w:val="-5"/>
          <w:sz w:val="21"/>
        </w:rPr>
        <w:t>定</w:t>
      </w:r>
      <w:r>
        <w:rPr>
          <w:spacing w:val="-34"/>
          <w:sz w:val="21"/>
        </w:rPr>
        <w:t>；</w:t>
      </w:r>
      <w:r>
        <w:rPr>
          <w:sz w:val="21"/>
        </w:rPr>
        <w:t>情形复杂的</w:t>
      </w:r>
      <w:r>
        <w:rPr>
          <w:spacing w:val="-5"/>
          <w:sz w:val="21"/>
        </w:rPr>
        <w:t>，</w:t>
      </w:r>
      <w:r>
        <w:rPr>
          <w:sz w:val="21"/>
        </w:rPr>
        <w:t>在</w:t>
      </w:r>
      <w:r>
        <w:rPr>
          <w:spacing w:val="-44"/>
          <w:sz w:val="21"/>
        </w:rPr>
        <w:t> </w:t>
      </w:r>
      <w:r>
        <w:rPr>
          <w:sz w:val="21"/>
        </w:rPr>
        <w:t>30</w:t>
      </w:r>
      <w:r>
        <w:rPr>
          <w:spacing w:val="-45"/>
          <w:sz w:val="21"/>
        </w:rPr>
        <w:t> </w:t>
      </w:r>
      <w:r>
        <w:rPr>
          <w:sz w:val="21"/>
        </w:rPr>
        <w:t>日</w:t>
      </w:r>
      <w:r>
        <w:rPr>
          <w:spacing w:val="-5"/>
          <w:sz w:val="21"/>
        </w:rPr>
        <w:t>内</w:t>
      </w:r>
      <w:r>
        <w:rPr>
          <w:sz w:val="21"/>
        </w:rPr>
        <w:t>作出核</w:t>
      </w:r>
      <w:r>
        <w:rPr>
          <w:spacing w:val="-5"/>
          <w:sz w:val="21"/>
        </w:rPr>
        <w:t>定</w:t>
      </w:r>
      <w:r>
        <w:rPr>
          <w:sz w:val="21"/>
        </w:rPr>
        <w:t>。</w:t>
      </w:r>
    </w:p>
    <w:p>
      <w:pPr>
        <w:pStyle w:val="BodyText"/>
        <w:spacing w:before="4"/>
        <w:ind w:left="2599"/>
      </w:pPr>
      <w:r>
        <w:rPr/>
        <w:t>对属于保险责任的，我们在与受益人达成给付保险金的协议后 10 日内，履行给付</w:t>
      </w:r>
    </w:p>
    <w:p>
      <w:pPr>
        <w:pStyle w:val="BodyText"/>
        <w:spacing w:line="273" w:lineRule="auto" w:before="36"/>
        <w:ind w:left="2599" w:right="207"/>
        <w:jc w:val="both"/>
      </w:pPr>
      <w:r>
        <w:rPr>
          <w:spacing w:val="-5"/>
        </w:rPr>
        <w:t>保险金义务；若我们在收齐相关证明和资料后 </w:t>
      </w:r>
      <w:r>
        <w:rPr/>
        <w:t>30</w:t>
      </w:r>
      <w:r>
        <w:rPr>
          <w:spacing w:val="-5"/>
        </w:rPr>
        <w:t> 日内仍未作出核定，除支付保险金外，我们将赔偿受益人的损失。</w:t>
      </w:r>
    </w:p>
    <w:p>
      <w:pPr>
        <w:pStyle w:val="BodyText"/>
        <w:spacing w:line="273" w:lineRule="auto" w:before="7"/>
        <w:ind w:left="2599" w:right="208"/>
        <w:jc w:val="both"/>
      </w:pPr>
      <w:r>
        <w:rPr>
          <w:spacing w:val="-11"/>
        </w:rPr>
        <w:t>对不属于保险责任的，我们自作出核定之日起 </w:t>
      </w:r>
      <w:r>
        <w:rPr/>
        <w:t>3</w:t>
      </w:r>
      <w:r>
        <w:rPr>
          <w:spacing w:val="-8"/>
        </w:rPr>
        <w:t> 日内向受益人发出拒绝给付保险金</w:t>
      </w:r>
      <w:r>
        <w:rPr>
          <w:spacing w:val="-6"/>
        </w:rPr>
        <w:t>通知书并说明理由。</w:t>
      </w:r>
    </w:p>
    <w:p>
      <w:pPr>
        <w:pStyle w:val="BodyText"/>
        <w:spacing w:line="273" w:lineRule="auto" w:before="7"/>
        <w:ind w:left="2599" w:right="207"/>
        <w:jc w:val="both"/>
      </w:pPr>
      <w:r>
        <w:rPr>
          <w:spacing w:val="-6"/>
        </w:rPr>
        <w:t>我们在收到保险金给付申请书及有关证明和资料之日起 </w:t>
      </w:r>
      <w:r>
        <w:rPr/>
        <w:t>60</w:t>
      </w:r>
      <w:r>
        <w:rPr>
          <w:spacing w:val="-5"/>
        </w:rPr>
        <w:t> 日内，对给付保险金的</w:t>
      </w:r>
      <w:r>
        <w:rPr>
          <w:spacing w:val="-9"/>
        </w:rPr>
        <w:t>数额不能确定的，根据已有证明和资料可以确定的数额先予支付；我们最终确定给</w:t>
      </w:r>
      <w:r>
        <w:rPr>
          <w:spacing w:val="-7"/>
        </w:rPr>
        <w:t>付保险金的数额后，将支付相应的差额。</w:t>
      </w:r>
    </w:p>
    <w:p>
      <w:pPr>
        <w:pStyle w:val="ListParagraph"/>
        <w:numPr>
          <w:ilvl w:val="1"/>
          <w:numId w:val="8"/>
        </w:numPr>
        <w:tabs>
          <w:tab w:pos="899" w:val="left" w:leader="none"/>
          <w:tab w:pos="900" w:val="left" w:leader="none"/>
          <w:tab w:pos="2599" w:val="left" w:leader="none"/>
        </w:tabs>
        <w:spacing w:line="240" w:lineRule="auto" w:before="146" w:after="0"/>
        <w:ind w:left="2599" w:right="0" w:hanging="2381"/>
        <w:jc w:val="left"/>
        <w:rPr>
          <w:sz w:val="21"/>
        </w:rPr>
      </w:pPr>
      <w:r>
        <w:rPr>
          <w:rFonts w:ascii="微软雅黑" w:eastAsia="微软雅黑" w:hint="eastAsia"/>
          <w:b/>
          <w:sz w:val="21"/>
        </w:rPr>
        <w:t>诉讼时效</w:t>
        <w:tab/>
      </w:r>
      <w:r>
        <w:rPr>
          <w:sz w:val="21"/>
        </w:rPr>
        <w:t>受益人向</w:t>
      </w:r>
      <w:r>
        <w:rPr>
          <w:spacing w:val="-5"/>
          <w:sz w:val="21"/>
        </w:rPr>
        <w:t>我</w:t>
      </w:r>
      <w:r>
        <w:rPr>
          <w:sz w:val="21"/>
        </w:rPr>
        <w:t>们请求</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6"/>
          <w:sz w:val="21"/>
        </w:rPr>
        <w:t> </w:t>
      </w:r>
      <w:r>
        <w:rPr>
          <w:sz w:val="21"/>
        </w:rPr>
        <w:t>2</w:t>
      </w:r>
      <w:r>
        <w:rPr>
          <w:spacing w:val="-30"/>
          <w:sz w:val="21"/>
        </w:rPr>
        <w:t> </w:t>
      </w:r>
      <w:r>
        <w:rPr>
          <w:spacing w:val="-5"/>
          <w:sz w:val="21"/>
        </w:rPr>
        <w:t>年</w:t>
      </w:r>
      <w:r>
        <w:rPr>
          <w:spacing w:val="-73"/>
          <w:sz w:val="21"/>
        </w:rPr>
        <w:t>，</w:t>
      </w:r>
      <w:r>
        <w:rPr>
          <w:sz w:val="21"/>
        </w:rPr>
        <w:t>自其知</w:t>
      </w:r>
      <w:r>
        <w:rPr>
          <w:spacing w:val="-5"/>
          <w:sz w:val="21"/>
        </w:rPr>
        <w:t>道</w:t>
      </w:r>
      <w:r>
        <w:rPr>
          <w:sz w:val="21"/>
        </w:rPr>
        <w:t>或者应</w:t>
      </w:r>
      <w:r>
        <w:rPr>
          <w:spacing w:val="-5"/>
          <w:sz w:val="21"/>
        </w:rPr>
        <w:t>当</w:t>
      </w:r>
      <w:r>
        <w:rPr>
          <w:sz w:val="21"/>
        </w:rPr>
        <w:t>知道保险</w:t>
      </w:r>
    </w:p>
    <w:p>
      <w:pPr>
        <w:spacing w:after="0" w:line="240" w:lineRule="auto"/>
        <w:jc w:val="left"/>
        <w:rPr>
          <w:sz w:val="21"/>
        </w:rPr>
        <w:sectPr>
          <w:type w:val="continuous"/>
          <w:pgSz w:w="11910" w:h="16840"/>
          <w:pgMar w:top="1120" w:bottom="280" w:left="800" w:right="800"/>
        </w:sectPr>
      </w:pPr>
    </w:p>
    <w:p>
      <w:pPr>
        <w:pStyle w:val="BodyText"/>
        <w:spacing w:before="12"/>
        <w:ind w:left="2599"/>
      </w:pPr>
      <w:r>
        <w:rPr/>
        <w:t>事故发生之日起计算。</w:t>
      </w:r>
    </w:p>
    <w:p>
      <w:pPr>
        <w:pStyle w:val="BodyText"/>
        <w:spacing w:before="5"/>
        <w:rPr>
          <w:sz w:val="20"/>
        </w:rPr>
      </w:pPr>
    </w:p>
    <w:p>
      <w:pPr>
        <w:pStyle w:val="Heading2"/>
        <w:tabs>
          <w:tab w:pos="899" w:val="left" w:leader="none"/>
        </w:tabs>
      </w:pPr>
      <w:r>
        <w:rPr/>
        <w:pict>
          <v:group style="position:absolute;margin-left:45.624001pt;margin-top:28.65473pt;width:504.45pt;height:.5pt;mso-position-horizontal-relative:page;mso-position-vertical-relative:paragraph;z-index:1288;mso-wrap-distance-left:0;mso-wrap-distance-right:0" coordorigin="912,573" coordsize="10089,10">
            <v:line style="position:absolute" from="912,578" to="1589,578" stroked="true" strokeweight=".48pt" strokecolor="#000000">
              <v:stroke dashstyle="solid"/>
            </v:line>
            <v:rect style="position:absolute;left:1589;top:573;width:10;height:10" filled="true" fillcolor="#000000" stroked="false">
              <v:fill type="solid"/>
            </v:rect>
            <v:line style="position:absolute" from="1599,578" to="3294,578" stroked="true" strokeweight=".48pt" strokecolor="#000000">
              <v:stroke dashstyle="solid"/>
            </v:line>
            <v:rect style="position:absolute;left:3294;top:573;width:10;height:10" filled="true" fillcolor="#000000" stroked="false">
              <v:fill type="solid"/>
            </v:rect>
            <v:line style="position:absolute" from="3304,578" to="11001,578" stroked="true" strokeweight=".48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b w:val="0"/>
          <w:position w:val="-4"/>
          <w:sz w:val="40"/>
        </w:rPr>
        <w:tab/>
      </w:r>
      <w:r>
        <w:rPr/>
        <w:t>您如何支付保险费</w:t>
      </w:r>
    </w:p>
    <w:p>
      <w:pPr>
        <w:pStyle w:val="BodyText"/>
        <w:spacing w:before="1"/>
        <w:rPr>
          <w:rFonts w:ascii="微软雅黑"/>
          <w:b/>
          <w:sz w:val="5"/>
        </w:rPr>
      </w:pPr>
    </w:p>
    <w:p>
      <w:pPr>
        <w:pStyle w:val="ListParagraph"/>
        <w:numPr>
          <w:ilvl w:val="1"/>
          <w:numId w:val="9"/>
        </w:numPr>
        <w:tabs>
          <w:tab w:pos="899" w:val="left" w:leader="none"/>
          <w:tab w:pos="900" w:val="left" w:leader="none"/>
          <w:tab w:pos="2599" w:val="left" w:leader="none"/>
        </w:tabs>
        <w:spacing w:line="337" w:lineRule="exact" w:before="0" w:after="0"/>
        <w:ind w:left="2599" w:right="0" w:hanging="2381"/>
        <w:jc w:val="left"/>
        <w:rPr>
          <w:sz w:val="21"/>
        </w:rPr>
      </w:pPr>
      <w:r>
        <w:rPr>
          <w:rFonts w:ascii="微软雅黑" w:eastAsia="微软雅黑" w:hint="eastAsia"/>
          <w:b/>
          <w:sz w:val="21"/>
        </w:rPr>
        <w:t>保险费的支付</w:t>
        <w:tab/>
      </w:r>
      <w:r>
        <w:rPr>
          <w:sz w:val="21"/>
        </w:rPr>
        <w:t>本主险合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和我们</w:t>
      </w:r>
      <w:r>
        <w:rPr>
          <w:spacing w:val="-5"/>
          <w:sz w:val="21"/>
        </w:rPr>
        <w:t>约</w:t>
      </w:r>
      <w:r>
        <w:rPr>
          <w:sz w:val="21"/>
        </w:rPr>
        <w:t>定</w:t>
      </w:r>
      <w:r>
        <w:rPr>
          <w:spacing w:val="-5"/>
          <w:sz w:val="21"/>
        </w:rPr>
        <w:t>并</w:t>
      </w:r>
      <w:r>
        <w:rPr>
          <w:sz w:val="21"/>
        </w:rPr>
        <w:t>在保险单</w:t>
      </w:r>
      <w:r>
        <w:rPr>
          <w:spacing w:val="-5"/>
          <w:sz w:val="21"/>
        </w:rPr>
        <w:t>上</w:t>
      </w:r>
      <w:r>
        <w:rPr>
          <w:sz w:val="21"/>
        </w:rPr>
        <w:t>载明。</w:t>
      </w:r>
    </w:p>
    <w:p>
      <w:pPr>
        <w:pStyle w:val="BodyText"/>
        <w:spacing w:line="273" w:lineRule="auto" w:before="11"/>
        <w:ind w:left="2599" w:right="206"/>
      </w:pPr>
      <w:r>
        <w:rPr>
          <w:spacing w:val="-8"/>
        </w:rPr>
        <w:t>分期支付保险费的，在支付首期保险费后，您应当按照约定，在每个保险费约定支</w:t>
      </w:r>
      <w:r>
        <w:rPr>
          <w:spacing w:val="-6"/>
        </w:rPr>
        <w:t>付日支付当期保险费。</w:t>
      </w:r>
    </w:p>
    <w:p>
      <w:pPr>
        <w:pStyle w:val="BodyText"/>
        <w:spacing w:before="7"/>
        <w:ind w:left="2599"/>
      </w:pPr>
      <w:r>
        <w:rPr/>
        <w:t>本主险合同的保险费按照约定的保险责任、保险金额和费率标准确定。</w:t>
      </w:r>
    </w:p>
    <w:p>
      <w:pPr>
        <w:pStyle w:val="BodyText"/>
        <w:spacing w:before="5"/>
        <w:rPr>
          <w:sz w:val="16"/>
        </w:rPr>
      </w:pPr>
    </w:p>
    <w:p>
      <w:pPr>
        <w:pStyle w:val="ListParagraph"/>
        <w:numPr>
          <w:ilvl w:val="1"/>
          <w:numId w:val="9"/>
        </w:numPr>
        <w:tabs>
          <w:tab w:pos="899" w:val="left" w:leader="none"/>
          <w:tab w:pos="900" w:val="left" w:leader="none"/>
          <w:tab w:pos="2599" w:val="left" w:leader="none"/>
        </w:tabs>
        <w:spacing w:line="256" w:lineRule="auto" w:before="0" w:after="0"/>
        <w:ind w:left="2599" w:right="242" w:hanging="2381"/>
        <w:jc w:val="left"/>
        <w:rPr>
          <w:sz w:val="21"/>
        </w:rPr>
      </w:pPr>
      <w:r>
        <w:rPr>
          <w:rFonts w:ascii="微软雅黑" w:eastAsia="微软雅黑" w:hint="eastAsia"/>
          <w:b/>
          <w:sz w:val="21"/>
        </w:rPr>
        <w:t>宽限期</w:t>
        <w:tab/>
      </w:r>
      <w:r>
        <w:rPr>
          <w:sz w:val="21"/>
        </w:rPr>
        <w:t>分期支付</w:t>
      </w:r>
      <w:r>
        <w:rPr>
          <w:spacing w:val="-5"/>
          <w:sz w:val="21"/>
        </w:rPr>
        <w:t>保</w:t>
      </w:r>
      <w:r>
        <w:rPr>
          <w:sz w:val="21"/>
        </w:rPr>
        <w:t>险费的</w:t>
      </w:r>
      <w:r>
        <w:rPr>
          <w:spacing w:val="-5"/>
          <w:sz w:val="21"/>
        </w:rPr>
        <w:t>，</w:t>
      </w:r>
      <w:r>
        <w:rPr>
          <w:sz w:val="21"/>
        </w:rPr>
        <w:t>除本主</w:t>
      </w:r>
      <w:r>
        <w:rPr>
          <w:spacing w:val="-5"/>
          <w:sz w:val="21"/>
        </w:rPr>
        <w:t>险</w:t>
      </w:r>
      <w:r>
        <w:rPr>
          <w:sz w:val="21"/>
        </w:rPr>
        <w:t>合同另</w:t>
      </w:r>
      <w:r>
        <w:rPr>
          <w:spacing w:val="-5"/>
          <w:sz w:val="21"/>
        </w:rPr>
        <w:t>有</w:t>
      </w:r>
      <w:r>
        <w:rPr>
          <w:sz w:val="21"/>
        </w:rPr>
        <w:t>约定外</w:t>
      </w:r>
      <w:r>
        <w:rPr>
          <w:spacing w:val="-5"/>
          <w:sz w:val="21"/>
        </w:rPr>
        <w:t>，</w:t>
      </w:r>
      <w:r>
        <w:rPr>
          <w:sz w:val="21"/>
        </w:rPr>
        <w:t>如</w:t>
      </w:r>
      <w:r>
        <w:rPr>
          <w:spacing w:val="-5"/>
          <w:sz w:val="21"/>
        </w:rPr>
        <w:t>果</w:t>
      </w:r>
      <w:r>
        <w:rPr>
          <w:sz w:val="21"/>
        </w:rPr>
        <w:t>您到期未</w:t>
      </w:r>
      <w:r>
        <w:rPr>
          <w:spacing w:val="-5"/>
          <w:sz w:val="21"/>
        </w:rPr>
        <w:t>支</w:t>
      </w:r>
      <w:r>
        <w:rPr>
          <w:sz w:val="21"/>
        </w:rPr>
        <w:t>付保险</w:t>
      </w:r>
      <w:r>
        <w:rPr>
          <w:spacing w:val="-5"/>
          <w:sz w:val="21"/>
        </w:rPr>
        <w:t>费</w:t>
      </w:r>
      <w:r>
        <w:rPr>
          <w:sz w:val="21"/>
        </w:rPr>
        <w:t>，自我 们催告之</w:t>
      </w:r>
      <w:r>
        <w:rPr>
          <w:spacing w:val="-5"/>
          <w:sz w:val="21"/>
        </w:rPr>
        <w:t>日</w:t>
      </w:r>
      <w:r>
        <w:rPr>
          <w:sz w:val="21"/>
        </w:rPr>
        <w:t>起</w:t>
      </w:r>
      <w:r>
        <w:rPr>
          <w:spacing w:val="-33"/>
          <w:sz w:val="21"/>
        </w:rPr>
        <w:t> </w:t>
      </w:r>
      <w:r>
        <w:rPr>
          <w:sz w:val="21"/>
        </w:rPr>
        <w:t>30</w:t>
      </w:r>
      <w:r>
        <w:rPr>
          <w:spacing w:val="-35"/>
          <w:sz w:val="21"/>
        </w:rPr>
        <w:t> </w:t>
      </w:r>
      <w:r>
        <w:rPr>
          <w:sz w:val="21"/>
        </w:rPr>
        <w:t>日</w:t>
      </w:r>
      <w:r>
        <w:rPr>
          <w:spacing w:val="-5"/>
          <w:sz w:val="21"/>
        </w:rPr>
        <w:t>为</w:t>
      </w:r>
      <w:r>
        <w:rPr>
          <w:sz w:val="21"/>
        </w:rPr>
        <w:t>宽限期</w:t>
      </w:r>
      <w:r>
        <w:rPr>
          <w:spacing w:val="-5"/>
          <w:sz w:val="21"/>
        </w:rPr>
        <w:t>；</w:t>
      </w:r>
      <w:r>
        <w:rPr>
          <w:sz w:val="21"/>
        </w:rPr>
        <w:t>如果您</w:t>
      </w:r>
      <w:r>
        <w:rPr>
          <w:spacing w:val="-5"/>
          <w:sz w:val="21"/>
        </w:rPr>
        <w:t>未</w:t>
      </w:r>
      <w:r>
        <w:rPr>
          <w:sz w:val="21"/>
        </w:rPr>
        <w:t>收到</w:t>
      </w:r>
      <w:r>
        <w:rPr>
          <w:spacing w:val="-5"/>
          <w:sz w:val="21"/>
        </w:rPr>
        <w:t>我</w:t>
      </w:r>
      <w:r>
        <w:rPr>
          <w:sz w:val="21"/>
        </w:rPr>
        <w:t>们</w:t>
      </w:r>
      <w:r>
        <w:rPr>
          <w:spacing w:val="-5"/>
          <w:sz w:val="21"/>
        </w:rPr>
        <w:t>的</w:t>
      </w:r>
      <w:r>
        <w:rPr>
          <w:sz w:val="21"/>
        </w:rPr>
        <w:t>催告通知</w:t>
      </w:r>
      <w:r>
        <w:rPr>
          <w:spacing w:val="-5"/>
          <w:sz w:val="21"/>
        </w:rPr>
        <w:t>，</w:t>
      </w:r>
      <w:r>
        <w:rPr>
          <w:sz w:val="21"/>
        </w:rPr>
        <w:t>自保险</w:t>
      </w:r>
      <w:r>
        <w:rPr>
          <w:spacing w:val="-5"/>
          <w:sz w:val="21"/>
        </w:rPr>
        <w:t>费</w:t>
      </w:r>
      <w:r>
        <w:rPr>
          <w:sz w:val="21"/>
        </w:rPr>
        <w:t>约定支付日起</w:t>
      </w:r>
      <w:r>
        <w:rPr>
          <w:spacing w:val="-48"/>
          <w:sz w:val="21"/>
        </w:rPr>
        <w:t> </w:t>
      </w:r>
      <w:r>
        <w:rPr>
          <w:sz w:val="21"/>
        </w:rPr>
        <w:t>60</w:t>
      </w:r>
      <w:r>
        <w:rPr>
          <w:spacing w:val="-48"/>
          <w:sz w:val="21"/>
        </w:rPr>
        <w:t> </w:t>
      </w:r>
      <w:r>
        <w:rPr>
          <w:sz w:val="21"/>
        </w:rPr>
        <w:t>日</w:t>
      </w:r>
      <w:r>
        <w:rPr>
          <w:spacing w:val="-5"/>
          <w:sz w:val="21"/>
        </w:rPr>
        <w:t>为</w:t>
      </w:r>
      <w:r>
        <w:rPr>
          <w:sz w:val="21"/>
        </w:rPr>
        <w:t>宽限期。</w:t>
      </w:r>
    </w:p>
    <w:p>
      <w:pPr>
        <w:pStyle w:val="BodyText"/>
        <w:spacing w:before="4"/>
        <w:rPr>
          <w:sz w:val="11"/>
        </w:rPr>
      </w:pPr>
    </w:p>
    <w:p>
      <w:pPr>
        <w:pStyle w:val="BodyText"/>
        <w:spacing w:line="268" w:lineRule="auto" w:before="37"/>
        <w:ind w:left="2599" w:right="349"/>
      </w:pPr>
      <w:r>
        <w:rPr>
          <w:shd w:fill="D9D9D9" w:color="auto" w:val="clear"/>
        </w:rPr>
        <w:t>宽限期内发生的保险事故，我们仍会承担保险责任，但在给付保险金时会扣减您欠交的保险费。</w:t>
      </w:r>
    </w:p>
    <w:p>
      <w:pPr>
        <w:pStyle w:val="BodyText"/>
        <w:spacing w:before="3"/>
        <w:rPr>
          <w:sz w:val="10"/>
        </w:rPr>
      </w:pPr>
    </w:p>
    <w:p>
      <w:pPr>
        <w:pStyle w:val="BodyText"/>
        <w:spacing w:line="273" w:lineRule="auto" w:before="36"/>
        <w:ind w:left="2599" w:right="209"/>
      </w:pPr>
      <w:r>
        <w:rPr>
          <w:spacing w:val="-8"/>
          <w:shd w:fill="D9D9D9" w:color="auto" w:val="clear"/>
        </w:rPr>
        <w:t>如果您宽限期结束之后仍未支付保险费，则本主险合同自宽限期满的次日零时起效力终止。</w:t>
      </w:r>
    </w:p>
    <w:p>
      <w:pPr>
        <w:pStyle w:val="BodyText"/>
        <w:spacing w:before="1"/>
        <w:rPr>
          <w:sz w:val="18"/>
        </w:rPr>
      </w:pPr>
    </w:p>
    <w:p>
      <w:pPr>
        <w:pStyle w:val="Heading2"/>
        <w:tabs>
          <w:tab w:pos="899" w:val="left" w:leader="none"/>
        </w:tabs>
      </w:pPr>
      <w:r>
        <w:rPr/>
        <w:pict>
          <v:group style="position:absolute;margin-left:45.624001pt;margin-top:28.624771pt;width:504.45pt;height:.5pt;mso-position-horizontal-relative:page;mso-position-vertical-relative:paragraph;z-index:1312;mso-wrap-distance-left:0;mso-wrap-distance-right:0" coordorigin="912,572" coordsize="10089,10">
            <v:line style="position:absolute" from="912,577" to="1589,577" stroked="true" strokeweight=".47998pt" strokecolor="#000000">
              <v:stroke dashstyle="solid"/>
            </v:line>
            <v:rect style="position:absolute;left:1589;top:572;width:10;height:10" filled="true" fillcolor="#000000" stroked="false">
              <v:fill type="solid"/>
            </v:rect>
            <v:line style="position:absolute" from="1599,577" to="3294,577" stroked="true" strokeweight=".47998pt" strokecolor="#000000">
              <v:stroke dashstyle="solid"/>
            </v:line>
            <v:rect style="position:absolute;left:3294;top:572;width:10;height:10" filled="true" fillcolor="#000000" stroked="false">
              <v:fill type="solid"/>
            </v:rect>
            <v:line style="position:absolute" from="3304,577" to="11001,577" stroked="true" strokeweight=".47998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b w:val="0"/>
          <w:position w:val="-4"/>
          <w:sz w:val="40"/>
        </w:rPr>
        <w:tab/>
      </w:r>
      <w:r>
        <w:rPr/>
        <w:t>您如何解除保险合同</w:t>
      </w:r>
    </w:p>
    <w:p>
      <w:pPr>
        <w:pStyle w:val="BodyText"/>
        <w:spacing w:before="1"/>
        <w:rPr>
          <w:rFonts w:ascii="微软雅黑"/>
          <w:b/>
          <w:sz w:val="5"/>
        </w:rPr>
      </w:pPr>
    </w:p>
    <w:p>
      <w:pPr>
        <w:spacing w:after="0"/>
        <w:rPr>
          <w:rFonts w:ascii="微软雅黑"/>
          <w:sz w:val="5"/>
        </w:rPr>
        <w:sectPr>
          <w:pgSz w:w="11910" w:h="16840"/>
          <w:pgMar w:top="1400" w:bottom="280" w:left="800" w:right="800"/>
        </w:sectPr>
      </w:pPr>
    </w:p>
    <w:p>
      <w:pPr>
        <w:pStyle w:val="Heading3"/>
        <w:tabs>
          <w:tab w:pos="899" w:val="left" w:leader="none"/>
        </w:tabs>
        <w:spacing w:line="206" w:lineRule="auto" w:before="25"/>
        <w:ind w:left="899" w:hanging="682"/>
      </w:pPr>
      <w:r>
        <w:rPr/>
        <w:t>4.1</w:t>
        <w:tab/>
        <w:t>您解除合同的手 续及风险</w:t>
      </w:r>
    </w:p>
    <w:p>
      <w:pPr>
        <w:pStyle w:val="BodyText"/>
        <w:spacing w:before="36"/>
        <w:ind w:left="181"/>
      </w:pPr>
      <w:r>
        <w:rPr/>
        <w:br w:type="column"/>
      </w:r>
      <w:r>
        <w:rPr>
          <w:shd w:fill="D9D9D9" w:color="auto" w:val="clear"/>
        </w:rPr>
        <w:t>除本主险合同另有约定外，您不得解除本主险合同。</w:t>
      </w:r>
    </w:p>
    <w:p>
      <w:pPr>
        <w:spacing w:after="0"/>
        <w:sectPr>
          <w:type w:val="continuous"/>
          <w:pgSz w:w="11910" w:h="16840"/>
          <w:pgMar w:top="1120" w:bottom="280" w:left="800" w:right="800"/>
          <w:cols w:num="2" w:equalWidth="0">
            <w:col w:w="2379" w:space="40"/>
            <w:col w:w="7891"/>
          </w:cols>
        </w:sectPr>
      </w:pPr>
    </w:p>
    <w:p>
      <w:pPr>
        <w:pStyle w:val="BodyText"/>
        <w:rPr>
          <w:sz w:val="20"/>
        </w:rPr>
      </w:pPr>
    </w:p>
    <w:p>
      <w:pPr>
        <w:pStyle w:val="Heading2"/>
        <w:tabs>
          <w:tab w:pos="899" w:val="left" w:leader="none"/>
        </w:tabs>
        <w:spacing w:before="220"/>
      </w:pPr>
      <w:r>
        <w:rPr/>
        <w:pict>
          <v:group style="position:absolute;margin-left:45.624001pt;margin-top:39.864719pt;width:504.45pt;height:.5pt;mso-position-horizontal-relative:page;mso-position-vertical-relative:paragraph;z-index:1336;mso-wrap-distance-left:0;mso-wrap-distance-right:0" coordorigin="912,797" coordsize="10089,10">
            <v:line style="position:absolute" from="912,802" to="1589,802" stroked="true" strokeweight=".48001pt" strokecolor="#000000">
              <v:stroke dashstyle="solid"/>
            </v:line>
            <v:rect style="position:absolute;left:1589;top:797;width:10;height:10" filled="true" fillcolor="#000000" stroked="false">
              <v:fill type="solid"/>
            </v:rect>
            <v:line style="position:absolute" from="1599,802" to="3294,802" stroked="true" strokeweight=".48001pt" strokecolor="#000000">
              <v:stroke dashstyle="solid"/>
            </v:line>
            <v:rect style="position:absolute;left:3294;top:797;width:10;height:10" filled="true" fillcolor="#000000" stroked="false">
              <v:fill type="solid"/>
            </v:rect>
            <v:line style="position:absolute" from="3304,802" to="11001,802" stroked="true" strokeweight=".48001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b w:val="0"/>
          <w:position w:val="-4"/>
          <w:sz w:val="40"/>
        </w:rPr>
        <w:tab/>
      </w:r>
      <w:r>
        <w:rPr/>
        <w:t>您需关注的其他事项</w:t>
      </w:r>
    </w:p>
    <w:p>
      <w:pPr>
        <w:pStyle w:val="BodyText"/>
        <w:spacing w:before="13"/>
        <w:rPr>
          <w:rFonts w:ascii="微软雅黑"/>
          <w:b/>
          <w:sz w:val="4"/>
        </w:rPr>
      </w:pPr>
    </w:p>
    <w:p>
      <w:pPr>
        <w:pStyle w:val="ListParagraph"/>
        <w:numPr>
          <w:ilvl w:val="1"/>
          <w:numId w:val="10"/>
        </w:numPr>
        <w:tabs>
          <w:tab w:pos="900" w:val="left" w:leader="none"/>
          <w:tab w:pos="2599" w:val="left" w:leader="none"/>
        </w:tabs>
        <w:spacing w:line="312" w:lineRule="exact" w:before="32" w:after="0"/>
        <w:ind w:left="2599" w:right="209" w:hanging="2381"/>
        <w:jc w:val="both"/>
        <w:rPr>
          <w:sz w:val="21"/>
        </w:rPr>
      </w:pPr>
      <w:r>
        <w:rPr>
          <w:rFonts w:ascii="微软雅黑" w:eastAsia="微软雅黑" w:hint="eastAsia"/>
          <w:b/>
          <w:sz w:val="21"/>
        </w:rPr>
        <w:t>合同构成</w:t>
        <w:tab/>
      </w:r>
      <w:r>
        <w:rPr>
          <w:sz w:val="21"/>
        </w:rPr>
        <w:t>本保险条款</w:t>
      </w:r>
      <w:r>
        <w:rPr>
          <w:spacing w:val="-25"/>
          <w:sz w:val="21"/>
        </w:rPr>
        <w:t>、</w:t>
      </w:r>
      <w:r>
        <w:rPr>
          <w:sz w:val="21"/>
        </w:rPr>
        <w:t>保险单</w:t>
      </w:r>
      <w:r>
        <w:rPr>
          <w:spacing w:val="-5"/>
          <w:sz w:val="21"/>
        </w:rPr>
        <w:t>或</w:t>
      </w:r>
      <w:r>
        <w:rPr>
          <w:sz w:val="21"/>
        </w:rPr>
        <w:t>其他保</w:t>
      </w:r>
      <w:r>
        <w:rPr>
          <w:spacing w:val="-5"/>
          <w:sz w:val="21"/>
        </w:rPr>
        <w:t>险</w:t>
      </w:r>
      <w:r>
        <w:rPr>
          <w:sz w:val="21"/>
        </w:rPr>
        <w:t>凭证</w:t>
      </w:r>
      <w:r>
        <w:rPr>
          <w:spacing w:val="-20"/>
          <w:sz w:val="21"/>
        </w:rPr>
        <w:t>、</w:t>
      </w:r>
      <w:r>
        <w:rPr>
          <w:sz w:val="21"/>
        </w:rPr>
        <w:t>投</w:t>
      </w:r>
      <w:r>
        <w:rPr>
          <w:spacing w:val="-5"/>
          <w:sz w:val="21"/>
        </w:rPr>
        <w:t>保</w:t>
      </w:r>
      <w:r>
        <w:rPr>
          <w:sz w:val="21"/>
        </w:rPr>
        <w:t>书</w:t>
      </w:r>
      <w:r>
        <w:rPr>
          <w:spacing w:val="-20"/>
          <w:sz w:val="21"/>
        </w:rPr>
        <w:t>、</w:t>
      </w:r>
      <w:r>
        <w:rPr>
          <w:sz w:val="21"/>
        </w:rPr>
        <w:t>与</w:t>
      </w:r>
      <w:r>
        <w:rPr>
          <w:spacing w:val="-5"/>
          <w:sz w:val="21"/>
        </w:rPr>
        <w:t>保</w:t>
      </w:r>
      <w:r>
        <w:rPr>
          <w:sz w:val="21"/>
        </w:rPr>
        <w:t>险合同有</w:t>
      </w:r>
      <w:r>
        <w:rPr>
          <w:spacing w:val="-5"/>
          <w:sz w:val="21"/>
        </w:rPr>
        <w:t>关</w:t>
      </w:r>
      <w:r>
        <w:rPr>
          <w:sz w:val="21"/>
        </w:rPr>
        <w:t>的投保</w:t>
      </w:r>
      <w:r>
        <w:rPr>
          <w:spacing w:val="-5"/>
          <w:sz w:val="21"/>
        </w:rPr>
        <w:t>文</w:t>
      </w:r>
      <w:r>
        <w:rPr>
          <w:sz w:val="21"/>
        </w:rPr>
        <w:t>件</w:t>
      </w:r>
      <w:r>
        <w:rPr>
          <w:spacing w:val="-20"/>
          <w:sz w:val="21"/>
        </w:rPr>
        <w:t>、</w:t>
      </w:r>
      <w:r>
        <w:rPr>
          <w:sz w:val="21"/>
        </w:rPr>
        <w:t>合法 有效的声</w:t>
      </w:r>
      <w:r>
        <w:rPr>
          <w:spacing w:val="-5"/>
          <w:sz w:val="21"/>
        </w:rPr>
        <w:t>明</w:t>
      </w:r>
      <w:r>
        <w:rPr>
          <w:spacing w:val="-25"/>
          <w:sz w:val="21"/>
        </w:rPr>
        <w:t>、</w:t>
      </w:r>
      <w:r>
        <w:rPr>
          <w:sz w:val="21"/>
        </w:rPr>
        <w:t>批注</w:t>
      </w:r>
      <w:r>
        <w:rPr>
          <w:spacing w:val="-29"/>
          <w:sz w:val="21"/>
        </w:rPr>
        <w:t>、</w:t>
      </w:r>
      <w:r>
        <w:rPr>
          <w:sz w:val="21"/>
        </w:rPr>
        <w:t>批单</w:t>
      </w:r>
      <w:r>
        <w:rPr>
          <w:spacing w:val="-25"/>
          <w:sz w:val="21"/>
        </w:rPr>
        <w:t>、</w:t>
      </w:r>
      <w:r>
        <w:rPr>
          <w:spacing w:val="-5"/>
          <w:sz w:val="21"/>
        </w:rPr>
        <w:t>其</w:t>
      </w:r>
      <w:r>
        <w:rPr>
          <w:sz w:val="21"/>
        </w:rPr>
        <w:t>他书面</w:t>
      </w:r>
      <w:r>
        <w:rPr>
          <w:spacing w:val="-5"/>
          <w:sz w:val="21"/>
        </w:rPr>
        <w:t>协</w:t>
      </w:r>
      <w:r>
        <w:rPr>
          <w:sz w:val="21"/>
        </w:rPr>
        <w:t>议都是</w:t>
      </w:r>
      <w:r>
        <w:rPr>
          <w:spacing w:val="-5"/>
          <w:sz w:val="21"/>
        </w:rPr>
        <w:t>您</w:t>
      </w:r>
      <w:r>
        <w:rPr>
          <w:sz w:val="21"/>
        </w:rPr>
        <w:t>与</w:t>
      </w:r>
      <w:r>
        <w:rPr>
          <w:spacing w:val="-5"/>
          <w:sz w:val="21"/>
        </w:rPr>
        <w:t>我</w:t>
      </w:r>
      <w:r>
        <w:rPr>
          <w:sz w:val="21"/>
        </w:rPr>
        <w:t>们之间订</w:t>
      </w:r>
      <w:r>
        <w:rPr>
          <w:spacing w:val="-5"/>
          <w:sz w:val="21"/>
        </w:rPr>
        <w:t>立</w:t>
      </w:r>
      <w:r>
        <w:rPr>
          <w:sz w:val="21"/>
        </w:rPr>
        <w:t>的保险</w:t>
      </w:r>
      <w:r>
        <w:rPr>
          <w:spacing w:val="-5"/>
          <w:sz w:val="21"/>
        </w:rPr>
        <w:t>合</w:t>
      </w:r>
      <w:r>
        <w:rPr>
          <w:sz w:val="21"/>
        </w:rPr>
        <w:t>同的构成部分。</w:t>
      </w:r>
    </w:p>
    <w:p>
      <w:pPr>
        <w:pStyle w:val="ListParagraph"/>
        <w:numPr>
          <w:ilvl w:val="1"/>
          <w:numId w:val="10"/>
        </w:numPr>
        <w:tabs>
          <w:tab w:pos="900" w:val="left" w:leader="none"/>
        </w:tabs>
        <w:spacing w:line="247" w:lineRule="auto" w:before="129" w:after="0"/>
        <w:ind w:left="2599" w:right="209" w:hanging="2381"/>
        <w:jc w:val="both"/>
        <w:rPr>
          <w:sz w:val="21"/>
        </w:rPr>
      </w:pPr>
      <w:r>
        <w:rPr>
          <w:rFonts w:ascii="微软雅黑" w:eastAsia="微软雅黑" w:hint="eastAsia"/>
          <w:b/>
          <w:spacing w:val="1"/>
          <w:sz w:val="21"/>
        </w:rPr>
        <w:t>合同成立与生效 </w:t>
      </w:r>
      <w:r>
        <w:rPr>
          <w:spacing w:val="-8"/>
          <w:sz w:val="21"/>
        </w:rPr>
        <w:t>您提出保险申请且支付首期保险费、我们同意承保，本主险合同成立。本主险合同</w:t>
      </w:r>
      <w:r>
        <w:rPr>
          <w:spacing w:val="-6"/>
          <w:sz w:val="21"/>
        </w:rPr>
        <w:t>的成立日及生效日以保险单上载明的为准。</w:t>
      </w:r>
    </w:p>
    <w:p>
      <w:pPr>
        <w:pStyle w:val="BodyText"/>
        <w:spacing w:line="273" w:lineRule="auto" w:before="31"/>
        <w:ind w:left="2599" w:right="209"/>
      </w:pPr>
      <w:r>
        <w:rPr>
          <w:spacing w:val="-8"/>
        </w:rPr>
        <w:t>除本主险合同另有约定外，我们自生效日零时起开始承担本主险合同约定的保险责</w:t>
      </w:r>
      <w:r>
        <w:rPr>
          <w:spacing w:val="-6"/>
        </w:rPr>
        <w:t>任。保单年度、保险费约定支付日均根据该日期计算。</w:t>
      </w:r>
    </w:p>
    <w:p>
      <w:pPr>
        <w:pStyle w:val="ListParagraph"/>
        <w:numPr>
          <w:ilvl w:val="1"/>
          <w:numId w:val="10"/>
        </w:numPr>
        <w:tabs>
          <w:tab w:pos="899" w:val="left" w:leader="none"/>
          <w:tab w:pos="900" w:val="left" w:leader="none"/>
          <w:tab w:pos="2599" w:val="left" w:leader="none"/>
        </w:tabs>
        <w:spacing w:line="240" w:lineRule="auto" w:before="113" w:after="0"/>
        <w:ind w:left="2599" w:right="0" w:hanging="2381"/>
        <w:jc w:val="left"/>
        <w:rPr>
          <w:sz w:val="21"/>
        </w:rPr>
      </w:pPr>
      <w:r>
        <w:rPr>
          <w:rFonts w:ascii="微软雅黑" w:eastAsia="微软雅黑" w:hint="eastAsia"/>
          <w:b/>
          <w:sz w:val="21"/>
        </w:rPr>
        <w:t>投保年龄</w:t>
        <w:tab/>
      </w:r>
      <w:r>
        <w:rPr>
          <w:sz w:val="21"/>
        </w:rPr>
        <w:t>指本主险</w:t>
      </w:r>
      <w:r>
        <w:rPr>
          <w:spacing w:val="-5"/>
          <w:sz w:val="21"/>
        </w:rPr>
        <w:t>合</w:t>
      </w:r>
      <w:r>
        <w:rPr>
          <w:sz w:val="21"/>
        </w:rPr>
        <w:t>同生效</w:t>
      </w:r>
      <w:r>
        <w:rPr>
          <w:spacing w:val="-5"/>
          <w:sz w:val="21"/>
        </w:rPr>
        <w:t>时</w:t>
      </w:r>
      <w:r>
        <w:rPr>
          <w:sz w:val="21"/>
        </w:rPr>
        <w:t>被保险</w:t>
      </w:r>
      <w:r>
        <w:rPr>
          <w:spacing w:val="-5"/>
          <w:sz w:val="21"/>
        </w:rPr>
        <w:t>人</w:t>
      </w:r>
      <w:r>
        <w:rPr>
          <w:sz w:val="21"/>
        </w:rPr>
        <w:t>的年龄</w:t>
      </w:r>
      <w:r>
        <w:rPr>
          <w:spacing w:val="-5"/>
          <w:sz w:val="21"/>
        </w:rPr>
        <w:t>，</w:t>
      </w:r>
      <w:r>
        <w:rPr>
          <w:sz w:val="21"/>
        </w:rPr>
        <w:t>投保年</w:t>
      </w:r>
      <w:r>
        <w:rPr>
          <w:spacing w:val="-5"/>
          <w:sz w:val="21"/>
        </w:rPr>
        <w:t>龄</w:t>
      </w:r>
      <w:r>
        <w:rPr>
          <w:spacing w:val="-4"/>
          <w:sz w:val="21"/>
        </w:rPr>
        <w:t>以</w:t>
      </w:r>
      <w:r>
        <w:rPr>
          <w:rFonts w:ascii="微软雅黑" w:eastAsia="微软雅黑" w:hint="eastAsia"/>
          <w:b/>
          <w:sz w:val="21"/>
        </w:rPr>
        <w:t>周</w:t>
      </w:r>
      <w:r>
        <w:rPr>
          <w:rFonts w:ascii="微软雅黑" w:eastAsia="微软雅黑" w:hint="eastAsia"/>
          <w:b/>
          <w:spacing w:val="2"/>
          <w:sz w:val="21"/>
        </w:rPr>
        <w:t>岁</w:t>
      </w:r>
      <w:r>
        <w:rPr>
          <w:spacing w:val="-5"/>
          <w:sz w:val="21"/>
        </w:rPr>
        <w:t>（</w:t>
      </w:r>
      <w:r>
        <w:rPr>
          <w:sz w:val="21"/>
        </w:rPr>
        <w:t>见</w:t>
      </w:r>
      <w:r>
        <w:rPr>
          <w:spacing w:val="-19"/>
          <w:sz w:val="21"/>
        </w:rPr>
        <w:t> </w:t>
      </w:r>
      <w:r>
        <w:rPr>
          <w:sz w:val="21"/>
        </w:rPr>
        <w:t>6.16）计算。</w:t>
      </w:r>
    </w:p>
    <w:p>
      <w:pPr>
        <w:pStyle w:val="BodyText"/>
        <w:spacing w:before="3"/>
        <w:rPr>
          <w:sz w:val="11"/>
        </w:rPr>
      </w:pPr>
    </w:p>
    <w:p>
      <w:pPr>
        <w:spacing w:after="0"/>
        <w:rPr>
          <w:sz w:val="11"/>
        </w:rPr>
        <w:sectPr>
          <w:type w:val="continuous"/>
          <w:pgSz w:w="11910" w:h="16840"/>
          <w:pgMar w:top="1120" w:bottom="280" w:left="800" w:right="800"/>
        </w:sectPr>
      </w:pPr>
    </w:p>
    <w:p>
      <w:pPr>
        <w:pStyle w:val="Heading3"/>
        <w:numPr>
          <w:ilvl w:val="1"/>
          <w:numId w:val="10"/>
        </w:numPr>
        <w:tabs>
          <w:tab w:pos="899" w:val="left" w:leader="none"/>
          <w:tab w:pos="900" w:val="left" w:leader="none"/>
        </w:tabs>
        <w:spacing w:line="312" w:lineRule="exact" w:before="0" w:after="0"/>
        <w:ind w:left="2599" w:right="0" w:hanging="2381"/>
        <w:jc w:val="left"/>
      </w:pPr>
      <w:r>
        <w:rPr/>
        <w:t>明确说明与如实</w:t>
      </w:r>
    </w:p>
    <w:p>
      <w:pPr>
        <w:spacing w:line="337" w:lineRule="exact" w:before="0"/>
        <w:ind w:left="882" w:right="1036" w:firstLine="0"/>
        <w:jc w:val="center"/>
        <w:rPr>
          <w:rFonts w:ascii="微软雅黑" w:eastAsia="微软雅黑" w:hint="eastAsia"/>
          <w:b/>
          <w:sz w:val="21"/>
        </w:rPr>
      </w:pPr>
      <w:r>
        <w:rPr>
          <w:rFonts w:ascii="微软雅黑" w:eastAsia="微软雅黑" w:hint="eastAsia"/>
          <w:b/>
          <w:sz w:val="21"/>
        </w:rPr>
        <w:t>告知</w:t>
      </w:r>
    </w:p>
    <w:p>
      <w:pPr>
        <w:pStyle w:val="BodyText"/>
        <w:spacing w:line="273" w:lineRule="auto" w:before="37"/>
        <w:ind w:left="181" w:right="209"/>
        <w:jc w:val="both"/>
      </w:pPr>
      <w:r>
        <w:rPr/>
        <w:br w:type="column"/>
      </w:r>
      <w:r>
        <w:rPr>
          <w:spacing w:val="-8"/>
        </w:rPr>
        <w:t>订立本主险合同时，我们会向您说明本主险合同的内容。对本主险合同中免除我们</w:t>
      </w:r>
      <w:r>
        <w:rPr>
          <w:spacing w:val="-11"/>
        </w:rPr>
        <w:t>责任的条款，我们在订立合同时会在投保单、保险单或者其他保险凭证上作出足以引起您注意的提示，并对该条款的内容以书面或者口头形式向您作出明确说明，未</w:t>
      </w:r>
      <w:r>
        <w:rPr>
          <w:spacing w:val="-7"/>
        </w:rPr>
        <w:t>作提示或者明确说明的，该条款不产生效力。</w:t>
      </w:r>
    </w:p>
    <w:p>
      <w:pPr>
        <w:pStyle w:val="BodyText"/>
        <w:spacing w:before="8"/>
        <w:ind w:left="181"/>
      </w:pPr>
      <w:r>
        <w:rPr/>
        <w:t>我们就您和被保险人的有关情况提出询问，您应当如实告知。</w:t>
      </w:r>
    </w:p>
    <w:p>
      <w:pPr>
        <w:pStyle w:val="BodyText"/>
        <w:spacing w:line="273" w:lineRule="auto" w:before="37"/>
        <w:ind w:left="181" w:right="209"/>
        <w:jc w:val="both"/>
      </w:pPr>
      <w:r>
        <w:rPr>
          <w:spacing w:val="-8"/>
          <w:shd w:fill="D9D9D9" w:color="auto" w:val="clear"/>
        </w:rPr>
        <w:t>如果您故意或者因重大过失未履行前款规定的如实告知义务，足以影响我们决定是</w:t>
      </w:r>
      <w:r>
        <w:rPr>
          <w:spacing w:val="-6"/>
          <w:shd w:fill="D9D9D9" w:color="auto" w:val="clear"/>
        </w:rPr>
        <w:t>否同意承保或者提</w:t>
      </w:r>
      <w:r>
        <w:rPr>
          <w:spacing w:val="-212"/>
          <w:shd w:fill="D9D9D9" w:color="auto" w:val="clear"/>
        </w:rPr>
        <w:t>高</w:t>
      </w:r>
      <w:r>
        <w:rPr>
          <w:spacing w:val="-5"/>
          <w:shd w:fill="D9D9D9" w:color="auto" w:val="clear"/>
        </w:rPr>
        <w:t>保险费率的，我们有权解除本主险合同。</w:t>
      </w:r>
    </w:p>
    <w:p>
      <w:pPr>
        <w:pStyle w:val="BodyText"/>
        <w:spacing w:line="273" w:lineRule="auto" w:before="7"/>
        <w:ind w:left="181" w:right="209"/>
        <w:jc w:val="both"/>
      </w:pPr>
      <w:r>
        <w:rPr>
          <w:spacing w:val="-7"/>
          <w:shd w:fill="D9D9D9" w:color="auto" w:val="clear"/>
        </w:rPr>
        <w:t>如果您故意不履行如实告知义务，对于本主险合同解除前发生的保险事故，我们不</w:t>
      </w:r>
      <w:r>
        <w:rPr>
          <w:spacing w:val="-6"/>
          <w:shd w:fill="D9D9D9" w:color="auto" w:val="clear"/>
        </w:rPr>
        <w:t>承担给付保险金的责任，并不退还保险费。</w:t>
      </w:r>
    </w:p>
    <w:p>
      <w:pPr>
        <w:spacing w:after="0" w:line="273" w:lineRule="auto"/>
        <w:jc w:val="both"/>
        <w:sectPr>
          <w:type w:val="continuous"/>
          <w:pgSz w:w="11910" w:h="16840"/>
          <w:pgMar w:top="1120" w:bottom="280" w:left="800" w:right="800"/>
          <w:cols w:num="2" w:equalWidth="0">
            <w:col w:w="2379" w:space="40"/>
            <w:col w:w="7891"/>
          </w:cols>
        </w:sectPr>
      </w:pPr>
    </w:p>
    <w:p>
      <w:pPr>
        <w:pStyle w:val="BodyText"/>
        <w:ind w:left="2599"/>
        <w:rPr>
          <w:sz w:val="20"/>
        </w:rPr>
      </w:pPr>
      <w:r>
        <w:rPr>
          <w:sz w:val="20"/>
        </w:rPr>
        <w:pict>
          <v:shape style="width:374.55pt;height:13.95pt;mso-position-horizontal-relative:char;mso-position-vertical-relative:line" type="#_x0000_t202" filled="true" fillcolor="#d9d9d9" stroked="false">
            <w10:anchorlock/>
            <v:textbox inset="0,0,0,0">
              <w:txbxContent>
                <w:p>
                  <w:pPr>
                    <w:pStyle w:val="BodyText"/>
                    <w:spacing w:line="246" w:lineRule="exact"/>
                    <w:ind w:right="-15"/>
                  </w:pPr>
                  <w:r>
                    <w:rPr>
                      <w:spacing w:val="-7"/>
                    </w:rPr>
                    <w:t>如果您因重大过失未履行如实告知义务，对保险事故的发生有严重影响的，对于本</w:t>
                  </w:r>
                </w:p>
              </w:txbxContent>
            </v:textbox>
            <v:fill type="solid"/>
          </v:shape>
        </w:pict>
      </w:r>
      <w:r>
        <w:rPr>
          <w:sz w:val="20"/>
        </w:rPr>
      </w:r>
    </w:p>
    <w:p>
      <w:pPr>
        <w:pStyle w:val="BodyText"/>
        <w:spacing w:line="258" w:lineRule="exact"/>
        <w:ind w:right="104"/>
        <w:jc w:val="right"/>
      </w:pPr>
      <w:r>
        <w:rPr/>
        <w:pict>
          <v:shape style="position:absolute;margin-left:169.990005pt;margin-top:.6pt;width:374.55pt;height:13.95pt;mso-position-horizontal-relative:page;mso-position-vertical-relative:paragraph;z-index:-31384" type="#_x0000_t202" filled="true" fillcolor="#d9d9d9" stroked="false">
            <v:textbox inset="0,0,0,0">
              <w:txbxContent>
                <w:p>
                  <w:pPr>
                    <w:pStyle w:val="BodyText"/>
                    <w:spacing w:line="246" w:lineRule="exact"/>
                  </w:pPr>
                  <w:r>
                    <w:rPr>
                      <w:spacing w:val="-12"/>
                    </w:rPr>
                    <w:t>主险合同解除前发生的保险事故，我们不承担给付保险金的责任，但会退还保险费</w:t>
                  </w:r>
                </w:p>
              </w:txbxContent>
            </v:textbox>
            <v:fill type="solid"/>
            <w10:wrap type="none"/>
          </v:shape>
        </w:pict>
      </w:r>
      <w:r>
        <w:rPr>
          <w:w w:val="100"/>
        </w:rPr>
        <w:t>。</w:t>
      </w:r>
    </w:p>
    <w:p>
      <w:pPr>
        <w:pStyle w:val="BodyText"/>
        <w:spacing w:line="273" w:lineRule="auto" w:before="37"/>
        <w:ind w:left="2599" w:right="349"/>
      </w:pPr>
      <w:r>
        <w:rPr/>
        <w:t>我们在合同订立时已经知道您未如实告知的情况的，我们不得解除本主险合同； 发生保险事故的，我们承担给付保险金的责任。</w:t>
      </w:r>
    </w:p>
    <w:p>
      <w:pPr>
        <w:pStyle w:val="BodyText"/>
        <w:spacing w:before="8"/>
        <w:rPr>
          <w:sz w:val="10"/>
        </w:rPr>
      </w:pPr>
    </w:p>
    <w:p>
      <w:pPr>
        <w:spacing w:after="0"/>
        <w:rPr>
          <w:sz w:val="10"/>
        </w:rPr>
        <w:sectPr>
          <w:pgSz w:w="11910" w:h="16840"/>
          <w:pgMar w:top="1440" w:bottom="280" w:left="800" w:right="800"/>
        </w:sectPr>
      </w:pPr>
    </w:p>
    <w:p>
      <w:pPr>
        <w:pStyle w:val="Heading3"/>
        <w:numPr>
          <w:ilvl w:val="1"/>
          <w:numId w:val="10"/>
        </w:numPr>
        <w:tabs>
          <w:tab w:pos="899" w:val="left" w:leader="none"/>
          <w:tab w:pos="900" w:val="left" w:leader="none"/>
        </w:tabs>
        <w:spacing w:line="206" w:lineRule="auto" w:before="25" w:after="0"/>
        <w:ind w:left="899" w:right="0" w:hanging="681"/>
        <w:jc w:val="left"/>
      </w:pPr>
      <w:r>
        <w:rPr/>
        <w:t>本公司合同解除权的限制</w:t>
      </w:r>
    </w:p>
    <w:p>
      <w:pPr>
        <w:pStyle w:val="BodyText"/>
        <w:spacing w:before="36"/>
        <w:ind w:left="181"/>
      </w:pPr>
      <w:r>
        <w:rPr/>
        <w:br w:type="column"/>
      </w:r>
      <w:r>
        <w:rPr>
          <w:spacing w:val="-9"/>
        </w:rPr>
        <w:t>前条规定的合同解除权，自我们知道有解除事由之日起，超过 </w:t>
      </w:r>
      <w:r>
        <w:rPr/>
        <w:t>30</w:t>
      </w:r>
      <w:r>
        <w:rPr>
          <w:spacing w:val="-7"/>
        </w:rPr>
        <w:t> 日不行使而消灭。</w:t>
      </w:r>
    </w:p>
    <w:p>
      <w:pPr>
        <w:spacing w:after="0"/>
        <w:sectPr>
          <w:type w:val="continuous"/>
          <w:pgSz w:w="11910" w:h="16840"/>
          <w:pgMar w:top="1120" w:bottom="280" w:left="800" w:right="800"/>
          <w:cols w:num="2" w:equalWidth="0">
            <w:col w:w="2379" w:space="40"/>
            <w:col w:w="7891"/>
          </w:cols>
        </w:sectPr>
      </w:pPr>
    </w:p>
    <w:p>
      <w:pPr>
        <w:pStyle w:val="BodyText"/>
        <w:spacing w:before="4"/>
        <w:rPr>
          <w:sz w:val="11"/>
        </w:rPr>
      </w:pPr>
    </w:p>
    <w:p>
      <w:pPr>
        <w:pStyle w:val="ListParagraph"/>
        <w:numPr>
          <w:ilvl w:val="1"/>
          <w:numId w:val="10"/>
        </w:numPr>
        <w:tabs>
          <w:tab w:pos="900" w:val="left" w:leader="none"/>
          <w:tab w:pos="2599" w:val="left" w:leader="none"/>
        </w:tabs>
        <w:spacing w:line="312" w:lineRule="exact" w:before="32" w:after="0"/>
        <w:ind w:left="2599" w:right="212" w:hanging="2381"/>
        <w:jc w:val="both"/>
        <w:rPr>
          <w:sz w:val="21"/>
        </w:rPr>
      </w:pPr>
      <w:r>
        <w:rPr>
          <w:rFonts w:ascii="微软雅黑" w:eastAsia="微软雅黑" w:hint="eastAsia"/>
          <w:b/>
          <w:sz w:val="21"/>
        </w:rPr>
        <w:t>年龄错误</w:t>
        <w:tab/>
      </w:r>
      <w:r>
        <w:rPr>
          <w:spacing w:val="2"/>
          <w:sz w:val="21"/>
        </w:rPr>
        <w:t>您在</w:t>
      </w:r>
      <w:r>
        <w:rPr>
          <w:sz w:val="21"/>
        </w:rPr>
        <w:t>申</w:t>
      </w:r>
      <w:r>
        <w:rPr>
          <w:spacing w:val="2"/>
          <w:sz w:val="21"/>
        </w:rPr>
        <w:t>请投</w:t>
      </w:r>
      <w:r>
        <w:rPr>
          <w:sz w:val="21"/>
        </w:rPr>
        <w:t>保</w:t>
      </w:r>
      <w:r>
        <w:rPr>
          <w:spacing w:val="2"/>
          <w:sz w:val="21"/>
        </w:rPr>
        <w:t>时</w:t>
      </w:r>
      <w:r>
        <w:rPr>
          <w:sz w:val="21"/>
        </w:rPr>
        <w:t>，</w:t>
      </w:r>
      <w:r>
        <w:rPr>
          <w:spacing w:val="2"/>
          <w:sz w:val="21"/>
        </w:rPr>
        <w:t>应</w:t>
      </w:r>
      <w:r>
        <w:rPr>
          <w:sz w:val="21"/>
        </w:rPr>
        <w:t>将</w:t>
      </w:r>
      <w:r>
        <w:rPr>
          <w:spacing w:val="2"/>
          <w:sz w:val="21"/>
        </w:rPr>
        <w:t>与有</w:t>
      </w:r>
      <w:r>
        <w:rPr>
          <w:sz w:val="21"/>
        </w:rPr>
        <w:t>效</w:t>
      </w:r>
      <w:r>
        <w:rPr>
          <w:spacing w:val="2"/>
          <w:sz w:val="21"/>
        </w:rPr>
        <w:t>身</w:t>
      </w:r>
      <w:r>
        <w:rPr>
          <w:sz w:val="21"/>
        </w:rPr>
        <w:t>份</w:t>
      </w:r>
      <w:r>
        <w:rPr>
          <w:spacing w:val="2"/>
          <w:sz w:val="21"/>
        </w:rPr>
        <w:t>证件</w:t>
      </w:r>
      <w:r>
        <w:rPr>
          <w:sz w:val="21"/>
        </w:rPr>
        <w:t>相</w:t>
      </w:r>
      <w:r>
        <w:rPr>
          <w:spacing w:val="2"/>
          <w:sz w:val="21"/>
        </w:rPr>
        <w:t>符</w:t>
      </w:r>
      <w:r>
        <w:rPr>
          <w:sz w:val="21"/>
        </w:rPr>
        <w:t>的</w:t>
      </w:r>
      <w:r>
        <w:rPr>
          <w:spacing w:val="2"/>
          <w:sz w:val="21"/>
        </w:rPr>
        <w:t>被</w:t>
      </w:r>
      <w:r>
        <w:rPr>
          <w:sz w:val="21"/>
        </w:rPr>
        <w:t>保</w:t>
      </w:r>
      <w:r>
        <w:rPr>
          <w:spacing w:val="2"/>
          <w:sz w:val="21"/>
        </w:rPr>
        <w:t>险人</w:t>
      </w:r>
      <w:r>
        <w:rPr>
          <w:sz w:val="21"/>
        </w:rPr>
        <w:t>的</w:t>
      </w:r>
      <w:r>
        <w:rPr>
          <w:spacing w:val="2"/>
          <w:sz w:val="21"/>
        </w:rPr>
        <w:t>出生</w:t>
      </w:r>
      <w:r>
        <w:rPr>
          <w:sz w:val="21"/>
        </w:rPr>
        <w:t>日</w:t>
      </w:r>
      <w:r>
        <w:rPr>
          <w:spacing w:val="2"/>
          <w:sz w:val="21"/>
        </w:rPr>
        <w:t>期</w:t>
      </w:r>
      <w:r>
        <w:rPr>
          <w:sz w:val="21"/>
        </w:rPr>
        <w:t>在</w:t>
      </w:r>
      <w:r>
        <w:rPr>
          <w:spacing w:val="2"/>
          <w:sz w:val="21"/>
        </w:rPr>
        <w:t>投</w:t>
      </w:r>
      <w:r>
        <w:rPr>
          <w:sz w:val="21"/>
        </w:rPr>
        <w:t>保</w:t>
      </w:r>
      <w:r>
        <w:rPr>
          <w:spacing w:val="2"/>
          <w:sz w:val="21"/>
        </w:rPr>
        <w:t>书上</w:t>
      </w:r>
      <w:r>
        <w:rPr>
          <w:sz w:val="21"/>
        </w:rPr>
        <w:t>填 明，如果</w:t>
      </w:r>
      <w:r>
        <w:rPr>
          <w:spacing w:val="-5"/>
          <w:sz w:val="21"/>
        </w:rPr>
        <w:t>发</w:t>
      </w:r>
      <w:r>
        <w:rPr>
          <w:sz w:val="21"/>
        </w:rPr>
        <w:t>生错误</w:t>
      </w:r>
      <w:r>
        <w:rPr>
          <w:spacing w:val="-5"/>
          <w:sz w:val="21"/>
        </w:rPr>
        <w:t>按</w:t>
      </w:r>
      <w:r>
        <w:rPr>
          <w:sz w:val="21"/>
        </w:rPr>
        <w:t>照下列</w:t>
      </w:r>
      <w:r>
        <w:rPr>
          <w:spacing w:val="-5"/>
          <w:sz w:val="21"/>
        </w:rPr>
        <w:t>方</w:t>
      </w:r>
      <w:r>
        <w:rPr>
          <w:sz w:val="21"/>
        </w:rPr>
        <w:t>式办理：</w:t>
      </w:r>
    </w:p>
    <w:p>
      <w:pPr>
        <w:pStyle w:val="BodyText"/>
        <w:spacing w:line="273" w:lineRule="auto" w:before="4"/>
        <w:ind w:left="2599" w:right="207"/>
        <w:jc w:val="both"/>
      </w:pPr>
      <w:r>
        <w:rPr>
          <w:shd w:fill="D9D9D9" w:color="auto" w:val="clear"/>
        </w:rPr>
        <w:t>（1）</w:t>
      </w:r>
      <w:r>
        <w:rPr>
          <w:spacing w:val="-1"/>
          <w:shd w:fill="D9D9D9" w:color="auto" w:val="clear"/>
        </w:rPr>
        <w:t>您申报的被保险人年龄不真实，并且其真实年龄不符合本主险合同约定投保年龄限制</w:t>
      </w:r>
      <w:r>
        <w:rPr>
          <w:spacing w:val="-20"/>
          <w:shd w:fill="D9D9D9" w:color="auto" w:val="clear"/>
        </w:rPr>
        <w:t>的，我们有权解除合同，并向您退还本主险合同的现金价值。</w:t>
      </w:r>
      <w:r>
        <w:rPr>
          <w:spacing w:val="-2"/>
        </w:rPr>
        <w:t>我们行使合同</w:t>
      </w:r>
      <w:r>
        <w:rPr>
          <w:spacing w:val="-3"/>
        </w:rPr>
        <w:t>解除权适用</w:t>
      </w:r>
      <w:r>
        <w:rPr/>
        <w:t>“5.5</w:t>
      </w:r>
      <w:r>
        <w:rPr>
          <w:spacing w:val="-6"/>
        </w:rPr>
        <w:t> 本公司合同解除权的限制”的规定。</w:t>
      </w:r>
    </w:p>
    <w:p>
      <w:pPr>
        <w:pStyle w:val="BodyText"/>
        <w:spacing w:line="273" w:lineRule="auto" w:before="7"/>
        <w:ind w:left="2599" w:right="209"/>
        <w:jc w:val="both"/>
      </w:pPr>
      <w:r>
        <w:rPr/>
        <w:t>（2）</w:t>
      </w:r>
      <w:r>
        <w:rPr>
          <w:spacing w:val="-1"/>
        </w:rPr>
        <w:t>投保人申报的被保险人年龄不真实，致使投保人实交保险费少于应交保险费</w:t>
      </w:r>
      <w:r>
        <w:rPr>
          <w:spacing w:val="-9"/>
        </w:rPr>
        <w:t>的，本公司有权更正并要求投保人补交保险费。若被保险人已经发生保险事故，在</w:t>
      </w:r>
      <w:r>
        <w:rPr>
          <w:spacing w:val="-7"/>
        </w:rPr>
        <w:t>给付保险金时按实交保险费和应交保险费的比例给付。</w:t>
      </w:r>
    </w:p>
    <w:p>
      <w:pPr>
        <w:pStyle w:val="BodyText"/>
        <w:spacing w:line="273" w:lineRule="auto" w:before="7"/>
        <w:ind w:left="2599" w:right="209"/>
        <w:jc w:val="both"/>
      </w:pPr>
      <w:r>
        <w:rPr/>
        <w:t>（3）投保人申报的被保险人年龄不真实，致使投保人实交保险费多于应交保险费的，本公司会将多收的保险费无息退还给投保人。</w:t>
      </w:r>
    </w:p>
    <w:p>
      <w:pPr>
        <w:pStyle w:val="ListParagraph"/>
        <w:numPr>
          <w:ilvl w:val="1"/>
          <w:numId w:val="10"/>
        </w:numPr>
        <w:tabs>
          <w:tab w:pos="900" w:val="left" w:leader="none"/>
        </w:tabs>
        <w:spacing w:line="259" w:lineRule="auto" w:before="113" w:after="0"/>
        <w:ind w:left="2599" w:right="137" w:hanging="2381"/>
        <w:jc w:val="both"/>
        <w:rPr>
          <w:sz w:val="21"/>
        </w:rPr>
      </w:pPr>
      <w:r>
        <w:rPr>
          <w:rFonts w:ascii="微软雅黑" w:eastAsia="微软雅黑" w:hint="eastAsia"/>
          <w:b/>
          <w:spacing w:val="3"/>
          <w:sz w:val="21"/>
        </w:rPr>
        <w:t>合同内容变更    </w:t>
      </w:r>
      <w:r>
        <w:rPr>
          <w:spacing w:val="-5"/>
          <w:sz w:val="21"/>
        </w:rPr>
        <w:t>在本主险合同有效期内，经您与我们协商一致，可以变更本主险合同的有关内容。变更本主险合同的，应当由我们在保险单或者其他保险凭证上批注或者附贴批单， 或者由您与我们订立书面的变更协议。</w:t>
      </w:r>
    </w:p>
    <w:p>
      <w:pPr>
        <w:pStyle w:val="ListParagraph"/>
        <w:numPr>
          <w:ilvl w:val="1"/>
          <w:numId w:val="10"/>
        </w:numPr>
        <w:tabs>
          <w:tab w:pos="900" w:val="left" w:leader="none"/>
        </w:tabs>
        <w:spacing w:line="261" w:lineRule="auto" w:before="130" w:after="0"/>
        <w:ind w:left="2599" w:right="209" w:hanging="2381"/>
        <w:jc w:val="both"/>
        <w:rPr>
          <w:sz w:val="21"/>
        </w:rPr>
      </w:pPr>
      <w:r>
        <w:rPr>
          <w:rFonts w:ascii="微软雅黑" w:eastAsia="微软雅黑" w:hint="eastAsia"/>
          <w:b/>
          <w:spacing w:val="3"/>
          <w:sz w:val="21"/>
        </w:rPr>
        <w:t>联系方式变更    </w:t>
      </w:r>
      <w:r>
        <w:rPr>
          <w:spacing w:val="-8"/>
          <w:sz w:val="21"/>
        </w:rPr>
        <w:t>为了保障您的合法权益，您的住所、通讯地址或电话等联系方式变更时，请及时以</w:t>
      </w:r>
      <w:r>
        <w:rPr>
          <w:spacing w:val="-10"/>
          <w:sz w:val="21"/>
        </w:rPr>
        <w:t>书面形式或双方认可的其他形式通知我们。若您未以书面形式或双方认可的其他形</w:t>
      </w:r>
      <w:r>
        <w:rPr>
          <w:spacing w:val="-11"/>
          <w:sz w:val="21"/>
        </w:rPr>
        <w:t>式通知我们，我们按本主险合同载明的最后住所或通讯地址所发送的有关通知，均</w:t>
      </w:r>
      <w:r>
        <w:rPr>
          <w:spacing w:val="-7"/>
          <w:sz w:val="21"/>
        </w:rPr>
        <w:t>视为已送达给您。</w:t>
      </w:r>
    </w:p>
    <w:p>
      <w:pPr>
        <w:pStyle w:val="ListParagraph"/>
        <w:numPr>
          <w:ilvl w:val="1"/>
          <w:numId w:val="10"/>
        </w:numPr>
        <w:tabs>
          <w:tab w:pos="900" w:val="left" w:leader="none"/>
          <w:tab w:pos="2599" w:val="left" w:leader="none"/>
        </w:tabs>
        <w:spacing w:line="247" w:lineRule="auto" w:before="123" w:after="0"/>
        <w:ind w:left="2599" w:right="209" w:hanging="2381"/>
        <w:jc w:val="both"/>
        <w:rPr>
          <w:sz w:val="21"/>
        </w:rPr>
      </w:pPr>
      <w:r>
        <w:rPr>
          <w:rFonts w:ascii="微软雅黑" w:eastAsia="微软雅黑" w:hint="eastAsia"/>
          <w:b/>
          <w:sz w:val="21"/>
        </w:rPr>
        <w:t>争议处理</w:t>
        <w:tab/>
      </w:r>
      <w:r>
        <w:rPr>
          <w:sz w:val="21"/>
        </w:rPr>
        <w:t>本主险合</w:t>
      </w:r>
      <w:r>
        <w:rPr>
          <w:spacing w:val="-5"/>
          <w:sz w:val="21"/>
        </w:rPr>
        <w:t>同</w:t>
      </w:r>
      <w:r>
        <w:rPr>
          <w:sz w:val="21"/>
        </w:rPr>
        <w:t>履行过</w:t>
      </w:r>
      <w:r>
        <w:rPr>
          <w:spacing w:val="-5"/>
          <w:sz w:val="21"/>
        </w:rPr>
        <w:t>程</w:t>
      </w:r>
      <w:r>
        <w:rPr>
          <w:sz w:val="21"/>
        </w:rPr>
        <w:t>中</w:t>
      </w:r>
      <w:r>
        <w:rPr>
          <w:spacing w:val="-39"/>
          <w:sz w:val="21"/>
        </w:rPr>
        <w:t>，</w:t>
      </w:r>
      <w:r>
        <w:rPr>
          <w:sz w:val="21"/>
        </w:rPr>
        <w:t>双方发</w:t>
      </w:r>
      <w:r>
        <w:rPr>
          <w:spacing w:val="-5"/>
          <w:sz w:val="21"/>
        </w:rPr>
        <w:t>生</w:t>
      </w:r>
      <w:r>
        <w:rPr>
          <w:sz w:val="21"/>
        </w:rPr>
        <w:t>争议不</w:t>
      </w:r>
      <w:r>
        <w:rPr>
          <w:spacing w:val="-5"/>
          <w:sz w:val="21"/>
        </w:rPr>
        <w:t>能</w:t>
      </w:r>
      <w:r>
        <w:rPr>
          <w:sz w:val="21"/>
        </w:rPr>
        <w:t>协商解</w:t>
      </w:r>
      <w:r>
        <w:rPr>
          <w:spacing w:val="-5"/>
          <w:sz w:val="21"/>
        </w:rPr>
        <w:t>决</w:t>
      </w:r>
      <w:r>
        <w:rPr>
          <w:sz w:val="21"/>
        </w:rPr>
        <w:t>的</w:t>
      </w:r>
      <w:r>
        <w:rPr>
          <w:spacing w:val="-34"/>
          <w:sz w:val="21"/>
        </w:rPr>
        <w:t>，</w:t>
      </w:r>
      <w:r>
        <w:rPr>
          <w:spacing w:val="-5"/>
          <w:sz w:val="21"/>
        </w:rPr>
        <w:t>可</w:t>
      </w:r>
      <w:r>
        <w:rPr>
          <w:sz w:val="21"/>
        </w:rPr>
        <w:t>以达成</w:t>
      </w:r>
      <w:r>
        <w:rPr>
          <w:spacing w:val="-5"/>
          <w:sz w:val="21"/>
        </w:rPr>
        <w:t>仲</w:t>
      </w:r>
      <w:r>
        <w:rPr>
          <w:sz w:val="21"/>
        </w:rPr>
        <w:t>裁协议</w:t>
      </w:r>
      <w:r>
        <w:rPr>
          <w:spacing w:val="-5"/>
          <w:sz w:val="21"/>
        </w:rPr>
        <w:t>通</w:t>
      </w:r>
      <w:r>
        <w:rPr>
          <w:sz w:val="21"/>
        </w:rPr>
        <w:t>过仲 裁解决，</w:t>
      </w:r>
      <w:r>
        <w:rPr>
          <w:spacing w:val="-5"/>
          <w:sz w:val="21"/>
        </w:rPr>
        <w:t>也</w:t>
      </w:r>
      <w:r>
        <w:rPr>
          <w:sz w:val="21"/>
        </w:rPr>
        <w:t>可依法</w:t>
      </w:r>
      <w:r>
        <w:rPr>
          <w:spacing w:val="-5"/>
          <w:sz w:val="21"/>
        </w:rPr>
        <w:t>直</w:t>
      </w:r>
      <w:r>
        <w:rPr>
          <w:sz w:val="21"/>
        </w:rPr>
        <w:t>接向法</w:t>
      </w:r>
      <w:r>
        <w:rPr>
          <w:spacing w:val="-5"/>
          <w:sz w:val="21"/>
        </w:rPr>
        <w:t>院</w:t>
      </w:r>
      <w:r>
        <w:rPr>
          <w:sz w:val="21"/>
        </w:rPr>
        <w:t>提起诉</w:t>
      </w:r>
      <w:r>
        <w:rPr>
          <w:spacing w:val="-5"/>
          <w:sz w:val="21"/>
        </w:rPr>
        <w:t>讼</w:t>
      </w:r>
      <w:r>
        <w:rPr>
          <w:sz w:val="21"/>
        </w:rPr>
        <w:t>。</w:t>
      </w:r>
    </w:p>
    <w:p>
      <w:pPr>
        <w:pStyle w:val="BodyText"/>
        <w:spacing w:before="6"/>
        <w:rPr>
          <w:sz w:val="15"/>
        </w:rPr>
      </w:pPr>
    </w:p>
    <w:p>
      <w:pPr>
        <w:tabs>
          <w:tab w:pos="899" w:val="left" w:leader="none"/>
        </w:tabs>
        <w:spacing w:before="58"/>
        <w:ind w:left="218" w:right="0" w:firstLine="0"/>
        <w:jc w:val="left"/>
        <w:rPr>
          <w:rFonts w:ascii="微软雅黑" w:hAnsi="微软雅黑" w:eastAsia="微软雅黑" w:hint="eastAsia"/>
          <w:b/>
          <w:sz w:val="24"/>
        </w:rPr>
      </w:pPr>
      <w:r>
        <w:rPr/>
        <w:pict>
          <v:group style="position:absolute;margin-left:45.624001pt;margin-top:31.524691pt;width:504.45pt;height:.5pt;mso-position-horizontal-relative:page;mso-position-vertical-relative:paragraph;z-index:1384;mso-wrap-distance-left:0;mso-wrap-distance-right:0" coordorigin="912,630" coordsize="10089,10">
            <v:line style="position:absolute" from="912,635" to="1589,635" stroked="true" strokeweight=".48004pt" strokecolor="#000000">
              <v:stroke dashstyle="solid"/>
            </v:line>
            <v:rect style="position:absolute;left:1589;top:630;width:10;height:10" filled="true" fillcolor="#000000" stroked="false">
              <v:fill type="solid"/>
            </v:rect>
            <v:line style="position:absolute" from="1599,635" to="3294,635" stroked="true" strokeweight=".48004pt" strokecolor="#000000">
              <v:stroke dashstyle="solid"/>
            </v:line>
            <v:rect style="position:absolute;left:3294;top:630;width:10;height:10" filled="true" fillcolor="#000000" stroked="false">
              <v:fill type="solid"/>
            </v:rect>
            <v:line style="position:absolute" from="3304,635" to="11001,635" stroked="true" strokeweight=".48004pt" strokecolor="#000000">
              <v:stroke dashstyle="solid"/>
            </v:line>
            <w10:wrap type="topAndBottom"/>
          </v:group>
        </w:pict>
      </w:r>
      <w:r>
        <w:rPr>
          <w:rFonts w:ascii="Wingdings" w:hAnsi="Wingdings" w:eastAsia="Wingdings"/>
          <w:b/>
          <w:position w:val="-4"/>
          <w:sz w:val="40"/>
        </w:rPr>
        <w:t></w:t>
      </w:r>
      <w:r>
        <w:rPr>
          <w:rFonts w:ascii="Times New Roman" w:hAnsi="Times New Roman" w:eastAsia="Times New Roman"/>
          <w:position w:val="-4"/>
          <w:sz w:val="40"/>
        </w:rPr>
        <w:tab/>
      </w:r>
      <w:r>
        <w:rPr>
          <w:rFonts w:ascii="微软雅黑" w:hAnsi="微软雅黑" w:eastAsia="微软雅黑" w:hint="eastAsia"/>
          <w:b/>
          <w:sz w:val="24"/>
        </w:rPr>
        <w:t>释义</w:t>
      </w:r>
    </w:p>
    <w:p>
      <w:pPr>
        <w:pStyle w:val="BodyText"/>
        <w:spacing w:before="1"/>
        <w:rPr>
          <w:rFonts w:ascii="微软雅黑"/>
          <w:b/>
          <w:sz w:val="5"/>
        </w:rPr>
      </w:pPr>
    </w:p>
    <w:p>
      <w:pPr>
        <w:pStyle w:val="ListParagraph"/>
        <w:numPr>
          <w:ilvl w:val="1"/>
          <w:numId w:val="11"/>
        </w:numPr>
        <w:tabs>
          <w:tab w:pos="900" w:val="left" w:leader="none"/>
          <w:tab w:pos="2599" w:val="left" w:leader="none"/>
        </w:tabs>
        <w:spacing w:line="312" w:lineRule="exact" w:before="32" w:after="0"/>
        <w:ind w:left="2599" w:right="209" w:hanging="2381"/>
        <w:jc w:val="both"/>
        <w:rPr>
          <w:sz w:val="21"/>
        </w:rPr>
      </w:pPr>
      <w:r>
        <w:rPr>
          <w:rFonts w:ascii="微软雅黑" w:eastAsia="微软雅黑" w:hint="eastAsia"/>
          <w:b/>
          <w:sz w:val="21"/>
        </w:rPr>
        <w:t>医院</w:t>
        <w:tab/>
      </w:r>
      <w:r>
        <w:rPr>
          <w:sz w:val="21"/>
        </w:rPr>
        <w:t>指经中华</w:t>
      </w:r>
      <w:r>
        <w:rPr>
          <w:spacing w:val="-5"/>
          <w:sz w:val="21"/>
        </w:rPr>
        <w:t>人</w:t>
      </w:r>
      <w:r>
        <w:rPr>
          <w:sz w:val="21"/>
        </w:rPr>
        <w:t>民共和</w:t>
      </w:r>
      <w:r>
        <w:rPr>
          <w:spacing w:val="-5"/>
          <w:sz w:val="21"/>
        </w:rPr>
        <w:t>国</w:t>
      </w:r>
      <w:r>
        <w:rPr>
          <w:sz w:val="21"/>
        </w:rPr>
        <w:t>卫生部</w:t>
      </w:r>
      <w:r>
        <w:rPr>
          <w:spacing w:val="-5"/>
          <w:sz w:val="21"/>
        </w:rPr>
        <w:t>门</w:t>
      </w:r>
      <w:r>
        <w:rPr>
          <w:sz w:val="21"/>
        </w:rPr>
        <w:t>评审确</w:t>
      </w:r>
      <w:r>
        <w:rPr>
          <w:spacing w:val="-5"/>
          <w:sz w:val="21"/>
        </w:rPr>
        <w:t>定</w:t>
      </w:r>
      <w:r>
        <w:rPr>
          <w:sz w:val="21"/>
        </w:rPr>
        <w:t>的二级</w:t>
      </w:r>
      <w:r>
        <w:rPr>
          <w:spacing w:val="-5"/>
          <w:sz w:val="21"/>
        </w:rPr>
        <w:t>或</w:t>
      </w:r>
      <w:r>
        <w:rPr>
          <w:sz w:val="21"/>
        </w:rPr>
        <w:t>二</w:t>
      </w:r>
      <w:r>
        <w:rPr>
          <w:spacing w:val="-5"/>
          <w:sz w:val="21"/>
        </w:rPr>
        <w:t>级</w:t>
      </w:r>
      <w:r>
        <w:rPr>
          <w:sz w:val="21"/>
        </w:rPr>
        <w:t>以上的医</w:t>
      </w:r>
      <w:r>
        <w:rPr>
          <w:spacing w:val="-5"/>
          <w:sz w:val="21"/>
        </w:rPr>
        <w:t>院</w:t>
      </w:r>
      <w:r>
        <w:rPr>
          <w:spacing w:val="-73"/>
          <w:sz w:val="21"/>
        </w:rPr>
        <w:t>，</w:t>
      </w:r>
      <w:r>
        <w:rPr>
          <w:sz w:val="21"/>
        </w:rPr>
        <w:t>但不</w:t>
      </w:r>
      <w:r>
        <w:rPr>
          <w:spacing w:val="-5"/>
          <w:sz w:val="21"/>
        </w:rPr>
        <w:t>包</w:t>
      </w:r>
      <w:r>
        <w:rPr>
          <w:sz w:val="21"/>
        </w:rPr>
        <w:t>括精神病 院及专供</w:t>
      </w:r>
      <w:r>
        <w:rPr>
          <w:spacing w:val="-5"/>
          <w:sz w:val="21"/>
        </w:rPr>
        <w:t>康</w:t>
      </w:r>
      <w:r>
        <w:rPr>
          <w:sz w:val="21"/>
        </w:rPr>
        <w:t>复</w:t>
      </w:r>
      <w:r>
        <w:rPr>
          <w:spacing w:val="-15"/>
          <w:sz w:val="21"/>
        </w:rPr>
        <w:t>、</w:t>
      </w:r>
      <w:r>
        <w:rPr>
          <w:sz w:val="21"/>
        </w:rPr>
        <w:t>休</w:t>
      </w:r>
      <w:r>
        <w:rPr>
          <w:spacing w:val="-5"/>
          <w:sz w:val="21"/>
        </w:rPr>
        <w:t>养</w:t>
      </w:r>
      <w:r>
        <w:rPr>
          <w:spacing w:val="-15"/>
          <w:sz w:val="21"/>
        </w:rPr>
        <w:t>、</w:t>
      </w:r>
      <w:r>
        <w:rPr>
          <w:sz w:val="21"/>
        </w:rPr>
        <w:t>戒毒</w:t>
      </w:r>
      <w:r>
        <w:rPr>
          <w:spacing w:val="-20"/>
          <w:sz w:val="21"/>
        </w:rPr>
        <w:t>、</w:t>
      </w:r>
      <w:r>
        <w:rPr>
          <w:sz w:val="21"/>
        </w:rPr>
        <w:t>戒酒</w:t>
      </w:r>
      <w:r>
        <w:rPr>
          <w:spacing w:val="-15"/>
          <w:sz w:val="21"/>
        </w:rPr>
        <w:t>、</w:t>
      </w:r>
      <w:r>
        <w:rPr>
          <w:spacing w:val="-5"/>
          <w:sz w:val="21"/>
        </w:rPr>
        <w:t>护</w:t>
      </w:r>
      <w:r>
        <w:rPr>
          <w:sz w:val="21"/>
        </w:rPr>
        <w:t>理</w:t>
      </w:r>
      <w:r>
        <w:rPr>
          <w:spacing w:val="-15"/>
          <w:sz w:val="21"/>
        </w:rPr>
        <w:t>、</w:t>
      </w:r>
      <w:r>
        <w:rPr>
          <w:sz w:val="21"/>
        </w:rPr>
        <w:t>养</w:t>
      </w:r>
      <w:r>
        <w:rPr>
          <w:spacing w:val="-5"/>
          <w:sz w:val="21"/>
        </w:rPr>
        <w:t>老</w:t>
      </w:r>
      <w:r>
        <w:rPr>
          <w:sz w:val="21"/>
        </w:rPr>
        <w:t>等</w:t>
      </w:r>
      <w:r>
        <w:rPr>
          <w:spacing w:val="-5"/>
          <w:sz w:val="21"/>
        </w:rPr>
        <w:t>非</w:t>
      </w:r>
      <w:r>
        <w:rPr>
          <w:sz w:val="21"/>
        </w:rPr>
        <w:t>以直接诊</w:t>
      </w:r>
      <w:r>
        <w:rPr>
          <w:spacing w:val="-5"/>
          <w:sz w:val="21"/>
        </w:rPr>
        <w:t>治</w:t>
      </w:r>
      <w:r>
        <w:rPr>
          <w:sz w:val="21"/>
        </w:rPr>
        <w:t>病人为</w:t>
      </w:r>
      <w:r>
        <w:rPr>
          <w:spacing w:val="-5"/>
          <w:sz w:val="21"/>
        </w:rPr>
        <w:t>目</w:t>
      </w:r>
      <w:r>
        <w:rPr>
          <w:sz w:val="21"/>
        </w:rPr>
        <w:t>的的医疗机构</w:t>
      </w:r>
      <w:r>
        <w:rPr>
          <w:spacing w:val="-39"/>
          <w:sz w:val="21"/>
        </w:rPr>
        <w:t>。</w:t>
      </w:r>
      <w:r>
        <w:rPr>
          <w:sz w:val="21"/>
        </w:rPr>
        <w:t>该医院</w:t>
      </w:r>
      <w:r>
        <w:rPr>
          <w:spacing w:val="-5"/>
          <w:sz w:val="21"/>
        </w:rPr>
        <w:t>必</w:t>
      </w:r>
      <w:r>
        <w:rPr>
          <w:sz w:val="21"/>
        </w:rPr>
        <w:t>须具有</w:t>
      </w:r>
      <w:r>
        <w:rPr>
          <w:spacing w:val="-5"/>
          <w:sz w:val="21"/>
        </w:rPr>
        <w:t>符</w:t>
      </w:r>
      <w:r>
        <w:rPr>
          <w:sz w:val="21"/>
        </w:rPr>
        <w:t>合国家</w:t>
      </w:r>
      <w:r>
        <w:rPr>
          <w:spacing w:val="-5"/>
          <w:sz w:val="21"/>
        </w:rPr>
        <w:t>有</w:t>
      </w:r>
      <w:r>
        <w:rPr>
          <w:sz w:val="21"/>
        </w:rPr>
        <w:t>关医院</w:t>
      </w:r>
      <w:r>
        <w:rPr>
          <w:spacing w:val="-5"/>
          <w:sz w:val="21"/>
        </w:rPr>
        <w:t>管</w:t>
      </w:r>
      <w:r>
        <w:rPr>
          <w:sz w:val="21"/>
        </w:rPr>
        <w:t>理规则</w:t>
      </w:r>
      <w:r>
        <w:rPr>
          <w:spacing w:val="-5"/>
          <w:sz w:val="21"/>
        </w:rPr>
        <w:t>设</w:t>
      </w:r>
      <w:r>
        <w:rPr>
          <w:sz w:val="21"/>
        </w:rPr>
        <w:t>置标准的</w:t>
      </w:r>
      <w:r>
        <w:rPr>
          <w:spacing w:val="-5"/>
          <w:sz w:val="21"/>
        </w:rPr>
        <w:t>医</w:t>
      </w:r>
      <w:r>
        <w:rPr>
          <w:sz w:val="21"/>
        </w:rPr>
        <w:t>疗设</w:t>
      </w:r>
      <w:r>
        <w:rPr>
          <w:spacing w:val="-5"/>
          <w:sz w:val="21"/>
        </w:rPr>
        <w:t>备</w:t>
      </w:r>
      <w:r>
        <w:rPr>
          <w:spacing w:val="-34"/>
          <w:sz w:val="21"/>
        </w:rPr>
        <w:t>，</w:t>
      </w:r>
      <w:r>
        <w:rPr>
          <w:sz w:val="21"/>
        </w:rPr>
        <w:t>且</w:t>
      </w:r>
      <w:r>
        <w:rPr>
          <w:spacing w:val="-5"/>
          <w:sz w:val="21"/>
        </w:rPr>
        <w:t>全</w:t>
      </w:r>
      <w:r>
        <w:rPr>
          <w:sz w:val="21"/>
        </w:rPr>
        <w:t>天二</w:t>
      </w:r>
    </w:p>
    <w:p>
      <w:pPr>
        <w:pStyle w:val="BodyText"/>
        <w:spacing w:before="4"/>
        <w:ind w:left="2599"/>
      </w:pPr>
      <w:r>
        <w:rPr/>
        <w:t>十四小时有合格医师及护士驻院提供医疗及护理服务。</w:t>
      </w:r>
    </w:p>
    <w:p>
      <w:pPr>
        <w:pStyle w:val="BodyText"/>
        <w:spacing w:before="3"/>
        <w:rPr>
          <w:sz w:val="15"/>
        </w:rPr>
      </w:pPr>
    </w:p>
    <w:p>
      <w:pPr>
        <w:pStyle w:val="ListParagraph"/>
        <w:numPr>
          <w:ilvl w:val="1"/>
          <w:numId w:val="11"/>
        </w:numPr>
        <w:tabs>
          <w:tab w:pos="900" w:val="left" w:leader="none"/>
          <w:tab w:pos="2599" w:val="left" w:leader="none"/>
        </w:tabs>
        <w:spacing w:line="264" w:lineRule="auto" w:before="0" w:after="0"/>
        <w:ind w:left="2599" w:right="206" w:hanging="2381"/>
        <w:jc w:val="both"/>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r>
        <w:rPr>
          <w:spacing w:val="-15"/>
          <w:sz w:val="21"/>
        </w:rPr>
        <w:t>：（1）</w:t>
      </w:r>
      <w:r>
        <w:rPr>
          <w:sz w:val="21"/>
        </w:rPr>
        <w:t>具</w:t>
      </w:r>
      <w:r>
        <w:rPr>
          <w:spacing w:val="-5"/>
          <w:sz w:val="21"/>
        </w:rPr>
        <w:t>有</w:t>
      </w:r>
      <w:r>
        <w:rPr>
          <w:sz w:val="21"/>
        </w:rPr>
        <w:t>有效的中</w:t>
      </w:r>
      <w:r>
        <w:rPr>
          <w:spacing w:val="-5"/>
          <w:sz w:val="21"/>
        </w:rPr>
        <w:t>华</w:t>
      </w:r>
      <w:r>
        <w:rPr>
          <w:sz w:val="21"/>
        </w:rPr>
        <w:t>人民共</w:t>
      </w:r>
      <w:r>
        <w:rPr>
          <w:spacing w:val="-5"/>
          <w:sz w:val="21"/>
        </w:rPr>
        <w:t>和</w:t>
      </w:r>
      <w:r>
        <w:rPr>
          <w:spacing w:val="-20"/>
          <w:sz w:val="21"/>
        </w:rPr>
        <w:t>国</w:t>
      </w:r>
      <w:r>
        <w:rPr>
          <w:sz w:val="21"/>
        </w:rPr>
        <w:t>《</w:t>
      </w:r>
      <w:r>
        <w:rPr>
          <w:spacing w:val="45"/>
          <w:sz w:val="21"/>
        </w:rPr>
        <w:t> </w:t>
      </w:r>
      <w:r>
        <w:rPr>
          <w:sz w:val="21"/>
        </w:rPr>
        <w:t>医师资格证</w:t>
      </w:r>
      <w:r>
        <w:rPr>
          <w:spacing w:val="-5"/>
          <w:sz w:val="21"/>
        </w:rPr>
        <w:t>书</w:t>
      </w:r>
      <w:r>
        <w:rPr>
          <w:spacing w:val="-10"/>
          <w:sz w:val="21"/>
        </w:rPr>
        <w:t>》</w:t>
      </w:r>
      <w:r>
        <w:rPr>
          <w:spacing w:val="-9"/>
          <w:sz w:val="21"/>
        </w:rPr>
        <w:t>；（2）</w:t>
      </w:r>
      <w:r>
        <w:rPr>
          <w:spacing w:val="-5"/>
          <w:sz w:val="21"/>
        </w:rPr>
        <w:t>具</w:t>
      </w:r>
      <w:r>
        <w:rPr>
          <w:sz w:val="21"/>
        </w:rPr>
        <w:t>有有效</w:t>
      </w:r>
      <w:r>
        <w:rPr>
          <w:spacing w:val="-5"/>
          <w:sz w:val="21"/>
        </w:rPr>
        <w:t>的</w:t>
      </w:r>
      <w:r>
        <w:rPr>
          <w:sz w:val="21"/>
        </w:rPr>
        <w:t>中华人</w:t>
      </w:r>
      <w:r>
        <w:rPr>
          <w:spacing w:val="-5"/>
          <w:sz w:val="21"/>
        </w:rPr>
        <w:t>民</w:t>
      </w:r>
      <w:r>
        <w:rPr>
          <w:sz w:val="21"/>
        </w:rPr>
        <w:t>共和</w:t>
      </w:r>
      <w:r>
        <w:rPr>
          <w:spacing w:val="-10"/>
          <w:sz w:val="21"/>
        </w:rPr>
        <w:t>国</w:t>
      </w:r>
      <w:r>
        <w:rPr>
          <w:sz w:val="21"/>
        </w:rPr>
        <w:t>《</w:t>
      </w:r>
      <w:r>
        <w:rPr>
          <w:spacing w:val="27"/>
          <w:sz w:val="21"/>
        </w:rPr>
        <w:t> </w:t>
      </w:r>
      <w:r>
        <w:rPr>
          <w:sz w:val="21"/>
        </w:rPr>
        <w:t>医师执业</w:t>
      </w:r>
      <w:r>
        <w:rPr>
          <w:spacing w:val="-5"/>
          <w:sz w:val="21"/>
        </w:rPr>
        <w:t>证</w:t>
      </w:r>
      <w:r>
        <w:rPr>
          <w:sz w:val="21"/>
        </w:rPr>
        <w:t>书</w:t>
      </w:r>
      <w:r>
        <w:rPr>
          <w:spacing w:val="-10"/>
          <w:sz w:val="21"/>
        </w:rPr>
        <w:t>》</w:t>
      </w:r>
      <w:r>
        <w:rPr>
          <w:spacing w:val="-15"/>
          <w:sz w:val="21"/>
        </w:rPr>
        <w:t>，</w:t>
      </w:r>
      <w:r>
        <w:rPr>
          <w:sz w:val="21"/>
        </w:rPr>
        <w:t>并按期</w:t>
      </w:r>
      <w:r>
        <w:rPr>
          <w:spacing w:val="-5"/>
          <w:sz w:val="21"/>
        </w:rPr>
        <w:t>到</w:t>
      </w:r>
      <w:r>
        <w:rPr>
          <w:sz w:val="21"/>
        </w:rPr>
        <w:t>相关部门登记注册；（3）具有有效的中华人民共和</w:t>
      </w:r>
      <w:r>
        <w:rPr>
          <w:spacing w:val="-5"/>
          <w:sz w:val="21"/>
        </w:rPr>
        <w:t>国</w:t>
      </w:r>
      <w:r>
        <w:rPr>
          <w:sz w:val="21"/>
        </w:rPr>
        <w:t>主治医师或主治医师以上职称</w:t>
      </w:r>
      <w:r>
        <w:rPr>
          <w:spacing w:val="-15"/>
          <w:sz w:val="21"/>
        </w:rPr>
        <w:t>的</w:t>
      </w:r>
      <w:r>
        <w:rPr>
          <w:sz w:val="21"/>
        </w:rPr>
        <w:t>《</w:t>
      </w:r>
      <w:r>
        <w:rPr>
          <w:spacing w:val="40"/>
          <w:sz w:val="21"/>
        </w:rPr>
        <w:t> </w:t>
      </w:r>
      <w:r>
        <w:rPr>
          <w:sz w:val="21"/>
        </w:rPr>
        <w:t>医师</w:t>
      </w:r>
      <w:r>
        <w:rPr>
          <w:spacing w:val="-5"/>
          <w:sz w:val="21"/>
        </w:rPr>
        <w:t>职</w:t>
      </w:r>
      <w:r>
        <w:rPr>
          <w:sz w:val="21"/>
        </w:rPr>
        <w:t>称证书</w:t>
      </w:r>
      <w:r>
        <w:rPr>
          <w:spacing w:val="-20"/>
          <w:sz w:val="21"/>
        </w:rPr>
        <w:t>》</w:t>
      </w:r>
      <w:r>
        <w:rPr>
          <w:spacing w:val="-13"/>
          <w:sz w:val="21"/>
        </w:rPr>
        <w:t>；（4）</w:t>
      </w:r>
      <w:r>
        <w:rPr>
          <w:sz w:val="21"/>
        </w:rPr>
        <w:t>在二级</w:t>
      </w:r>
      <w:r>
        <w:rPr>
          <w:spacing w:val="-5"/>
          <w:sz w:val="21"/>
        </w:rPr>
        <w:t>或</w:t>
      </w:r>
      <w:r>
        <w:rPr>
          <w:sz w:val="21"/>
        </w:rPr>
        <w:t>二级以</w:t>
      </w:r>
      <w:r>
        <w:rPr>
          <w:spacing w:val="-5"/>
          <w:sz w:val="21"/>
        </w:rPr>
        <w:t>上</w:t>
      </w:r>
      <w:r>
        <w:rPr>
          <w:sz w:val="21"/>
        </w:rPr>
        <w:t>医</w:t>
      </w:r>
      <w:r>
        <w:rPr>
          <w:spacing w:val="-5"/>
          <w:sz w:val="21"/>
        </w:rPr>
        <w:t>院</w:t>
      </w:r>
      <w:r>
        <w:rPr>
          <w:sz w:val="21"/>
        </w:rPr>
        <w:t>的相应科</w:t>
      </w:r>
      <w:r>
        <w:rPr>
          <w:spacing w:val="-5"/>
          <w:sz w:val="21"/>
        </w:rPr>
        <w:t>室</w:t>
      </w:r>
      <w:r>
        <w:rPr>
          <w:sz w:val="21"/>
        </w:rPr>
        <w:t>从事临</w:t>
      </w:r>
      <w:r>
        <w:rPr>
          <w:spacing w:val="-5"/>
          <w:sz w:val="21"/>
        </w:rPr>
        <w:t>床</w:t>
      </w:r>
      <w:r>
        <w:rPr>
          <w:sz w:val="21"/>
        </w:rPr>
        <w:t>工作三年以上。</w:t>
      </w:r>
    </w:p>
    <w:p>
      <w:pPr>
        <w:pStyle w:val="ListParagraph"/>
        <w:numPr>
          <w:ilvl w:val="1"/>
          <w:numId w:val="11"/>
        </w:numPr>
        <w:tabs>
          <w:tab w:pos="899" w:val="left" w:leader="none"/>
          <w:tab w:pos="900" w:val="left" w:leader="none"/>
          <w:tab w:pos="2599" w:val="left" w:leader="none"/>
        </w:tabs>
        <w:spacing w:line="247" w:lineRule="auto" w:before="121" w:after="0"/>
        <w:ind w:left="2599" w:right="349" w:hanging="2381"/>
        <w:jc w:val="left"/>
        <w:rPr>
          <w:sz w:val="21"/>
        </w:rPr>
      </w:pPr>
      <w:r>
        <w:rPr>
          <w:rFonts w:ascii="微软雅黑" w:eastAsia="微软雅黑" w:hint="eastAsia"/>
          <w:b/>
          <w:sz w:val="21"/>
        </w:rPr>
        <w:t>重大疾病</w:t>
        <w:tab/>
      </w:r>
      <w:r>
        <w:rPr>
          <w:sz w:val="21"/>
        </w:rPr>
        <w:t>本主险合</w:t>
      </w:r>
      <w:r>
        <w:rPr>
          <w:spacing w:val="-5"/>
          <w:sz w:val="21"/>
        </w:rPr>
        <w:t>同</w:t>
      </w:r>
      <w:r>
        <w:rPr>
          <w:sz w:val="21"/>
        </w:rPr>
        <w:t>所指重</w:t>
      </w:r>
      <w:r>
        <w:rPr>
          <w:spacing w:val="-5"/>
          <w:sz w:val="21"/>
        </w:rPr>
        <w:t>大</w:t>
      </w:r>
      <w:r>
        <w:rPr>
          <w:sz w:val="21"/>
        </w:rPr>
        <w:t>疾病是</w:t>
      </w:r>
      <w:r>
        <w:rPr>
          <w:spacing w:val="-5"/>
          <w:sz w:val="21"/>
        </w:rPr>
        <w:t>指</w:t>
      </w:r>
      <w:r>
        <w:rPr>
          <w:sz w:val="21"/>
        </w:rPr>
        <w:t>被保险</w:t>
      </w:r>
      <w:r>
        <w:rPr>
          <w:spacing w:val="-5"/>
          <w:sz w:val="21"/>
        </w:rPr>
        <w:t>人</w:t>
      </w:r>
      <w:r>
        <w:rPr>
          <w:sz w:val="21"/>
        </w:rPr>
        <w:t>首次发</w:t>
      </w:r>
      <w:r>
        <w:rPr>
          <w:spacing w:val="-5"/>
          <w:sz w:val="21"/>
        </w:rPr>
        <w:t>生</w:t>
      </w:r>
      <w:r>
        <w:rPr>
          <w:sz w:val="21"/>
        </w:rPr>
        <w:t>符</w:t>
      </w:r>
      <w:r>
        <w:rPr>
          <w:spacing w:val="-5"/>
          <w:sz w:val="21"/>
        </w:rPr>
        <w:t>合</w:t>
      </w:r>
      <w:r>
        <w:rPr>
          <w:sz w:val="21"/>
        </w:rPr>
        <w:t>下列定义</w:t>
      </w:r>
      <w:r>
        <w:rPr>
          <w:spacing w:val="-5"/>
          <w:sz w:val="21"/>
        </w:rPr>
        <w:t>的</w:t>
      </w:r>
      <w:r>
        <w:rPr>
          <w:sz w:val="21"/>
        </w:rPr>
        <w:t>疾病，</w:t>
      </w:r>
      <w:r>
        <w:rPr>
          <w:spacing w:val="-5"/>
          <w:sz w:val="21"/>
        </w:rPr>
        <w:t>或</w:t>
      </w:r>
      <w:r>
        <w:rPr>
          <w:sz w:val="21"/>
        </w:rPr>
        <w:t>首次接 受符合下</w:t>
      </w:r>
      <w:r>
        <w:rPr>
          <w:spacing w:val="-5"/>
          <w:sz w:val="21"/>
        </w:rPr>
        <w:t>列</w:t>
      </w:r>
      <w:r>
        <w:rPr>
          <w:sz w:val="21"/>
        </w:rPr>
        <w:t>定义的</w:t>
      </w:r>
      <w:r>
        <w:rPr>
          <w:spacing w:val="-5"/>
          <w:sz w:val="21"/>
        </w:rPr>
        <w:t>手</w:t>
      </w:r>
      <w:r>
        <w:rPr>
          <w:sz w:val="21"/>
        </w:rPr>
        <w:t>术。该</w:t>
      </w:r>
      <w:r>
        <w:rPr>
          <w:spacing w:val="-5"/>
          <w:sz w:val="21"/>
        </w:rPr>
        <w:t>疾</w:t>
      </w:r>
      <w:r>
        <w:rPr>
          <w:sz w:val="21"/>
        </w:rPr>
        <w:t>病或手</w:t>
      </w:r>
      <w:r>
        <w:rPr>
          <w:spacing w:val="-5"/>
          <w:sz w:val="21"/>
        </w:rPr>
        <w:t>术</w:t>
      </w:r>
      <w:r>
        <w:rPr>
          <w:sz w:val="21"/>
        </w:rPr>
        <w:t>应当由</w:t>
      </w:r>
      <w:r>
        <w:rPr>
          <w:spacing w:val="-5"/>
          <w:sz w:val="21"/>
        </w:rPr>
        <w:t>专</w:t>
      </w:r>
      <w:r>
        <w:rPr>
          <w:sz w:val="21"/>
        </w:rPr>
        <w:t>科</w:t>
      </w:r>
      <w:r>
        <w:rPr>
          <w:spacing w:val="-5"/>
          <w:sz w:val="21"/>
        </w:rPr>
        <w:t>医</w:t>
      </w:r>
      <w:r>
        <w:rPr>
          <w:sz w:val="21"/>
        </w:rPr>
        <w:t>生明确诊</w:t>
      </w:r>
      <w:r>
        <w:rPr>
          <w:spacing w:val="-5"/>
          <w:sz w:val="21"/>
        </w:rPr>
        <w:t>断</w:t>
      </w:r>
      <w:r>
        <w:rPr>
          <w:sz w:val="21"/>
        </w:rPr>
        <w:t>。</w:t>
      </w:r>
    </w:p>
    <w:p>
      <w:pPr>
        <w:pStyle w:val="BodyText"/>
        <w:spacing w:before="126"/>
        <w:ind w:left="2599"/>
      </w:pPr>
      <w:r>
        <w:rPr>
          <w:spacing w:val="-6"/>
        </w:rPr>
        <w:t>本主险合同所保障的重大疾病共 </w:t>
      </w:r>
      <w:r>
        <w:rPr/>
        <w:t>80</w:t>
      </w:r>
      <w:r>
        <w:rPr>
          <w:spacing w:val="-28"/>
        </w:rPr>
        <w:t> 种，其中 </w:t>
      </w:r>
      <w:r>
        <w:rPr/>
        <w:t>1-25</w:t>
      </w:r>
      <w:r>
        <w:rPr>
          <w:spacing w:val="-8"/>
        </w:rPr>
        <w:t> 种重大疾病定义采用中国保险行</w:t>
      </w:r>
    </w:p>
    <w:p>
      <w:pPr>
        <w:spacing w:after="0"/>
        <w:sectPr>
          <w:type w:val="continuous"/>
          <w:pgSz w:w="11910" w:h="16840"/>
          <w:pgMar w:top="1120" w:bottom="280" w:left="800" w:right="8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806"/>
      </w:tblGrid>
      <w:tr>
        <w:trPr>
          <w:trHeight w:val="362" w:hRule="atLeast"/>
        </w:trPr>
        <w:tc>
          <w:tcPr>
            <w:tcW w:w="1789" w:type="dxa"/>
          </w:tcPr>
          <w:p>
            <w:pPr>
              <w:pStyle w:val="TableParagraph"/>
              <w:ind w:left="0"/>
              <w:rPr>
                <w:rFonts w:ascii="Times New Roman"/>
                <w:sz w:val="20"/>
              </w:rPr>
            </w:pPr>
          </w:p>
        </w:tc>
        <w:tc>
          <w:tcPr>
            <w:tcW w:w="7806" w:type="dxa"/>
          </w:tcPr>
          <w:p>
            <w:pPr>
              <w:pStyle w:val="TableParagraph"/>
              <w:spacing w:line="207" w:lineRule="exact"/>
              <w:ind w:left="111"/>
              <w:rPr>
                <w:sz w:val="21"/>
              </w:rPr>
            </w:pPr>
            <w:r>
              <w:rPr>
                <w:sz w:val="21"/>
              </w:rPr>
              <w:t>业协会颁布的《重大疾病保险的疾病定义使用规范》中的疾病定义。</w:t>
            </w:r>
          </w:p>
        </w:tc>
      </w:tr>
      <w:tr>
        <w:trPr>
          <w:trHeight w:val="3075" w:hRule="atLeast"/>
        </w:trPr>
        <w:tc>
          <w:tcPr>
            <w:tcW w:w="1789" w:type="dxa"/>
          </w:tcPr>
          <w:p>
            <w:pPr>
              <w:pStyle w:val="TableParagraph"/>
              <w:tabs>
                <w:tab w:pos="622" w:val="left" w:leader="none"/>
              </w:tabs>
              <w:spacing w:before="20"/>
              <w:ind w:left="200"/>
              <w:rPr>
                <w:rFonts w:ascii="微软雅黑" w:eastAsia="微软雅黑" w:hint="eastAsia"/>
                <w:b/>
                <w:sz w:val="21"/>
              </w:rPr>
            </w:pPr>
            <w:r>
              <w:rPr>
                <w:rFonts w:ascii="微软雅黑" w:eastAsia="微软雅黑" w:hint="eastAsia"/>
                <w:b/>
                <w:w w:val="105"/>
                <w:sz w:val="21"/>
              </w:rPr>
              <w:t>1.</w:t>
              <w:tab/>
            </w:r>
            <w:r>
              <w:rPr>
                <w:rFonts w:ascii="微软雅黑" w:eastAsia="微软雅黑" w:hint="eastAsia"/>
                <w:b/>
                <w:spacing w:val="-2"/>
                <w:sz w:val="21"/>
              </w:rPr>
              <w:t>恶性肿瘤</w:t>
            </w:r>
          </w:p>
        </w:tc>
        <w:tc>
          <w:tcPr>
            <w:tcW w:w="7806" w:type="dxa"/>
          </w:tcPr>
          <w:p>
            <w:pPr>
              <w:pStyle w:val="TableParagraph"/>
              <w:spacing w:line="276" w:lineRule="auto" w:before="107"/>
              <w:ind w:left="255" w:right="413"/>
              <w:jc w:val="both"/>
              <w:rPr>
                <w:sz w:val="21"/>
              </w:rPr>
            </w:pPr>
            <w:r>
              <w:rPr>
                <w:spacing w:val="-8"/>
                <w:sz w:val="21"/>
              </w:rPr>
              <w:t>指恶性细胞不受控制的进行性增长和扩散，浸润和破坏周围正常组织， 可以经</w:t>
            </w:r>
            <w:r>
              <w:rPr>
                <w:spacing w:val="-5"/>
                <w:sz w:val="21"/>
              </w:rPr>
              <w:t>血管、淋巴管和体腔扩散转移到身体其它部位的疾病。经病理学检查结果明确</w:t>
            </w:r>
            <w:r>
              <w:rPr>
                <w:spacing w:val="2"/>
                <w:sz w:val="21"/>
              </w:rPr>
              <w:t>诊断，临床诊断属于世界卫生组织《疾病和有关健康问题的国际统计分类》</w:t>
            </w:r>
          </w:p>
          <w:p>
            <w:pPr>
              <w:pStyle w:val="TableParagraph"/>
              <w:spacing w:before="5"/>
              <w:ind w:left="255"/>
              <w:jc w:val="both"/>
              <w:rPr>
                <w:sz w:val="21"/>
              </w:rPr>
            </w:pPr>
            <w:r>
              <w:rPr>
                <w:sz w:val="21"/>
              </w:rPr>
              <w:t>（ICD-10）的恶性肿瘤范畴。</w:t>
            </w:r>
            <w:r>
              <w:rPr>
                <w:sz w:val="21"/>
                <w:shd w:fill="D9D9D9" w:color="auto" w:val="clear"/>
              </w:rPr>
              <w:t>下列疾病不在保障范围内：</w:t>
            </w:r>
          </w:p>
          <w:p>
            <w:pPr>
              <w:pStyle w:val="TableParagraph"/>
              <w:spacing w:line="274" w:lineRule="exact" w:before="12"/>
              <w:ind w:left="255"/>
              <w:jc w:val="both"/>
              <w:rPr>
                <w:sz w:val="21"/>
              </w:rPr>
            </w:pPr>
            <w:r>
              <w:rPr>
                <w:sz w:val="21"/>
                <w:shd w:fill="D9D9D9" w:color="auto" w:val="clear"/>
              </w:rPr>
              <w:t>（1）原位癌；</w:t>
            </w:r>
          </w:p>
          <w:p>
            <w:pPr>
              <w:pStyle w:val="TableParagraph"/>
              <w:spacing w:line="271" w:lineRule="exact"/>
              <w:ind w:left="255"/>
              <w:jc w:val="both"/>
              <w:rPr>
                <w:sz w:val="21"/>
              </w:rPr>
            </w:pPr>
            <w:r>
              <w:rPr>
                <w:sz w:val="21"/>
                <w:shd w:fill="D9D9D9" w:color="auto" w:val="clear"/>
              </w:rPr>
              <w:t>（2）相当于 Binet 分期方案A 期程度的慢性淋巴细胞白血病；</w:t>
            </w:r>
          </w:p>
          <w:p>
            <w:pPr>
              <w:pStyle w:val="TableParagraph"/>
              <w:spacing w:line="271" w:lineRule="exact"/>
              <w:ind w:left="255"/>
              <w:jc w:val="both"/>
              <w:rPr>
                <w:sz w:val="21"/>
              </w:rPr>
            </w:pPr>
            <w:r>
              <w:rPr>
                <w:sz w:val="21"/>
                <w:shd w:fill="D9D9D9" w:color="auto" w:val="clear"/>
              </w:rPr>
              <w:t>（3）相当于 Ann Arbor 分期方案I 期程度的何杰金氏病；</w:t>
            </w:r>
          </w:p>
          <w:p>
            <w:pPr>
              <w:pStyle w:val="TableParagraph"/>
              <w:spacing w:line="269" w:lineRule="exact"/>
              <w:ind w:left="255"/>
              <w:jc w:val="both"/>
              <w:rPr>
                <w:sz w:val="21"/>
              </w:rPr>
            </w:pPr>
            <w:r>
              <w:rPr>
                <w:sz w:val="21"/>
                <w:shd w:fill="D9D9D9" w:color="auto" w:val="clear"/>
              </w:rPr>
              <w:t>（4）皮肤癌（不包括恶性黑色素瘤及已发生转移的皮肤癌）；</w:t>
            </w:r>
          </w:p>
          <w:p>
            <w:pPr>
              <w:pStyle w:val="TableParagraph"/>
              <w:spacing w:line="266" w:lineRule="exact"/>
              <w:ind w:left="255"/>
              <w:jc w:val="both"/>
              <w:rPr>
                <w:sz w:val="21"/>
              </w:rPr>
            </w:pPr>
            <w:r>
              <w:rPr>
                <w:sz w:val="21"/>
                <w:shd w:fill="D9D9D9" w:color="auto" w:val="clear"/>
              </w:rPr>
              <w:t>（5）TNM 分期为T1N0M0 期或更轻分期的前列腺癌；</w:t>
            </w:r>
          </w:p>
          <w:p>
            <w:pPr>
              <w:pStyle w:val="TableParagraph"/>
              <w:spacing w:line="272" w:lineRule="exact"/>
              <w:ind w:left="255"/>
              <w:jc w:val="both"/>
              <w:rPr>
                <w:sz w:val="21"/>
              </w:rPr>
            </w:pPr>
            <w:r>
              <w:rPr>
                <w:sz w:val="21"/>
                <w:shd w:fill="D9D9D9" w:color="auto" w:val="clear"/>
              </w:rPr>
              <w:t>（6）感染艾滋病病毒或患艾滋病期间所患恶性肿瘤。</w:t>
            </w:r>
          </w:p>
        </w:tc>
      </w:tr>
      <w:tr>
        <w:trPr>
          <w:trHeight w:val="2653" w:hRule="atLeast"/>
        </w:trPr>
        <w:tc>
          <w:tcPr>
            <w:tcW w:w="1789" w:type="dxa"/>
          </w:tcPr>
          <w:p>
            <w:pPr>
              <w:pStyle w:val="TableParagraph"/>
              <w:tabs>
                <w:tab w:pos="622" w:val="left" w:leader="none"/>
              </w:tabs>
              <w:spacing w:line="180" w:lineRule="auto" w:before="70"/>
              <w:ind w:left="200" w:right="117"/>
              <w:rPr>
                <w:rFonts w:ascii="微软雅黑" w:eastAsia="微软雅黑" w:hint="eastAsia"/>
                <w:b/>
                <w:sz w:val="21"/>
              </w:rPr>
            </w:pPr>
            <w:r>
              <w:rPr>
                <w:rFonts w:ascii="微软雅黑" w:eastAsia="微软雅黑" w:hint="eastAsia"/>
                <w:b/>
                <w:sz w:val="21"/>
              </w:rPr>
              <w:t>2.</w:t>
              <w:tab/>
            </w:r>
            <w:r>
              <w:rPr>
                <w:rFonts w:ascii="微软雅黑" w:eastAsia="微软雅黑" w:hint="eastAsia"/>
                <w:b/>
                <w:spacing w:val="-3"/>
                <w:sz w:val="21"/>
              </w:rPr>
              <w:t>急性心肌梗 塞</w:t>
            </w:r>
          </w:p>
        </w:tc>
        <w:tc>
          <w:tcPr>
            <w:tcW w:w="7806" w:type="dxa"/>
          </w:tcPr>
          <w:p>
            <w:pPr>
              <w:pStyle w:val="TableParagraph"/>
              <w:spacing w:line="278" w:lineRule="auto" w:before="143"/>
              <w:ind w:left="255" w:right="618"/>
              <w:rPr>
                <w:sz w:val="21"/>
              </w:rPr>
            </w:pPr>
            <w:r>
              <w:rPr>
                <w:sz w:val="21"/>
              </w:rPr>
              <w:t>指因冠状动脉阻塞导致的相应区域供血不足造成部分心肌坏死。须满足下列至少三项条件：</w:t>
            </w:r>
          </w:p>
          <w:p>
            <w:pPr>
              <w:pStyle w:val="TableParagraph"/>
              <w:spacing w:line="259" w:lineRule="exact"/>
              <w:ind w:left="255"/>
              <w:rPr>
                <w:sz w:val="21"/>
              </w:rPr>
            </w:pPr>
            <w:r>
              <w:rPr>
                <w:sz w:val="21"/>
              </w:rPr>
              <w:t>（1）典型临床表现，例如急性胸痛等；</w:t>
            </w:r>
          </w:p>
          <w:p>
            <w:pPr>
              <w:pStyle w:val="TableParagraph"/>
              <w:spacing w:line="274" w:lineRule="exact"/>
              <w:ind w:left="255"/>
              <w:rPr>
                <w:sz w:val="21"/>
              </w:rPr>
            </w:pPr>
            <w:r>
              <w:rPr>
                <w:sz w:val="21"/>
              </w:rPr>
              <w:t>（2）新近的心电图改变提示急性心肌梗塞；</w:t>
            </w:r>
          </w:p>
          <w:p>
            <w:pPr>
              <w:pStyle w:val="TableParagraph"/>
              <w:spacing w:line="273" w:lineRule="auto" w:before="13"/>
              <w:ind w:left="783" w:right="512" w:hanging="528"/>
              <w:rPr>
                <w:sz w:val="21"/>
              </w:rPr>
            </w:pPr>
            <w:r>
              <w:rPr>
                <w:sz w:val="21"/>
              </w:rPr>
              <w:t>（3）心肌酶或肌钙蛋白有诊断意义的升高，或呈符合急性心肌梗塞的动态性变化；</w:t>
            </w:r>
          </w:p>
          <w:p>
            <w:pPr>
              <w:pStyle w:val="TableParagraph"/>
              <w:spacing w:before="7"/>
              <w:ind w:left="255"/>
              <w:rPr>
                <w:sz w:val="21"/>
              </w:rPr>
            </w:pPr>
            <w:r>
              <w:rPr>
                <w:sz w:val="21"/>
              </w:rPr>
              <w:t>（4）发病90天后，经检查证实左心室功能降低的，如左心室射血分数低于</w:t>
            </w:r>
          </w:p>
          <w:p>
            <w:pPr>
              <w:pStyle w:val="TableParagraph"/>
              <w:spacing w:before="37"/>
              <w:ind w:left="783"/>
              <w:rPr>
                <w:sz w:val="21"/>
              </w:rPr>
            </w:pPr>
            <w:r>
              <w:rPr>
                <w:sz w:val="21"/>
              </w:rPr>
              <w:t>50%。</w:t>
            </w:r>
          </w:p>
        </w:tc>
      </w:tr>
      <w:tr>
        <w:trPr>
          <w:trHeight w:val="2357" w:hRule="atLeast"/>
        </w:trPr>
        <w:tc>
          <w:tcPr>
            <w:tcW w:w="1789" w:type="dxa"/>
          </w:tcPr>
          <w:p>
            <w:pPr>
              <w:pStyle w:val="TableParagraph"/>
              <w:tabs>
                <w:tab w:pos="622" w:val="left" w:leader="none"/>
              </w:tabs>
              <w:spacing w:line="180" w:lineRule="auto" w:before="82"/>
              <w:ind w:left="200" w:right="117"/>
              <w:rPr>
                <w:rFonts w:ascii="微软雅黑" w:eastAsia="微软雅黑" w:hint="eastAsia"/>
                <w:b/>
                <w:sz w:val="21"/>
              </w:rPr>
            </w:pPr>
            <w:r>
              <w:rPr>
                <w:rFonts w:ascii="微软雅黑" w:eastAsia="微软雅黑" w:hint="eastAsia"/>
                <w:b/>
                <w:sz w:val="21"/>
              </w:rPr>
              <w:t>3.</w:t>
              <w:tab/>
            </w:r>
            <w:r>
              <w:rPr>
                <w:rFonts w:ascii="微软雅黑" w:eastAsia="微软雅黑" w:hint="eastAsia"/>
                <w:b/>
                <w:spacing w:val="-3"/>
                <w:sz w:val="21"/>
              </w:rPr>
              <w:t>脑中风后遗 症</w:t>
            </w:r>
          </w:p>
        </w:tc>
        <w:tc>
          <w:tcPr>
            <w:tcW w:w="7806" w:type="dxa"/>
          </w:tcPr>
          <w:p>
            <w:pPr>
              <w:pStyle w:val="TableParagraph"/>
              <w:spacing w:line="273" w:lineRule="auto" w:before="160"/>
              <w:ind w:left="255" w:right="408"/>
              <w:jc w:val="both"/>
              <w:rPr>
                <w:sz w:val="21"/>
              </w:rPr>
            </w:pPr>
            <w:r>
              <w:rPr>
                <w:sz w:val="21"/>
              </w:rPr>
              <w:t>指因脑血管的突发病变引起脑血管出血、栓塞或梗塞，并导致神经系统永久性功能障碍。神经系统永久性的功能障碍，指疾病确诊180天后， 仍遗留下列一种或一种以上障碍：</w:t>
            </w:r>
          </w:p>
          <w:p>
            <w:pPr>
              <w:pStyle w:val="TableParagraph"/>
              <w:spacing w:line="263" w:lineRule="exact"/>
              <w:ind w:left="255"/>
              <w:rPr>
                <w:sz w:val="21"/>
              </w:rPr>
            </w:pPr>
            <w:r>
              <w:rPr>
                <w:sz w:val="21"/>
              </w:rPr>
              <w:t>（1）一肢或一肢以上肢体机能完全丧失；</w:t>
            </w:r>
          </w:p>
          <w:p>
            <w:pPr>
              <w:pStyle w:val="TableParagraph"/>
              <w:spacing w:line="274" w:lineRule="exact"/>
              <w:ind w:left="255"/>
              <w:rPr>
                <w:sz w:val="21"/>
              </w:rPr>
            </w:pPr>
            <w:r>
              <w:rPr>
                <w:sz w:val="21"/>
              </w:rPr>
              <w:t>（2）语言能力或咀嚼吞咽能力完全丧失；</w:t>
            </w:r>
          </w:p>
          <w:p>
            <w:pPr>
              <w:pStyle w:val="TableParagraph"/>
              <w:spacing w:line="273" w:lineRule="auto" w:before="13"/>
              <w:ind w:left="783" w:right="512" w:hanging="528"/>
              <w:rPr>
                <w:sz w:val="21"/>
              </w:rPr>
            </w:pPr>
            <w:r>
              <w:rPr>
                <w:sz w:val="21"/>
              </w:rPr>
              <w:t>（3）自主生活能力完全丧失，无法独立完成六项基本日常生活活动中的三项或三项以上。</w:t>
            </w:r>
          </w:p>
        </w:tc>
      </w:tr>
      <w:tr>
        <w:trPr>
          <w:trHeight w:val="1892" w:hRule="atLeast"/>
        </w:trPr>
        <w:tc>
          <w:tcPr>
            <w:tcW w:w="1789" w:type="dxa"/>
          </w:tcPr>
          <w:p>
            <w:pPr>
              <w:pStyle w:val="TableParagraph"/>
              <w:spacing w:line="182" w:lineRule="auto" w:before="79"/>
              <w:ind w:left="200" w:right="108"/>
              <w:rPr>
                <w:rFonts w:ascii="微软雅黑" w:eastAsia="微软雅黑" w:hint="eastAsia"/>
                <w:b/>
                <w:sz w:val="21"/>
              </w:rPr>
            </w:pPr>
            <w:r>
              <w:rPr>
                <w:rFonts w:ascii="微软雅黑" w:eastAsia="微软雅黑" w:hint="eastAsia"/>
                <w:b/>
                <w:sz w:val="21"/>
              </w:rPr>
              <w:t>4. 重大器官移植术或造血干细胞移植术</w:t>
            </w:r>
          </w:p>
        </w:tc>
        <w:tc>
          <w:tcPr>
            <w:tcW w:w="7806" w:type="dxa"/>
          </w:tcPr>
          <w:p>
            <w:pPr>
              <w:pStyle w:val="TableParagraph"/>
              <w:spacing w:line="273" w:lineRule="auto" w:before="160"/>
              <w:ind w:left="255" w:right="416"/>
              <w:jc w:val="both"/>
              <w:rPr>
                <w:sz w:val="21"/>
              </w:rPr>
            </w:pPr>
            <w:r>
              <w:rPr>
                <w:spacing w:val="-5"/>
                <w:sz w:val="21"/>
              </w:rPr>
              <w:t>重大器官移植术，指因相应器官功能衰竭，已经实施了肾脏、肝脏、心脏或肺脏的异体移植手术。</w:t>
            </w:r>
          </w:p>
          <w:p>
            <w:pPr>
              <w:pStyle w:val="TableParagraph"/>
              <w:spacing w:line="273" w:lineRule="auto" w:before="89"/>
              <w:ind w:left="255" w:right="41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6" w:hRule="atLeast"/>
        </w:trPr>
        <w:tc>
          <w:tcPr>
            <w:tcW w:w="1789" w:type="dxa"/>
          </w:tcPr>
          <w:p>
            <w:pPr>
              <w:pStyle w:val="TableParagraph"/>
              <w:tabs>
                <w:tab w:pos="622" w:val="left" w:leader="none"/>
              </w:tabs>
              <w:spacing w:line="180" w:lineRule="auto" w:before="82"/>
              <w:ind w:left="200" w:right="117"/>
              <w:rPr>
                <w:rFonts w:ascii="微软雅黑" w:eastAsia="微软雅黑" w:hint="eastAsia"/>
                <w:b/>
                <w:sz w:val="21"/>
              </w:rPr>
            </w:pPr>
            <w:r>
              <w:rPr>
                <w:rFonts w:ascii="微软雅黑" w:eastAsia="微软雅黑" w:hint="eastAsia"/>
                <w:b/>
                <w:sz w:val="21"/>
              </w:rPr>
              <w:t>5.</w:t>
              <w:tab/>
            </w:r>
            <w:r>
              <w:rPr>
                <w:rFonts w:ascii="微软雅黑" w:eastAsia="微软雅黑" w:hint="eastAsia"/>
                <w:b/>
                <w:spacing w:val="-3"/>
                <w:sz w:val="21"/>
              </w:rPr>
              <w:t>冠状动脉搭 桥术</w:t>
            </w:r>
          </w:p>
        </w:tc>
        <w:tc>
          <w:tcPr>
            <w:tcW w:w="7806" w:type="dxa"/>
          </w:tcPr>
          <w:p>
            <w:pPr>
              <w:pStyle w:val="TableParagraph"/>
              <w:spacing w:line="235" w:lineRule="auto" w:before="69"/>
              <w:ind w:left="255" w:right="618"/>
              <w:rPr>
                <w:sz w:val="21"/>
              </w:rPr>
            </w:pPr>
            <w:r>
              <w:rPr>
                <w:sz w:val="21"/>
              </w:rPr>
              <w:t>指为治疗严重的冠心病，实际实施了开胸进行的冠状动脉血管旁路移植的手术。</w:t>
            </w:r>
          </w:p>
          <w:p>
            <w:pPr>
              <w:pStyle w:val="TableParagraph"/>
              <w:spacing w:line="273" w:lineRule="auto" w:before="94"/>
              <w:ind w:left="255" w:right="411"/>
              <w:rPr>
                <w:sz w:val="21"/>
              </w:rPr>
            </w:pPr>
            <w:r>
              <w:rPr>
                <w:spacing w:val="-5"/>
                <w:sz w:val="21"/>
                <w:shd w:fill="D9D9D9" w:color="auto" w:val="clear"/>
              </w:rPr>
              <w:t>冠状动脉支架植入术、心导管球囊扩张术、激光射频技术及其他非开胸的介入手术、腔</w:t>
            </w:r>
            <w:r>
              <w:rPr>
                <w:spacing w:val="-212"/>
                <w:sz w:val="21"/>
                <w:shd w:fill="D9D9D9" w:color="auto" w:val="clear"/>
              </w:rPr>
              <w:t>镜</w:t>
            </w:r>
            <w:r>
              <w:rPr>
                <w:spacing w:val="-3"/>
                <w:sz w:val="21"/>
                <w:shd w:fill="D9D9D9" w:color="auto" w:val="clear"/>
              </w:rPr>
              <w:t>手术不在保障范围内。</w:t>
            </w:r>
          </w:p>
        </w:tc>
      </w:tr>
      <w:tr>
        <w:trPr>
          <w:trHeight w:val="802" w:hRule="atLeast"/>
        </w:trPr>
        <w:tc>
          <w:tcPr>
            <w:tcW w:w="1789" w:type="dxa"/>
          </w:tcPr>
          <w:p>
            <w:pPr>
              <w:pStyle w:val="TableParagraph"/>
              <w:tabs>
                <w:tab w:pos="622" w:val="left" w:leader="none"/>
              </w:tabs>
              <w:spacing w:line="355" w:lineRule="exact"/>
              <w:ind w:left="200"/>
              <w:rPr>
                <w:rFonts w:ascii="微软雅黑" w:eastAsia="微软雅黑" w:hint="eastAsia"/>
                <w:b/>
                <w:sz w:val="21"/>
              </w:rPr>
            </w:pPr>
            <w:r>
              <w:rPr>
                <w:rFonts w:ascii="微软雅黑" w:eastAsia="微软雅黑" w:hint="eastAsia"/>
                <w:b/>
                <w:sz w:val="21"/>
              </w:rPr>
              <w:t>6.</w:t>
              <w:tab/>
            </w:r>
            <w:r>
              <w:rPr>
                <w:rFonts w:ascii="微软雅黑" w:eastAsia="微软雅黑" w:hint="eastAsia"/>
                <w:b/>
                <w:spacing w:val="-3"/>
                <w:sz w:val="21"/>
              </w:rPr>
              <w:t>终末期肾病</w:t>
            </w:r>
          </w:p>
        </w:tc>
        <w:tc>
          <w:tcPr>
            <w:tcW w:w="7806" w:type="dxa"/>
          </w:tcPr>
          <w:p>
            <w:pPr>
              <w:pStyle w:val="TableParagraph"/>
              <w:spacing w:line="264" w:lineRule="auto" w:before="83"/>
              <w:ind w:left="111" w:right="197"/>
              <w:rPr>
                <w:rFonts w:ascii="等线" w:eastAsia="等线" w:hint="eastAsia"/>
                <w:sz w:val="21"/>
              </w:rPr>
            </w:pPr>
            <w:r>
              <w:rPr>
                <w:spacing w:val="-6"/>
                <w:sz w:val="21"/>
              </w:rPr>
              <w:t>指双肾功能慢性不可逆性衰竭，达到尿毒症期，经诊断后已经进行了至少 </w:t>
            </w:r>
            <w:r>
              <w:rPr>
                <w:sz w:val="21"/>
              </w:rPr>
              <w:t>90</w:t>
            </w:r>
            <w:r>
              <w:rPr>
                <w:spacing w:val="-7"/>
                <w:sz w:val="21"/>
              </w:rPr>
              <w:t> 天的</w:t>
            </w:r>
            <w:r>
              <w:rPr>
                <w:spacing w:val="-6"/>
                <w:sz w:val="21"/>
              </w:rPr>
              <w:t>规律性透析治疗或实施了肾脏移植手术</w:t>
            </w:r>
            <w:r>
              <w:rPr>
                <w:rFonts w:ascii="等线" w:eastAsia="等线" w:hint="eastAsia"/>
                <w:sz w:val="21"/>
              </w:rPr>
              <w:t>。</w:t>
            </w:r>
          </w:p>
        </w:tc>
      </w:tr>
      <w:tr>
        <w:trPr>
          <w:trHeight w:val="763" w:hRule="atLeast"/>
        </w:trPr>
        <w:tc>
          <w:tcPr>
            <w:tcW w:w="1789" w:type="dxa"/>
          </w:tcPr>
          <w:p>
            <w:pPr>
              <w:pStyle w:val="TableParagraph"/>
              <w:tabs>
                <w:tab w:pos="622" w:val="left" w:leader="none"/>
              </w:tabs>
              <w:spacing w:line="177" w:lineRule="auto" w:before="81"/>
              <w:ind w:left="200" w:right="117"/>
              <w:rPr>
                <w:rFonts w:ascii="微软雅黑" w:eastAsia="微软雅黑" w:hint="eastAsia"/>
                <w:b/>
                <w:sz w:val="21"/>
              </w:rPr>
            </w:pPr>
            <w:r>
              <w:rPr>
                <w:rFonts w:ascii="微软雅黑" w:eastAsia="微软雅黑" w:hint="eastAsia"/>
                <w:b/>
                <w:sz w:val="21"/>
              </w:rPr>
              <w:t>7.</w:t>
              <w:tab/>
            </w:r>
            <w:r>
              <w:rPr>
                <w:rFonts w:ascii="微软雅黑" w:eastAsia="微软雅黑" w:hint="eastAsia"/>
                <w:b/>
                <w:spacing w:val="-3"/>
                <w:sz w:val="21"/>
              </w:rPr>
              <w:t>多个肢体缺 失</w:t>
            </w:r>
          </w:p>
        </w:tc>
        <w:tc>
          <w:tcPr>
            <w:tcW w:w="7806" w:type="dxa"/>
          </w:tcPr>
          <w:p>
            <w:pPr>
              <w:pStyle w:val="TableParagraph"/>
              <w:spacing w:line="261" w:lineRule="auto" w:before="64"/>
              <w:ind w:left="111" w:right="197"/>
              <w:rPr>
                <w:sz w:val="21"/>
              </w:rPr>
            </w:pPr>
            <w:r>
              <w:rPr>
                <w:rFonts w:ascii="等线" w:eastAsia="等线" w:hint="eastAsia"/>
                <w:sz w:val="21"/>
              </w:rPr>
              <w:t>指因疾病或意外伤害导致两个或两个以上肢体自腕关节或踝关节近端（</w:t>
            </w:r>
            <w:r>
              <w:rPr>
                <w:sz w:val="21"/>
              </w:rPr>
              <w:t>靠近躯干端）以上完全性断离。</w:t>
            </w:r>
          </w:p>
        </w:tc>
      </w:tr>
      <w:tr>
        <w:trPr>
          <w:trHeight w:val="511" w:hRule="atLeast"/>
        </w:trPr>
        <w:tc>
          <w:tcPr>
            <w:tcW w:w="1789" w:type="dxa"/>
          </w:tcPr>
          <w:p>
            <w:pPr>
              <w:pStyle w:val="TableParagraph"/>
              <w:tabs>
                <w:tab w:pos="819" w:val="left" w:leader="none"/>
              </w:tabs>
              <w:spacing w:before="16"/>
              <w:ind w:left="200"/>
              <w:rPr>
                <w:rFonts w:ascii="微软雅黑" w:eastAsia="微软雅黑" w:hint="eastAsia"/>
                <w:b/>
                <w:sz w:val="21"/>
              </w:rPr>
            </w:pPr>
            <w:r>
              <w:rPr>
                <w:rFonts w:ascii="微软雅黑" w:eastAsia="微软雅黑" w:hint="eastAsia"/>
                <w:b/>
                <w:w w:val="105"/>
                <w:sz w:val="21"/>
              </w:rPr>
              <w:t>8.</w:t>
              <w:tab/>
            </w:r>
            <w:r>
              <w:rPr>
                <w:rFonts w:ascii="微软雅黑" w:eastAsia="微软雅黑" w:hint="eastAsia"/>
                <w:b/>
                <w:spacing w:val="-2"/>
                <w:sz w:val="21"/>
              </w:rPr>
              <w:t>急性或亚</w:t>
            </w:r>
          </w:p>
        </w:tc>
        <w:tc>
          <w:tcPr>
            <w:tcW w:w="7806" w:type="dxa"/>
          </w:tcPr>
          <w:p>
            <w:pPr>
              <w:pStyle w:val="TableParagraph"/>
              <w:spacing w:line="238" w:lineRule="exact" w:before="30"/>
              <w:ind w:left="255"/>
              <w:rPr>
                <w:sz w:val="21"/>
              </w:rPr>
            </w:pPr>
            <w:r>
              <w:rPr>
                <w:sz w:val="21"/>
              </w:rPr>
              <w:t>指因肝炎病毒感染引起肝脏组织弥漫性坏死，导致急性肝功能衰竭，且经血清</w:t>
            </w:r>
          </w:p>
          <w:p>
            <w:pPr>
              <w:pStyle w:val="TableParagraph"/>
              <w:spacing w:line="223" w:lineRule="exact"/>
              <w:ind w:left="255"/>
              <w:rPr>
                <w:sz w:val="21"/>
              </w:rPr>
            </w:pPr>
            <w:r>
              <w:rPr>
                <w:sz w:val="21"/>
              </w:rPr>
              <w:t>学或病毒学检查证实，并须满足下列全部条件：</w:t>
            </w:r>
          </w:p>
        </w:tc>
      </w:tr>
    </w:tbl>
    <w:p>
      <w:pPr>
        <w:spacing w:after="0" w:line="223" w:lineRule="exact"/>
        <w:rPr>
          <w:sz w:val="21"/>
        </w:rPr>
        <w:sectPr>
          <w:pgSz w:w="11910" w:h="16840"/>
          <w:pgMar w:top="1480" w:bottom="280" w:left="1380" w:right="700"/>
        </w:sectPr>
      </w:pPr>
    </w:p>
    <w:p>
      <w:pPr>
        <w:tabs>
          <w:tab w:pos="1963" w:val="left" w:leader="none"/>
        </w:tabs>
        <w:spacing w:line="303" w:lineRule="exact" w:before="0"/>
        <w:ind w:left="119" w:right="0" w:firstLine="0"/>
        <w:jc w:val="left"/>
        <w:rPr>
          <w:sz w:val="21"/>
        </w:rPr>
      </w:pPr>
      <w:r>
        <w:rPr>
          <w:rFonts w:ascii="微软雅黑" w:eastAsia="微软雅黑" w:hint="eastAsia"/>
          <w:b/>
          <w:sz w:val="21"/>
        </w:rPr>
        <w:t>急</w:t>
      </w:r>
      <w:r>
        <w:rPr>
          <w:rFonts w:ascii="微软雅黑" w:eastAsia="微软雅黑" w:hint="eastAsia"/>
          <w:b/>
          <w:sz w:val="22"/>
        </w:rPr>
        <w:t>性重症肝炎</w:t>
        <w:tab/>
      </w:r>
      <w:r>
        <w:rPr>
          <w:sz w:val="21"/>
        </w:rPr>
        <w:t>（1）重度</w:t>
      </w:r>
      <w:r>
        <w:rPr>
          <w:spacing w:val="-5"/>
          <w:sz w:val="21"/>
        </w:rPr>
        <w:t>黄</w:t>
      </w:r>
      <w:r>
        <w:rPr>
          <w:sz w:val="21"/>
        </w:rPr>
        <w:t>疸或黄</w:t>
      </w:r>
      <w:r>
        <w:rPr>
          <w:spacing w:val="-5"/>
          <w:sz w:val="21"/>
        </w:rPr>
        <w:t>疸</w:t>
      </w:r>
      <w:r>
        <w:rPr>
          <w:sz w:val="21"/>
        </w:rPr>
        <w:t>迅速加</w:t>
      </w:r>
      <w:r>
        <w:rPr>
          <w:spacing w:val="-5"/>
          <w:sz w:val="21"/>
        </w:rPr>
        <w:t>重</w:t>
      </w:r>
      <w:r>
        <w:rPr>
          <w:sz w:val="21"/>
        </w:rPr>
        <w:t>；</w:t>
      </w:r>
    </w:p>
    <w:p>
      <w:pPr>
        <w:pStyle w:val="BodyText"/>
        <w:spacing w:line="257" w:lineRule="exact"/>
        <w:ind w:left="1963"/>
      </w:pPr>
      <w:r>
        <w:rPr/>
        <w:t>（2）肝性脑病；</w:t>
      </w:r>
    </w:p>
    <w:p>
      <w:pPr>
        <w:pStyle w:val="BodyText"/>
        <w:spacing w:line="274" w:lineRule="exact"/>
        <w:ind w:left="1963"/>
      </w:pPr>
      <w:r>
        <w:rPr/>
        <w:t>（3）B 超或其他影像学检查显示肝脏体积急速萎缩；</w:t>
      </w:r>
    </w:p>
    <w:p>
      <w:pPr>
        <w:pStyle w:val="BodyText"/>
        <w:spacing w:line="275" w:lineRule="exact"/>
        <w:ind w:left="1963"/>
      </w:pPr>
      <w:r>
        <w:rPr/>
        <w:t>（4）肝功能指标进行性恶化。</w:t>
      </w:r>
    </w:p>
    <w:p>
      <w:pPr>
        <w:pStyle w:val="ListParagraph"/>
        <w:numPr>
          <w:ilvl w:val="0"/>
          <w:numId w:val="12"/>
        </w:numPr>
        <w:tabs>
          <w:tab w:pos="542" w:val="left" w:leader="none"/>
          <w:tab w:pos="543" w:val="left" w:leader="none"/>
          <w:tab w:pos="1963" w:val="left" w:leader="none"/>
        </w:tabs>
        <w:spacing w:line="261" w:lineRule="auto" w:before="98" w:after="0"/>
        <w:ind w:left="1963" w:right="527" w:hanging="1844"/>
        <w:jc w:val="left"/>
        <w:rPr>
          <w:sz w:val="21"/>
        </w:rPr>
      </w:pPr>
      <w:r>
        <w:rPr>
          <w:rFonts w:ascii="微软雅黑" w:eastAsia="微软雅黑" w:hint="eastAsia"/>
          <w:b/>
          <w:position w:val="2"/>
          <w:sz w:val="21"/>
        </w:rPr>
        <w:t>良</w:t>
      </w:r>
      <w:r>
        <w:rPr>
          <w:rFonts w:ascii="微软雅黑" w:eastAsia="微软雅黑" w:hint="eastAsia"/>
          <w:b/>
          <w:spacing w:val="-5"/>
          <w:position w:val="2"/>
          <w:sz w:val="21"/>
        </w:rPr>
        <w:t>性</w:t>
      </w:r>
      <w:r>
        <w:rPr>
          <w:rFonts w:ascii="微软雅黑" w:eastAsia="微软雅黑" w:hint="eastAsia"/>
          <w:b/>
          <w:position w:val="2"/>
          <w:sz w:val="21"/>
        </w:rPr>
        <w:t>脑</w:t>
      </w:r>
      <w:r>
        <w:rPr>
          <w:rFonts w:ascii="微软雅黑" w:eastAsia="微软雅黑" w:hint="eastAsia"/>
          <w:b/>
          <w:spacing w:val="-5"/>
          <w:position w:val="2"/>
          <w:sz w:val="21"/>
        </w:rPr>
        <w:t>肿</w:t>
      </w:r>
      <w:r>
        <w:rPr>
          <w:rFonts w:ascii="微软雅黑" w:eastAsia="微软雅黑" w:hint="eastAsia"/>
          <w:b/>
          <w:position w:val="2"/>
          <w:sz w:val="21"/>
        </w:rPr>
        <w:t>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 症状、癫</w:t>
      </w:r>
      <w:r>
        <w:rPr>
          <w:spacing w:val="-5"/>
          <w:sz w:val="21"/>
        </w:rPr>
        <w:t>痫</w:t>
      </w:r>
      <w:r>
        <w:rPr>
          <w:sz w:val="21"/>
        </w:rPr>
        <w:t>及运动</w:t>
      </w:r>
      <w:r>
        <w:rPr>
          <w:spacing w:val="-5"/>
          <w:sz w:val="21"/>
        </w:rPr>
        <w:t>感</w:t>
      </w:r>
      <w:r>
        <w:rPr>
          <w:sz w:val="21"/>
        </w:rPr>
        <w:t>觉障碍</w:t>
      </w:r>
      <w:r>
        <w:rPr>
          <w:spacing w:val="-5"/>
          <w:sz w:val="21"/>
        </w:rPr>
        <w:t>等</w:t>
      </w:r>
      <w:r>
        <w:rPr>
          <w:sz w:val="21"/>
        </w:rPr>
        <w:t>，并危</w:t>
      </w:r>
      <w:r>
        <w:rPr>
          <w:spacing w:val="-5"/>
          <w:sz w:val="21"/>
        </w:rPr>
        <w:t>及</w:t>
      </w:r>
      <w:r>
        <w:rPr>
          <w:sz w:val="21"/>
        </w:rPr>
        <w:t>生命。</w:t>
      </w:r>
      <w:r>
        <w:rPr>
          <w:spacing w:val="-5"/>
          <w:sz w:val="21"/>
        </w:rPr>
        <w:t>须</w:t>
      </w:r>
      <w:r>
        <w:rPr>
          <w:sz w:val="21"/>
        </w:rPr>
        <w:t>由</w:t>
      </w:r>
      <w:r>
        <w:rPr>
          <w:spacing w:val="-5"/>
          <w:sz w:val="21"/>
        </w:rPr>
        <w:t>头</w:t>
      </w:r>
      <w:r>
        <w:rPr>
          <w:sz w:val="21"/>
        </w:rPr>
        <w:t>颅断层扫描</w:t>
      </w:r>
    </w:p>
    <w:p>
      <w:pPr>
        <w:pStyle w:val="BodyText"/>
        <w:spacing w:before="27"/>
        <w:ind w:left="1963" w:right="524"/>
      </w:pPr>
      <w:r>
        <w:rPr/>
        <w:t>（CT）核磁共振检查（MRI）或正电子发射断层扫描（PET）等影像学检查证实，并须满足下列至少一项条件：</w:t>
      </w:r>
    </w:p>
    <w:p>
      <w:pPr>
        <w:pStyle w:val="BodyText"/>
        <w:spacing w:line="242" w:lineRule="exact"/>
        <w:ind w:left="1963"/>
      </w:pPr>
      <w:r>
        <w:rPr/>
        <w:t>（1）实际实施了开颅进行的脑肿瘤完全切除或部分切除的手术；</w:t>
      </w:r>
    </w:p>
    <w:p>
      <w:pPr>
        <w:pStyle w:val="BodyText"/>
        <w:spacing w:line="267" w:lineRule="exact"/>
        <w:ind w:left="1963"/>
      </w:pPr>
      <w:r>
        <w:rPr/>
        <w:t>（2）实际实施了对脑肿瘤进行的放射治疗。</w:t>
      </w:r>
    </w:p>
    <w:p>
      <w:pPr>
        <w:pStyle w:val="BodyText"/>
        <w:spacing w:before="22"/>
        <w:ind w:left="1963"/>
      </w:pPr>
      <w:r>
        <w:rPr>
          <w:shd w:fill="D9D9D9" w:color="auto" w:val="clear"/>
        </w:rPr>
        <w:t>脑垂体瘤、脑囊肿、脑血管性疾病不在保障范围内。</w:t>
      </w:r>
    </w:p>
    <w:p>
      <w:pPr>
        <w:pStyle w:val="BodyText"/>
        <w:spacing w:before="2"/>
        <w:rPr>
          <w:sz w:val="9"/>
        </w:rPr>
      </w:pPr>
    </w:p>
    <w:p>
      <w:pPr>
        <w:spacing w:after="0"/>
        <w:rPr>
          <w:sz w:val="9"/>
        </w:rPr>
        <w:sectPr>
          <w:pgSz w:w="11910" w:h="16840"/>
          <w:pgMar w:top="1380" w:bottom="280" w:left="1580" w:right="900"/>
        </w:sectPr>
      </w:pPr>
    </w:p>
    <w:p>
      <w:pPr>
        <w:pStyle w:val="Heading3"/>
        <w:numPr>
          <w:ilvl w:val="0"/>
          <w:numId w:val="12"/>
        </w:numPr>
        <w:tabs>
          <w:tab w:pos="543" w:val="left" w:leader="none"/>
        </w:tabs>
        <w:spacing w:line="180" w:lineRule="auto" w:before="65" w:after="0"/>
        <w:ind w:left="119" w:right="0" w:firstLine="0"/>
        <w:jc w:val="left"/>
      </w:pPr>
      <w:r>
        <w:rPr/>
        <w:t>慢性肝功能衰竭失代偿期</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4"/>
        <w:rPr>
          <w:rFonts w:ascii="微软雅黑"/>
          <w:b/>
          <w:sz w:val="18"/>
        </w:rPr>
      </w:pPr>
    </w:p>
    <w:p>
      <w:pPr>
        <w:pStyle w:val="ListParagraph"/>
        <w:numPr>
          <w:ilvl w:val="0"/>
          <w:numId w:val="12"/>
        </w:numPr>
        <w:tabs>
          <w:tab w:pos="543" w:val="left" w:leader="none"/>
        </w:tabs>
        <w:spacing w:line="182" w:lineRule="auto" w:before="0" w:after="0"/>
        <w:ind w:left="119" w:right="0" w:firstLine="0"/>
        <w:jc w:val="left"/>
        <w:rPr>
          <w:rFonts w:ascii="微软雅黑" w:eastAsia="微软雅黑" w:hint="eastAsia"/>
          <w:b/>
          <w:sz w:val="21"/>
        </w:rPr>
      </w:pPr>
      <w:r>
        <w:rPr>
          <w:rFonts w:ascii="微软雅黑" w:eastAsia="微软雅黑" w:hint="eastAsia"/>
          <w:b/>
          <w:sz w:val="21"/>
        </w:rPr>
        <w:t>脑炎后遗症或脑膜炎后遗症</w:t>
      </w:r>
    </w:p>
    <w:p>
      <w:pPr>
        <w:pStyle w:val="BodyText"/>
        <w:spacing w:line="274" w:lineRule="exact" w:before="118"/>
        <w:ind w:left="263"/>
      </w:pPr>
      <w:r>
        <w:rPr/>
        <w:br w:type="column"/>
      </w:r>
      <w:r>
        <w:rPr/>
        <w:t>指因慢性肝脏疾病导致肝功能衰竭，须满足下列全部条件：</w:t>
      </w:r>
    </w:p>
    <w:p>
      <w:pPr>
        <w:pStyle w:val="BodyText"/>
        <w:spacing w:line="271" w:lineRule="exact"/>
        <w:ind w:left="263"/>
      </w:pPr>
      <w:r>
        <w:rPr/>
        <w:t>（1）持续性黄疸；</w:t>
      </w:r>
    </w:p>
    <w:p>
      <w:pPr>
        <w:pStyle w:val="BodyText"/>
        <w:spacing w:line="271" w:lineRule="exact"/>
        <w:ind w:left="263"/>
      </w:pPr>
      <w:r>
        <w:rPr/>
        <w:t>（2）腹水；</w:t>
      </w:r>
    </w:p>
    <w:p>
      <w:pPr>
        <w:pStyle w:val="BodyText"/>
        <w:spacing w:line="271" w:lineRule="exact"/>
        <w:ind w:left="263"/>
      </w:pPr>
      <w:r>
        <w:rPr/>
        <w:t>（3）肝性脑病；</w:t>
      </w:r>
    </w:p>
    <w:p>
      <w:pPr>
        <w:pStyle w:val="BodyText"/>
        <w:spacing w:line="252" w:lineRule="auto"/>
        <w:ind w:left="119" w:right="2312" w:firstLine="144"/>
      </w:pPr>
      <w:r>
        <w:rPr/>
        <w:t>（4）充血性脾肿大伴脾功能亢进或食管胃底静脉曲张。</w:t>
      </w:r>
      <w:r>
        <w:rPr>
          <w:shd w:fill="D9D9D9" w:color="auto" w:val="clear"/>
        </w:rPr>
        <w:t>因酗酒或药物滥用导致的肝功能衰竭不在保障范围内。</w:t>
      </w:r>
    </w:p>
    <w:p>
      <w:pPr>
        <w:pStyle w:val="BodyText"/>
        <w:spacing w:before="7"/>
        <w:rPr>
          <w:sz w:val="20"/>
        </w:rPr>
      </w:pPr>
    </w:p>
    <w:p>
      <w:pPr>
        <w:pStyle w:val="BodyText"/>
        <w:spacing w:line="273" w:lineRule="auto"/>
        <w:ind w:left="263" w:right="321"/>
      </w:pPr>
      <w:r>
        <w:rPr/>
        <w:t>指因患脑炎或脑膜炎导致的神经系统永久性的功能障碍。神经系统永久性的功能障碍，指疾病确诊180天后，仍残留下列一种或一种以上障碍：</w:t>
      </w:r>
    </w:p>
    <w:p>
      <w:pPr>
        <w:pStyle w:val="BodyText"/>
        <w:spacing w:line="268" w:lineRule="exact"/>
        <w:ind w:left="263"/>
      </w:pPr>
      <w:r>
        <w:rPr/>
        <w:t>（1）一肢或一肢以上肢体机能完全丧失；</w:t>
      </w:r>
    </w:p>
    <w:p>
      <w:pPr>
        <w:pStyle w:val="BodyText"/>
        <w:spacing w:line="271" w:lineRule="exact"/>
        <w:ind w:left="263"/>
      </w:pPr>
      <w:r>
        <w:rPr/>
        <w:t>（2）语言能力或咀嚼吞咽能力完全丧失；</w:t>
      </w:r>
    </w:p>
    <w:p>
      <w:pPr>
        <w:pStyle w:val="BodyText"/>
        <w:ind w:left="263" w:right="114"/>
      </w:pPr>
      <w:r>
        <w:rPr>
          <w:spacing w:val="-20"/>
        </w:rPr>
        <w:t>（3）</w:t>
      </w:r>
      <w:r>
        <w:rPr>
          <w:spacing w:val="-8"/>
        </w:rPr>
        <w:t>自主生活能力完全丧失，无法独立完成六项基本日常生活活动中的三项或三项以上。</w:t>
      </w:r>
    </w:p>
    <w:p>
      <w:pPr>
        <w:spacing w:after="0"/>
        <w:sectPr>
          <w:type w:val="continuous"/>
          <w:pgSz w:w="11910" w:h="16840"/>
          <w:pgMar w:top="1120" w:bottom="280" w:left="1580" w:right="900"/>
          <w:cols w:num="2" w:equalWidth="0">
            <w:col w:w="1599" w:space="101"/>
            <w:col w:w="7730"/>
          </w:cols>
        </w:sectPr>
      </w:pPr>
    </w:p>
    <w:p>
      <w:pPr>
        <w:pStyle w:val="BodyText"/>
        <w:spacing w:before="7"/>
        <w:rPr>
          <w:sz w:val="9"/>
        </w:rPr>
      </w:pPr>
    </w:p>
    <w:p>
      <w:pPr>
        <w:pStyle w:val="ListParagraph"/>
        <w:numPr>
          <w:ilvl w:val="0"/>
          <w:numId w:val="12"/>
        </w:numPr>
        <w:tabs>
          <w:tab w:pos="648" w:val="left" w:leader="none"/>
          <w:tab w:pos="649" w:val="left" w:leader="none"/>
          <w:tab w:pos="1963" w:val="left" w:leader="none"/>
        </w:tabs>
        <w:spacing w:line="407" w:lineRule="exact" w:before="0" w:after="0"/>
        <w:ind w:left="648" w:right="0" w:hanging="529"/>
        <w:jc w:val="left"/>
        <w:rPr>
          <w:sz w:val="21"/>
        </w:rPr>
      </w:pPr>
      <w:r>
        <w:rPr>
          <w:rFonts w:ascii="微软雅黑" w:eastAsia="微软雅黑" w:hint="eastAsia"/>
          <w:b/>
          <w:position w:val="10"/>
          <w:sz w:val="21"/>
        </w:rPr>
        <w:t>深度昏迷</w:t>
        <w:tab/>
      </w:r>
      <w:r>
        <w:rPr>
          <w:spacing w:val="2"/>
          <w:sz w:val="21"/>
        </w:rPr>
        <w:t>指因疾病或意外伤害导致意识丧</w:t>
      </w:r>
      <w:r>
        <w:rPr>
          <w:spacing w:val="5"/>
          <w:sz w:val="21"/>
        </w:rPr>
        <w:t>失</w:t>
      </w:r>
      <w:r>
        <w:rPr>
          <w:spacing w:val="2"/>
          <w:sz w:val="21"/>
        </w:rPr>
        <w:t>,对外界刺激和</w:t>
      </w:r>
      <w:r>
        <w:rPr>
          <w:spacing w:val="7"/>
          <w:sz w:val="21"/>
        </w:rPr>
        <w:t>体</w:t>
      </w:r>
      <w:r>
        <w:rPr>
          <w:spacing w:val="2"/>
          <w:sz w:val="21"/>
        </w:rPr>
        <w:t>内需求均无反</w:t>
      </w:r>
      <w:r>
        <w:rPr>
          <w:spacing w:val="5"/>
          <w:sz w:val="21"/>
        </w:rPr>
        <w:t>应</w:t>
      </w:r>
      <w:r>
        <w:rPr>
          <w:spacing w:val="2"/>
          <w:sz w:val="21"/>
        </w:rPr>
        <w:t>,昏迷程</w:t>
      </w:r>
    </w:p>
    <w:p>
      <w:pPr>
        <w:pStyle w:val="BodyText"/>
        <w:spacing w:line="273" w:lineRule="auto" w:before="42"/>
        <w:ind w:left="1963" w:right="318"/>
      </w:pPr>
      <w:r>
        <w:rPr/>
        <w:t>度按照格拉斯哥昏迷分级（Glasgow coma scale）结果为5分或5分以下，且已经持续使用呼吸机及其它生命维持系统96小时以上。</w:t>
      </w:r>
    </w:p>
    <w:p>
      <w:pPr>
        <w:pStyle w:val="BodyText"/>
        <w:spacing w:before="8"/>
        <w:ind w:left="1819"/>
      </w:pPr>
      <w:r>
        <w:rPr>
          <w:shd w:fill="D9D9D9" w:color="auto" w:val="clear"/>
        </w:rPr>
        <w:t>因酗酒或药物滥用导致的深度昏迷不在保障范围内。</w:t>
      </w:r>
    </w:p>
    <w:p>
      <w:pPr>
        <w:pStyle w:val="BodyText"/>
        <w:spacing w:before="1"/>
        <w:rPr>
          <w:sz w:val="11"/>
        </w:rPr>
      </w:pPr>
    </w:p>
    <w:p>
      <w:pPr>
        <w:spacing w:after="0"/>
        <w:rPr>
          <w:sz w:val="11"/>
        </w:rPr>
        <w:sectPr>
          <w:type w:val="continuous"/>
          <w:pgSz w:w="11910" w:h="16840"/>
          <w:pgMar w:top="1120" w:bottom="280" w:left="1580" w:right="900"/>
        </w:sectPr>
      </w:pPr>
    </w:p>
    <w:p>
      <w:pPr>
        <w:pStyle w:val="Heading3"/>
        <w:numPr>
          <w:ilvl w:val="0"/>
          <w:numId w:val="12"/>
        </w:numPr>
        <w:tabs>
          <w:tab w:pos="543" w:val="left" w:leader="none"/>
        </w:tabs>
        <w:spacing w:line="180" w:lineRule="auto" w:before="65" w:after="0"/>
        <w:ind w:left="119" w:right="0" w:firstLine="0"/>
        <w:jc w:val="left"/>
      </w:pPr>
      <w:r>
        <w:rPr/>
        <w:t>双耳失聪－ 三周岁始理赔</w:t>
      </w:r>
    </w:p>
    <w:p>
      <w:pPr>
        <w:pStyle w:val="BodyText"/>
        <w:spacing w:before="114"/>
        <w:ind w:left="263"/>
      </w:pPr>
      <w:r>
        <w:rPr/>
        <w:br w:type="column"/>
      </w:r>
      <w:r>
        <w:rPr/>
        <w:t>指因疾病或意外伤害导致双耳听力永久不可逆性丧失，在500赫兹、1000赫兹和</w:t>
      </w:r>
    </w:p>
    <w:p>
      <w:pPr>
        <w:pStyle w:val="BodyText"/>
        <w:spacing w:line="235" w:lineRule="auto" w:before="9"/>
        <w:ind w:left="263" w:right="136"/>
      </w:pPr>
      <w:r>
        <w:rPr/>
        <w:t>2000</w:t>
      </w:r>
      <w:r>
        <w:rPr>
          <w:spacing w:val="-20"/>
        </w:rPr>
        <w:t>赫兹语音频率下，平均听阈大于</w:t>
      </w:r>
      <w:r>
        <w:rPr>
          <w:spacing w:val="-3"/>
        </w:rPr>
        <w:t>90</w:t>
      </w:r>
      <w:r>
        <w:rPr>
          <w:spacing w:val="-15"/>
        </w:rPr>
        <w:t>分贝，且经纯音听力测试、声导抗检测或听觉诱发电位检测等证实。</w:t>
      </w:r>
    </w:p>
    <w:p>
      <w:pPr>
        <w:pStyle w:val="BodyText"/>
        <w:spacing w:line="273" w:lineRule="auto" w:before="13"/>
        <w:ind w:left="119" w:right="108"/>
      </w:pPr>
      <w:r>
        <w:rPr>
          <w:spacing w:val="-8"/>
          <w:shd w:fill="D9D9D9" w:color="auto" w:val="clear"/>
        </w:rPr>
        <w:t>确诊时被保险人年龄必须在三周岁以上，并且提供理赔当时的听力丧失诊断及检查证据。</w:t>
      </w:r>
    </w:p>
    <w:p>
      <w:pPr>
        <w:spacing w:after="0" w:line="273" w:lineRule="auto"/>
        <w:sectPr>
          <w:type w:val="continuous"/>
          <w:pgSz w:w="11910" w:h="16840"/>
          <w:pgMar w:top="1120" w:bottom="280" w:left="1580" w:right="900"/>
          <w:cols w:num="2" w:equalWidth="0">
            <w:col w:w="1599" w:space="101"/>
            <w:col w:w="7730"/>
          </w:cols>
        </w:sectPr>
      </w:pPr>
    </w:p>
    <w:p>
      <w:pPr>
        <w:pStyle w:val="BodyText"/>
        <w:spacing w:before="3"/>
        <w:rPr>
          <w:sz w:val="9"/>
        </w:rPr>
      </w:pPr>
    </w:p>
    <w:p>
      <w:pPr>
        <w:pStyle w:val="Heading3"/>
        <w:numPr>
          <w:ilvl w:val="0"/>
          <w:numId w:val="12"/>
        </w:numPr>
        <w:tabs>
          <w:tab w:pos="543" w:val="left" w:leader="none"/>
        </w:tabs>
        <w:spacing w:line="282" w:lineRule="exact" w:before="0" w:after="0"/>
        <w:ind w:left="1963" w:right="0" w:hanging="1844"/>
        <w:jc w:val="left"/>
      </w:pPr>
      <w:r>
        <w:rPr/>
        <w:t>双目失明－</w:t>
      </w:r>
    </w:p>
    <w:p>
      <w:pPr>
        <w:pStyle w:val="BodyText"/>
        <w:tabs>
          <w:tab w:pos="1963" w:val="left" w:leader="none"/>
        </w:tabs>
        <w:spacing w:line="196" w:lineRule="auto"/>
        <w:ind w:left="1963" w:right="527" w:hanging="1845"/>
      </w:pPr>
      <w:r>
        <w:rPr>
          <w:rFonts w:ascii="微软雅黑" w:eastAsia="微软雅黑" w:hint="eastAsia"/>
          <w:b/>
          <w:position w:val="-7"/>
        </w:rPr>
        <w:t>三周岁始理赔</w:t>
        <w:tab/>
      </w:r>
      <w:r>
        <w:rPr/>
        <w:t>指因疾病</w:t>
      </w:r>
      <w:r>
        <w:rPr>
          <w:spacing w:val="-5"/>
        </w:rPr>
        <w:t>或</w:t>
      </w:r>
      <w:r>
        <w:rPr/>
        <w:t>意外伤</w:t>
      </w:r>
      <w:r>
        <w:rPr>
          <w:spacing w:val="-5"/>
        </w:rPr>
        <w:t>害</w:t>
      </w:r>
      <w:r>
        <w:rPr/>
        <w:t>导致双</w:t>
      </w:r>
      <w:r>
        <w:rPr>
          <w:spacing w:val="-5"/>
        </w:rPr>
        <w:t>眼</w:t>
      </w:r>
      <w:r>
        <w:rPr/>
        <w:t>视力永</w:t>
      </w:r>
      <w:r>
        <w:rPr>
          <w:spacing w:val="-5"/>
        </w:rPr>
        <w:t>久</w:t>
      </w:r>
      <w:r>
        <w:rPr/>
        <w:t>不可逆</w:t>
      </w:r>
      <w:r>
        <w:rPr>
          <w:spacing w:val="-5"/>
        </w:rPr>
        <w:t>性</w:t>
      </w:r>
      <w:r>
        <w:rPr/>
        <w:t>丧</w:t>
      </w:r>
      <w:r>
        <w:rPr>
          <w:spacing w:val="-5"/>
        </w:rPr>
        <w:t>失</w:t>
      </w:r>
      <w:r>
        <w:rPr/>
        <w:t>，双眼中</w:t>
      </w:r>
      <w:r>
        <w:rPr>
          <w:spacing w:val="-5"/>
        </w:rPr>
        <w:t>较</w:t>
      </w:r>
      <w:r>
        <w:rPr/>
        <w:t>好眼须</w:t>
      </w:r>
      <w:r>
        <w:rPr>
          <w:spacing w:val="-5"/>
        </w:rPr>
        <w:t>满</w:t>
      </w:r>
      <w:r>
        <w:rPr/>
        <w:t>足 下列至少</w:t>
      </w:r>
      <w:r>
        <w:rPr>
          <w:spacing w:val="-5"/>
        </w:rPr>
        <w:t>一</w:t>
      </w:r>
      <w:r>
        <w:rPr/>
        <w:t>项条件：</w:t>
      </w:r>
    </w:p>
    <w:p>
      <w:pPr>
        <w:pStyle w:val="BodyText"/>
        <w:spacing w:before="21"/>
        <w:ind w:left="1963"/>
      </w:pPr>
      <w:r>
        <w:rPr/>
        <w:t>（1）眼球缺失或摘除；</w:t>
      </w:r>
    </w:p>
    <w:p>
      <w:pPr>
        <w:pStyle w:val="BodyText"/>
        <w:spacing w:before="22"/>
        <w:ind w:left="2491" w:right="409" w:hanging="528"/>
      </w:pPr>
      <w:r>
        <w:rPr/>
        <w:t>（2）</w:t>
      </w:r>
      <w:r>
        <w:rPr>
          <w:spacing w:val="-13"/>
        </w:rPr>
        <w:t>矫正视力低于</w:t>
      </w:r>
      <w:r>
        <w:rPr/>
        <w:t>0.02（</w:t>
      </w:r>
      <w:r>
        <w:rPr>
          <w:spacing w:val="-10"/>
        </w:rPr>
        <w:t>采用国际标准视力表，如果使用其他视力表应进行换</w:t>
      </w:r>
      <w:r>
        <w:rPr>
          <w:spacing w:val="-9"/>
          <w:w w:val="100"/>
        </w:rPr>
        <w:t>算</w:t>
      </w:r>
      <w:r>
        <w:rPr>
          <w:spacing w:val="-212"/>
          <w:w w:val="100"/>
        </w:rPr>
        <w:t>）</w:t>
      </w:r>
      <w:r>
        <w:rPr>
          <w:w w:val="100"/>
        </w:rPr>
        <w:t>；</w:t>
      </w:r>
    </w:p>
    <w:p>
      <w:pPr>
        <w:pStyle w:val="BodyText"/>
        <w:spacing w:line="245" w:lineRule="exact"/>
        <w:ind w:left="1963"/>
      </w:pPr>
      <w:r>
        <w:rPr/>
        <w:t>（3）视野半径小于5度。</w:t>
      </w:r>
    </w:p>
    <w:p>
      <w:pPr>
        <w:pStyle w:val="BodyText"/>
        <w:spacing w:line="273" w:lineRule="auto" w:before="13"/>
        <w:ind w:left="1819" w:right="109"/>
      </w:pPr>
      <w:r>
        <w:rPr>
          <w:spacing w:val="-8"/>
          <w:shd w:fill="D9D9D9" w:color="auto" w:val="clear"/>
        </w:rPr>
        <w:t>被保险人申请理赔时年龄必须在三周岁以上，并且提供理赔当时的视力丧失诊断及检查证据。</w:t>
      </w:r>
    </w:p>
    <w:p>
      <w:pPr>
        <w:pStyle w:val="ListParagraph"/>
        <w:numPr>
          <w:ilvl w:val="0"/>
          <w:numId w:val="12"/>
        </w:numPr>
        <w:tabs>
          <w:tab w:pos="543" w:val="left" w:leader="none"/>
          <w:tab w:pos="1930" w:val="left" w:leader="none"/>
        </w:tabs>
        <w:spacing w:line="264" w:lineRule="auto" w:before="90" w:after="0"/>
        <w:ind w:left="1930" w:right="318" w:hanging="1811"/>
        <w:jc w:val="left"/>
        <w:rPr>
          <w:sz w:val="21"/>
        </w:rPr>
      </w:pPr>
      <w:r>
        <w:rPr>
          <w:rFonts w:ascii="微软雅黑" w:eastAsia="微软雅黑" w:hint="eastAsia"/>
          <w:b/>
          <w:position w:val="8"/>
          <w:sz w:val="21"/>
        </w:rPr>
        <w:t>瘫</w:t>
      </w:r>
      <w:r>
        <w:rPr>
          <w:rFonts w:ascii="微软雅黑" w:eastAsia="微软雅黑" w:hint="eastAsia"/>
          <w:b/>
          <w:spacing w:val="43"/>
          <w:position w:val="8"/>
          <w:sz w:val="21"/>
        </w:rPr>
        <w:t> </w:t>
      </w:r>
      <w:r>
        <w:rPr>
          <w:rFonts w:ascii="微软雅黑" w:eastAsia="微软雅黑" w:hint="eastAsia"/>
          <w:b/>
          <w:position w:val="8"/>
          <w:sz w:val="21"/>
        </w:rPr>
        <w:t>痪</w:t>
        <w:tab/>
      </w:r>
      <w:r>
        <w:rPr>
          <w:sz w:val="21"/>
        </w:rPr>
        <w:t>指因疾病或意外伤害导致两肢或两肢</w:t>
      </w:r>
      <w:r>
        <w:rPr>
          <w:spacing w:val="-5"/>
          <w:sz w:val="21"/>
        </w:rPr>
        <w:t>以</w:t>
      </w:r>
      <w:r>
        <w:rPr>
          <w:sz w:val="21"/>
        </w:rPr>
        <w:t>上肢体机能</w:t>
      </w:r>
      <w:r>
        <w:rPr>
          <w:spacing w:val="-5"/>
          <w:sz w:val="21"/>
        </w:rPr>
        <w:t>永</w:t>
      </w:r>
      <w:r>
        <w:rPr>
          <w:sz w:val="21"/>
        </w:rPr>
        <w:t>久完全丧失。肢体机能永 </w:t>
      </w:r>
      <w:r>
        <w:rPr>
          <w:spacing w:val="-1"/>
          <w:sz w:val="21"/>
        </w:rPr>
        <w:t>久完全</w:t>
      </w:r>
      <w:r>
        <w:rPr>
          <w:sz w:val="21"/>
        </w:rPr>
        <w:t>丧失，指疾病确诊180天后或</w:t>
      </w:r>
      <w:r>
        <w:rPr>
          <w:spacing w:val="-5"/>
          <w:sz w:val="21"/>
        </w:rPr>
        <w:t>意</w:t>
      </w:r>
      <w:r>
        <w:rPr>
          <w:sz w:val="21"/>
        </w:rPr>
        <w:t>外伤害发生180天后，每肢三大关节中的</w:t>
      </w:r>
    </w:p>
    <w:p>
      <w:pPr>
        <w:spacing w:after="0" w:line="264" w:lineRule="auto"/>
        <w:jc w:val="left"/>
        <w:rPr>
          <w:sz w:val="21"/>
        </w:rPr>
        <w:sectPr>
          <w:type w:val="continuous"/>
          <w:pgSz w:w="11910" w:h="16840"/>
          <w:pgMar w:top="1120" w:bottom="280" w:left="1580" w:right="900"/>
        </w:sectPr>
      </w:pPr>
    </w:p>
    <w:p>
      <w:pPr>
        <w:pStyle w:val="BodyText"/>
        <w:spacing w:before="12"/>
        <w:ind w:left="1930"/>
      </w:pPr>
      <w:r>
        <w:rPr/>
        <w:t>两大关节仍然完全僵硬，或不能随意识活动。</w:t>
      </w:r>
    </w:p>
    <w:p>
      <w:pPr>
        <w:pStyle w:val="BodyText"/>
        <w:spacing w:before="6"/>
        <w:rPr>
          <w:sz w:val="15"/>
        </w:rPr>
      </w:pPr>
    </w:p>
    <w:p>
      <w:pPr>
        <w:spacing w:after="0"/>
        <w:rPr>
          <w:sz w:val="15"/>
        </w:rPr>
        <w:sectPr>
          <w:pgSz w:w="11910" w:h="16840"/>
          <w:pgMar w:top="1400" w:bottom="280" w:left="1580" w:right="900"/>
        </w:sectPr>
      </w:pPr>
    </w:p>
    <w:p>
      <w:pPr>
        <w:pStyle w:val="Heading3"/>
        <w:numPr>
          <w:ilvl w:val="0"/>
          <w:numId w:val="12"/>
        </w:numPr>
        <w:tabs>
          <w:tab w:pos="648" w:val="left" w:leader="none"/>
          <w:tab w:pos="649" w:val="left" w:leader="none"/>
        </w:tabs>
        <w:spacing w:line="182" w:lineRule="auto" w:before="61" w:after="0"/>
        <w:ind w:left="119" w:right="103" w:firstLine="0"/>
        <w:jc w:val="left"/>
      </w:pPr>
      <w:r>
        <w:rPr/>
        <w:t>心脏瓣膜手术</w:t>
      </w:r>
    </w:p>
    <w:p>
      <w:pPr>
        <w:pStyle w:val="ListParagraph"/>
        <w:numPr>
          <w:ilvl w:val="0"/>
          <w:numId w:val="12"/>
        </w:numPr>
        <w:tabs>
          <w:tab w:pos="543" w:val="left" w:leader="none"/>
        </w:tabs>
        <w:spacing w:line="180" w:lineRule="auto" w:before="169" w:after="0"/>
        <w:ind w:left="119" w:right="0" w:firstLine="0"/>
        <w:jc w:val="left"/>
        <w:rPr>
          <w:rFonts w:ascii="微软雅黑" w:eastAsia="微软雅黑" w:hint="eastAsia"/>
          <w:b/>
          <w:sz w:val="21"/>
        </w:rPr>
      </w:pPr>
      <w:r>
        <w:rPr>
          <w:rFonts w:ascii="微软雅黑" w:eastAsia="微软雅黑" w:hint="eastAsia"/>
          <w:b/>
          <w:sz w:val="21"/>
        </w:rPr>
        <w:t>严重阿尔茨海默病</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26"/>
        </w:rPr>
      </w:pPr>
    </w:p>
    <w:p>
      <w:pPr>
        <w:pStyle w:val="ListParagraph"/>
        <w:numPr>
          <w:ilvl w:val="0"/>
          <w:numId w:val="12"/>
        </w:numPr>
        <w:tabs>
          <w:tab w:pos="648" w:val="left" w:leader="none"/>
          <w:tab w:pos="649" w:val="left" w:leader="none"/>
        </w:tabs>
        <w:spacing w:line="180" w:lineRule="auto" w:before="0" w:after="0"/>
        <w:ind w:left="119" w:right="103" w:firstLine="0"/>
        <w:jc w:val="left"/>
        <w:rPr>
          <w:rFonts w:ascii="微软雅黑" w:eastAsia="微软雅黑" w:hint="eastAsia"/>
          <w:b/>
          <w:sz w:val="21"/>
        </w:rPr>
      </w:pPr>
      <w:r>
        <w:rPr>
          <w:rFonts w:ascii="微软雅黑" w:eastAsia="微软雅黑" w:hint="eastAsia"/>
          <w:b/>
          <w:sz w:val="21"/>
        </w:rPr>
        <w:t>严重脑损伤</w:t>
      </w:r>
    </w:p>
    <w:p>
      <w:pPr>
        <w:pStyle w:val="BodyText"/>
        <w:spacing w:before="118"/>
        <w:ind w:left="230"/>
      </w:pPr>
      <w:r>
        <w:rPr/>
        <w:br w:type="column"/>
      </w:r>
      <w:r>
        <w:rPr/>
        <w:t>指为治疗心脏瓣膜疾病，实际实施了开胸进行的心脏瓣膜置换或修复的手术。</w:t>
      </w:r>
    </w:p>
    <w:p>
      <w:pPr>
        <w:pStyle w:val="BodyText"/>
        <w:spacing w:before="10"/>
        <w:rPr>
          <w:sz w:val="28"/>
        </w:rPr>
      </w:pPr>
    </w:p>
    <w:p>
      <w:pPr>
        <w:pStyle w:val="BodyText"/>
        <w:spacing w:line="261" w:lineRule="auto"/>
        <w:ind w:left="119" w:right="109"/>
        <w:jc w:val="both"/>
        <w:rPr>
          <w:rFonts w:ascii="等线" w:eastAsia="等线" w:hint="eastAsia"/>
        </w:rPr>
      </w:pPr>
      <w:r>
        <w:rPr>
          <w:rFonts w:ascii="等线" w:eastAsia="等线" w:hint="eastAsia"/>
          <w:spacing w:val="-8"/>
        </w:rPr>
        <w:t>指因大脑进行性、不可逆性改变导致智能严重衰退或丧失，临床表现为明显的认知</w:t>
      </w:r>
      <w:r>
        <w:rPr>
          <w:rFonts w:ascii="等线" w:eastAsia="等线" w:hint="eastAsia"/>
          <w:spacing w:val="-12"/>
        </w:rPr>
        <w:t>能力障碍、行为异常和社交能力减退，其日常生活必须持续受到他人监护。须由头</w:t>
      </w:r>
      <w:r>
        <w:rPr>
          <w:rFonts w:ascii="等线" w:eastAsia="等线" w:hint="eastAsia"/>
          <w:spacing w:val="-12"/>
          <w:w w:val="100"/>
        </w:rPr>
        <w:t>颅断层扫描</w:t>
      </w:r>
      <w:r>
        <w:rPr>
          <w:rFonts w:ascii="等线" w:eastAsia="等线" w:hint="eastAsia"/>
          <w:w w:val="100"/>
        </w:rPr>
        <w:t>（</w:t>
      </w:r>
      <w:r>
        <w:rPr>
          <w:rFonts w:ascii="等线" w:eastAsia="等线" w:hint="eastAsia"/>
          <w:spacing w:val="-7"/>
          <w:w w:val="100"/>
        </w:rPr>
        <w:t>C</w:t>
      </w:r>
      <w:r>
        <w:rPr>
          <w:rFonts w:ascii="等线" w:eastAsia="等线" w:hint="eastAsia"/>
          <w:spacing w:val="0"/>
          <w:w w:val="100"/>
        </w:rPr>
        <w:t>T</w:t>
      </w:r>
      <w:r>
        <w:rPr>
          <w:rFonts w:ascii="等线" w:eastAsia="等线" w:hint="eastAsia"/>
          <w:spacing w:val="-106"/>
          <w:w w:val="100"/>
        </w:rPr>
        <w:t>）</w:t>
      </w:r>
      <w:r>
        <w:rPr>
          <w:rFonts w:ascii="等线" w:eastAsia="等线" w:hint="eastAsia"/>
          <w:spacing w:val="-5"/>
          <w:w w:val="100"/>
        </w:rPr>
        <w:t>、核磁共振检查</w:t>
      </w:r>
      <w:r>
        <w:rPr>
          <w:rFonts w:ascii="等线" w:eastAsia="等线" w:hint="eastAsia"/>
          <w:w w:val="100"/>
        </w:rPr>
        <w:t>（</w:t>
      </w:r>
      <w:r>
        <w:rPr>
          <w:rFonts w:ascii="等线" w:eastAsia="等线" w:hint="eastAsia"/>
          <w:spacing w:val="-1"/>
          <w:w w:val="100"/>
        </w:rPr>
        <w:t>M</w:t>
      </w:r>
      <w:r>
        <w:rPr>
          <w:rFonts w:ascii="等线" w:eastAsia="等线" w:hint="eastAsia"/>
          <w:spacing w:val="-3"/>
          <w:w w:val="100"/>
        </w:rPr>
        <w:t>R</w:t>
      </w:r>
      <w:r>
        <w:rPr>
          <w:rFonts w:ascii="等线" w:eastAsia="等线" w:hint="eastAsia"/>
          <w:spacing w:val="0"/>
          <w:w w:val="100"/>
        </w:rPr>
        <w:t>I</w:t>
      </w:r>
      <w:r>
        <w:rPr>
          <w:rFonts w:ascii="等线" w:eastAsia="等线" w:hint="eastAsia"/>
          <w:spacing w:val="-15"/>
          <w:w w:val="100"/>
        </w:rPr>
        <w:t>）</w:t>
      </w:r>
      <w:r>
        <w:rPr>
          <w:rFonts w:ascii="等线" w:eastAsia="等线" w:hint="eastAsia"/>
          <w:spacing w:val="-4"/>
          <w:w w:val="100"/>
        </w:rPr>
        <w:t>或正电子发射断层扫描</w:t>
      </w:r>
      <w:r>
        <w:rPr>
          <w:rFonts w:ascii="等线" w:eastAsia="等线" w:hint="eastAsia"/>
          <w:w w:val="100"/>
        </w:rPr>
        <w:t>（</w:t>
      </w:r>
      <w:r>
        <w:rPr>
          <w:rFonts w:ascii="等线" w:eastAsia="等线" w:hint="eastAsia"/>
          <w:spacing w:val="-2"/>
          <w:w w:val="100"/>
        </w:rPr>
        <w:t>P</w:t>
      </w:r>
      <w:r>
        <w:rPr>
          <w:rFonts w:ascii="等线" w:eastAsia="等线" w:hint="eastAsia"/>
          <w:spacing w:val="-6"/>
          <w:w w:val="100"/>
        </w:rPr>
        <w:t>E</w:t>
      </w:r>
      <w:r>
        <w:rPr>
          <w:rFonts w:ascii="等线" w:eastAsia="等线" w:hint="eastAsia"/>
          <w:spacing w:val="0"/>
          <w:w w:val="100"/>
        </w:rPr>
        <w:t>T</w:t>
      </w:r>
      <w:r>
        <w:rPr>
          <w:rFonts w:ascii="等线" w:eastAsia="等线" w:hint="eastAsia"/>
          <w:spacing w:val="-10"/>
          <w:w w:val="100"/>
        </w:rPr>
        <w:t>）</w:t>
      </w:r>
      <w:r>
        <w:rPr>
          <w:rFonts w:ascii="等线" w:eastAsia="等线" w:hint="eastAsia"/>
          <w:spacing w:val="-2"/>
          <w:w w:val="100"/>
        </w:rPr>
        <w:t>等影像学</w:t>
      </w:r>
      <w:r>
        <w:rPr>
          <w:rFonts w:ascii="等线" w:eastAsia="等线" w:hint="eastAsia"/>
          <w:spacing w:val="-10"/>
        </w:rPr>
        <w:t>检查证实，且自主生活能力完全丧失，无法独立完成六项基本日常生活活动中的三</w:t>
      </w:r>
      <w:r>
        <w:rPr>
          <w:rFonts w:ascii="等线" w:eastAsia="等线" w:hint="eastAsia"/>
          <w:spacing w:val="-7"/>
        </w:rPr>
        <w:t>项或三项以上。</w:t>
      </w:r>
    </w:p>
    <w:p>
      <w:pPr>
        <w:pStyle w:val="BodyText"/>
        <w:spacing w:before="12"/>
        <w:ind w:left="119"/>
      </w:pPr>
      <w:r>
        <w:rPr>
          <w:shd w:fill="D9D9D9" w:color="auto" w:val="clear"/>
        </w:rPr>
        <w:t>神经官能症和精神疾病不在保障范围内。</w:t>
      </w:r>
    </w:p>
    <w:p>
      <w:pPr>
        <w:pStyle w:val="BodyText"/>
        <w:spacing w:before="3"/>
        <w:rPr>
          <w:sz w:val="22"/>
        </w:rPr>
      </w:pPr>
    </w:p>
    <w:p>
      <w:pPr>
        <w:pStyle w:val="BodyText"/>
        <w:spacing w:line="268" w:lineRule="auto"/>
        <w:ind w:left="230" w:right="308"/>
        <w:jc w:val="both"/>
      </w:pPr>
      <w:r>
        <w:rPr>
          <w:spacing w:val="-5"/>
        </w:rPr>
        <w:t>指因头部遭受机械性外力，引起脑重要部位损伤，导致神经系统永久性的功能</w:t>
      </w:r>
      <w:r>
        <w:rPr>
          <w:spacing w:val="-3"/>
        </w:rPr>
        <w:t>障碍。须由头颅断层扫描</w:t>
      </w:r>
      <w:r>
        <w:rPr>
          <w:spacing w:val="-4"/>
          <w:sz w:val="22"/>
        </w:rPr>
        <w:t>（CT）</w:t>
      </w:r>
      <w:r>
        <w:rPr>
          <w:spacing w:val="-14"/>
          <w:sz w:val="22"/>
        </w:rPr>
        <w:t>、</w:t>
      </w:r>
      <w:r>
        <w:rPr>
          <w:spacing w:val="0"/>
        </w:rPr>
        <w:t>核磁共振检查</w:t>
      </w:r>
      <w:r>
        <w:rPr/>
        <w:t>（MRI）或正电子发射断层扫描（PET）</w:t>
      </w:r>
      <w:r>
        <w:rPr>
          <w:spacing w:val="-3"/>
        </w:rPr>
        <w:t>等影像学检查证实。神经系统永久性的功能障碍，指脑损伤 </w:t>
      </w:r>
      <w:r>
        <w:rPr/>
        <w:t>180</w:t>
      </w:r>
      <w:r>
        <w:rPr>
          <w:spacing w:val="15"/>
        </w:rPr>
        <w:t> 天</w:t>
      </w:r>
      <w:r>
        <w:rPr>
          <w:spacing w:val="-17"/>
        </w:rPr>
        <w:t>后，仍遗留下列一种或一种以上障碍：</w:t>
      </w:r>
    </w:p>
    <w:p>
      <w:pPr>
        <w:pStyle w:val="BodyText"/>
        <w:spacing w:line="267" w:lineRule="exact"/>
        <w:ind w:left="230"/>
      </w:pPr>
      <w:r>
        <w:rPr/>
        <w:t>（1）一肢或一肢以上肢体机能完全丧失；</w:t>
      </w:r>
    </w:p>
    <w:p>
      <w:pPr>
        <w:pStyle w:val="BodyText"/>
        <w:spacing w:line="274" w:lineRule="exact"/>
        <w:ind w:left="230"/>
      </w:pPr>
      <w:r>
        <w:rPr/>
        <w:t>（2）语言能力或咀嚼吞咽能力完全丧失；</w:t>
      </w:r>
    </w:p>
    <w:p>
      <w:pPr>
        <w:pStyle w:val="BodyText"/>
        <w:spacing w:line="235" w:lineRule="auto" w:before="5"/>
        <w:ind w:left="230" w:right="109"/>
      </w:pPr>
      <w:r>
        <w:rPr>
          <w:spacing w:val="-13"/>
        </w:rPr>
        <w:t>（3）</w:t>
      </w:r>
      <w:r>
        <w:rPr>
          <w:spacing w:val="-8"/>
        </w:rPr>
        <w:t>自主生活能力完全丧失，无法独立完成六项基本日常生活活动中的三项或三项以上。</w:t>
      </w:r>
    </w:p>
    <w:p>
      <w:pPr>
        <w:spacing w:after="0" w:line="235" w:lineRule="auto"/>
        <w:sectPr>
          <w:type w:val="continuous"/>
          <w:pgSz w:w="11910" w:h="16840"/>
          <w:pgMar w:top="1120" w:bottom="280" w:left="1580" w:right="900"/>
          <w:cols w:num="2" w:equalWidth="0">
            <w:col w:w="1599" w:space="101"/>
            <w:col w:w="7730"/>
          </w:cols>
        </w:sectPr>
      </w:pPr>
    </w:p>
    <w:p>
      <w:pPr>
        <w:pStyle w:val="BodyText"/>
        <w:spacing w:before="8"/>
        <w:rPr>
          <w:sz w:val="9"/>
        </w:rPr>
      </w:pPr>
    </w:p>
    <w:p>
      <w:pPr>
        <w:spacing w:after="0"/>
        <w:rPr>
          <w:sz w:val="9"/>
        </w:rPr>
        <w:sectPr>
          <w:type w:val="continuous"/>
          <w:pgSz w:w="11910" w:h="16840"/>
          <w:pgMar w:top="1120" w:bottom="280" w:left="1580" w:right="900"/>
        </w:sectPr>
      </w:pPr>
    </w:p>
    <w:p>
      <w:pPr>
        <w:pStyle w:val="Heading3"/>
        <w:numPr>
          <w:ilvl w:val="0"/>
          <w:numId w:val="12"/>
        </w:numPr>
        <w:tabs>
          <w:tab w:pos="543" w:val="left" w:leader="none"/>
        </w:tabs>
        <w:spacing w:line="177" w:lineRule="auto" w:before="68" w:after="0"/>
        <w:ind w:left="119" w:right="0" w:firstLine="0"/>
        <w:jc w:val="left"/>
      </w:pPr>
      <w:r>
        <w:rPr/>
        <w:t>严重帕金森病</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1"/>
        <w:rPr>
          <w:rFonts w:ascii="微软雅黑"/>
          <w:b/>
          <w:sz w:val="18"/>
        </w:rPr>
      </w:pPr>
    </w:p>
    <w:p>
      <w:pPr>
        <w:pStyle w:val="ListParagraph"/>
        <w:numPr>
          <w:ilvl w:val="0"/>
          <w:numId w:val="12"/>
        </w:numPr>
        <w:tabs>
          <w:tab w:pos="543" w:val="left" w:leader="none"/>
        </w:tabs>
        <w:spacing w:line="177" w:lineRule="auto" w:before="0" w:after="0"/>
        <w:ind w:left="119" w:right="209" w:firstLine="0"/>
        <w:jc w:val="left"/>
        <w:rPr>
          <w:rFonts w:ascii="微软雅黑" w:eastAsia="微软雅黑" w:hint="eastAsia"/>
          <w:b/>
          <w:sz w:val="21"/>
        </w:rPr>
      </w:pPr>
      <w:r>
        <w:rPr>
          <w:rFonts w:ascii="微软雅黑" w:eastAsia="微软雅黑" w:hint="eastAsia"/>
          <w:b/>
          <w:spacing w:val="-8"/>
          <w:w w:val="110"/>
          <w:sz w:val="21"/>
        </w:rPr>
        <w:t>严 重 </w:t>
      </w:r>
      <w:r>
        <w:rPr>
          <w:rFonts w:ascii="微软雅黑" w:eastAsia="微软雅黑" w:hint="eastAsia"/>
          <w:b/>
          <w:w w:val="130"/>
          <w:sz w:val="21"/>
        </w:rPr>
        <w:t>III </w:t>
      </w:r>
      <w:r>
        <w:rPr>
          <w:rFonts w:ascii="微软雅黑" w:eastAsia="微软雅黑" w:hint="eastAsia"/>
          <w:b/>
          <w:sz w:val="21"/>
        </w:rPr>
        <w:t>度烧伤</w:t>
      </w:r>
    </w:p>
    <w:p>
      <w:pPr>
        <w:pStyle w:val="BodyText"/>
        <w:spacing w:before="11"/>
        <w:rPr>
          <w:rFonts w:ascii="微软雅黑"/>
          <w:b/>
          <w:sz w:val="17"/>
        </w:rPr>
      </w:pPr>
    </w:p>
    <w:p>
      <w:pPr>
        <w:pStyle w:val="ListParagraph"/>
        <w:numPr>
          <w:ilvl w:val="0"/>
          <w:numId w:val="12"/>
        </w:numPr>
        <w:tabs>
          <w:tab w:pos="543" w:val="left" w:leader="none"/>
        </w:tabs>
        <w:spacing w:line="182" w:lineRule="auto" w:before="0" w:after="0"/>
        <w:ind w:left="119" w:right="0" w:firstLine="0"/>
        <w:jc w:val="left"/>
        <w:rPr>
          <w:rFonts w:ascii="微软雅黑" w:eastAsia="微软雅黑" w:hint="eastAsia"/>
          <w:b/>
          <w:sz w:val="21"/>
        </w:rPr>
      </w:pPr>
      <w:r>
        <w:rPr>
          <w:rFonts w:ascii="微软雅黑" w:eastAsia="微软雅黑" w:hint="eastAsia"/>
          <w:b/>
          <w:sz w:val="21"/>
        </w:rPr>
        <w:t>严重原发性肺动脉高压</w:t>
      </w:r>
    </w:p>
    <w:p>
      <w:pPr>
        <w:pStyle w:val="BodyText"/>
        <w:rPr>
          <w:rFonts w:ascii="微软雅黑"/>
          <w:b/>
          <w:sz w:val="20"/>
        </w:rPr>
      </w:pPr>
    </w:p>
    <w:p>
      <w:pPr>
        <w:pStyle w:val="BodyText"/>
        <w:spacing w:before="16"/>
        <w:rPr>
          <w:rFonts w:ascii="微软雅黑"/>
          <w:b/>
          <w:sz w:val="15"/>
        </w:rPr>
      </w:pPr>
    </w:p>
    <w:p>
      <w:pPr>
        <w:pStyle w:val="ListParagraph"/>
        <w:numPr>
          <w:ilvl w:val="0"/>
          <w:numId w:val="12"/>
        </w:numPr>
        <w:tabs>
          <w:tab w:pos="543" w:val="left" w:leader="none"/>
        </w:tabs>
        <w:spacing w:line="180" w:lineRule="auto" w:before="0" w:after="0"/>
        <w:ind w:left="119" w:right="0" w:firstLine="0"/>
        <w:jc w:val="left"/>
        <w:rPr>
          <w:rFonts w:ascii="微软雅黑" w:eastAsia="微软雅黑" w:hint="eastAsia"/>
          <w:b/>
          <w:sz w:val="21"/>
        </w:rPr>
      </w:pPr>
      <w:r>
        <w:rPr>
          <w:rFonts w:ascii="微软雅黑" w:eastAsia="微软雅黑" w:hint="eastAsia"/>
          <w:b/>
          <w:sz w:val="21"/>
        </w:rPr>
        <w:t>严重运动神经元病</w:t>
      </w:r>
    </w:p>
    <w:p>
      <w:pPr>
        <w:pStyle w:val="BodyText"/>
        <w:spacing w:before="41"/>
        <w:ind w:left="230" w:right="349"/>
        <w:jc w:val="both"/>
      </w:pPr>
      <w:r>
        <w:rPr/>
        <w:br w:type="column"/>
      </w:r>
      <w:r>
        <w:rPr/>
        <w:t>是一种中枢神经系统的退行性疾病，临床表现为震颤麻痹、共济失调等。须满足下列全部条件：</w:t>
      </w:r>
    </w:p>
    <w:p>
      <w:pPr>
        <w:pStyle w:val="BodyText"/>
        <w:spacing w:line="250" w:lineRule="exact"/>
        <w:ind w:left="230"/>
      </w:pPr>
      <w:r>
        <w:rPr/>
        <w:t>（1）药物治疗无法控制病情；</w:t>
      </w:r>
    </w:p>
    <w:p>
      <w:pPr>
        <w:pStyle w:val="BodyText"/>
        <w:spacing w:line="273" w:lineRule="auto" w:before="13"/>
        <w:ind w:left="758" w:right="455" w:hanging="528"/>
      </w:pPr>
      <w:r>
        <w:rPr/>
        <w:t>（2）自主生活能力完全丧失，无法独立完成六项基本日常生活活动中的三项或三项以上。</w:t>
      </w:r>
    </w:p>
    <w:p>
      <w:pPr>
        <w:pStyle w:val="BodyText"/>
        <w:spacing w:before="7"/>
        <w:ind w:left="119"/>
      </w:pPr>
      <w:r>
        <w:rPr>
          <w:shd w:fill="D9D9D9" w:color="auto" w:val="clear"/>
        </w:rPr>
        <w:t>继发性帕金森综合征不在保障范围内。</w:t>
      </w:r>
    </w:p>
    <w:p>
      <w:pPr>
        <w:pStyle w:val="BodyText"/>
        <w:rPr>
          <w:sz w:val="20"/>
        </w:rPr>
      </w:pPr>
    </w:p>
    <w:p>
      <w:pPr>
        <w:pStyle w:val="BodyText"/>
        <w:spacing w:line="273" w:lineRule="auto"/>
        <w:ind w:left="230" w:right="318"/>
        <w:jc w:val="both"/>
      </w:pPr>
      <w:r>
        <w:rPr/>
        <w:t>指烧伤程度为Ⅲ度，且Ⅲ度烧伤面积达到全身体表面积的20%或20%以上。体表面积根据《中国新九分法》计算。</w:t>
      </w:r>
    </w:p>
    <w:p>
      <w:pPr>
        <w:pStyle w:val="BodyText"/>
        <w:spacing w:before="2"/>
        <w:rPr>
          <w:sz w:val="18"/>
        </w:rPr>
      </w:pPr>
    </w:p>
    <w:p>
      <w:pPr>
        <w:pStyle w:val="BodyText"/>
        <w:spacing w:line="273" w:lineRule="auto"/>
        <w:ind w:left="230" w:right="318"/>
        <w:jc w:val="both"/>
      </w:pPr>
      <w:r>
        <w:rPr>
          <w:spacing w:val="-6"/>
        </w:rPr>
        <w:t>指不明原因的肺动脉压力持续性增高，进行性发展而导致的慢性疾病， 已经造成永久不可逆性的体力活动能力受限，达到美国纽约心脏病学会心功能状态分</w:t>
      </w:r>
      <w:r>
        <w:rPr>
          <w:spacing w:val="1"/>
        </w:rPr>
        <w:t>级 </w:t>
      </w:r>
      <w:r>
        <w:rPr/>
        <w:t>IV</w:t>
      </w:r>
      <w:r>
        <w:rPr>
          <w:spacing w:val="-3"/>
        </w:rPr>
        <w:t> 级，且静息状态下肺动脉平均压超过</w:t>
      </w:r>
      <w:r>
        <w:rPr/>
        <w:t>30mmHg。</w:t>
      </w:r>
    </w:p>
    <w:p>
      <w:pPr>
        <w:pStyle w:val="BodyText"/>
        <w:spacing w:before="10"/>
        <w:rPr>
          <w:sz w:val="17"/>
        </w:rPr>
      </w:pPr>
    </w:p>
    <w:p>
      <w:pPr>
        <w:pStyle w:val="BodyText"/>
        <w:spacing w:line="273" w:lineRule="auto" w:before="1"/>
        <w:ind w:left="230" w:right="320"/>
        <w:jc w:val="both"/>
      </w:pPr>
      <w:r>
        <w:rPr>
          <w:spacing w:val="-2"/>
        </w:rPr>
        <w:t>是一组中枢神经系统运动神经元的进行性变性疾病，包括进行性脊肌萎缩症、</w:t>
      </w:r>
      <w:r>
        <w:rPr>
          <w:spacing w:val="-4"/>
        </w:rPr>
        <w:t>进行性延髓麻痹症、原发性侧索硬化症、肌萎缩性侧索硬化症。须满足自主生</w:t>
      </w:r>
      <w:r>
        <w:rPr>
          <w:spacing w:val="-5"/>
        </w:rPr>
        <w:t>活能力完全丧失，无法独立完成六项基本日常生活活动中的三项或三项以上的条件。</w:t>
      </w:r>
    </w:p>
    <w:p>
      <w:pPr>
        <w:spacing w:after="0" w:line="273" w:lineRule="auto"/>
        <w:jc w:val="both"/>
        <w:sectPr>
          <w:type w:val="continuous"/>
          <w:pgSz w:w="11910" w:h="16840"/>
          <w:pgMar w:top="1120" w:bottom="280" w:left="1580" w:right="900"/>
          <w:cols w:num="2" w:equalWidth="0">
            <w:col w:w="1599" w:space="101"/>
            <w:col w:w="7730"/>
          </w:cols>
        </w:sectPr>
      </w:pPr>
    </w:p>
    <w:p>
      <w:pPr>
        <w:pStyle w:val="BodyText"/>
        <w:spacing w:before="10"/>
        <w:rPr>
          <w:sz w:val="8"/>
        </w:rPr>
      </w:pPr>
    </w:p>
    <w:p>
      <w:pPr>
        <w:pStyle w:val="Heading3"/>
        <w:numPr>
          <w:ilvl w:val="0"/>
          <w:numId w:val="12"/>
        </w:numPr>
        <w:tabs>
          <w:tab w:pos="543" w:val="left" w:leader="none"/>
        </w:tabs>
        <w:spacing w:line="271" w:lineRule="exact" w:before="0" w:after="0"/>
        <w:ind w:left="1963" w:right="0" w:hanging="1844"/>
        <w:jc w:val="left"/>
      </w:pPr>
      <w:r>
        <w:rPr/>
        <w:t>语言能力丧</w:t>
      </w:r>
    </w:p>
    <w:p>
      <w:pPr>
        <w:pStyle w:val="BodyText"/>
        <w:tabs>
          <w:tab w:pos="1930" w:val="left" w:leader="none"/>
        </w:tabs>
        <w:spacing w:line="271" w:lineRule="exact"/>
        <w:ind w:left="119"/>
      </w:pPr>
      <w:r>
        <w:rPr>
          <w:rFonts w:ascii="微软雅黑" w:eastAsia="微软雅黑" w:hint="eastAsia"/>
          <w:b/>
          <w:position w:val="-10"/>
        </w:rPr>
        <w:t>失－三岁始理赔</w:t>
        <w:tab/>
      </w:r>
      <w:r>
        <w:rPr/>
        <w:t>指因疾病</w:t>
      </w:r>
      <w:r>
        <w:rPr>
          <w:spacing w:val="-5"/>
        </w:rPr>
        <w:t>或</w:t>
      </w:r>
      <w:r>
        <w:rPr/>
        <w:t>意外伤</w:t>
      </w:r>
      <w:r>
        <w:rPr>
          <w:spacing w:val="-5"/>
        </w:rPr>
        <w:t>害</w:t>
      </w:r>
      <w:r>
        <w:rPr/>
        <w:t>导致完</w:t>
      </w:r>
      <w:r>
        <w:rPr>
          <w:spacing w:val="-5"/>
        </w:rPr>
        <w:t>全</w:t>
      </w:r>
      <w:r>
        <w:rPr/>
        <w:t>丧失语</w:t>
      </w:r>
      <w:r>
        <w:rPr>
          <w:spacing w:val="-5"/>
        </w:rPr>
        <w:t>言</w:t>
      </w:r>
      <w:r>
        <w:rPr/>
        <w:t>能力，</w:t>
      </w:r>
      <w:r>
        <w:rPr>
          <w:spacing w:val="-5"/>
        </w:rPr>
        <w:t>经</w:t>
      </w:r>
      <w:r>
        <w:rPr/>
        <w:t>过</w:t>
      </w:r>
      <w:r>
        <w:rPr>
          <w:spacing w:val="-5"/>
        </w:rPr>
        <w:t>积</w:t>
      </w:r>
      <w:r>
        <w:rPr/>
        <w:t>极治疗至少</w:t>
      </w:r>
      <w:r>
        <w:rPr>
          <w:spacing w:val="-3"/>
        </w:rPr>
        <w:t>12</w:t>
      </w:r>
      <w:r>
        <w:rPr/>
        <w:t>个月</w:t>
      </w:r>
    </w:p>
    <w:p>
      <w:pPr>
        <w:pStyle w:val="BodyText"/>
        <w:spacing w:line="202" w:lineRule="exact"/>
        <w:ind w:left="1930"/>
      </w:pPr>
      <w:r>
        <w:rPr>
          <w:w w:val="100"/>
        </w:rPr>
        <w:t>（</w:t>
      </w:r>
      <w:r>
        <w:rPr>
          <w:spacing w:val="-10"/>
          <w:w w:val="100"/>
        </w:rPr>
        <w:t>声带完全切除不受此时间限制</w:t>
      </w:r>
      <w:r>
        <w:rPr>
          <w:spacing w:val="-207"/>
          <w:w w:val="100"/>
        </w:rPr>
        <w:t>）</w:t>
      </w:r>
      <w:r>
        <w:rPr>
          <w:spacing w:val="-10"/>
          <w:w w:val="100"/>
        </w:rPr>
        <w:t>，仍无法通过现有医疗手段恢复。</w:t>
      </w:r>
    </w:p>
    <w:p>
      <w:pPr>
        <w:pStyle w:val="BodyText"/>
        <w:spacing w:before="13"/>
        <w:ind w:left="1819"/>
      </w:pPr>
      <w:r>
        <w:rPr>
          <w:shd w:fill="D9D9D9" w:color="auto" w:val="clear"/>
        </w:rPr>
        <w:t>精神心理因素所致的语言能力丧失不在保障范围内。</w:t>
      </w:r>
    </w:p>
    <w:p>
      <w:pPr>
        <w:pStyle w:val="BodyText"/>
        <w:spacing w:line="273" w:lineRule="auto" w:before="37"/>
        <w:ind w:left="1819" w:right="109"/>
      </w:pPr>
      <w:r>
        <w:rPr>
          <w:spacing w:val="-8"/>
          <w:shd w:fill="D9D9D9" w:color="auto" w:val="clear"/>
        </w:rPr>
        <w:t>被保险人申请理赔时年龄必须在三周岁以上，并且提供理赔当时的语言能力丧失诊</w:t>
      </w:r>
      <w:r>
        <w:rPr>
          <w:spacing w:val="-6"/>
          <w:shd w:fill="D9D9D9" w:color="auto" w:val="clear"/>
        </w:rPr>
        <w:t>断及检查证据。</w:t>
      </w:r>
    </w:p>
    <w:p>
      <w:pPr>
        <w:spacing w:after="0" w:line="273" w:lineRule="auto"/>
        <w:sectPr>
          <w:type w:val="continuous"/>
          <w:pgSz w:w="11910" w:h="16840"/>
          <w:pgMar w:top="1120" w:bottom="280" w:left="1580" w:right="900"/>
        </w:sectPr>
      </w:pPr>
    </w:p>
    <w:p>
      <w:pPr>
        <w:pStyle w:val="Heading3"/>
        <w:numPr>
          <w:ilvl w:val="0"/>
          <w:numId w:val="12"/>
        </w:numPr>
        <w:tabs>
          <w:tab w:pos="648" w:val="left" w:leader="none"/>
          <w:tab w:pos="649" w:val="left" w:leader="none"/>
        </w:tabs>
        <w:spacing w:line="180" w:lineRule="auto" w:before="179" w:after="0"/>
        <w:ind w:left="119" w:right="0" w:firstLine="0"/>
        <w:jc w:val="left"/>
      </w:pPr>
      <w:r>
        <w:rPr/>
        <w:t>重型再生障碍性贫血</w:t>
      </w:r>
    </w:p>
    <w:p>
      <w:pPr>
        <w:pStyle w:val="BodyText"/>
        <w:spacing w:line="225" w:lineRule="auto" w:before="129"/>
        <w:ind w:left="119" w:right="945"/>
      </w:pPr>
      <w:r>
        <w:rPr/>
        <w:br w:type="column"/>
      </w:r>
      <w:r>
        <w:rPr/>
        <w:t>指因骨髓造血功能慢性持续性衰竭导致的贫血、中性粒细胞减少及血小板减少。须满足下列全部条件：</w:t>
      </w:r>
    </w:p>
    <w:p>
      <w:pPr>
        <w:pStyle w:val="BodyText"/>
        <w:spacing w:line="274" w:lineRule="exact"/>
        <w:ind w:left="119"/>
      </w:pPr>
      <w:r>
        <w:rPr/>
        <w:t>（1）骨髓穿刺检查或骨髓活检结果支持诊断；</w:t>
      </w:r>
    </w:p>
    <w:p>
      <w:pPr>
        <w:spacing w:after="0" w:line="274" w:lineRule="exact"/>
        <w:sectPr>
          <w:type w:val="continuous"/>
          <w:pgSz w:w="11910" w:h="16840"/>
          <w:pgMar w:top="1120" w:bottom="280" w:left="1580" w:right="900"/>
          <w:cols w:num="2" w:equalWidth="0">
            <w:col w:w="1494" w:space="351"/>
            <w:col w:w="7585"/>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799"/>
      </w:tblGrid>
      <w:tr>
        <w:trPr>
          <w:trHeight w:val="1138" w:hRule="atLeast"/>
        </w:trPr>
        <w:tc>
          <w:tcPr>
            <w:tcW w:w="1790" w:type="dxa"/>
          </w:tcPr>
          <w:p>
            <w:pPr>
              <w:pStyle w:val="TableParagraph"/>
              <w:ind w:left="0"/>
              <w:rPr>
                <w:rFonts w:ascii="Times New Roman"/>
                <w:sz w:val="20"/>
              </w:rPr>
            </w:pPr>
          </w:p>
        </w:tc>
        <w:tc>
          <w:tcPr>
            <w:tcW w:w="7799" w:type="dxa"/>
          </w:tcPr>
          <w:p>
            <w:pPr>
              <w:pStyle w:val="TableParagraph"/>
              <w:spacing w:line="207" w:lineRule="exact"/>
              <w:ind w:left="238" w:right="3845"/>
              <w:jc w:val="center"/>
              <w:rPr>
                <w:sz w:val="21"/>
              </w:rPr>
            </w:pPr>
            <w:r>
              <w:rPr>
                <w:sz w:val="21"/>
              </w:rPr>
              <w:t>（2）外周血象必须具备以下三项条件：</w:t>
            </w:r>
          </w:p>
          <w:p>
            <w:pPr>
              <w:pStyle w:val="TableParagraph"/>
              <w:spacing w:line="271" w:lineRule="exact"/>
              <w:ind w:left="782"/>
              <w:rPr>
                <w:sz w:val="21"/>
              </w:rPr>
            </w:pPr>
            <w:r>
              <w:rPr>
                <w:sz w:val="21"/>
              </w:rPr>
              <w:t>①中性粒细胞绝对值≤0.5×10</w:t>
            </w:r>
            <w:r>
              <w:rPr>
                <w:position w:val="11"/>
                <w:sz w:val="11"/>
              </w:rPr>
              <w:t>9</w:t>
            </w:r>
            <w:r>
              <w:rPr>
                <w:sz w:val="21"/>
              </w:rPr>
              <w:t>/L；</w:t>
            </w:r>
          </w:p>
          <w:p>
            <w:pPr>
              <w:pStyle w:val="TableParagraph"/>
              <w:spacing w:line="271" w:lineRule="exact"/>
              <w:ind w:left="782"/>
              <w:rPr>
                <w:sz w:val="21"/>
              </w:rPr>
            </w:pPr>
            <w:r>
              <w:rPr>
                <w:sz w:val="21"/>
              </w:rPr>
              <w:t>②网织红细胞＜1%；</w:t>
            </w:r>
          </w:p>
          <w:p>
            <w:pPr>
              <w:pStyle w:val="TableParagraph"/>
              <w:spacing w:line="275" w:lineRule="exact"/>
              <w:ind w:left="782"/>
              <w:rPr>
                <w:sz w:val="21"/>
              </w:rPr>
            </w:pPr>
            <w:r>
              <w:rPr>
                <w:sz w:val="21"/>
              </w:rPr>
              <w:t>③血小板绝对值≤20×10</w:t>
            </w:r>
            <w:r>
              <w:rPr>
                <w:position w:val="11"/>
                <w:sz w:val="11"/>
              </w:rPr>
              <w:t>9</w:t>
            </w:r>
            <w:r>
              <w:rPr>
                <w:sz w:val="21"/>
              </w:rPr>
              <w:t>/L。</w:t>
            </w:r>
          </w:p>
        </w:tc>
      </w:tr>
      <w:tr>
        <w:trPr>
          <w:trHeight w:val="1394" w:hRule="atLeast"/>
        </w:trPr>
        <w:tc>
          <w:tcPr>
            <w:tcW w:w="1790" w:type="dxa"/>
          </w:tcPr>
          <w:p>
            <w:pPr>
              <w:pStyle w:val="TableParagraph"/>
              <w:tabs>
                <w:tab w:pos="728" w:val="left" w:leader="none"/>
              </w:tabs>
              <w:spacing w:line="180" w:lineRule="auto" w:before="71"/>
              <w:ind w:left="200" w:right="214"/>
              <w:rPr>
                <w:rFonts w:ascii="微软雅黑" w:eastAsia="微软雅黑" w:hint="eastAsia"/>
                <w:b/>
                <w:sz w:val="21"/>
              </w:rPr>
            </w:pPr>
            <w:r>
              <w:rPr>
                <w:rFonts w:ascii="微软雅黑" w:eastAsia="微软雅黑" w:hint="eastAsia"/>
                <w:b/>
                <w:sz w:val="21"/>
              </w:rPr>
              <w:t>25.</w:t>
              <w:tab/>
              <w:t>主动脉手 术</w:t>
            </w:r>
          </w:p>
        </w:tc>
        <w:tc>
          <w:tcPr>
            <w:tcW w:w="7799" w:type="dxa"/>
          </w:tcPr>
          <w:p>
            <w:pPr>
              <w:pStyle w:val="TableParagraph"/>
              <w:spacing w:before="158"/>
              <w:ind w:right="4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3"/>
              <w:ind w:left="110"/>
              <w:rPr>
                <w:sz w:val="21"/>
              </w:rPr>
            </w:pPr>
            <w:r>
              <w:rPr>
                <w:sz w:val="21"/>
                <w:shd w:fill="D9D9D9" w:color="auto" w:val="clear"/>
              </w:rPr>
              <w:t>动脉内血管成形术不在保障范围内。</w:t>
            </w:r>
          </w:p>
        </w:tc>
      </w:tr>
      <w:tr>
        <w:trPr>
          <w:trHeight w:val="1745" w:hRule="atLeast"/>
        </w:trPr>
        <w:tc>
          <w:tcPr>
            <w:tcW w:w="1790" w:type="dxa"/>
          </w:tcPr>
          <w:p>
            <w:pPr>
              <w:pStyle w:val="TableParagraph"/>
              <w:spacing w:line="180" w:lineRule="auto" w:before="83"/>
              <w:ind w:left="200" w:right="109"/>
              <w:rPr>
                <w:rFonts w:ascii="微软雅黑" w:eastAsia="微软雅黑" w:hint="eastAsia"/>
                <w:b/>
                <w:sz w:val="21"/>
              </w:rPr>
            </w:pPr>
            <w:r>
              <w:rPr>
                <w:rFonts w:ascii="微软雅黑" w:eastAsia="微软雅黑" w:hint="eastAsia"/>
                <w:b/>
                <w:sz w:val="21"/>
              </w:rPr>
              <w:t>26. 埃博拉病毒感染</w:t>
            </w:r>
          </w:p>
        </w:tc>
        <w:tc>
          <w:tcPr>
            <w:tcW w:w="7799" w:type="dxa"/>
          </w:tcPr>
          <w:p>
            <w:pPr>
              <w:pStyle w:val="TableParagraph"/>
              <w:spacing w:before="10"/>
              <w:ind w:left="0"/>
              <w:rPr>
                <w:sz w:val="17"/>
              </w:rPr>
            </w:pPr>
          </w:p>
          <w:p>
            <w:pPr>
              <w:pStyle w:val="TableParagraph"/>
              <w:rPr>
                <w:sz w:val="21"/>
              </w:rPr>
            </w:pPr>
            <w:r>
              <w:rPr>
                <w:sz w:val="21"/>
              </w:rPr>
              <w:t>埃博拉病毒感染需符合下列所有条件：</w:t>
            </w:r>
          </w:p>
          <w:p>
            <w:pPr>
              <w:pStyle w:val="TableParagraph"/>
              <w:spacing w:before="161"/>
              <w:rPr>
                <w:sz w:val="21"/>
              </w:rPr>
            </w:pPr>
            <w:r>
              <w:rPr>
                <w:sz w:val="21"/>
              </w:rPr>
              <w:t>(a)由实验室检验证明埃博拉病毒之存在；</w:t>
            </w:r>
          </w:p>
          <w:p>
            <w:pPr>
              <w:pStyle w:val="TableParagraph"/>
              <w:spacing w:line="263" w:lineRule="exact" w:before="161"/>
              <w:rPr>
                <w:sz w:val="21"/>
              </w:rPr>
            </w:pPr>
            <w:r>
              <w:rPr>
                <w:sz w:val="21"/>
              </w:rPr>
              <w:t>(b)不断因感染引致并发症，并由出现有关病征开始起持续至少三十天；</w:t>
            </w:r>
          </w:p>
          <w:p>
            <w:pPr>
              <w:pStyle w:val="TableParagraph"/>
              <w:spacing w:line="263" w:lineRule="exact"/>
              <w:rPr>
                <w:sz w:val="21"/>
              </w:rPr>
            </w:pPr>
            <w:r>
              <w:rPr>
                <w:sz w:val="21"/>
              </w:rPr>
              <w:t>(c)该感染并不导致死亡。</w:t>
            </w:r>
          </w:p>
        </w:tc>
      </w:tr>
      <w:tr>
        <w:trPr>
          <w:trHeight w:val="1964" w:hRule="atLeast"/>
        </w:trPr>
        <w:tc>
          <w:tcPr>
            <w:tcW w:w="1790" w:type="dxa"/>
          </w:tcPr>
          <w:p>
            <w:pPr>
              <w:pStyle w:val="TableParagraph"/>
              <w:spacing w:line="180" w:lineRule="auto" w:before="71"/>
              <w:ind w:left="200" w:right="109"/>
              <w:rPr>
                <w:rFonts w:ascii="微软雅黑" w:eastAsia="微软雅黑" w:hint="eastAsia"/>
                <w:b/>
                <w:sz w:val="21"/>
              </w:rPr>
            </w:pPr>
            <w:r>
              <w:rPr>
                <w:rFonts w:ascii="微软雅黑" w:eastAsia="微软雅黑" w:hint="eastAsia"/>
                <w:b/>
                <w:sz w:val="21"/>
              </w:rPr>
              <w:t>27. 严重多发性硬化</w:t>
            </w:r>
          </w:p>
        </w:tc>
        <w:tc>
          <w:tcPr>
            <w:tcW w:w="7799" w:type="dxa"/>
          </w:tcPr>
          <w:p>
            <w:pPr>
              <w:pStyle w:val="TableParagraph"/>
              <w:spacing w:line="273" w:lineRule="auto" w:before="67"/>
              <w:ind w:right="393"/>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180天无法独立完成下列任意一项基本日常生活活动：</w:t>
            </w:r>
          </w:p>
          <w:p>
            <w:pPr>
              <w:pStyle w:val="TableParagraph"/>
              <w:spacing w:line="262" w:lineRule="exact"/>
              <w:jc w:val="both"/>
              <w:rPr>
                <w:sz w:val="21"/>
              </w:rPr>
            </w:pPr>
            <w:r>
              <w:rPr>
                <w:sz w:val="21"/>
              </w:rPr>
              <w:t>（1）移动：自己从一个房间移动到另一个房间；</w:t>
            </w:r>
          </w:p>
          <w:p>
            <w:pPr>
              <w:pStyle w:val="TableParagraph"/>
              <w:spacing w:line="281" w:lineRule="exact"/>
              <w:jc w:val="both"/>
              <w:rPr>
                <w:sz w:val="22"/>
              </w:rPr>
            </w:pPr>
            <w:r>
              <w:rPr>
                <w:sz w:val="22"/>
              </w:rPr>
              <w:t>（2）进食：自己从已准备好的碗或碟中取食物放入口中。</w:t>
            </w:r>
          </w:p>
        </w:tc>
      </w:tr>
      <w:tr>
        <w:trPr>
          <w:trHeight w:val="2147" w:hRule="atLeast"/>
        </w:trPr>
        <w:tc>
          <w:tcPr>
            <w:tcW w:w="1790" w:type="dxa"/>
          </w:tcPr>
          <w:p>
            <w:pPr>
              <w:pStyle w:val="TableParagraph"/>
              <w:tabs>
                <w:tab w:pos="728" w:val="left" w:leader="none"/>
              </w:tabs>
              <w:spacing w:line="177" w:lineRule="auto" w:before="74"/>
              <w:ind w:left="200" w:right="214"/>
              <w:rPr>
                <w:rFonts w:ascii="微软雅黑" w:eastAsia="微软雅黑" w:hint="eastAsia"/>
                <w:b/>
                <w:sz w:val="21"/>
              </w:rPr>
            </w:pPr>
            <w:r>
              <w:rPr>
                <w:rFonts w:ascii="微软雅黑" w:eastAsia="微软雅黑" w:hint="eastAsia"/>
                <w:b/>
                <w:sz w:val="21"/>
              </w:rPr>
              <w:t>28.</w:t>
              <w:tab/>
              <w:t>脊髓灰质 炎</w:t>
            </w:r>
          </w:p>
        </w:tc>
        <w:tc>
          <w:tcPr>
            <w:tcW w:w="7799" w:type="dxa"/>
          </w:tcPr>
          <w:p>
            <w:pPr>
              <w:pStyle w:val="TableParagraph"/>
              <w:spacing w:line="273" w:lineRule="auto" w:before="124"/>
              <w:ind w:left="220" w:right="405"/>
              <w:jc w:val="both"/>
              <w:rPr>
                <w:sz w:val="21"/>
              </w:rPr>
            </w:pPr>
            <w:r>
              <w:rPr>
                <w:sz w:val="21"/>
              </w:rPr>
              <w:t>脊髓灰质炎是由于脊髓灰质炎病毒感染所致的瘫痪性疾病，临床表现为运动功能损害或呼吸无力。脊髓灰质炎必须由专科医生明确诊断。</w:t>
            </w:r>
          </w:p>
          <w:p>
            <w:pPr>
              <w:pStyle w:val="TableParagraph"/>
              <w:spacing w:line="273" w:lineRule="auto" w:before="65"/>
              <w:ind w:left="220" w:right="402"/>
              <w:jc w:val="both"/>
              <w:rPr>
                <w:sz w:val="21"/>
              </w:rPr>
            </w:pPr>
            <w:r>
              <w:rPr>
                <w:spacing w:val="-2"/>
                <w:sz w:val="21"/>
                <w:shd w:fill="D9D9D9" w:color="auto" w:val="clear"/>
              </w:rPr>
              <w:t>本主险合同仅对脊髓灰质炎造成的神经系统功能损害导致被保险人一肢或一肢</w:t>
            </w:r>
            <w:r>
              <w:rPr>
                <w:spacing w:val="-212"/>
                <w:sz w:val="21"/>
                <w:shd w:fill="D9D9D9" w:color="auto" w:val="clear"/>
              </w:rPr>
              <w:t>以</w:t>
            </w:r>
            <w:r>
              <w:rPr>
                <w:spacing w:val="-1"/>
                <w:sz w:val="21"/>
                <w:shd w:fill="D9D9D9" w:color="auto" w:val="clear"/>
              </w:rPr>
              <w:t>上肢体机能永久完全丧失的情形承担保险责任。</w:t>
            </w:r>
            <w:r>
              <w:rPr>
                <w:spacing w:val="-2"/>
                <w:sz w:val="21"/>
              </w:rPr>
              <w:t>肢体机能永久完全丧失，指疾</w:t>
            </w:r>
            <w:r>
              <w:rPr>
                <w:spacing w:val="3"/>
                <w:sz w:val="21"/>
              </w:rPr>
              <w:t>病确诊 </w:t>
            </w:r>
            <w:r>
              <w:rPr>
                <w:sz w:val="21"/>
              </w:rPr>
              <w:t>180</w:t>
            </w:r>
            <w:r>
              <w:rPr>
                <w:spacing w:val="-10"/>
                <w:sz w:val="21"/>
              </w:rPr>
              <w:t> 天后，每肢三大关节中的两大关节仍然完全僵硬或不能随意识活动。</w:t>
            </w:r>
          </w:p>
        </w:tc>
      </w:tr>
      <w:tr>
        <w:trPr>
          <w:trHeight w:val="2009" w:hRule="atLeast"/>
        </w:trPr>
        <w:tc>
          <w:tcPr>
            <w:tcW w:w="1790" w:type="dxa"/>
          </w:tcPr>
          <w:p>
            <w:pPr>
              <w:pStyle w:val="TableParagraph"/>
              <w:spacing w:line="177" w:lineRule="auto" w:before="87"/>
              <w:ind w:left="200" w:right="109"/>
              <w:rPr>
                <w:rFonts w:ascii="微软雅黑" w:eastAsia="微软雅黑" w:hint="eastAsia"/>
                <w:b/>
                <w:sz w:val="21"/>
              </w:rPr>
            </w:pPr>
            <w:r>
              <w:rPr>
                <w:rFonts w:ascii="微软雅黑" w:eastAsia="微软雅黑" w:hint="eastAsia"/>
                <w:b/>
                <w:sz w:val="21"/>
              </w:rPr>
              <w:t>29. 全身性重症肌无力</w:t>
            </w:r>
          </w:p>
        </w:tc>
        <w:tc>
          <w:tcPr>
            <w:tcW w:w="7799" w:type="dxa"/>
          </w:tcPr>
          <w:p>
            <w:pPr>
              <w:pStyle w:val="TableParagraph"/>
              <w:spacing w:line="273" w:lineRule="auto" w:before="160"/>
              <w:ind w:right="405"/>
              <w:jc w:val="both"/>
              <w:rPr>
                <w:sz w:val="21"/>
              </w:rPr>
            </w:pPr>
            <w:r>
              <w:rPr>
                <w:spacing w:val="-6"/>
                <w:sz w:val="21"/>
              </w:rPr>
              <w:t>全身性重症肌无力是一种神经肌肉接头传递障碍所致的疾病，表现为局部或全身骨骼肌</w:t>
            </w:r>
            <w:r>
              <w:rPr>
                <w:sz w:val="21"/>
              </w:rPr>
              <w:t>（</w:t>
            </w:r>
            <w:r>
              <w:rPr>
                <w:spacing w:val="-3"/>
                <w:sz w:val="21"/>
              </w:rPr>
              <w:t>特别是眼外肌</w:t>
            </w:r>
            <w:r>
              <w:rPr>
                <w:sz w:val="21"/>
              </w:rPr>
              <w:t>）</w:t>
            </w:r>
            <w:r>
              <w:rPr>
                <w:spacing w:val="-5"/>
                <w:sz w:val="21"/>
              </w:rPr>
              <w:t>极易疲劳。疾病可以累及呼吸肌、上肢或下肢的近端肌群或全身肌肉，必须满足下列全部条件：</w:t>
            </w:r>
          </w:p>
          <w:p>
            <w:pPr>
              <w:pStyle w:val="TableParagraph"/>
              <w:spacing w:line="260" w:lineRule="exact"/>
              <w:rPr>
                <w:sz w:val="21"/>
              </w:rPr>
            </w:pPr>
            <w:r>
              <w:rPr>
                <w:sz w:val="21"/>
              </w:rPr>
              <w:t>（1）经药物治疗和胸腺切除治疗一年以上仍无法控制病情；</w:t>
            </w:r>
          </w:p>
          <w:p>
            <w:pPr>
              <w:pStyle w:val="TableParagraph"/>
              <w:ind w:right="199"/>
              <w:rPr>
                <w:sz w:val="21"/>
              </w:rPr>
            </w:pPr>
            <w:r>
              <w:rPr>
                <w:spacing w:val="-20"/>
                <w:sz w:val="21"/>
              </w:rPr>
              <w:t>（2）</w:t>
            </w:r>
            <w:r>
              <w:rPr>
                <w:spacing w:val="-8"/>
                <w:sz w:val="21"/>
              </w:rPr>
              <w:t>自主生活能力完全丧失，无法独立完成六项基本日常生活活动中的三项或三项以上。</w:t>
            </w:r>
          </w:p>
        </w:tc>
      </w:tr>
      <w:tr>
        <w:trPr>
          <w:trHeight w:val="1394" w:hRule="atLeast"/>
        </w:trPr>
        <w:tc>
          <w:tcPr>
            <w:tcW w:w="1790" w:type="dxa"/>
          </w:tcPr>
          <w:p>
            <w:pPr>
              <w:pStyle w:val="TableParagraph"/>
              <w:tabs>
                <w:tab w:pos="728" w:val="left" w:leader="none"/>
              </w:tabs>
              <w:spacing w:line="180" w:lineRule="auto" w:before="71"/>
              <w:ind w:left="200" w:right="214"/>
              <w:rPr>
                <w:rFonts w:ascii="微软雅黑" w:eastAsia="微软雅黑" w:hint="eastAsia"/>
                <w:b/>
                <w:sz w:val="21"/>
              </w:rPr>
            </w:pPr>
            <w:r>
              <w:rPr>
                <w:rFonts w:ascii="微软雅黑" w:eastAsia="微软雅黑" w:hint="eastAsia"/>
                <w:b/>
                <w:sz w:val="21"/>
              </w:rPr>
              <w:t>30.</w:t>
              <w:tab/>
              <w:t>严重冠心 病</w:t>
            </w:r>
          </w:p>
        </w:tc>
        <w:tc>
          <w:tcPr>
            <w:tcW w:w="7799" w:type="dxa"/>
          </w:tcPr>
          <w:p>
            <w:pPr>
              <w:pStyle w:val="TableParagraph"/>
              <w:spacing w:before="158"/>
              <w:ind w:right="612"/>
              <w:rPr>
                <w:sz w:val="21"/>
              </w:rPr>
            </w:pPr>
            <w:r>
              <w:rPr>
                <w:sz w:val="21"/>
              </w:rPr>
              <w:t>指根据冠状动脉造影检查结果明确诊断为三支主要血管（左冠状动脉主干和右冠状动脉，或前降支、左旋支和右冠状动脉）严重狭窄性病变</w:t>
            </w:r>
          </w:p>
          <w:p>
            <w:pPr>
              <w:pStyle w:val="TableParagraph"/>
              <w:spacing w:line="252" w:lineRule="auto"/>
              <w:ind w:left="110" w:right="618" w:firstLine="144"/>
              <w:rPr>
                <w:sz w:val="21"/>
              </w:rPr>
            </w:pPr>
            <w:r>
              <w:rPr>
                <w:sz w:val="21"/>
              </w:rPr>
              <w:t>（</w:t>
            </w:r>
            <w:r>
              <w:rPr>
                <w:spacing w:val="-10"/>
                <w:sz w:val="21"/>
              </w:rPr>
              <w:t>至少一支血管管腔直径减少</w:t>
            </w:r>
            <w:r>
              <w:rPr>
                <w:sz w:val="21"/>
              </w:rPr>
              <w:t>75</w:t>
            </w:r>
            <w:r>
              <w:rPr>
                <w:spacing w:val="-10"/>
                <w:sz w:val="21"/>
              </w:rPr>
              <w:t>%以上和其他两支血管管腔直径减少</w:t>
            </w:r>
            <w:r>
              <w:rPr>
                <w:sz w:val="21"/>
              </w:rPr>
              <w:t>60%以上</w:t>
            </w:r>
            <w:r>
              <w:rPr>
                <w:spacing w:val="-212"/>
                <w:sz w:val="21"/>
              </w:rPr>
              <w:t>）</w:t>
            </w:r>
            <w:r>
              <w:rPr>
                <w:sz w:val="21"/>
              </w:rPr>
              <w:t>。</w:t>
            </w:r>
            <w:r>
              <w:rPr>
                <w:spacing w:val="-5"/>
                <w:sz w:val="21"/>
                <w:shd w:fill="D9D9D9" w:color="auto" w:val="clear"/>
              </w:rPr>
              <w:t>前降支、左旋支及右冠状动脉的分支血管的狭窄不在保障范围内。</w:t>
            </w:r>
          </w:p>
        </w:tc>
      </w:tr>
      <w:tr>
        <w:trPr>
          <w:trHeight w:val="1478" w:hRule="atLeast"/>
        </w:trPr>
        <w:tc>
          <w:tcPr>
            <w:tcW w:w="1790" w:type="dxa"/>
          </w:tcPr>
          <w:p>
            <w:pPr>
              <w:pStyle w:val="TableParagraph"/>
              <w:tabs>
                <w:tab w:pos="728" w:val="left" w:leader="none"/>
              </w:tabs>
              <w:spacing w:line="182" w:lineRule="auto" w:before="79"/>
              <w:ind w:left="200" w:right="214"/>
              <w:rPr>
                <w:rFonts w:ascii="微软雅黑" w:eastAsia="微软雅黑" w:hint="eastAsia"/>
                <w:b/>
                <w:sz w:val="21"/>
              </w:rPr>
            </w:pPr>
            <w:r>
              <w:rPr>
                <w:rFonts w:ascii="微软雅黑" w:eastAsia="微软雅黑" w:hint="eastAsia"/>
                <w:b/>
                <w:sz w:val="21"/>
              </w:rPr>
              <w:t>31.</w:t>
              <w:tab/>
              <w:t>严重心肌 病</w:t>
            </w:r>
          </w:p>
        </w:tc>
        <w:tc>
          <w:tcPr>
            <w:tcW w:w="7799" w:type="dxa"/>
          </w:tcPr>
          <w:p>
            <w:pPr>
              <w:pStyle w:val="TableParagraph"/>
              <w:spacing w:line="276" w:lineRule="auto" w:before="136"/>
              <w:ind w:left="220" w:right="402"/>
              <w:jc w:val="both"/>
              <w:rPr>
                <w:sz w:val="21"/>
              </w:rPr>
            </w:pPr>
            <w:r>
              <w:rPr>
                <w:sz w:val="21"/>
              </w:rPr>
              <w:t>指被保险人因心肌病导致慢性心功能损害造成永久不可逆性的心功能衰竭。心功能衰竭程度达到纽约心脏病学会的心功能分级标准之心功能IV级。被保险人永久不可逆性的体力活动能力受限，不能从事任何体力活动。</w:t>
            </w:r>
          </w:p>
          <w:p>
            <w:pPr>
              <w:pStyle w:val="TableParagraph"/>
              <w:spacing w:before="5"/>
              <w:ind w:left="110"/>
              <w:rPr>
                <w:sz w:val="21"/>
              </w:rPr>
            </w:pPr>
            <w:r>
              <w:rPr>
                <w:sz w:val="21"/>
                <w:shd w:fill="D9D9D9" w:color="auto" w:val="clear"/>
              </w:rPr>
              <w:t>酗酒或滥用药物引起的心肌病不在保障范围内。</w:t>
            </w:r>
          </w:p>
        </w:tc>
      </w:tr>
      <w:tr>
        <w:trPr>
          <w:trHeight w:val="607" w:hRule="atLeast"/>
        </w:trPr>
        <w:tc>
          <w:tcPr>
            <w:tcW w:w="1790" w:type="dxa"/>
          </w:tcPr>
          <w:p>
            <w:pPr>
              <w:pStyle w:val="TableParagraph"/>
              <w:spacing w:line="311" w:lineRule="exact"/>
              <w:ind w:left="200"/>
              <w:rPr>
                <w:rFonts w:ascii="微软雅黑" w:eastAsia="微软雅黑" w:hint="eastAsia"/>
                <w:b/>
                <w:sz w:val="21"/>
              </w:rPr>
            </w:pPr>
            <w:r>
              <w:rPr>
                <w:rFonts w:ascii="微软雅黑" w:eastAsia="微软雅黑" w:hint="eastAsia"/>
                <w:b/>
                <w:sz w:val="21"/>
              </w:rPr>
              <w:t>32. 系统性红斑</w:t>
            </w:r>
          </w:p>
          <w:p>
            <w:pPr>
              <w:pStyle w:val="TableParagraph"/>
              <w:spacing w:line="277" w:lineRule="exact"/>
              <w:ind w:left="200"/>
              <w:rPr>
                <w:rFonts w:ascii="微软雅黑" w:eastAsia="微软雅黑" w:hint="eastAsia"/>
                <w:b/>
                <w:sz w:val="21"/>
              </w:rPr>
            </w:pPr>
            <w:r>
              <w:rPr>
                <w:rFonts w:ascii="微软雅黑" w:eastAsia="微软雅黑" w:hint="eastAsia"/>
                <w:b/>
                <w:w w:val="115"/>
                <w:sz w:val="21"/>
              </w:rPr>
              <w:t>狼疮 </w:t>
            </w:r>
            <w:r>
              <w:rPr>
                <w:rFonts w:ascii="微软雅黑" w:eastAsia="微软雅黑" w:hint="eastAsia"/>
                <w:b/>
                <w:w w:val="130"/>
                <w:sz w:val="21"/>
              </w:rPr>
              <w:t>III </w:t>
            </w:r>
            <w:r>
              <w:rPr>
                <w:rFonts w:ascii="微软雅黑" w:eastAsia="微软雅黑" w:hint="eastAsia"/>
                <w:b/>
                <w:w w:val="115"/>
                <w:sz w:val="21"/>
              </w:rPr>
              <w:t>型或</w:t>
            </w:r>
          </w:p>
        </w:tc>
        <w:tc>
          <w:tcPr>
            <w:tcW w:w="7799" w:type="dxa"/>
          </w:tcPr>
          <w:p>
            <w:pPr>
              <w:pStyle w:val="TableParagraph"/>
              <w:spacing w:before="79"/>
              <w:rPr>
                <w:sz w:val="21"/>
              </w:rPr>
            </w:pPr>
            <w:r>
              <w:rPr>
                <w:sz w:val="21"/>
              </w:rPr>
              <w:t>系统性红斑狼疮是由多种因素引起，累及多系统的自身免疫性疾病。其特点</w:t>
            </w:r>
          </w:p>
        </w:tc>
      </w:tr>
    </w:tbl>
    <w:p>
      <w:pPr>
        <w:spacing w:after="0"/>
        <w:rPr>
          <w:sz w:val="21"/>
        </w:rPr>
        <w:sectPr>
          <w:pgSz w:w="11910" w:h="16840"/>
          <w:pgMar w:top="1460" w:bottom="280" w:left="1380" w:right="700"/>
        </w:sectPr>
      </w:pPr>
    </w:p>
    <w:p>
      <w:pPr>
        <w:tabs>
          <w:tab w:pos="1963" w:val="left" w:leader="none"/>
        </w:tabs>
        <w:spacing w:line="312" w:lineRule="exact" w:before="0"/>
        <w:ind w:left="119" w:right="0" w:firstLine="0"/>
        <w:jc w:val="left"/>
        <w:rPr>
          <w:sz w:val="21"/>
        </w:rPr>
      </w:pPr>
      <w:r>
        <w:rPr>
          <w:rFonts w:ascii="微软雅黑" w:eastAsia="微软雅黑" w:hint="eastAsia"/>
          <w:b/>
          <w:position w:val="2"/>
          <w:sz w:val="21"/>
        </w:rPr>
        <w:t>以上狼疮性肾炎</w:t>
        <w:tab/>
      </w:r>
      <w:r>
        <w:rPr>
          <w:sz w:val="21"/>
        </w:rPr>
        <w:t>是生成自</w:t>
      </w:r>
      <w:r>
        <w:rPr>
          <w:spacing w:val="-5"/>
          <w:sz w:val="21"/>
        </w:rPr>
        <w:t>身</w:t>
      </w:r>
      <w:r>
        <w:rPr>
          <w:sz w:val="21"/>
        </w:rPr>
        <w:t>抗体对</w:t>
      </w:r>
      <w:r>
        <w:rPr>
          <w:spacing w:val="-5"/>
          <w:sz w:val="21"/>
        </w:rPr>
        <w:t>抗</w:t>
      </w:r>
      <w:r>
        <w:rPr>
          <w:sz w:val="21"/>
        </w:rPr>
        <w:t>多种自</w:t>
      </w:r>
      <w:r>
        <w:rPr>
          <w:spacing w:val="-5"/>
          <w:sz w:val="21"/>
        </w:rPr>
        <w:t>身</w:t>
      </w:r>
      <w:r>
        <w:rPr>
          <w:sz w:val="21"/>
        </w:rPr>
        <w:t>抗原。</w:t>
      </w:r>
      <w:r>
        <w:rPr>
          <w:spacing w:val="-5"/>
          <w:sz w:val="21"/>
        </w:rPr>
        <w:t>多</w:t>
      </w:r>
      <w:r>
        <w:rPr>
          <w:sz w:val="21"/>
        </w:rPr>
        <w:t>见于育</w:t>
      </w:r>
      <w:r>
        <w:rPr>
          <w:spacing w:val="-5"/>
          <w:sz w:val="21"/>
        </w:rPr>
        <w:t>龄</w:t>
      </w:r>
      <w:r>
        <w:rPr>
          <w:sz w:val="21"/>
        </w:rPr>
        <w:t>妇</w:t>
      </w:r>
      <w:r>
        <w:rPr>
          <w:spacing w:val="-5"/>
          <w:sz w:val="21"/>
        </w:rPr>
        <w:t>女</w:t>
      </w:r>
      <w:r>
        <w:rPr>
          <w:sz w:val="21"/>
        </w:rPr>
        <w:t>。</w:t>
      </w:r>
    </w:p>
    <w:p>
      <w:pPr>
        <w:pStyle w:val="BodyText"/>
        <w:spacing w:before="41"/>
        <w:ind w:left="1963" w:right="526"/>
      </w:pPr>
      <w:r>
        <w:rPr/>
        <w:t>本主险合同所指的系统性红斑狼疮仅限于累及肾脏（经肾脏活检确认的，符合WHO诊断标准定义的III型至V型狼疮性肾炎）的系统性红斑狼疮。</w:t>
      </w:r>
    </w:p>
    <w:p>
      <w:pPr>
        <w:pStyle w:val="BodyText"/>
        <w:spacing w:line="208" w:lineRule="auto" w:before="6"/>
        <w:ind w:left="1963" w:right="316"/>
      </w:pPr>
      <w:r>
        <w:rPr>
          <w:shd w:fill="D9D9D9" w:color="auto" w:val="clear"/>
        </w:rPr>
        <w:t>其他类型的红斑性狼疮，如盘状狼疮、仅累及血液及关节的狼疮不在保障范围内。</w:t>
      </w:r>
    </w:p>
    <w:p>
      <w:pPr>
        <w:pStyle w:val="BodyText"/>
        <w:spacing w:line="263" w:lineRule="exact"/>
        <w:ind w:left="1963"/>
      </w:pPr>
      <w:r>
        <w:rPr/>
        <w:t>世界卫生组织（WHO）狼疮性肾炎分型：</w:t>
      </w:r>
    </w:p>
    <w:p>
      <w:pPr>
        <w:pStyle w:val="ListParagraph"/>
        <w:numPr>
          <w:ilvl w:val="1"/>
          <w:numId w:val="12"/>
        </w:numPr>
        <w:tabs>
          <w:tab w:pos="2339" w:val="left" w:leader="none"/>
          <w:tab w:pos="4964" w:val="left" w:leader="none"/>
        </w:tabs>
        <w:spacing w:line="274" w:lineRule="exact" w:before="0" w:after="0"/>
        <w:ind w:left="2338" w:right="0" w:hanging="163"/>
        <w:jc w:val="left"/>
        <w:rPr>
          <w:sz w:val="21"/>
        </w:rPr>
      </w:pPr>
      <w:r>
        <w:rPr>
          <w:sz w:val="21"/>
        </w:rPr>
        <w:t>型</w:t>
      </w:r>
      <w:r>
        <w:rPr>
          <w:spacing w:val="-9"/>
          <w:sz w:val="21"/>
        </w:rPr>
        <w:t>（</w:t>
      </w:r>
      <w:r>
        <w:rPr>
          <w:sz w:val="21"/>
        </w:rPr>
        <w:t>微</w:t>
      </w:r>
      <w:r>
        <w:rPr>
          <w:spacing w:val="-10"/>
          <w:sz w:val="21"/>
        </w:rPr>
        <w:t>小</w:t>
      </w:r>
      <w:r>
        <w:rPr>
          <w:sz w:val="21"/>
        </w:rPr>
        <w:t>病</w:t>
      </w:r>
      <w:r>
        <w:rPr>
          <w:spacing w:val="-10"/>
          <w:sz w:val="21"/>
        </w:rPr>
        <w:t>变</w:t>
      </w:r>
      <w:r>
        <w:rPr>
          <w:sz w:val="21"/>
        </w:rPr>
        <w:t>型）</w:t>
        <w:tab/>
      </w:r>
      <w:r>
        <w:rPr>
          <w:spacing w:val="-10"/>
          <w:sz w:val="21"/>
        </w:rPr>
        <w:t>镜</w:t>
      </w:r>
      <w:r>
        <w:rPr>
          <w:sz w:val="21"/>
        </w:rPr>
        <w:t>下</w:t>
      </w:r>
      <w:r>
        <w:rPr>
          <w:spacing w:val="-10"/>
          <w:sz w:val="21"/>
        </w:rPr>
        <w:t>阴</w:t>
      </w:r>
      <w:r>
        <w:rPr>
          <w:sz w:val="21"/>
        </w:rPr>
        <w:t>性</w:t>
      </w:r>
      <w:r>
        <w:rPr>
          <w:spacing w:val="-10"/>
          <w:sz w:val="21"/>
        </w:rPr>
        <w:t>，</w:t>
      </w:r>
      <w:r>
        <w:rPr>
          <w:sz w:val="21"/>
        </w:rPr>
        <w:t>尿</w:t>
      </w:r>
      <w:r>
        <w:rPr>
          <w:spacing w:val="-9"/>
          <w:sz w:val="21"/>
        </w:rPr>
        <w:t>液</w:t>
      </w:r>
      <w:r>
        <w:rPr>
          <w:sz w:val="21"/>
        </w:rPr>
        <w:t>正常</w:t>
      </w:r>
    </w:p>
    <w:p>
      <w:pPr>
        <w:pStyle w:val="ListParagraph"/>
        <w:numPr>
          <w:ilvl w:val="1"/>
          <w:numId w:val="12"/>
        </w:numPr>
        <w:tabs>
          <w:tab w:pos="2444" w:val="left" w:leader="none"/>
          <w:tab w:pos="4964" w:val="left" w:leader="none"/>
        </w:tabs>
        <w:spacing w:line="274" w:lineRule="exact" w:before="0" w:after="0"/>
        <w:ind w:left="2443" w:right="0" w:hanging="268"/>
        <w:jc w:val="left"/>
        <w:rPr>
          <w:sz w:val="21"/>
        </w:rPr>
      </w:pPr>
      <w:r>
        <w:rPr>
          <w:spacing w:val="-10"/>
          <w:sz w:val="21"/>
        </w:rPr>
        <w:t>型</w:t>
      </w:r>
      <w:r>
        <w:rPr>
          <w:sz w:val="21"/>
        </w:rPr>
        <w:t>（</w:t>
      </w:r>
      <w:r>
        <w:rPr>
          <w:spacing w:val="-10"/>
          <w:sz w:val="21"/>
        </w:rPr>
        <w:t>系</w:t>
      </w:r>
      <w:r>
        <w:rPr>
          <w:sz w:val="21"/>
        </w:rPr>
        <w:t>膜</w:t>
      </w:r>
      <w:r>
        <w:rPr>
          <w:spacing w:val="-10"/>
          <w:sz w:val="21"/>
        </w:rPr>
        <w:t>病</w:t>
      </w:r>
      <w:r>
        <w:rPr>
          <w:sz w:val="21"/>
        </w:rPr>
        <w:t>变</w:t>
      </w:r>
      <w:r>
        <w:rPr>
          <w:spacing w:val="-10"/>
          <w:sz w:val="21"/>
        </w:rPr>
        <w:t>型</w:t>
      </w:r>
      <w:r>
        <w:rPr>
          <w:sz w:val="21"/>
        </w:rPr>
        <w:t>）</w:t>
        <w:tab/>
      </w:r>
      <w:r>
        <w:rPr>
          <w:spacing w:val="-10"/>
          <w:sz w:val="21"/>
        </w:rPr>
        <w:t>中</w:t>
      </w:r>
      <w:r>
        <w:rPr>
          <w:sz w:val="21"/>
        </w:rPr>
        <w:t>度</w:t>
      </w:r>
      <w:r>
        <w:rPr>
          <w:spacing w:val="-10"/>
          <w:sz w:val="21"/>
        </w:rPr>
        <w:t>蛋</w:t>
      </w:r>
      <w:r>
        <w:rPr>
          <w:sz w:val="21"/>
        </w:rPr>
        <w:t>白</w:t>
      </w:r>
      <w:r>
        <w:rPr>
          <w:spacing w:val="-10"/>
          <w:sz w:val="21"/>
        </w:rPr>
        <w:t>尿</w:t>
      </w:r>
      <w:r>
        <w:rPr>
          <w:sz w:val="21"/>
        </w:rPr>
        <w:t>，</w:t>
      </w:r>
      <w:r>
        <w:rPr>
          <w:spacing w:val="-9"/>
          <w:sz w:val="21"/>
        </w:rPr>
        <w:t>偶</w:t>
      </w:r>
      <w:r>
        <w:rPr>
          <w:sz w:val="21"/>
        </w:rPr>
        <w:t>有</w:t>
      </w:r>
      <w:r>
        <w:rPr>
          <w:spacing w:val="-10"/>
          <w:sz w:val="21"/>
        </w:rPr>
        <w:t>尿</w:t>
      </w:r>
      <w:r>
        <w:rPr>
          <w:sz w:val="21"/>
        </w:rPr>
        <w:t>沉渣</w:t>
      </w:r>
      <w:r>
        <w:rPr>
          <w:spacing w:val="-10"/>
          <w:sz w:val="21"/>
        </w:rPr>
        <w:t>改</w:t>
      </w:r>
      <w:r>
        <w:rPr>
          <w:sz w:val="21"/>
        </w:rPr>
        <w:t>变</w:t>
      </w:r>
    </w:p>
    <w:p>
      <w:pPr>
        <w:pStyle w:val="ListParagraph"/>
        <w:numPr>
          <w:ilvl w:val="1"/>
          <w:numId w:val="12"/>
        </w:numPr>
        <w:tabs>
          <w:tab w:pos="2545" w:val="left" w:leader="none"/>
        </w:tabs>
        <w:spacing w:line="274" w:lineRule="exact" w:before="0" w:after="0"/>
        <w:ind w:left="2544" w:right="0" w:hanging="369"/>
        <w:jc w:val="left"/>
        <w:rPr>
          <w:sz w:val="21"/>
        </w:rPr>
      </w:pPr>
      <w:r>
        <w:rPr>
          <w:spacing w:val="-9"/>
          <w:sz w:val="21"/>
        </w:rPr>
        <w:t>型</w:t>
      </w:r>
      <w:r>
        <w:rPr>
          <w:sz w:val="21"/>
        </w:rPr>
        <w:t>（</w:t>
      </w:r>
      <w:r>
        <w:rPr>
          <w:spacing w:val="-10"/>
          <w:sz w:val="21"/>
        </w:rPr>
        <w:t>局灶及节段增生型</w:t>
      </w:r>
      <w:r>
        <w:rPr>
          <w:sz w:val="21"/>
        </w:rPr>
        <w:t>）</w:t>
      </w:r>
      <w:r>
        <w:rPr>
          <w:spacing w:val="-5"/>
          <w:sz w:val="21"/>
        </w:rPr>
        <w:t> 蛋白尿，尿沉渣改变</w:t>
      </w:r>
    </w:p>
    <w:p>
      <w:pPr>
        <w:pStyle w:val="ListParagraph"/>
        <w:numPr>
          <w:ilvl w:val="1"/>
          <w:numId w:val="12"/>
        </w:numPr>
        <w:tabs>
          <w:tab w:pos="2454" w:val="left" w:leader="none"/>
          <w:tab w:pos="4979" w:val="left" w:leader="none"/>
        </w:tabs>
        <w:spacing w:line="240" w:lineRule="auto" w:before="13" w:after="0"/>
        <w:ind w:left="2453" w:right="0" w:hanging="278"/>
        <w:jc w:val="left"/>
        <w:rPr>
          <w:sz w:val="21"/>
        </w:rPr>
      </w:pPr>
      <w:r>
        <w:rPr>
          <w:sz w:val="21"/>
        </w:rPr>
        <w:t>型</w:t>
      </w:r>
      <w:r>
        <w:rPr>
          <w:spacing w:val="-9"/>
          <w:sz w:val="21"/>
        </w:rPr>
        <w:t>（</w:t>
      </w:r>
      <w:r>
        <w:rPr>
          <w:sz w:val="21"/>
        </w:rPr>
        <w:t>弥</w:t>
      </w:r>
      <w:r>
        <w:rPr>
          <w:spacing w:val="-10"/>
          <w:sz w:val="21"/>
        </w:rPr>
        <w:t>漫</w:t>
      </w:r>
      <w:r>
        <w:rPr>
          <w:sz w:val="21"/>
        </w:rPr>
        <w:t>增</w:t>
      </w:r>
      <w:r>
        <w:rPr>
          <w:spacing w:val="-10"/>
          <w:sz w:val="21"/>
        </w:rPr>
        <w:t>生</w:t>
      </w:r>
      <w:r>
        <w:rPr>
          <w:sz w:val="21"/>
        </w:rPr>
        <w:t>型）</w:t>
        <w:tab/>
      </w:r>
      <w:r>
        <w:rPr>
          <w:spacing w:val="-10"/>
          <w:sz w:val="21"/>
        </w:rPr>
        <w:t>急</w:t>
      </w:r>
      <w:r>
        <w:rPr>
          <w:sz w:val="21"/>
        </w:rPr>
        <w:t>性</w:t>
      </w:r>
      <w:r>
        <w:rPr>
          <w:spacing w:val="-10"/>
          <w:sz w:val="21"/>
        </w:rPr>
        <w:t>肾</w:t>
      </w:r>
      <w:r>
        <w:rPr>
          <w:sz w:val="21"/>
        </w:rPr>
        <w:t>炎</w:t>
      </w:r>
      <w:r>
        <w:rPr>
          <w:spacing w:val="-10"/>
          <w:sz w:val="21"/>
        </w:rPr>
        <w:t>伴</w:t>
      </w:r>
      <w:r>
        <w:rPr>
          <w:sz w:val="21"/>
        </w:rPr>
        <w:t>有</w:t>
      </w:r>
      <w:r>
        <w:rPr>
          <w:spacing w:val="-9"/>
          <w:sz w:val="21"/>
        </w:rPr>
        <w:t>尿</w:t>
      </w:r>
      <w:r>
        <w:rPr>
          <w:sz w:val="21"/>
        </w:rPr>
        <w:t>沉</w:t>
      </w:r>
      <w:r>
        <w:rPr>
          <w:spacing w:val="-10"/>
          <w:sz w:val="21"/>
        </w:rPr>
        <w:t>渣</w:t>
      </w:r>
      <w:r>
        <w:rPr>
          <w:sz w:val="21"/>
        </w:rPr>
        <w:t>改变</w:t>
      </w:r>
      <w:r>
        <w:rPr>
          <w:spacing w:val="-10"/>
          <w:sz w:val="21"/>
        </w:rPr>
        <w:t>及</w:t>
      </w:r>
      <w:r>
        <w:rPr>
          <w:spacing w:val="5"/>
          <w:sz w:val="21"/>
        </w:rPr>
        <w:t>/</w:t>
      </w:r>
      <w:r>
        <w:rPr>
          <w:spacing w:val="-10"/>
          <w:sz w:val="21"/>
        </w:rPr>
        <w:t>或</w:t>
      </w:r>
      <w:r>
        <w:rPr>
          <w:sz w:val="21"/>
        </w:rPr>
        <w:t>肾</w:t>
      </w:r>
      <w:r>
        <w:rPr>
          <w:spacing w:val="-5"/>
          <w:sz w:val="21"/>
        </w:rPr>
        <w:t>病</w:t>
      </w:r>
      <w:r>
        <w:rPr>
          <w:spacing w:val="-10"/>
          <w:sz w:val="21"/>
        </w:rPr>
        <w:t>综</w:t>
      </w:r>
      <w:r>
        <w:rPr>
          <w:sz w:val="21"/>
        </w:rPr>
        <w:t>合征</w:t>
      </w:r>
    </w:p>
    <w:p>
      <w:pPr>
        <w:pStyle w:val="ListParagraph"/>
        <w:numPr>
          <w:ilvl w:val="1"/>
          <w:numId w:val="12"/>
        </w:numPr>
        <w:tabs>
          <w:tab w:pos="2454" w:val="left" w:leader="none"/>
          <w:tab w:pos="4979" w:val="left" w:leader="none"/>
        </w:tabs>
        <w:spacing w:line="240" w:lineRule="auto" w:before="29" w:after="0"/>
        <w:ind w:left="2453" w:right="0" w:hanging="278"/>
        <w:jc w:val="left"/>
        <w:rPr>
          <w:sz w:val="22"/>
        </w:rPr>
      </w:pPr>
      <w:r>
        <w:rPr>
          <w:sz w:val="22"/>
        </w:rPr>
        <w:t>型</w:t>
      </w:r>
      <w:r>
        <w:rPr>
          <w:spacing w:val="-10"/>
          <w:sz w:val="22"/>
        </w:rPr>
        <w:t>（</w:t>
      </w:r>
      <w:r>
        <w:rPr>
          <w:sz w:val="22"/>
        </w:rPr>
        <w:t>膜</w:t>
      </w:r>
      <w:r>
        <w:rPr>
          <w:spacing w:val="-10"/>
          <w:sz w:val="22"/>
        </w:rPr>
        <w:t>型</w:t>
      </w:r>
      <w:r>
        <w:rPr>
          <w:sz w:val="22"/>
        </w:rPr>
        <w:t>）</w:t>
        <w:tab/>
      </w:r>
      <w:r>
        <w:rPr>
          <w:spacing w:val="-10"/>
          <w:sz w:val="22"/>
        </w:rPr>
        <w:t>肾</w:t>
      </w:r>
      <w:r>
        <w:rPr>
          <w:sz w:val="22"/>
        </w:rPr>
        <w:t>病</w:t>
      </w:r>
      <w:r>
        <w:rPr>
          <w:spacing w:val="-10"/>
          <w:sz w:val="22"/>
        </w:rPr>
        <w:t>综</w:t>
      </w:r>
      <w:r>
        <w:rPr>
          <w:sz w:val="22"/>
        </w:rPr>
        <w:t>合</w:t>
      </w:r>
      <w:r>
        <w:rPr>
          <w:spacing w:val="-10"/>
          <w:sz w:val="22"/>
        </w:rPr>
        <w:t>征</w:t>
      </w:r>
      <w:r>
        <w:rPr>
          <w:spacing w:val="2"/>
          <w:sz w:val="22"/>
        </w:rPr>
        <w:t>或</w:t>
      </w:r>
      <w:r>
        <w:rPr>
          <w:spacing w:val="-9"/>
          <w:sz w:val="22"/>
        </w:rPr>
        <w:t>重</w:t>
      </w:r>
      <w:r>
        <w:rPr>
          <w:sz w:val="22"/>
        </w:rPr>
        <w:t>度</w:t>
      </w:r>
      <w:r>
        <w:rPr>
          <w:spacing w:val="-10"/>
          <w:sz w:val="22"/>
        </w:rPr>
        <w:t>蛋</w:t>
      </w:r>
      <w:r>
        <w:rPr>
          <w:sz w:val="22"/>
        </w:rPr>
        <w:t>白尿</w:t>
      </w:r>
    </w:p>
    <w:p>
      <w:pPr>
        <w:pStyle w:val="BodyText"/>
        <w:spacing w:before="7"/>
        <w:rPr>
          <w:sz w:val="10"/>
        </w:rPr>
      </w:pPr>
    </w:p>
    <w:p>
      <w:pPr>
        <w:spacing w:after="0"/>
        <w:rPr>
          <w:sz w:val="10"/>
        </w:rPr>
        <w:sectPr>
          <w:pgSz w:w="11910" w:h="16840"/>
          <w:pgMar w:top="1380" w:bottom="280" w:left="1580" w:right="900"/>
        </w:sectPr>
      </w:pPr>
    </w:p>
    <w:p>
      <w:pPr>
        <w:pStyle w:val="Heading3"/>
        <w:numPr>
          <w:ilvl w:val="0"/>
          <w:numId w:val="13"/>
        </w:numPr>
        <w:tabs>
          <w:tab w:pos="543" w:val="left" w:leader="none"/>
        </w:tabs>
        <w:spacing w:line="180" w:lineRule="auto" w:before="64" w:after="0"/>
        <w:ind w:left="119" w:right="0" w:firstLine="0"/>
        <w:jc w:val="both"/>
      </w:pPr>
      <w:r>
        <w:rPr/>
        <w:t>因职业关系导致的人类免疫缺陷病毒</w:t>
      </w:r>
    </w:p>
    <w:p>
      <w:pPr>
        <w:spacing w:line="274" w:lineRule="exact" w:before="0"/>
        <w:ind w:left="119" w:right="0" w:firstLine="0"/>
        <w:jc w:val="both"/>
        <w:rPr>
          <w:rFonts w:ascii="微软雅黑" w:eastAsia="微软雅黑" w:hint="eastAsia"/>
          <w:b/>
          <w:sz w:val="21"/>
        </w:rPr>
      </w:pPr>
      <w:r>
        <w:rPr>
          <w:rFonts w:ascii="微软雅黑" w:eastAsia="微软雅黑" w:hint="eastAsia"/>
          <w:b/>
          <w:w w:val="95"/>
          <w:sz w:val="21"/>
        </w:rPr>
        <w:t>（HIV） 感 染</w:t>
      </w:r>
    </w:p>
    <w:p>
      <w:pPr>
        <w:pStyle w:val="BodyText"/>
        <w:spacing w:line="273" w:lineRule="auto" w:before="132"/>
        <w:ind w:left="119" w:right="341"/>
      </w:pPr>
      <w:r>
        <w:rPr/>
        <w:br w:type="column"/>
      </w:r>
      <w:r>
        <w:rPr>
          <w:spacing w:val="-8"/>
        </w:rPr>
        <w:t>被保险人在从事其职业工作中遭遇外伤，或者职业需要处理血液或者其他体液</w:t>
      </w:r>
      <w:r>
        <w:rPr>
          <w:spacing w:val="-10"/>
          <w:w w:val="100"/>
        </w:rPr>
        <w:t>时感染上人类免疫缺陷病毒</w:t>
      </w:r>
      <w:r>
        <w:rPr>
          <w:w w:val="100"/>
        </w:rPr>
        <w:t>（HI</w:t>
      </w:r>
      <w:r>
        <w:rPr>
          <w:spacing w:val="-5"/>
          <w:w w:val="100"/>
        </w:rPr>
        <w:t>V</w:t>
      </w:r>
      <w:r>
        <w:rPr>
          <w:spacing w:val="-212"/>
          <w:w w:val="100"/>
        </w:rPr>
        <w:t>）。</w:t>
      </w:r>
    </w:p>
    <w:p>
      <w:pPr>
        <w:pStyle w:val="BodyText"/>
        <w:spacing w:line="251" w:lineRule="exact"/>
        <w:ind w:left="119"/>
      </w:pPr>
      <w:r>
        <w:rPr/>
        <w:t>必须满足下列全部条件：</w:t>
      </w:r>
    </w:p>
    <w:p>
      <w:pPr>
        <w:pStyle w:val="BodyText"/>
        <w:spacing w:line="216" w:lineRule="auto" w:before="15"/>
        <w:ind w:left="119" w:right="207"/>
      </w:pPr>
      <w:r>
        <w:rPr/>
        <w:t>（1）</w:t>
      </w:r>
      <w:r>
        <w:rPr>
          <w:spacing w:val="-5"/>
        </w:rPr>
        <w:t>感染必须是在被保险人正在从事其职业工作中发生。职业包括：医生、牙科医生、护士、医院化验室工作人员、医院护工、医生助理和牙医助理、救护车工作人员、助产士、消防队员、警察和狱警；</w:t>
      </w:r>
    </w:p>
    <w:p>
      <w:pPr>
        <w:pStyle w:val="BodyText"/>
        <w:spacing w:line="250" w:lineRule="exact"/>
        <w:ind w:left="119"/>
      </w:pPr>
      <w:r>
        <w:rPr/>
        <w:t>（2）血清转化必须出现在事故发生后的6个月以内；</w:t>
      </w:r>
    </w:p>
    <w:p>
      <w:pPr>
        <w:pStyle w:val="BodyText"/>
        <w:spacing w:line="273" w:lineRule="auto" w:before="8"/>
        <w:ind w:left="647" w:right="341" w:hanging="528"/>
      </w:pPr>
      <w:r>
        <w:rPr/>
        <w:t>（3）</w:t>
      </w:r>
      <w:r>
        <w:rPr>
          <w:spacing w:val="-10"/>
        </w:rPr>
        <w:t>必须提供被保险人在所报事故发生后的</w:t>
      </w:r>
      <w:r>
        <w:rPr/>
        <w:t>5</w:t>
      </w:r>
      <w:r>
        <w:rPr>
          <w:spacing w:val="-11"/>
        </w:rPr>
        <w:t>天以内进行的检查报告，该报告必</w:t>
      </w:r>
      <w:r>
        <w:rPr>
          <w:spacing w:val="-15"/>
        </w:rPr>
        <w:t>须显示被保险人血液 </w:t>
      </w:r>
      <w:r>
        <w:rPr/>
        <w:t>HIV</w:t>
      </w:r>
      <w:r>
        <w:rPr>
          <w:spacing w:val="-22"/>
        </w:rPr>
        <w:t> 病毒阴性和</w:t>
      </w:r>
      <w:r>
        <w:rPr/>
        <w:t>/</w:t>
      </w:r>
      <w:r>
        <w:rPr>
          <w:spacing w:val="-1"/>
        </w:rPr>
        <w:t>或 </w:t>
      </w:r>
      <w:r>
        <w:rPr/>
        <w:t>HIV</w:t>
      </w:r>
      <w:r>
        <w:rPr>
          <w:spacing w:val="-19"/>
        </w:rPr>
        <w:t> 抗体阴性；</w:t>
      </w:r>
    </w:p>
    <w:p>
      <w:pPr>
        <w:pStyle w:val="BodyText"/>
        <w:spacing w:line="235" w:lineRule="auto"/>
        <w:ind w:left="119" w:right="524"/>
      </w:pPr>
      <w:r>
        <w:rPr/>
        <w:t>（4）必须在事故发生后的6个月内证实被保险人体内存在HIV病毒或者HIV抗体。</w:t>
      </w:r>
    </w:p>
    <w:p>
      <w:pPr>
        <w:spacing w:after="0" w:line="235" w:lineRule="auto"/>
        <w:sectPr>
          <w:type w:val="continuous"/>
          <w:pgSz w:w="11910" w:h="16840"/>
          <w:pgMar w:top="1120" w:bottom="280" w:left="1580" w:right="900"/>
          <w:cols w:num="2" w:equalWidth="0">
            <w:col w:w="1599" w:space="245"/>
            <w:col w:w="7586"/>
          </w:cols>
        </w:sectPr>
      </w:pPr>
    </w:p>
    <w:p>
      <w:pPr>
        <w:pStyle w:val="BodyText"/>
        <w:rPr>
          <w:sz w:val="20"/>
        </w:rPr>
      </w:pPr>
    </w:p>
    <w:p>
      <w:pPr>
        <w:spacing w:after="0"/>
        <w:rPr>
          <w:sz w:val="20"/>
        </w:rPr>
        <w:sectPr>
          <w:type w:val="continuous"/>
          <w:pgSz w:w="11910" w:h="16840"/>
          <w:pgMar w:top="1120" w:bottom="280" w:left="1580" w:right="900"/>
        </w:sectPr>
      </w:pPr>
    </w:p>
    <w:p>
      <w:pPr>
        <w:pStyle w:val="BodyText"/>
        <w:spacing w:before="1"/>
        <w:rPr>
          <w:sz w:val="18"/>
        </w:rPr>
      </w:pPr>
    </w:p>
    <w:p>
      <w:pPr>
        <w:pStyle w:val="Heading3"/>
        <w:numPr>
          <w:ilvl w:val="0"/>
          <w:numId w:val="13"/>
        </w:numPr>
        <w:tabs>
          <w:tab w:pos="543" w:val="left" w:leader="none"/>
        </w:tabs>
        <w:spacing w:line="180" w:lineRule="auto" w:before="0" w:after="0"/>
        <w:ind w:left="119" w:right="209" w:firstLine="0"/>
        <w:jc w:val="both"/>
      </w:pPr>
      <w:r>
        <w:rPr/>
        <w:t>经输血导致的人类免疫缺陷病毒</w:t>
      </w:r>
    </w:p>
    <w:p>
      <w:pPr>
        <w:spacing w:line="274" w:lineRule="exact" w:before="0"/>
        <w:ind w:left="119" w:right="0" w:firstLine="0"/>
        <w:jc w:val="left"/>
        <w:rPr>
          <w:rFonts w:ascii="微软雅黑" w:eastAsia="微软雅黑" w:hint="eastAsia"/>
          <w:b/>
          <w:sz w:val="21"/>
        </w:rPr>
      </w:pPr>
      <w:r>
        <w:rPr>
          <w:rFonts w:ascii="微软雅黑" w:eastAsia="微软雅黑" w:hint="eastAsia"/>
          <w:b/>
          <w:w w:val="90"/>
          <w:sz w:val="21"/>
        </w:rPr>
        <w:t>（HIV）感染</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3"/>
        <w:rPr>
          <w:rFonts w:ascii="微软雅黑"/>
          <w:b/>
          <w:sz w:val="22"/>
        </w:rPr>
      </w:pPr>
    </w:p>
    <w:p>
      <w:pPr>
        <w:pStyle w:val="ListParagraph"/>
        <w:numPr>
          <w:ilvl w:val="0"/>
          <w:numId w:val="13"/>
        </w:numPr>
        <w:tabs>
          <w:tab w:pos="648" w:val="left" w:leader="none"/>
          <w:tab w:pos="649" w:val="left" w:leader="none"/>
        </w:tabs>
        <w:spacing w:line="180" w:lineRule="auto" w:before="0" w:after="0"/>
        <w:ind w:left="119" w:right="103" w:firstLine="0"/>
        <w:jc w:val="left"/>
        <w:rPr>
          <w:rFonts w:ascii="微软雅黑" w:eastAsia="微软雅黑" w:hint="eastAsia"/>
          <w:b/>
          <w:sz w:val="21"/>
        </w:rPr>
      </w:pPr>
      <w:r>
        <w:rPr>
          <w:rFonts w:ascii="微软雅黑" w:eastAsia="微软雅黑" w:hint="eastAsia"/>
          <w:b/>
          <w:sz w:val="21"/>
        </w:rPr>
        <w:t>严重克隆病</w:t>
      </w:r>
    </w:p>
    <w:p>
      <w:pPr>
        <w:pStyle w:val="BodyText"/>
        <w:rPr>
          <w:rFonts w:ascii="微软雅黑"/>
          <w:b/>
          <w:sz w:val="20"/>
        </w:rPr>
      </w:pPr>
    </w:p>
    <w:p>
      <w:pPr>
        <w:pStyle w:val="BodyText"/>
        <w:rPr>
          <w:rFonts w:ascii="微软雅黑"/>
          <w:b/>
          <w:sz w:val="17"/>
        </w:rPr>
      </w:pPr>
    </w:p>
    <w:p>
      <w:pPr>
        <w:pStyle w:val="ListParagraph"/>
        <w:numPr>
          <w:ilvl w:val="0"/>
          <w:numId w:val="13"/>
        </w:numPr>
        <w:tabs>
          <w:tab w:pos="543" w:val="left" w:leader="none"/>
        </w:tabs>
        <w:spacing w:line="180" w:lineRule="auto" w:before="1" w:after="0"/>
        <w:ind w:left="119" w:right="0" w:firstLine="0"/>
        <w:jc w:val="left"/>
        <w:rPr>
          <w:rFonts w:ascii="微软雅黑" w:eastAsia="微软雅黑" w:hint="eastAsia"/>
          <w:b/>
          <w:sz w:val="21"/>
        </w:rPr>
      </w:pPr>
      <w:r>
        <w:rPr>
          <w:rFonts w:ascii="微软雅黑" w:eastAsia="微软雅黑" w:hint="eastAsia"/>
          <w:b/>
          <w:sz w:val="21"/>
        </w:rPr>
        <w:t>严重溃疡性结肠炎</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4"/>
        <w:rPr>
          <w:rFonts w:ascii="微软雅黑"/>
          <w:b/>
          <w:sz w:val="13"/>
        </w:rPr>
      </w:pPr>
    </w:p>
    <w:p>
      <w:pPr>
        <w:pStyle w:val="ListParagraph"/>
        <w:numPr>
          <w:ilvl w:val="0"/>
          <w:numId w:val="13"/>
        </w:numPr>
        <w:tabs>
          <w:tab w:pos="647" w:val="left" w:leader="none"/>
          <w:tab w:pos="648" w:val="left" w:leader="none"/>
        </w:tabs>
        <w:spacing w:line="182" w:lineRule="auto" w:before="1" w:after="0"/>
        <w:ind w:left="119" w:right="103" w:firstLine="0"/>
        <w:jc w:val="left"/>
        <w:rPr>
          <w:rFonts w:ascii="微软雅黑" w:eastAsia="微软雅黑" w:hint="eastAsia"/>
          <w:b/>
          <w:sz w:val="21"/>
        </w:rPr>
      </w:pPr>
      <w:r>
        <w:rPr>
          <w:rFonts w:ascii="微软雅黑" w:eastAsia="微软雅黑" w:hint="eastAsia"/>
          <w:b/>
          <w:sz w:val="21"/>
        </w:rPr>
        <w:t>1</w:t>
      </w:r>
      <w:r>
        <w:rPr>
          <w:rFonts w:ascii="微软雅黑" w:eastAsia="微软雅黑" w:hint="eastAsia"/>
          <w:b/>
          <w:spacing w:val="5"/>
          <w:sz w:val="21"/>
        </w:rPr>
        <w:t> 型糖尿病</w:t>
      </w:r>
    </w:p>
    <w:p>
      <w:pPr>
        <w:pStyle w:val="BodyText"/>
        <w:spacing w:before="14"/>
        <w:rPr>
          <w:rFonts w:ascii="微软雅黑"/>
          <w:b/>
          <w:sz w:val="16"/>
        </w:rPr>
      </w:pPr>
      <w:r>
        <w:rPr/>
        <w:br w:type="column"/>
      </w:r>
      <w:r>
        <w:rPr>
          <w:rFonts w:ascii="微软雅黑"/>
          <w:b/>
          <w:sz w:val="16"/>
        </w:rPr>
      </w:r>
    </w:p>
    <w:p>
      <w:pPr>
        <w:pStyle w:val="BodyText"/>
        <w:spacing w:line="274" w:lineRule="exact"/>
        <w:ind w:left="263"/>
      </w:pPr>
      <w:r>
        <w:rPr/>
        <w:t>被保险人感染上人类免疫缺陷病毒（HIV）并且满足下列全部条件：</w:t>
      </w:r>
    </w:p>
    <w:p>
      <w:pPr>
        <w:pStyle w:val="BodyText"/>
        <w:spacing w:line="274" w:lineRule="exact"/>
        <w:ind w:left="263"/>
      </w:pPr>
      <w:r>
        <w:rPr/>
        <w:t>（1）被保险人因输血而感染 HIV；</w:t>
      </w:r>
    </w:p>
    <w:p>
      <w:pPr>
        <w:pStyle w:val="BodyText"/>
        <w:spacing w:line="273" w:lineRule="auto" w:before="13"/>
        <w:ind w:left="791" w:right="421" w:hanging="528"/>
      </w:pPr>
      <w:r>
        <w:rPr/>
        <w:t>（2）提供输血治疗的输血中心或医院出具该项输血感染属医疗责任事故的报告，或者法院终审裁定为医疗责任并且不准上诉；</w:t>
      </w:r>
    </w:p>
    <w:p>
      <w:pPr>
        <w:pStyle w:val="BodyText"/>
        <w:spacing w:line="259" w:lineRule="exact"/>
        <w:ind w:left="263"/>
      </w:pPr>
      <w:r>
        <w:rPr/>
        <w:t>（3）受感染的被保险人不是血友病患者。</w:t>
      </w:r>
    </w:p>
    <w:p>
      <w:pPr>
        <w:pStyle w:val="BodyText"/>
        <w:spacing w:before="18"/>
        <w:ind w:left="263"/>
      </w:pPr>
      <w:r>
        <w:rPr>
          <w:shd w:fill="D9D9D9" w:color="auto" w:val="clear"/>
        </w:rPr>
        <w:t>在任何治愈艾滋病（AIDS）或阻止 HIV 病毒作用的疗法被发现以后，或能防止</w:t>
      </w:r>
    </w:p>
    <w:p>
      <w:pPr>
        <w:pStyle w:val="BodyText"/>
        <w:spacing w:line="273" w:lineRule="auto" w:before="41"/>
        <w:ind w:left="263" w:right="313"/>
        <w:jc w:val="both"/>
      </w:pPr>
      <w:r>
        <w:rPr>
          <w:shd w:fill="D9D9D9" w:color="auto" w:val="clear"/>
        </w:rPr>
        <w:t>AIDS</w:t>
      </w:r>
      <w:r>
        <w:rPr>
          <w:spacing w:val="-8"/>
          <w:shd w:fill="D9D9D9" w:color="auto" w:val="clear"/>
        </w:rPr>
        <w:t> 发生的医疗方法被研究出来以后，本主险合同将不再予以赔付。任何因其</w:t>
      </w:r>
      <w:r>
        <w:rPr>
          <w:spacing w:val="-212"/>
          <w:shd w:fill="D9D9D9" w:color="auto" w:val="clear"/>
        </w:rPr>
        <w:t>他</w:t>
      </w:r>
      <w:r>
        <w:rPr>
          <w:spacing w:val="-2"/>
          <w:shd w:fill="D9D9D9" w:color="auto" w:val="clear"/>
        </w:rPr>
        <w:t>传播方式</w:t>
      </w:r>
      <w:r>
        <w:rPr>
          <w:shd w:fill="D9D9D9" w:color="auto" w:val="clear"/>
        </w:rPr>
        <w:t>（</w:t>
      </w:r>
      <w:r>
        <w:rPr>
          <w:spacing w:val="-4"/>
          <w:shd w:fill="D9D9D9" w:color="auto" w:val="clear"/>
        </w:rPr>
        <w:t>包括：性传播或静脉注射毒品</w:t>
      </w:r>
      <w:r>
        <w:rPr>
          <w:shd w:fill="D9D9D9" w:color="auto" w:val="clear"/>
        </w:rPr>
        <w:t>）</w:t>
      </w:r>
      <w:r>
        <w:rPr>
          <w:spacing w:val="13"/>
          <w:shd w:fill="D9D9D9" w:color="auto" w:val="clear"/>
        </w:rPr>
        <w:t>导致的 </w:t>
      </w:r>
      <w:r>
        <w:rPr>
          <w:shd w:fill="D9D9D9" w:color="auto" w:val="clear"/>
        </w:rPr>
        <w:t>HIV</w:t>
      </w:r>
      <w:r>
        <w:rPr>
          <w:spacing w:val="2"/>
          <w:shd w:fill="D9D9D9" w:color="auto" w:val="clear"/>
        </w:rPr>
        <w:t> 感染不在保障范围内。</w:t>
      </w:r>
    </w:p>
    <w:p>
      <w:pPr>
        <w:pStyle w:val="BodyText"/>
        <w:spacing w:line="273" w:lineRule="auto" w:before="7"/>
        <w:ind w:left="119" w:right="39"/>
      </w:pPr>
      <w:r>
        <w:rPr>
          <w:shd w:fill="D9D9D9" w:color="auto" w:val="clear"/>
        </w:rPr>
        <w:t>任何因其他传播方式（包括：性传播或静脉注射毒品）导致感染艾滋病病毒或者患艾滋病不在保障范围内</w:t>
      </w:r>
      <w:r>
        <w:rPr/>
        <w:t>。</w:t>
      </w:r>
    </w:p>
    <w:p>
      <w:pPr>
        <w:pStyle w:val="BodyText"/>
        <w:spacing w:before="9"/>
        <w:rPr>
          <w:sz w:val="19"/>
        </w:rPr>
      </w:pPr>
    </w:p>
    <w:p>
      <w:pPr>
        <w:pStyle w:val="BodyText"/>
        <w:spacing w:line="273" w:lineRule="auto"/>
        <w:ind w:left="263" w:right="316"/>
      </w:pPr>
      <w:r>
        <w:rPr/>
        <w:t>严重克隆病是一种慢性肉芽肿性肠炎，具有特征性的克隆病病理组织学变化。诊断必须由病理检查结果证实。</w:t>
      </w:r>
    </w:p>
    <w:p>
      <w:pPr>
        <w:pStyle w:val="BodyText"/>
        <w:spacing w:before="7"/>
        <w:ind w:left="119"/>
      </w:pPr>
      <w:r>
        <w:rPr>
          <w:shd w:fill="D9D9D9" w:color="auto" w:val="clear"/>
        </w:rPr>
        <w:t>被保险人所患的克隆病必须已经造成瘘管形成并伴有肠梗阻或肠穿孔。</w:t>
      </w:r>
    </w:p>
    <w:p>
      <w:pPr>
        <w:pStyle w:val="BodyText"/>
        <w:spacing w:before="2"/>
        <w:rPr>
          <w:sz w:val="22"/>
        </w:rPr>
      </w:pPr>
    </w:p>
    <w:p>
      <w:pPr>
        <w:pStyle w:val="BodyText"/>
        <w:spacing w:line="273" w:lineRule="auto" w:before="1"/>
        <w:ind w:left="263" w:right="321"/>
        <w:jc w:val="both"/>
      </w:pPr>
      <w:r>
        <w:rPr/>
        <w:t>严重溃疡性结肠炎是指伴有致命性电解质紊乱的急性暴发性溃疡性结肠炎，病变累及全结肠，表现为严重的血便和系统性症状体征，治疗通常采取全结肠切除和回肠造瘘术。</w:t>
      </w:r>
    </w:p>
    <w:p>
      <w:pPr>
        <w:pStyle w:val="BodyText"/>
        <w:spacing w:before="8"/>
        <w:ind w:left="119"/>
      </w:pPr>
      <w:r>
        <w:rPr>
          <w:shd w:fill="D9D9D9" w:color="auto" w:val="clear"/>
        </w:rPr>
        <w:t>溃疡性结肠炎必须根据组织病理学特点诊断，并且被保险人已经接受了结肠切除和</w:t>
      </w:r>
    </w:p>
    <w:p>
      <w:pPr>
        <w:pStyle w:val="BodyText"/>
        <w:spacing w:before="37"/>
        <w:ind w:left="119"/>
      </w:pPr>
      <w:r>
        <w:rPr>
          <w:shd w:fill="D9D9D9" w:color="auto" w:val="clear"/>
        </w:rPr>
        <w:t>/或回肠造瘘术。</w:t>
      </w:r>
    </w:p>
    <w:p>
      <w:pPr>
        <w:pStyle w:val="BodyText"/>
        <w:spacing w:before="11"/>
      </w:pPr>
    </w:p>
    <w:p>
      <w:pPr>
        <w:pStyle w:val="BodyText"/>
        <w:ind w:left="263"/>
        <w:jc w:val="both"/>
      </w:pPr>
      <w:r>
        <w:rPr/>
        <w:t>1型糖尿病的特征为由于胰岛素分泌绝对不足引起严重胰岛素缺乏导致慢性血</w:t>
      </w:r>
    </w:p>
    <w:p>
      <w:pPr>
        <w:spacing w:after="0"/>
        <w:jc w:val="both"/>
        <w:sectPr>
          <w:type w:val="continuous"/>
          <w:pgSz w:w="11910" w:h="16840"/>
          <w:pgMar w:top="1120" w:bottom="280" w:left="1580" w:right="900"/>
          <w:cols w:num="2" w:equalWidth="0">
            <w:col w:w="1599" w:space="101"/>
            <w:col w:w="7730"/>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75"/>
      </w:tblGrid>
      <w:tr>
        <w:trPr>
          <w:trHeight w:val="2059" w:hRule="atLeast"/>
        </w:trPr>
        <w:tc>
          <w:tcPr>
            <w:tcW w:w="1790" w:type="dxa"/>
          </w:tcPr>
          <w:p>
            <w:pPr>
              <w:pStyle w:val="TableParagraph"/>
              <w:ind w:left="0"/>
              <w:rPr>
                <w:rFonts w:ascii="Times New Roman"/>
                <w:sz w:val="20"/>
              </w:rPr>
            </w:pPr>
          </w:p>
        </w:tc>
        <w:tc>
          <w:tcPr>
            <w:tcW w:w="7875" w:type="dxa"/>
          </w:tcPr>
          <w:p>
            <w:pPr>
              <w:pStyle w:val="TableParagraph"/>
              <w:spacing w:line="207" w:lineRule="exact"/>
              <w:rPr>
                <w:sz w:val="21"/>
              </w:rPr>
            </w:pPr>
            <w:r>
              <w:rPr>
                <w:sz w:val="21"/>
              </w:rPr>
              <w:t>糖升高，需要依赖外源性胰岛素进行机体的葡萄糖代谢和维持生命。被保险人</w:t>
            </w:r>
          </w:p>
          <w:p>
            <w:pPr>
              <w:pStyle w:val="TableParagraph"/>
              <w:spacing w:line="273" w:lineRule="auto" w:before="37"/>
              <w:ind w:right="469"/>
              <w:rPr>
                <w:sz w:val="21"/>
              </w:rPr>
            </w:pPr>
            <w:r>
              <w:rPr>
                <w:sz w:val="21"/>
              </w:rPr>
              <w:t>的1</w:t>
            </w:r>
            <w:r>
              <w:rPr>
                <w:spacing w:val="-12"/>
                <w:sz w:val="21"/>
              </w:rPr>
              <w:t>型糖尿病必须明确诊断，而且有血胰岛素测定及血</w:t>
            </w:r>
            <w:r>
              <w:rPr>
                <w:sz w:val="21"/>
              </w:rPr>
              <w:t>C肽或尿C</w:t>
            </w:r>
            <w:r>
              <w:rPr>
                <w:spacing w:val="-3"/>
                <w:sz w:val="21"/>
              </w:rPr>
              <w:t>肽测定结果支持</w:t>
            </w:r>
            <w:r>
              <w:rPr>
                <w:spacing w:val="-5"/>
                <w:sz w:val="21"/>
              </w:rPr>
              <w:t>诊断，并且满足下列全部条件：</w:t>
            </w:r>
          </w:p>
          <w:p>
            <w:pPr>
              <w:pStyle w:val="TableParagraph"/>
              <w:spacing w:line="266" w:lineRule="exact"/>
              <w:rPr>
                <w:sz w:val="21"/>
              </w:rPr>
            </w:pPr>
            <w:r>
              <w:rPr>
                <w:sz w:val="21"/>
              </w:rPr>
              <w:t>（1）已经持续性地接受外源性胰岛素注射治疗连续180天以上；</w:t>
            </w:r>
          </w:p>
          <w:p>
            <w:pPr>
              <w:pStyle w:val="TableParagraph"/>
              <w:spacing w:line="271" w:lineRule="exact"/>
              <w:rPr>
                <w:sz w:val="21"/>
              </w:rPr>
            </w:pPr>
            <w:r>
              <w:rPr>
                <w:sz w:val="21"/>
              </w:rPr>
              <w:t>（2）因需要已经接受了下列任意一项治疗：</w:t>
            </w:r>
          </w:p>
          <w:p>
            <w:pPr>
              <w:pStyle w:val="TableParagraph"/>
              <w:spacing w:line="274" w:lineRule="exact"/>
              <w:rPr>
                <w:sz w:val="21"/>
              </w:rPr>
            </w:pPr>
            <w:r>
              <w:rPr>
                <w:sz w:val="21"/>
              </w:rPr>
              <w:t>①因严重心律失常植入了心脏起搏器；</w:t>
            </w:r>
          </w:p>
          <w:p>
            <w:pPr>
              <w:pStyle w:val="TableParagraph"/>
              <w:spacing w:line="274" w:lineRule="exact"/>
              <w:rPr>
                <w:sz w:val="21"/>
              </w:rPr>
            </w:pPr>
            <w:r>
              <w:rPr>
                <w:sz w:val="21"/>
              </w:rPr>
              <w:t>②因坏疽自跖趾关节或以上切除了一趾或多趾。</w:t>
            </w:r>
          </w:p>
        </w:tc>
      </w:tr>
      <w:tr>
        <w:trPr>
          <w:trHeight w:val="1152" w:hRule="atLeast"/>
        </w:trPr>
        <w:tc>
          <w:tcPr>
            <w:tcW w:w="1790" w:type="dxa"/>
          </w:tcPr>
          <w:p>
            <w:pPr>
              <w:pStyle w:val="TableParagraph"/>
              <w:spacing w:line="182" w:lineRule="auto" w:before="67"/>
              <w:ind w:left="200" w:right="109"/>
              <w:rPr>
                <w:rFonts w:ascii="微软雅黑" w:eastAsia="微软雅黑" w:hint="eastAsia"/>
                <w:b/>
                <w:sz w:val="21"/>
              </w:rPr>
            </w:pPr>
            <w:r>
              <w:rPr>
                <w:rFonts w:ascii="微软雅黑" w:eastAsia="微软雅黑" w:hint="eastAsia"/>
                <w:b/>
                <w:sz w:val="21"/>
              </w:rPr>
              <w:t>38. 肺源性心脏病</w:t>
            </w:r>
          </w:p>
        </w:tc>
        <w:tc>
          <w:tcPr>
            <w:tcW w:w="7875" w:type="dxa"/>
          </w:tcPr>
          <w:p>
            <w:pPr>
              <w:pStyle w:val="TableParagraph"/>
              <w:spacing w:line="273" w:lineRule="auto" w:before="124"/>
              <w:ind w:left="220" w:right="478"/>
              <w:jc w:val="both"/>
              <w:rPr>
                <w:sz w:val="21"/>
              </w:rPr>
            </w:pPr>
            <w:r>
              <w:rPr>
                <w:sz w:val="21"/>
              </w:rPr>
              <w:t>指被保险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500" w:hRule="atLeast"/>
        </w:trPr>
        <w:tc>
          <w:tcPr>
            <w:tcW w:w="1790" w:type="dxa"/>
          </w:tcPr>
          <w:p>
            <w:pPr>
              <w:pStyle w:val="TableParagraph"/>
              <w:tabs>
                <w:tab w:pos="728" w:val="left" w:leader="none"/>
              </w:tabs>
              <w:spacing w:line="177" w:lineRule="auto" w:before="88"/>
              <w:ind w:left="200" w:right="214"/>
              <w:rPr>
                <w:rFonts w:ascii="微软雅黑" w:eastAsia="微软雅黑" w:hint="eastAsia"/>
                <w:b/>
                <w:sz w:val="21"/>
              </w:rPr>
            </w:pPr>
            <w:r>
              <w:rPr>
                <w:rFonts w:ascii="微软雅黑" w:eastAsia="微软雅黑" w:hint="eastAsia"/>
                <w:b/>
                <w:sz w:val="21"/>
              </w:rPr>
              <w:t>39.</w:t>
              <w:tab/>
              <w:t>植物人状 态</w:t>
            </w:r>
          </w:p>
        </w:tc>
        <w:tc>
          <w:tcPr>
            <w:tcW w:w="7875" w:type="dxa"/>
          </w:tcPr>
          <w:p>
            <w:pPr>
              <w:pStyle w:val="TableParagraph"/>
              <w:spacing w:line="273" w:lineRule="auto" w:before="162"/>
              <w:ind w:right="476"/>
              <w:jc w:val="both"/>
              <w:rPr>
                <w:sz w:val="21"/>
              </w:rPr>
            </w:pPr>
            <w:r>
              <w:rPr>
                <w:sz w:val="21"/>
              </w:rPr>
              <w:t>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before="7"/>
              <w:ind w:left="110"/>
              <w:rPr>
                <w:sz w:val="21"/>
              </w:rPr>
            </w:pPr>
            <w:r>
              <w:rPr>
                <w:sz w:val="21"/>
                <w:shd w:fill="D9D9D9" w:color="auto" w:val="clear"/>
              </w:rPr>
              <w:t>植物人状态必须持续 30 天以上方可申请理赔。</w:t>
            </w:r>
          </w:p>
        </w:tc>
      </w:tr>
      <w:tr>
        <w:trPr>
          <w:trHeight w:val="3185" w:hRule="atLeast"/>
        </w:trPr>
        <w:tc>
          <w:tcPr>
            <w:tcW w:w="1790" w:type="dxa"/>
          </w:tcPr>
          <w:p>
            <w:pPr>
              <w:pStyle w:val="TableParagraph"/>
              <w:spacing w:line="180" w:lineRule="auto" w:before="82"/>
              <w:ind w:left="200" w:right="109"/>
              <w:rPr>
                <w:rFonts w:ascii="微软雅黑" w:eastAsia="微软雅黑" w:hint="eastAsia"/>
                <w:b/>
                <w:sz w:val="21"/>
              </w:rPr>
            </w:pPr>
            <w:r>
              <w:rPr>
                <w:rFonts w:ascii="微软雅黑" w:eastAsia="微软雅黑" w:hint="eastAsia"/>
                <w:b/>
                <w:sz w:val="21"/>
              </w:rPr>
              <w:t>40. 严重类风湿性关节炎</w:t>
            </w:r>
          </w:p>
        </w:tc>
        <w:tc>
          <w:tcPr>
            <w:tcW w:w="7875" w:type="dxa"/>
          </w:tcPr>
          <w:p>
            <w:pPr>
              <w:pStyle w:val="TableParagraph"/>
              <w:spacing w:line="273" w:lineRule="auto" w:before="160"/>
              <w:ind w:right="378"/>
              <w:rPr>
                <w:sz w:val="21"/>
              </w:rPr>
            </w:pPr>
            <w:r>
              <w:rPr>
                <w:spacing w:val="-5"/>
                <w:sz w:val="21"/>
              </w:rPr>
              <w:t>类风湿性关节炎为广泛分布的慢性进行性多关节病变，表现为关节严重变形， </w:t>
            </w:r>
            <w:r>
              <w:rPr>
                <w:spacing w:val="-3"/>
                <w:sz w:val="21"/>
              </w:rPr>
              <w:t>侵犯至少三个主要关节或关节组【如：双手</w:t>
            </w:r>
            <w:r>
              <w:rPr>
                <w:spacing w:val="7"/>
                <w:sz w:val="21"/>
              </w:rPr>
              <w:t>（</w:t>
            </w:r>
            <w:r>
              <w:rPr>
                <w:spacing w:val="5"/>
                <w:sz w:val="21"/>
              </w:rPr>
              <w:t>多手指）</w:t>
            </w:r>
            <w:r>
              <w:rPr>
                <w:spacing w:val="-3"/>
                <w:sz w:val="21"/>
              </w:rPr>
              <w:t>关节、双足</w:t>
            </w:r>
            <w:r>
              <w:rPr>
                <w:sz w:val="21"/>
              </w:rPr>
              <w:t>（多足趾） </w:t>
            </w:r>
            <w:r>
              <w:rPr>
                <w:spacing w:val="-20"/>
                <w:sz w:val="21"/>
              </w:rPr>
              <w:t>关节、双腕关节、双膝关节和双髋关节】。严重类风湿性关节炎必须明确诊断并且已经达到类风湿性关节炎功能分级</w:t>
            </w:r>
            <w:r>
              <w:rPr>
                <w:sz w:val="21"/>
              </w:rPr>
              <w:t>III</w:t>
            </w:r>
            <w:r>
              <w:rPr>
                <w:spacing w:val="0"/>
                <w:sz w:val="21"/>
              </w:rPr>
              <w:t>级以上的功能障碍</w:t>
            </w:r>
            <w:r>
              <w:rPr>
                <w:spacing w:val="10"/>
                <w:sz w:val="21"/>
              </w:rPr>
              <w:t>（</w:t>
            </w:r>
            <w:r>
              <w:rPr>
                <w:sz w:val="21"/>
              </w:rPr>
              <w:t>关节活动严重限制， 不能完成大部分的日常工作和活动</w:t>
            </w:r>
            <w:r>
              <w:rPr>
                <w:spacing w:val="7"/>
                <w:sz w:val="21"/>
              </w:rPr>
              <w:t>）</w:t>
            </w:r>
            <w:r>
              <w:rPr>
                <w:spacing w:val="-7"/>
                <w:sz w:val="21"/>
              </w:rPr>
              <w:t>并且满足下列全部条件：</w:t>
            </w:r>
          </w:p>
          <w:p>
            <w:pPr>
              <w:pStyle w:val="TableParagraph"/>
              <w:spacing w:line="268" w:lineRule="exact"/>
              <w:rPr>
                <w:sz w:val="21"/>
              </w:rPr>
            </w:pPr>
            <w:r>
              <w:rPr>
                <w:sz w:val="21"/>
              </w:rPr>
              <w:t>（1）晨僵；</w:t>
            </w:r>
          </w:p>
          <w:p>
            <w:pPr>
              <w:pStyle w:val="TableParagraph"/>
              <w:spacing w:line="271" w:lineRule="exact"/>
              <w:rPr>
                <w:sz w:val="21"/>
              </w:rPr>
            </w:pPr>
            <w:r>
              <w:rPr>
                <w:sz w:val="21"/>
              </w:rPr>
              <w:t>（2）对称性关节炎；</w:t>
            </w:r>
          </w:p>
          <w:p>
            <w:pPr>
              <w:pStyle w:val="TableParagraph"/>
              <w:spacing w:line="271" w:lineRule="exact"/>
              <w:rPr>
                <w:sz w:val="21"/>
              </w:rPr>
            </w:pPr>
            <w:r>
              <w:rPr>
                <w:sz w:val="21"/>
              </w:rPr>
              <w:t>（3）类风湿性皮下结节；</w:t>
            </w:r>
          </w:p>
          <w:p>
            <w:pPr>
              <w:pStyle w:val="TableParagraph"/>
              <w:spacing w:line="274" w:lineRule="exact"/>
              <w:rPr>
                <w:sz w:val="21"/>
              </w:rPr>
            </w:pPr>
            <w:r>
              <w:rPr>
                <w:sz w:val="21"/>
              </w:rPr>
              <w:t>（4）类风湿因子滴度升高；</w:t>
            </w:r>
          </w:p>
          <w:p>
            <w:pPr>
              <w:pStyle w:val="TableParagraph"/>
              <w:spacing w:line="274" w:lineRule="exact"/>
              <w:rPr>
                <w:sz w:val="21"/>
              </w:rPr>
            </w:pPr>
            <w:r>
              <w:rPr>
                <w:sz w:val="21"/>
              </w:rPr>
              <w:t>（5）X线显示严重的关节（软骨和骨）破坏和关节畸形。</w:t>
            </w:r>
          </w:p>
        </w:tc>
      </w:tr>
      <w:tr>
        <w:trPr>
          <w:trHeight w:val="2110" w:hRule="atLeast"/>
        </w:trPr>
        <w:tc>
          <w:tcPr>
            <w:tcW w:w="1790" w:type="dxa"/>
          </w:tcPr>
          <w:p>
            <w:pPr>
              <w:pStyle w:val="TableParagraph"/>
              <w:spacing w:line="180" w:lineRule="auto" w:before="70"/>
              <w:ind w:left="200" w:right="109"/>
              <w:jc w:val="both"/>
              <w:rPr>
                <w:rFonts w:ascii="微软雅黑" w:eastAsia="微软雅黑" w:hint="eastAsia"/>
                <w:b/>
                <w:sz w:val="21"/>
              </w:rPr>
            </w:pPr>
            <w:r>
              <w:rPr>
                <w:rFonts w:ascii="微软雅黑" w:eastAsia="微软雅黑" w:hint="eastAsia"/>
                <w:b/>
                <w:sz w:val="21"/>
              </w:rPr>
              <w:t>41. 非阿尔茨海默病所致严重痴呆</w:t>
            </w:r>
          </w:p>
        </w:tc>
        <w:tc>
          <w:tcPr>
            <w:tcW w:w="7875" w:type="dxa"/>
          </w:tcPr>
          <w:p>
            <w:pPr>
              <w:pStyle w:val="TableParagraph"/>
              <w:spacing w:line="273" w:lineRule="auto" w:before="148"/>
              <w:ind w:right="481"/>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的严重痴呆，临床表现为明显的认知能力障碍、行为异常和社交能力减退。被保险人自主生活能力完全丧失，无法独立完成六项基本日常生活活动中的三项</w:t>
            </w:r>
            <w:r>
              <w:rPr>
                <w:spacing w:val="-6"/>
                <w:sz w:val="21"/>
              </w:rPr>
              <w:t>或三项以上，日常生活必须持续受到他人监护。导致痴呆的疾病必须由完整的</w:t>
            </w:r>
            <w:r>
              <w:rPr>
                <w:spacing w:val="-5"/>
                <w:sz w:val="21"/>
              </w:rPr>
              <w:t>临床、实验室和影像学检查结果证实。</w:t>
            </w:r>
          </w:p>
          <w:p>
            <w:pPr>
              <w:pStyle w:val="TableParagraph"/>
              <w:spacing w:before="8"/>
              <w:ind w:left="110"/>
              <w:rPr>
                <w:sz w:val="21"/>
              </w:rPr>
            </w:pPr>
            <w:r>
              <w:rPr>
                <w:sz w:val="21"/>
                <w:shd w:fill="D9D9D9" w:color="auto" w:val="clear"/>
              </w:rPr>
              <w:t>神经官能症、精神疾病及酒精中毒不在保障范围内。</w:t>
            </w:r>
          </w:p>
        </w:tc>
      </w:tr>
      <w:tr>
        <w:trPr>
          <w:trHeight w:val="1680" w:hRule="atLeast"/>
        </w:trPr>
        <w:tc>
          <w:tcPr>
            <w:tcW w:w="1790" w:type="dxa"/>
          </w:tcPr>
          <w:p>
            <w:pPr>
              <w:pStyle w:val="TableParagraph"/>
              <w:tabs>
                <w:tab w:pos="728" w:val="left" w:leader="none"/>
              </w:tabs>
              <w:spacing w:line="182" w:lineRule="auto" w:before="79"/>
              <w:ind w:left="200" w:right="214"/>
              <w:rPr>
                <w:rFonts w:ascii="微软雅黑" w:eastAsia="微软雅黑" w:hint="eastAsia"/>
                <w:b/>
                <w:sz w:val="21"/>
              </w:rPr>
            </w:pPr>
            <w:r>
              <w:rPr>
                <w:rFonts w:ascii="微软雅黑" w:eastAsia="微软雅黑" w:hint="eastAsia"/>
                <w:b/>
                <w:sz w:val="21"/>
              </w:rPr>
              <w:t>42.</w:t>
              <w:tab/>
              <w:t>终末期疾 病</w:t>
            </w:r>
          </w:p>
        </w:tc>
        <w:tc>
          <w:tcPr>
            <w:tcW w:w="7875" w:type="dxa"/>
          </w:tcPr>
          <w:p>
            <w:pPr>
              <w:pStyle w:val="TableParagraph"/>
              <w:spacing w:line="237" w:lineRule="auto" w:before="177"/>
              <w:ind w:left="215" w:right="511"/>
              <w:jc w:val="both"/>
              <w:rPr>
                <w:sz w:val="21"/>
              </w:rPr>
            </w:pPr>
            <w:r>
              <w:rPr>
                <w:sz w:val="21"/>
              </w:rPr>
              <w:t>被保险人被确诊为疾病的终末期状态。疾病已经无法以现有的医疗技术医治缓解，并且根据临床医学经验判断被保险人将于未来六个月内死亡。在家属及被保险人的要求和医师的同意下积极治疗已被放弃，所有治疗措施仅以减轻被保险人痛苦为目的。</w:t>
            </w:r>
          </w:p>
          <w:p>
            <w:pPr>
              <w:pStyle w:val="TableParagraph"/>
              <w:spacing w:before="13"/>
              <w:ind w:left="110"/>
              <w:rPr>
                <w:sz w:val="21"/>
              </w:rPr>
            </w:pPr>
            <w:r>
              <w:rPr>
                <w:sz w:val="21"/>
                <w:shd w:fill="D9D9D9" w:color="auto" w:val="clear"/>
              </w:rPr>
              <w:t>此疾病状态必须在被保险人生前已经确诊并且具有医疗证明文件和临床检查依据。</w:t>
            </w:r>
          </w:p>
        </w:tc>
      </w:tr>
      <w:tr>
        <w:trPr>
          <w:trHeight w:val="1106" w:hRule="atLeast"/>
        </w:trPr>
        <w:tc>
          <w:tcPr>
            <w:tcW w:w="1790" w:type="dxa"/>
          </w:tcPr>
          <w:p>
            <w:pPr>
              <w:pStyle w:val="TableParagraph"/>
              <w:tabs>
                <w:tab w:pos="694" w:val="left" w:leader="none"/>
              </w:tabs>
              <w:spacing w:before="52"/>
              <w:ind w:left="200" w:right="114"/>
              <w:rPr>
                <w:rFonts w:ascii="等线" w:eastAsia="等线" w:hint="eastAsia"/>
                <w:b/>
                <w:sz w:val="21"/>
              </w:rPr>
            </w:pPr>
            <w:r>
              <w:rPr>
                <w:rFonts w:ascii="等线" w:eastAsia="等线" w:hint="eastAsia"/>
                <w:b/>
                <w:sz w:val="21"/>
              </w:rPr>
              <w:t>43.</w:t>
              <w:tab/>
              <w:t>糖尿病并 </w:t>
            </w:r>
            <w:r>
              <w:rPr>
                <w:rFonts w:ascii="等线" w:eastAsia="等线" w:hint="eastAsia"/>
                <w:b/>
                <w:spacing w:val="-1"/>
                <w:sz w:val="21"/>
              </w:rPr>
              <w:t>发症引起的脚部截肢</w:t>
            </w:r>
          </w:p>
        </w:tc>
        <w:tc>
          <w:tcPr>
            <w:tcW w:w="7875" w:type="dxa"/>
          </w:tcPr>
          <w:p>
            <w:pPr>
              <w:pStyle w:val="TableParagraph"/>
              <w:spacing w:line="252" w:lineRule="auto" w:before="71"/>
              <w:ind w:left="110" w:right="235"/>
              <w:rPr>
                <w:rFonts w:ascii="等线" w:eastAsia="等线" w:hint="eastAsia"/>
                <w:sz w:val="21"/>
              </w:rPr>
            </w:pPr>
            <w:r>
              <w:rPr>
                <w:sz w:val="22"/>
              </w:rPr>
              <w:t>因糖尿病引起的神经及血管病变而经糖尿病专科医生建议，由足踝或以上位置截除双脚是维持生命的唯一方法。</w:t>
            </w:r>
            <w:r>
              <w:rPr>
                <w:rFonts w:ascii="等线" w:eastAsia="等线" w:hint="eastAsia"/>
                <w:sz w:val="21"/>
              </w:rPr>
              <w:t>切除一只或多只脚趾或因任何其他原因引起的</w:t>
            </w:r>
          </w:p>
          <w:p>
            <w:pPr>
              <w:pStyle w:val="TableParagraph"/>
              <w:spacing w:before="4"/>
              <w:ind w:left="110"/>
              <w:rPr>
                <w:rFonts w:ascii="等线" w:eastAsia="等线" w:hint="eastAsia"/>
                <w:sz w:val="21"/>
              </w:rPr>
            </w:pPr>
            <w:r>
              <w:rPr>
                <w:rFonts w:ascii="Times New Roman" w:eastAsia="Times New Roman"/>
                <w:spacing w:val="-53"/>
                <w:w w:val="100"/>
                <w:sz w:val="21"/>
                <w:shd w:fill="D9D9D9" w:color="auto" w:val="clear"/>
              </w:rPr>
              <w:t> </w:t>
            </w:r>
            <w:r>
              <w:rPr>
                <w:rFonts w:ascii="等线" w:eastAsia="等线" w:hint="eastAsia"/>
                <w:spacing w:val="-2"/>
                <w:sz w:val="21"/>
                <w:shd w:fill="D9D9D9" w:color="auto" w:val="clear"/>
              </w:rPr>
              <w:t>截除术不在保障范围内。</w:t>
            </w:r>
          </w:p>
        </w:tc>
      </w:tr>
      <w:tr>
        <w:trPr>
          <w:trHeight w:val="1003" w:hRule="atLeast"/>
        </w:trPr>
        <w:tc>
          <w:tcPr>
            <w:tcW w:w="1790" w:type="dxa"/>
          </w:tcPr>
          <w:p>
            <w:pPr>
              <w:pStyle w:val="TableParagraph"/>
              <w:tabs>
                <w:tab w:pos="728" w:val="left" w:leader="none"/>
              </w:tabs>
              <w:spacing w:line="180" w:lineRule="auto" w:before="80"/>
              <w:ind w:left="200" w:right="214"/>
              <w:rPr>
                <w:rFonts w:ascii="微软雅黑" w:eastAsia="微软雅黑" w:hint="eastAsia"/>
                <w:b/>
                <w:sz w:val="21"/>
              </w:rPr>
            </w:pPr>
            <w:r>
              <w:rPr>
                <w:rFonts w:ascii="微软雅黑" w:eastAsia="微软雅黑" w:hint="eastAsia"/>
                <w:b/>
                <w:sz w:val="21"/>
              </w:rPr>
              <w:t>44.</w:t>
              <w:tab/>
              <w:t>严重川崎 病</w:t>
            </w:r>
          </w:p>
        </w:tc>
        <w:tc>
          <w:tcPr>
            <w:tcW w:w="7875" w:type="dxa"/>
          </w:tcPr>
          <w:p>
            <w:pPr>
              <w:pStyle w:val="TableParagraph"/>
              <w:spacing w:before="157"/>
              <w:ind w:left="215"/>
              <w:rPr>
                <w:sz w:val="21"/>
              </w:rPr>
            </w:pPr>
            <w:r>
              <w:rPr>
                <w:sz w:val="21"/>
              </w:rPr>
              <w:t>是指原因不明的系统性血管炎，须满足下列全部条件：</w:t>
            </w:r>
          </w:p>
          <w:p>
            <w:pPr>
              <w:pStyle w:val="TableParagraph"/>
              <w:spacing w:line="274" w:lineRule="exact" w:before="17"/>
              <w:ind w:left="215"/>
              <w:rPr>
                <w:sz w:val="21"/>
              </w:rPr>
            </w:pPr>
            <w:r>
              <w:rPr>
                <w:sz w:val="21"/>
              </w:rPr>
              <w:t>（1）超声心动图显示川崎病并发冠状动脉瘤或其他心血管异常；</w:t>
            </w:r>
          </w:p>
          <w:p>
            <w:pPr>
              <w:pStyle w:val="TableParagraph"/>
              <w:spacing w:line="259" w:lineRule="exact"/>
              <w:ind w:left="215"/>
              <w:rPr>
                <w:sz w:val="21"/>
              </w:rPr>
            </w:pPr>
            <w:r>
              <w:rPr>
                <w:sz w:val="21"/>
              </w:rPr>
              <w:t>（2）已接受了针对川崎病并发冠状动脉瘤或其他心血管异常所进行的手术治</w:t>
            </w:r>
          </w:p>
        </w:tc>
      </w:tr>
    </w:tbl>
    <w:p>
      <w:pPr>
        <w:rPr>
          <w:sz w:val="2"/>
          <w:szCs w:val="2"/>
        </w:rPr>
      </w:pPr>
      <w:r>
        <w:rPr/>
        <w:pict>
          <v:rect style="position:absolute;margin-left:334.679993pt;margin-top:679.635986pt;width:209.86pt;height:15.384pt;mso-position-horizontal-relative:page;mso-position-vertical-relative:page;z-index:-31360" filled="true" fillcolor="#d9d9d9" stroked="false">
            <v:fill type="solid"/>
            <w10:wrap type="none"/>
          </v:rect>
        </w:pict>
      </w:r>
    </w:p>
    <w:p>
      <w:pPr>
        <w:spacing w:after="0"/>
        <w:rPr>
          <w:sz w:val="2"/>
          <w:szCs w:val="2"/>
        </w:rPr>
        <w:sectPr>
          <w:pgSz w:w="11910" w:h="16840"/>
          <w:pgMar w:top="1480" w:bottom="280" w:left="1380" w:right="6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4"/>
      </w:tblGrid>
      <w:tr>
        <w:trPr>
          <w:trHeight w:val="372" w:hRule="atLeast"/>
        </w:trPr>
        <w:tc>
          <w:tcPr>
            <w:tcW w:w="1790" w:type="dxa"/>
          </w:tcPr>
          <w:p>
            <w:pPr>
              <w:pStyle w:val="TableParagraph"/>
              <w:ind w:left="0"/>
              <w:rPr>
                <w:rFonts w:ascii="Times New Roman"/>
                <w:sz w:val="20"/>
              </w:rPr>
            </w:pPr>
          </w:p>
        </w:tc>
        <w:tc>
          <w:tcPr>
            <w:tcW w:w="7804" w:type="dxa"/>
          </w:tcPr>
          <w:p>
            <w:pPr>
              <w:pStyle w:val="TableParagraph"/>
              <w:spacing w:line="208" w:lineRule="exact"/>
              <w:ind w:left="215"/>
              <w:rPr>
                <w:sz w:val="21"/>
              </w:rPr>
            </w:pPr>
            <w:r>
              <w:rPr>
                <w:sz w:val="21"/>
              </w:rPr>
              <w:t>疗。</w:t>
            </w:r>
          </w:p>
        </w:tc>
      </w:tr>
      <w:tr>
        <w:trPr>
          <w:trHeight w:val="2014" w:hRule="atLeast"/>
        </w:trPr>
        <w:tc>
          <w:tcPr>
            <w:tcW w:w="1790" w:type="dxa"/>
          </w:tcPr>
          <w:p>
            <w:pPr>
              <w:pStyle w:val="TableParagraph"/>
              <w:spacing w:line="182" w:lineRule="auto" w:before="118"/>
              <w:ind w:left="200" w:right="109"/>
              <w:rPr>
                <w:rFonts w:ascii="微软雅黑" w:eastAsia="微软雅黑" w:hint="eastAsia"/>
                <w:b/>
                <w:sz w:val="21"/>
              </w:rPr>
            </w:pPr>
            <w:r>
              <w:rPr>
                <w:rFonts w:ascii="微软雅黑" w:eastAsia="微软雅黑" w:hint="eastAsia"/>
                <w:b/>
                <w:sz w:val="21"/>
              </w:rPr>
              <w:t>45. 严重的系统性硬皮病</w:t>
            </w:r>
          </w:p>
        </w:tc>
        <w:tc>
          <w:tcPr>
            <w:tcW w:w="7804" w:type="dxa"/>
          </w:tcPr>
          <w:p>
            <w:pPr>
              <w:pStyle w:val="TableParagraph"/>
              <w:spacing w:before="2"/>
              <w:ind w:left="0"/>
              <w:rPr>
                <w:sz w:val="15"/>
              </w:rPr>
            </w:pPr>
          </w:p>
          <w:p>
            <w:pPr>
              <w:pStyle w:val="TableParagraph"/>
              <w:spacing w:line="278" w:lineRule="auto" w:before="1"/>
              <w:ind w:left="215" w:right="410"/>
              <w:rPr>
                <w:sz w:val="21"/>
              </w:rPr>
            </w:pPr>
            <w:r>
              <w:rPr>
                <w:sz w:val="21"/>
              </w:rPr>
              <w:t>指一种以局限性或弥漫性皮肤增厚和皮肤、血管、内脏器官异常纤维化为特征的结缔组织病。本病须满足下列至少一项条件：</w:t>
            </w:r>
          </w:p>
          <w:p>
            <w:pPr>
              <w:pStyle w:val="TableParagraph"/>
              <w:spacing w:line="259" w:lineRule="exact"/>
              <w:ind w:left="215"/>
              <w:rPr>
                <w:sz w:val="21"/>
              </w:rPr>
            </w:pPr>
            <w:r>
              <w:rPr>
                <w:sz w:val="21"/>
              </w:rPr>
              <w:t>（1）肺脏：肺部病变进而发展为肺间质纤维化和肺动脉高压；</w:t>
            </w:r>
          </w:p>
          <w:p>
            <w:pPr>
              <w:pStyle w:val="TableParagraph"/>
              <w:spacing w:line="274" w:lineRule="exact"/>
              <w:ind w:left="215"/>
              <w:rPr>
                <w:sz w:val="21"/>
              </w:rPr>
            </w:pPr>
            <w:r>
              <w:rPr>
                <w:sz w:val="21"/>
              </w:rPr>
              <w:t>（2）心脏：心功能受损达到纽约心脏病学会的心功能分级标准之心功能</w:t>
            </w:r>
          </w:p>
          <w:p>
            <w:pPr>
              <w:pStyle w:val="TableParagraph"/>
              <w:spacing w:line="271" w:lineRule="exact"/>
              <w:ind w:left="215"/>
              <w:rPr>
                <w:sz w:val="21"/>
              </w:rPr>
            </w:pPr>
            <w:r>
              <w:rPr>
                <w:sz w:val="21"/>
              </w:rPr>
              <w:t>IV 级；</w:t>
            </w:r>
          </w:p>
          <w:p>
            <w:pPr>
              <w:pStyle w:val="TableParagraph"/>
              <w:spacing w:line="272" w:lineRule="exact"/>
              <w:ind w:left="215"/>
              <w:rPr>
                <w:sz w:val="21"/>
              </w:rPr>
            </w:pPr>
            <w:r>
              <w:rPr>
                <w:sz w:val="21"/>
              </w:rPr>
              <w:t>（3）肾脏：肾脏受损导致双肾功能慢性不可逆衰竭，达到尿毒症期。</w:t>
            </w:r>
          </w:p>
        </w:tc>
      </w:tr>
      <w:tr>
        <w:trPr>
          <w:trHeight w:val="1154" w:hRule="atLeast"/>
        </w:trPr>
        <w:tc>
          <w:tcPr>
            <w:tcW w:w="1790" w:type="dxa"/>
          </w:tcPr>
          <w:p>
            <w:pPr>
              <w:pStyle w:val="TableParagraph"/>
              <w:spacing w:line="180" w:lineRule="auto" w:before="71"/>
              <w:ind w:left="200" w:right="109"/>
              <w:rPr>
                <w:rFonts w:ascii="微软雅黑" w:eastAsia="微软雅黑" w:hint="eastAsia"/>
                <w:b/>
                <w:sz w:val="21"/>
              </w:rPr>
            </w:pPr>
            <w:r>
              <w:rPr>
                <w:rFonts w:ascii="微软雅黑" w:eastAsia="微软雅黑" w:hint="eastAsia"/>
                <w:b/>
                <w:sz w:val="21"/>
              </w:rPr>
              <w:t>46. 丝虫病所致象皮肿</w:t>
            </w:r>
          </w:p>
        </w:tc>
        <w:tc>
          <w:tcPr>
            <w:tcW w:w="7804" w:type="dxa"/>
          </w:tcPr>
          <w:p>
            <w:pPr>
              <w:pStyle w:val="TableParagraph"/>
              <w:spacing w:line="273" w:lineRule="auto" w:before="129"/>
              <w:ind w:left="220" w:right="408"/>
              <w:jc w:val="both"/>
              <w:rPr>
                <w:sz w:val="21"/>
              </w:rPr>
            </w:pPr>
            <w:r>
              <w:rPr>
                <w:sz w:val="21"/>
              </w:rPr>
              <w:t>指因丝虫感染导致淋巴阻塞性出现严重淋巴水肿，达到国际淋巴学会淋巴肿分期第 III 期，临床表现为肢体象皮肿，患肢较健肢增粗30%以上，日常生活不能自理。此病症须经专科医生根据临床表现和微丝蚴的化验结果确诊。</w:t>
            </w:r>
          </w:p>
        </w:tc>
      </w:tr>
      <w:tr>
        <w:trPr>
          <w:trHeight w:val="1133" w:hRule="atLeast"/>
        </w:trPr>
        <w:tc>
          <w:tcPr>
            <w:tcW w:w="1790" w:type="dxa"/>
          </w:tcPr>
          <w:p>
            <w:pPr>
              <w:pStyle w:val="TableParagraph"/>
              <w:tabs>
                <w:tab w:pos="728" w:val="left" w:leader="none"/>
              </w:tabs>
              <w:spacing w:line="355" w:lineRule="exact"/>
              <w:ind w:left="200"/>
              <w:rPr>
                <w:rFonts w:ascii="微软雅黑" w:eastAsia="微软雅黑" w:hint="eastAsia"/>
                <w:b/>
                <w:sz w:val="21"/>
              </w:rPr>
            </w:pPr>
            <w:r>
              <w:rPr>
                <w:rFonts w:ascii="微软雅黑" w:eastAsia="微软雅黑" w:hint="eastAsia"/>
                <w:b/>
                <w:sz w:val="21"/>
              </w:rPr>
              <w:t>47.</w:t>
              <w:tab/>
              <w:t>胰腺移植</w:t>
            </w:r>
          </w:p>
        </w:tc>
        <w:tc>
          <w:tcPr>
            <w:tcW w:w="7804" w:type="dxa"/>
          </w:tcPr>
          <w:p>
            <w:pPr>
              <w:pStyle w:val="TableParagraph"/>
              <w:spacing w:before="170"/>
              <w:ind w:left="215" w:right="655"/>
              <w:rPr>
                <w:sz w:val="21"/>
              </w:rPr>
            </w:pPr>
            <w:r>
              <w:rPr>
                <w:sz w:val="21"/>
              </w:rPr>
              <w:t>指因胰腺功能衰竭，已经实施了在全身麻醉下进行的胰腺的异体器官移植手术。</w:t>
            </w:r>
          </w:p>
          <w:p>
            <w:pPr>
              <w:pStyle w:val="TableParagraph"/>
              <w:spacing w:before="13"/>
              <w:ind w:left="110"/>
              <w:rPr>
                <w:sz w:val="21"/>
              </w:rPr>
            </w:pPr>
            <w:r>
              <w:rPr>
                <w:sz w:val="21"/>
                <w:shd w:fill="D9D9D9" w:color="auto" w:val="clear"/>
              </w:rPr>
              <w:t>单纯胰岛移植、部分胰腺组织或细胞的移植不在保障范围内。</w:t>
            </w:r>
          </w:p>
        </w:tc>
      </w:tr>
      <w:tr>
        <w:trPr>
          <w:trHeight w:val="1132" w:hRule="atLeast"/>
        </w:trPr>
        <w:tc>
          <w:tcPr>
            <w:tcW w:w="1790" w:type="dxa"/>
          </w:tcPr>
          <w:p>
            <w:pPr>
              <w:pStyle w:val="TableParagraph"/>
              <w:spacing w:line="180" w:lineRule="auto" w:before="83"/>
              <w:ind w:left="200" w:right="109"/>
              <w:rPr>
                <w:rFonts w:ascii="微软雅黑" w:eastAsia="微软雅黑" w:hint="eastAsia"/>
                <w:b/>
                <w:sz w:val="21"/>
              </w:rPr>
            </w:pPr>
            <w:r>
              <w:rPr>
                <w:rFonts w:ascii="微软雅黑" w:eastAsia="微软雅黑" w:hint="eastAsia"/>
                <w:b/>
                <w:sz w:val="21"/>
              </w:rPr>
              <w:t>48. 急性坏死胰腺炎开腹手术</w:t>
            </w:r>
          </w:p>
        </w:tc>
        <w:tc>
          <w:tcPr>
            <w:tcW w:w="7804" w:type="dxa"/>
          </w:tcPr>
          <w:p>
            <w:pPr>
              <w:pStyle w:val="TableParagraph"/>
              <w:spacing w:before="10"/>
              <w:ind w:left="0"/>
              <w:rPr>
                <w:sz w:val="13"/>
              </w:rPr>
            </w:pPr>
          </w:p>
          <w:p>
            <w:pPr>
              <w:pStyle w:val="TableParagraph"/>
              <w:spacing w:line="235" w:lineRule="auto"/>
              <w:ind w:left="215" w:right="444"/>
              <w:rPr>
                <w:sz w:val="21"/>
              </w:rPr>
            </w:pPr>
            <w:r>
              <w:rPr>
                <w:sz w:val="21"/>
              </w:rPr>
              <w:t>指为治疗急性坏死性胰腺炎，实际实施了开腹进行的坏死组织清除术、病灶切除术或胰腺部分切除术。</w:t>
            </w:r>
          </w:p>
          <w:p>
            <w:pPr>
              <w:pStyle w:val="TableParagraph"/>
              <w:spacing w:before="12"/>
              <w:ind w:left="110"/>
              <w:rPr>
                <w:sz w:val="21"/>
              </w:rPr>
            </w:pPr>
            <w:r>
              <w:rPr>
                <w:sz w:val="21"/>
                <w:shd w:fill="D9D9D9" w:color="auto" w:val="clear"/>
              </w:rPr>
              <w:t>因酒精作用所致的急性胰腺炎或经腹腔镜手术进行的治疗不在保障范围内。</w:t>
            </w:r>
          </w:p>
        </w:tc>
      </w:tr>
      <w:tr>
        <w:trPr>
          <w:trHeight w:val="2549" w:hRule="atLeast"/>
        </w:trPr>
        <w:tc>
          <w:tcPr>
            <w:tcW w:w="1790" w:type="dxa"/>
          </w:tcPr>
          <w:p>
            <w:pPr>
              <w:pStyle w:val="TableParagraph"/>
              <w:spacing w:line="180" w:lineRule="auto" w:before="83"/>
              <w:ind w:left="200" w:right="109"/>
              <w:rPr>
                <w:rFonts w:ascii="微软雅黑" w:eastAsia="微软雅黑" w:hint="eastAsia"/>
                <w:b/>
                <w:sz w:val="21"/>
              </w:rPr>
            </w:pPr>
            <w:r>
              <w:rPr>
                <w:rFonts w:ascii="微软雅黑" w:eastAsia="微软雅黑" w:hint="eastAsia"/>
                <w:b/>
                <w:sz w:val="21"/>
              </w:rPr>
              <w:t>49. 慢性复发性胰腺炎</w:t>
            </w:r>
          </w:p>
        </w:tc>
        <w:tc>
          <w:tcPr>
            <w:tcW w:w="7804" w:type="dxa"/>
          </w:tcPr>
          <w:p>
            <w:pPr>
              <w:pStyle w:val="TableParagraph"/>
              <w:ind w:left="0"/>
              <w:rPr>
                <w:sz w:val="20"/>
              </w:rPr>
            </w:pPr>
          </w:p>
          <w:p>
            <w:pPr>
              <w:pStyle w:val="TableParagraph"/>
              <w:spacing w:line="273" w:lineRule="auto" w:before="144"/>
              <w:ind w:left="215" w:right="410"/>
              <w:jc w:val="both"/>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13"/>
              <w:ind w:left="743" w:right="230" w:hanging="528"/>
              <w:rPr>
                <w:sz w:val="21"/>
              </w:rPr>
            </w:pPr>
            <w:r>
              <w:rPr>
                <w:sz w:val="21"/>
              </w:rPr>
              <w:t>（1）CT 显示胰腺广泛钙化或逆行胰胆管造影（ERCP）显示胰管扭曲、扩张和狭窄；</w:t>
            </w:r>
          </w:p>
          <w:p>
            <w:pPr>
              <w:pStyle w:val="TableParagraph"/>
              <w:spacing w:line="245" w:lineRule="exact"/>
              <w:ind w:left="215"/>
              <w:jc w:val="both"/>
              <w:rPr>
                <w:sz w:val="21"/>
              </w:rPr>
            </w:pPr>
            <w:r>
              <w:rPr>
                <w:sz w:val="21"/>
              </w:rPr>
              <w:t>（2）接受胰岛素替代治疗和酶替代治疗180天以上。</w:t>
            </w:r>
          </w:p>
          <w:p>
            <w:pPr>
              <w:pStyle w:val="TableParagraph"/>
              <w:spacing w:before="8"/>
              <w:ind w:left="110"/>
              <w:rPr>
                <w:sz w:val="21"/>
              </w:rPr>
            </w:pPr>
            <w:r>
              <w:rPr>
                <w:sz w:val="21"/>
                <w:shd w:fill="D9D9D9" w:color="auto" w:val="clear"/>
              </w:rPr>
              <w:t>酒精导致的慢性复发性胰腺炎不在保障范围内。</w:t>
            </w:r>
          </w:p>
        </w:tc>
      </w:tr>
      <w:tr>
        <w:trPr>
          <w:trHeight w:val="1735" w:hRule="atLeast"/>
        </w:trPr>
        <w:tc>
          <w:tcPr>
            <w:tcW w:w="1790" w:type="dxa"/>
          </w:tcPr>
          <w:p>
            <w:pPr>
              <w:pStyle w:val="TableParagraph"/>
              <w:tabs>
                <w:tab w:pos="728" w:val="left" w:leader="none"/>
              </w:tabs>
              <w:spacing w:line="180" w:lineRule="auto" w:before="83"/>
              <w:ind w:left="200" w:right="214"/>
              <w:rPr>
                <w:rFonts w:ascii="微软雅黑" w:eastAsia="微软雅黑" w:hint="eastAsia"/>
                <w:b/>
                <w:sz w:val="21"/>
              </w:rPr>
            </w:pPr>
            <w:r>
              <w:rPr>
                <w:rFonts w:ascii="微软雅黑" w:eastAsia="微软雅黑" w:hint="eastAsia"/>
                <w:b/>
                <w:sz w:val="21"/>
              </w:rPr>
              <w:t>50.</w:t>
              <w:tab/>
              <w:t>坏死性筋 膜炎</w:t>
            </w:r>
          </w:p>
        </w:tc>
        <w:tc>
          <w:tcPr>
            <w:tcW w:w="7804" w:type="dxa"/>
          </w:tcPr>
          <w:p>
            <w:pPr>
              <w:pStyle w:val="TableParagraph"/>
              <w:spacing w:before="84"/>
              <w:ind w:left="215"/>
              <w:rPr>
                <w:sz w:val="21"/>
              </w:rPr>
            </w:pPr>
            <w:r>
              <w:rPr>
                <w:sz w:val="21"/>
              </w:rPr>
              <w:t>需符合下列所有条件：</w:t>
            </w:r>
          </w:p>
          <w:p>
            <w:pPr>
              <w:pStyle w:val="TableParagraph"/>
              <w:spacing w:before="38"/>
              <w:ind w:left="215"/>
              <w:rPr>
                <w:sz w:val="21"/>
              </w:rPr>
            </w:pPr>
            <w:r>
              <w:rPr>
                <w:sz w:val="21"/>
              </w:rPr>
              <w:t>(a)符合坏死性筋膜炎的常规临床诊断标准；</w:t>
            </w:r>
          </w:p>
          <w:p>
            <w:pPr>
              <w:pStyle w:val="TableParagraph"/>
              <w:spacing w:before="37"/>
              <w:ind w:left="215"/>
              <w:rPr>
                <w:sz w:val="21"/>
              </w:rPr>
            </w:pPr>
            <w:r>
              <w:rPr>
                <w:sz w:val="21"/>
              </w:rPr>
              <w:t>(b)确认能够导致坏死性筋膜炎的致病菌；</w:t>
            </w:r>
          </w:p>
          <w:p>
            <w:pPr>
              <w:pStyle w:val="TableParagraph"/>
              <w:spacing w:line="261" w:lineRule="auto" w:before="30"/>
              <w:ind w:left="110" w:right="199" w:firstLine="105"/>
              <w:rPr>
                <w:rFonts w:ascii="等线" w:eastAsia="等线" w:hint="eastAsia"/>
                <w:sz w:val="21"/>
              </w:rPr>
            </w:pPr>
            <w:r>
              <w:rPr>
                <w:rFonts w:ascii="等线" w:eastAsia="等线" w:hint="eastAsia"/>
                <w:sz w:val="21"/>
              </w:rPr>
              <w:t>(c)肌肉及其他软件组织被大面积破坏，并导致受影响部位的身体机能永久完全丧失。</w:t>
            </w:r>
          </w:p>
        </w:tc>
      </w:tr>
      <w:tr>
        <w:trPr>
          <w:trHeight w:val="1646" w:hRule="atLeast"/>
        </w:trPr>
        <w:tc>
          <w:tcPr>
            <w:tcW w:w="1790" w:type="dxa"/>
          </w:tcPr>
          <w:p>
            <w:pPr>
              <w:pStyle w:val="TableParagraph"/>
              <w:spacing w:line="182" w:lineRule="auto" w:before="77"/>
              <w:ind w:left="200" w:right="109"/>
              <w:rPr>
                <w:rFonts w:ascii="微软雅黑" w:eastAsia="微软雅黑" w:hint="eastAsia"/>
                <w:b/>
                <w:sz w:val="21"/>
              </w:rPr>
            </w:pPr>
            <w:r>
              <w:rPr>
                <w:rFonts w:ascii="微软雅黑" w:eastAsia="微软雅黑" w:hint="eastAsia"/>
                <w:b/>
                <w:sz w:val="21"/>
              </w:rPr>
              <w:t>51. 肾髓质囊性病</w:t>
            </w:r>
          </w:p>
        </w:tc>
        <w:tc>
          <w:tcPr>
            <w:tcW w:w="7804" w:type="dxa"/>
          </w:tcPr>
          <w:p>
            <w:pPr>
              <w:pStyle w:val="TableParagraph"/>
              <w:spacing w:line="272" w:lineRule="exact" w:before="144"/>
              <w:rPr>
                <w:sz w:val="21"/>
              </w:rPr>
            </w:pPr>
            <w:r>
              <w:rPr>
                <w:sz w:val="21"/>
              </w:rPr>
              <w:t>肾髓质囊性病的诊断须同时符合下列要求：</w:t>
            </w:r>
          </w:p>
          <w:p>
            <w:pPr>
              <w:pStyle w:val="TableParagraph"/>
              <w:spacing w:line="269" w:lineRule="exact"/>
              <w:rPr>
                <w:sz w:val="21"/>
              </w:rPr>
            </w:pPr>
            <w:r>
              <w:rPr>
                <w:sz w:val="21"/>
              </w:rPr>
              <w:t>（1）肾髓质有囊肿、肾小管萎缩及间质纤维化等病理改变；</w:t>
            </w:r>
          </w:p>
          <w:p>
            <w:pPr>
              <w:pStyle w:val="TableParagraph"/>
              <w:spacing w:line="271" w:lineRule="exact"/>
              <w:rPr>
                <w:sz w:val="21"/>
              </w:rPr>
            </w:pPr>
            <w:r>
              <w:rPr>
                <w:sz w:val="21"/>
              </w:rPr>
              <w:t>（2）肾功能衰竭；</w:t>
            </w:r>
          </w:p>
          <w:p>
            <w:pPr>
              <w:pStyle w:val="TableParagraph"/>
              <w:spacing w:line="252" w:lineRule="auto"/>
              <w:ind w:left="110" w:right="4270" w:firstLine="144"/>
              <w:rPr>
                <w:sz w:val="21"/>
              </w:rPr>
            </w:pPr>
            <w:r>
              <w:rPr>
                <w:sz w:val="21"/>
              </w:rPr>
              <w:t>（3）诊断须由肾组织活检确定。</w:t>
            </w:r>
            <w:r>
              <w:rPr>
                <w:sz w:val="21"/>
                <w:shd w:fill="D9D9D9" w:color="auto" w:val="clear"/>
              </w:rPr>
              <w:t>单独或良性肾囊肿不在保障范围内。</w:t>
            </w:r>
          </w:p>
        </w:tc>
      </w:tr>
      <w:tr>
        <w:trPr>
          <w:trHeight w:val="1992" w:hRule="atLeast"/>
        </w:trPr>
        <w:tc>
          <w:tcPr>
            <w:tcW w:w="1790" w:type="dxa"/>
          </w:tcPr>
          <w:p>
            <w:pPr>
              <w:pStyle w:val="TableParagraph"/>
              <w:spacing w:line="177" w:lineRule="auto" w:before="89"/>
              <w:ind w:left="200" w:right="109"/>
              <w:rPr>
                <w:rFonts w:ascii="微软雅黑" w:eastAsia="微软雅黑" w:hint="eastAsia"/>
                <w:b/>
                <w:sz w:val="21"/>
              </w:rPr>
            </w:pPr>
            <w:r>
              <w:rPr>
                <w:rFonts w:ascii="微软雅黑" w:eastAsia="微软雅黑" w:hint="eastAsia"/>
                <w:b/>
                <w:sz w:val="21"/>
              </w:rPr>
              <w:t>52. 严重原发性硬化性胆管炎</w:t>
            </w:r>
          </w:p>
        </w:tc>
        <w:tc>
          <w:tcPr>
            <w:tcW w:w="7804" w:type="dxa"/>
          </w:tcPr>
          <w:p>
            <w:pPr>
              <w:pStyle w:val="TableParagraph"/>
              <w:spacing w:before="1"/>
              <w:ind w:left="0"/>
              <w:rPr>
                <w:sz w:val="19"/>
              </w:rPr>
            </w:pPr>
          </w:p>
          <w:p>
            <w:pPr>
              <w:pStyle w:val="TableParagraph"/>
              <w:spacing w:line="266" w:lineRule="auto"/>
              <w:ind w:right="397"/>
              <w:jc w:val="both"/>
              <w:rPr>
                <w:sz w:val="21"/>
              </w:rPr>
            </w:pPr>
            <w:r>
              <w:rPr>
                <w:sz w:val="21"/>
              </w:rPr>
              <w:t>严重原发性硬化性胆管炎指一种胆汁淤积综合征，其特征是肝内、肝外胆道因非细菌性炎症、慢性纤维化逐渐狭窄，并最终导致完全阻塞而发展为胆汁</w:t>
            </w:r>
            <w:r>
              <w:rPr>
                <w:sz w:val="22"/>
              </w:rPr>
              <w:t>淤</w:t>
            </w:r>
            <w:r>
              <w:rPr>
                <w:sz w:val="21"/>
              </w:rPr>
              <w:t>积性肝硬化。须满足下列全部条件：</w:t>
            </w:r>
          </w:p>
          <w:p>
            <w:pPr>
              <w:pStyle w:val="TableParagraph"/>
              <w:spacing w:line="269" w:lineRule="exact"/>
              <w:jc w:val="both"/>
              <w:rPr>
                <w:sz w:val="21"/>
              </w:rPr>
            </w:pPr>
            <w:r>
              <w:rPr>
                <w:sz w:val="21"/>
              </w:rPr>
              <w:t>（1）持续性黄疸病史；</w:t>
            </w:r>
          </w:p>
          <w:p>
            <w:pPr>
              <w:pStyle w:val="TableParagraph"/>
              <w:spacing w:line="274" w:lineRule="exact"/>
              <w:jc w:val="both"/>
              <w:rPr>
                <w:sz w:val="21"/>
              </w:rPr>
            </w:pPr>
            <w:r>
              <w:rPr>
                <w:sz w:val="21"/>
              </w:rPr>
              <w:t>（2）总胆红素和直接胆红素同时升高，血清 ALP&gt;200U/L；</w:t>
            </w:r>
          </w:p>
          <w:p>
            <w:pPr>
              <w:pStyle w:val="TableParagraph"/>
              <w:spacing w:line="258" w:lineRule="exact"/>
              <w:jc w:val="both"/>
              <w:rPr>
                <w:sz w:val="21"/>
              </w:rPr>
            </w:pPr>
            <w:r>
              <w:rPr>
                <w:sz w:val="21"/>
              </w:rPr>
              <w:t>（3）经内镜逆行胰胆管造影（ERCP）影像学检查确诊；</w:t>
            </w:r>
          </w:p>
        </w:tc>
      </w:tr>
    </w:tbl>
    <w:p>
      <w:pPr>
        <w:spacing w:after="0" w:line="258" w:lineRule="exact"/>
        <w:jc w:val="both"/>
        <w:rPr>
          <w:sz w:val="21"/>
        </w:rPr>
        <w:sectPr>
          <w:pgSz w:w="11910" w:h="16840"/>
          <w:pgMar w:top="146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4"/>
      </w:tblGrid>
      <w:tr>
        <w:trPr>
          <w:trHeight w:val="621" w:hRule="atLeast"/>
        </w:trPr>
        <w:tc>
          <w:tcPr>
            <w:tcW w:w="1790" w:type="dxa"/>
          </w:tcPr>
          <w:p>
            <w:pPr>
              <w:pStyle w:val="TableParagraph"/>
              <w:ind w:left="0"/>
              <w:rPr>
                <w:rFonts w:ascii="Times New Roman"/>
                <w:sz w:val="20"/>
              </w:rPr>
            </w:pPr>
          </w:p>
        </w:tc>
        <w:tc>
          <w:tcPr>
            <w:tcW w:w="7804" w:type="dxa"/>
          </w:tcPr>
          <w:p>
            <w:pPr>
              <w:pStyle w:val="TableParagraph"/>
              <w:spacing w:line="208" w:lineRule="exact"/>
              <w:rPr>
                <w:sz w:val="21"/>
              </w:rPr>
            </w:pPr>
            <w:r>
              <w:rPr>
                <w:sz w:val="21"/>
              </w:rPr>
              <w:t>（4）出现胆汁淤积性肝硬化或门脉高压。</w:t>
            </w:r>
          </w:p>
          <w:p>
            <w:pPr>
              <w:pStyle w:val="TableParagraph"/>
              <w:spacing w:before="13"/>
              <w:ind w:left="110"/>
              <w:rPr>
                <w:sz w:val="21"/>
              </w:rPr>
            </w:pPr>
            <w:r>
              <w:rPr>
                <w:sz w:val="21"/>
                <w:shd w:fill="D9D9D9" w:color="auto" w:val="clear"/>
              </w:rPr>
              <w:t>因肿瘤或胆管损伤等继发性的硬化性胆管炎不在保障范围内。</w:t>
            </w:r>
          </w:p>
        </w:tc>
      </w:tr>
      <w:tr>
        <w:trPr>
          <w:trHeight w:val="2237" w:hRule="atLeast"/>
        </w:trPr>
        <w:tc>
          <w:tcPr>
            <w:tcW w:w="1790" w:type="dxa"/>
          </w:tcPr>
          <w:p>
            <w:pPr>
              <w:pStyle w:val="TableParagraph"/>
              <w:spacing w:line="180" w:lineRule="auto" w:before="83"/>
              <w:ind w:left="200" w:right="109"/>
              <w:jc w:val="both"/>
              <w:rPr>
                <w:rFonts w:ascii="微软雅黑" w:eastAsia="微软雅黑" w:hint="eastAsia"/>
                <w:b/>
                <w:sz w:val="21"/>
              </w:rPr>
            </w:pPr>
            <w:r>
              <w:rPr>
                <w:rFonts w:ascii="微软雅黑" w:eastAsia="微软雅黑" w:hint="eastAsia"/>
                <w:b/>
                <w:sz w:val="21"/>
              </w:rPr>
              <w:t>53. 特发性慢性肾上腺皮质功能减退</w:t>
            </w:r>
          </w:p>
        </w:tc>
        <w:tc>
          <w:tcPr>
            <w:tcW w:w="7804" w:type="dxa"/>
            <w:vMerge w:val="restart"/>
          </w:tcPr>
          <w:p>
            <w:pPr>
              <w:pStyle w:val="TableParagraph"/>
              <w:spacing w:line="273" w:lineRule="auto" w:before="156"/>
              <w:ind w:right="405"/>
              <w:rPr>
                <w:sz w:val="21"/>
              </w:rPr>
            </w:pPr>
            <w:r>
              <w:rPr>
                <w:sz w:val="21"/>
              </w:rPr>
              <w:t>指自身免疫性肾上腺炎（既往称：特发性肾上腺皮质萎缩）导致肾上腺萎缩和慢性肾上腺皮质功能减退。必须满足所有以下条件：</w:t>
            </w:r>
          </w:p>
          <w:p>
            <w:pPr>
              <w:pStyle w:val="TableParagraph"/>
              <w:spacing w:line="263" w:lineRule="exact"/>
              <w:rPr>
                <w:sz w:val="21"/>
              </w:rPr>
            </w:pPr>
            <w:r>
              <w:rPr>
                <w:sz w:val="21"/>
              </w:rPr>
              <w:t>（1）必须由专科医生明确诊断，符合所有以下诊断标准：</w:t>
            </w:r>
          </w:p>
          <w:p>
            <w:pPr>
              <w:pStyle w:val="TableParagraph"/>
              <w:spacing w:before="4"/>
              <w:ind w:left="782"/>
              <w:rPr>
                <w:sz w:val="21"/>
              </w:rPr>
            </w:pPr>
            <w:r>
              <w:rPr>
                <w:sz w:val="21"/>
              </w:rPr>
              <w:t>①血浆促肾上腺皮质激素（ACTH）水平测定&gt;100pg/ml；</w:t>
            </w:r>
          </w:p>
          <w:p>
            <w:pPr>
              <w:pStyle w:val="TableParagraph"/>
              <w:spacing w:line="273" w:lineRule="auto" w:before="13"/>
              <w:ind w:left="993" w:right="505" w:hanging="212"/>
              <w:rPr>
                <w:sz w:val="21"/>
              </w:rPr>
            </w:pPr>
            <w:r>
              <w:rPr>
                <w:sz w:val="21"/>
              </w:rPr>
              <w:t>②血浆肾素活性、血管紧张素II和醛固酮测定，显示为原发性肾上腺皮质功能减退症；</w:t>
            </w:r>
          </w:p>
          <w:p>
            <w:pPr>
              <w:pStyle w:val="TableParagraph"/>
              <w:spacing w:before="17"/>
              <w:ind w:left="993" w:right="505" w:hanging="212"/>
              <w:rPr>
                <w:sz w:val="21"/>
              </w:rPr>
            </w:pPr>
            <w:r>
              <w:rPr>
                <w:sz w:val="21"/>
              </w:rPr>
              <w:t>③促肾上腺皮质激素（ACTH）刺激试验显示为原发性肾上腺皮质功能减退症。</w:t>
            </w:r>
          </w:p>
          <w:p>
            <w:pPr>
              <w:pStyle w:val="TableParagraph"/>
              <w:spacing w:line="245" w:lineRule="exact"/>
              <w:rPr>
                <w:sz w:val="21"/>
              </w:rPr>
            </w:pPr>
            <w:r>
              <w:rPr>
                <w:sz w:val="21"/>
              </w:rPr>
              <w:t>（2）已经采用皮质类固醇替代治疗180天以上。</w:t>
            </w:r>
          </w:p>
          <w:p>
            <w:pPr>
              <w:pStyle w:val="TableParagraph"/>
              <w:spacing w:line="273" w:lineRule="auto" w:before="8"/>
              <w:ind w:left="110" w:right="126"/>
              <w:rPr>
                <w:sz w:val="21"/>
              </w:rPr>
            </w:pPr>
            <w:r>
              <w:rPr>
                <w:sz w:val="21"/>
                <w:shd w:fill="D9D9D9" w:color="auto" w:val="clear"/>
              </w:rPr>
              <w:t>肾上腺结核、HIV 感染或艾滋病、感染、肿瘤所致的原发性肾上腺皮质功能减退和继发性肾上腺皮质功能减退不在保障范围内。</w:t>
            </w:r>
          </w:p>
          <w:p>
            <w:pPr>
              <w:pStyle w:val="TableParagraph"/>
              <w:spacing w:before="11"/>
              <w:ind w:left="0"/>
              <w:rPr>
                <w:sz w:val="17"/>
              </w:rPr>
            </w:pPr>
          </w:p>
          <w:p>
            <w:pPr>
              <w:pStyle w:val="TableParagraph"/>
              <w:spacing w:line="273" w:lineRule="auto"/>
              <w:ind w:left="220" w:right="408"/>
              <w:jc w:val="both"/>
              <w:rPr>
                <w:sz w:val="21"/>
              </w:rPr>
            </w:pPr>
            <w:r>
              <w:rPr>
                <w:spacing w:val="-2"/>
                <w:sz w:val="21"/>
              </w:rPr>
              <w:t>包围肢体或躯干的浅筋膜和</w:t>
            </w:r>
            <w:r>
              <w:rPr>
                <w:sz w:val="21"/>
              </w:rPr>
              <w:t>/</w:t>
            </w:r>
            <w:r>
              <w:rPr>
                <w:spacing w:val="-10"/>
                <w:sz w:val="21"/>
              </w:rPr>
              <w:t>或深筋膜受到溶血性链球菌的感染，病情在短时间内急剧恶化，必须立刻进行手术及清创术。</w:t>
            </w:r>
            <w:r>
              <w:rPr>
                <w:spacing w:val="-2"/>
                <w:sz w:val="21"/>
                <w:shd w:fill="D9D9D9" w:color="auto" w:val="clear"/>
              </w:rPr>
              <w:t>最后的诊断必须由微生物或病理学</w:t>
            </w:r>
            <w:r>
              <w:rPr>
                <w:spacing w:val="-212"/>
                <w:sz w:val="21"/>
                <w:shd w:fill="D9D9D9" w:color="auto" w:val="clear"/>
              </w:rPr>
              <w:t>专</w:t>
            </w:r>
            <w:r>
              <w:rPr>
                <w:spacing w:val="-3"/>
                <w:sz w:val="21"/>
                <w:shd w:fill="D9D9D9" w:color="auto" w:val="clear"/>
              </w:rPr>
              <w:t>家进行相关检查后证实。</w:t>
            </w:r>
          </w:p>
        </w:tc>
      </w:tr>
      <w:tr>
        <w:trPr>
          <w:trHeight w:val="2400" w:hRule="atLeast"/>
        </w:trPr>
        <w:tc>
          <w:tcPr>
            <w:tcW w:w="1790"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21"/>
              </w:rPr>
            </w:pPr>
          </w:p>
          <w:p>
            <w:pPr>
              <w:pStyle w:val="TableParagraph"/>
              <w:spacing w:line="177" w:lineRule="auto"/>
              <w:ind w:left="200" w:right="109"/>
              <w:rPr>
                <w:rFonts w:ascii="微软雅黑" w:eastAsia="微软雅黑" w:hint="eastAsia"/>
                <w:b/>
                <w:sz w:val="21"/>
              </w:rPr>
            </w:pPr>
            <w:r>
              <w:rPr>
                <w:rFonts w:ascii="微软雅黑" w:eastAsia="微软雅黑" w:hint="eastAsia"/>
                <w:b/>
                <w:sz w:val="21"/>
              </w:rPr>
              <w:t>54. 溶血性链球菌引起的坏</w:t>
            </w:r>
          </w:p>
        </w:tc>
        <w:tc>
          <w:tcPr>
            <w:tcW w:w="7804" w:type="dxa"/>
            <w:vMerge/>
            <w:tcBorders>
              <w:top w:val="nil"/>
            </w:tcBorders>
          </w:tcPr>
          <w:p>
            <w:pPr>
              <w:rPr>
                <w:sz w:val="2"/>
                <w:szCs w:val="2"/>
              </w:rPr>
            </w:pPr>
          </w:p>
        </w:tc>
      </w:tr>
      <w:tr>
        <w:trPr>
          <w:trHeight w:val="326" w:hRule="atLeast"/>
        </w:trPr>
        <w:tc>
          <w:tcPr>
            <w:tcW w:w="1790" w:type="dxa"/>
          </w:tcPr>
          <w:p>
            <w:pPr>
              <w:pStyle w:val="TableParagraph"/>
              <w:tabs>
                <w:tab w:pos="728" w:val="left" w:leader="none"/>
              </w:tabs>
              <w:spacing w:line="307" w:lineRule="exact"/>
              <w:ind w:left="200"/>
              <w:rPr>
                <w:rFonts w:ascii="微软雅黑" w:eastAsia="微软雅黑" w:hint="eastAsia"/>
                <w:b/>
                <w:sz w:val="21"/>
              </w:rPr>
            </w:pPr>
            <w:r>
              <w:rPr>
                <w:rFonts w:ascii="微软雅黑" w:eastAsia="微软雅黑" w:hint="eastAsia"/>
                <w:b/>
                <w:sz w:val="21"/>
              </w:rPr>
              <w:t>55.</w:t>
              <w:tab/>
              <w:t>颅脑手术</w:t>
            </w:r>
          </w:p>
        </w:tc>
        <w:tc>
          <w:tcPr>
            <w:tcW w:w="7804" w:type="dxa"/>
          </w:tcPr>
          <w:p>
            <w:pPr>
              <w:pStyle w:val="TableParagraph"/>
              <w:ind w:left="0"/>
              <w:rPr>
                <w:rFonts w:ascii="Times New Roman"/>
                <w:sz w:val="20"/>
              </w:rPr>
            </w:pPr>
          </w:p>
        </w:tc>
      </w:tr>
      <w:tr>
        <w:trPr>
          <w:trHeight w:val="1262" w:hRule="atLeast"/>
        </w:trPr>
        <w:tc>
          <w:tcPr>
            <w:tcW w:w="1790" w:type="dxa"/>
          </w:tcPr>
          <w:p>
            <w:pPr>
              <w:pStyle w:val="TableParagraph"/>
              <w:ind w:left="0"/>
              <w:rPr>
                <w:rFonts w:ascii="Times New Roman"/>
                <w:sz w:val="20"/>
              </w:rPr>
            </w:pPr>
          </w:p>
        </w:tc>
        <w:tc>
          <w:tcPr>
            <w:tcW w:w="7804" w:type="dxa"/>
          </w:tcPr>
          <w:p>
            <w:pPr>
              <w:pStyle w:val="TableParagraph"/>
              <w:spacing w:line="201" w:lineRule="exact"/>
              <w:rPr>
                <w:sz w:val="21"/>
              </w:rPr>
            </w:pPr>
            <w:r>
              <w:rPr>
                <w:sz w:val="21"/>
              </w:rPr>
              <w:t>被保险人确已实施全麻下的开颅手术（不包括颅骨钻孔手术和经鼻蝶窦入颅</w:t>
            </w:r>
          </w:p>
          <w:p>
            <w:pPr>
              <w:pStyle w:val="TableParagraph"/>
              <w:spacing w:before="37"/>
              <w:rPr>
                <w:sz w:val="21"/>
              </w:rPr>
            </w:pPr>
            <w:r>
              <w:rPr>
                <w:spacing w:val="-3"/>
                <w:sz w:val="21"/>
              </w:rPr>
              <w:t>手术</w:t>
            </w:r>
            <w:r>
              <w:rPr>
                <w:spacing w:val="-212"/>
                <w:sz w:val="21"/>
              </w:rPr>
              <w:t>）</w:t>
            </w:r>
            <w:r>
              <w:rPr>
                <w:sz w:val="21"/>
              </w:rPr>
              <w:t>。</w:t>
            </w:r>
          </w:p>
          <w:p>
            <w:pPr>
              <w:pStyle w:val="TableParagraph"/>
              <w:spacing w:before="37"/>
              <w:ind w:left="110"/>
              <w:rPr>
                <w:sz w:val="21"/>
              </w:rPr>
            </w:pPr>
            <w:r>
              <w:rPr>
                <w:sz w:val="21"/>
                <w:shd w:fill="D9D9D9" w:color="auto" w:val="clear"/>
              </w:rPr>
              <w:t>因外伤而实施的脑外科手术不在保障范围内。</w:t>
            </w:r>
          </w:p>
          <w:p>
            <w:pPr>
              <w:pStyle w:val="TableParagraph"/>
              <w:spacing w:before="37"/>
              <w:ind w:left="110"/>
              <w:rPr>
                <w:sz w:val="21"/>
              </w:rPr>
            </w:pPr>
            <w:r>
              <w:rPr>
                <w:sz w:val="21"/>
                <w:shd w:fill="D9D9D9" w:color="auto" w:val="clear"/>
              </w:rPr>
              <w:t>理赔时必须提供由神经外科医生出具的诊断书及手术报告。</w:t>
            </w:r>
          </w:p>
        </w:tc>
      </w:tr>
      <w:tr>
        <w:trPr>
          <w:trHeight w:val="3258" w:hRule="atLeast"/>
        </w:trPr>
        <w:tc>
          <w:tcPr>
            <w:tcW w:w="1790" w:type="dxa"/>
          </w:tcPr>
          <w:p>
            <w:pPr>
              <w:pStyle w:val="TableParagraph"/>
              <w:spacing w:line="180" w:lineRule="auto" w:before="83"/>
              <w:ind w:left="200" w:right="109"/>
              <w:jc w:val="both"/>
              <w:rPr>
                <w:rFonts w:ascii="微软雅黑" w:eastAsia="微软雅黑" w:hint="eastAsia"/>
                <w:b/>
                <w:sz w:val="21"/>
              </w:rPr>
            </w:pPr>
            <w:r>
              <w:rPr>
                <w:rFonts w:ascii="微软雅黑" w:eastAsia="微软雅黑" w:hint="eastAsia"/>
                <w:b/>
                <w:sz w:val="21"/>
              </w:rPr>
              <w:t>56. 因器官移植感染人类免疫缺</w:t>
            </w:r>
            <w:r>
              <w:rPr>
                <w:rFonts w:ascii="微软雅黑" w:eastAsia="微软雅黑" w:hint="eastAsia"/>
                <w:b/>
                <w:w w:val="95"/>
                <w:sz w:val="21"/>
              </w:rPr>
              <w:t>陷病毒（HIV）</w:t>
            </w:r>
          </w:p>
        </w:tc>
        <w:tc>
          <w:tcPr>
            <w:tcW w:w="7804" w:type="dxa"/>
          </w:tcPr>
          <w:p>
            <w:pPr>
              <w:pStyle w:val="TableParagraph"/>
              <w:spacing w:before="1"/>
              <w:ind w:left="0"/>
              <w:rPr>
                <w:sz w:val="18"/>
              </w:rPr>
            </w:pPr>
          </w:p>
          <w:p>
            <w:pPr>
              <w:pStyle w:val="TableParagraph"/>
              <w:spacing w:before="1"/>
              <w:rPr>
                <w:sz w:val="21"/>
              </w:rPr>
            </w:pPr>
            <w:r>
              <w:rPr>
                <w:sz w:val="21"/>
              </w:rPr>
              <w:t>指因器官移植导致人体免疫缺陷病毒（HIV）感染，并需符合下列所有条件：</w:t>
            </w:r>
          </w:p>
          <w:p>
            <w:pPr>
              <w:pStyle w:val="TableParagraph"/>
              <w:spacing w:before="172"/>
              <w:rPr>
                <w:sz w:val="21"/>
              </w:rPr>
            </w:pPr>
            <w:r>
              <w:rPr>
                <w:sz w:val="21"/>
              </w:rPr>
              <w:t>(a)该器官移植是医疗所需；</w:t>
            </w:r>
          </w:p>
          <w:p>
            <w:pPr>
              <w:pStyle w:val="TableParagraph"/>
              <w:spacing w:before="171"/>
              <w:rPr>
                <w:sz w:val="21"/>
              </w:rPr>
            </w:pPr>
            <w:r>
              <w:rPr>
                <w:sz w:val="21"/>
              </w:rPr>
              <w:t>(b)被保险人是在本主险合同生效后方接受器官移植；</w:t>
            </w:r>
          </w:p>
          <w:p>
            <w:pPr>
              <w:pStyle w:val="TableParagraph"/>
              <w:spacing w:before="171"/>
              <w:ind w:right="511"/>
              <w:rPr>
                <w:sz w:val="21"/>
              </w:rPr>
            </w:pPr>
            <w:r>
              <w:rPr>
                <w:sz w:val="21"/>
              </w:rPr>
              <w:t>(c)确定受感染之源头是用作移植的器官，并可透过提供该器官的机构追查其来源；</w:t>
            </w:r>
          </w:p>
          <w:p>
            <w:pPr>
              <w:pStyle w:val="TableParagraph"/>
              <w:spacing w:before="172"/>
              <w:rPr>
                <w:sz w:val="21"/>
              </w:rPr>
            </w:pPr>
            <w:r>
              <w:rPr>
                <w:sz w:val="21"/>
              </w:rPr>
              <w:t>(d) 被保险人没有罹患血友病。</w:t>
            </w:r>
          </w:p>
          <w:p>
            <w:pPr>
              <w:pStyle w:val="TableParagraph"/>
              <w:spacing w:line="232" w:lineRule="auto" w:before="14"/>
              <w:ind w:left="321" w:right="548"/>
              <w:rPr>
                <w:sz w:val="22"/>
              </w:rPr>
            </w:pPr>
            <w:r>
              <w:rPr>
                <w:spacing w:val="-2"/>
                <w:sz w:val="22"/>
                <w:shd w:fill="D9D9D9" w:color="auto" w:val="clear"/>
              </w:rPr>
              <w:t>如果医学上出现能够治愈艾滋病或</w:t>
            </w:r>
            <w:r>
              <w:rPr>
                <w:sz w:val="22"/>
                <w:shd w:fill="D9D9D9" w:color="auto" w:val="clear"/>
              </w:rPr>
              <w:t>HIV</w:t>
            </w:r>
            <w:r>
              <w:rPr>
                <w:spacing w:val="-4"/>
                <w:sz w:val="22"/>
                <w:shd w:fill="D9D9D9" w:color="auto" w:val="clear"/>
              </w:rPr>
              <w:t>的方法，或者出现能够预防艾滋病的方法，本保障</w:t>
            </w:r>
            <w:r>
              <w:rPr>
                <w:spacing w:val="-221"/>
                <w:sz w:val="22"/>
                <w:shd w:fill="D9D9D9" w:color="auto" w:val="clear"/>
              </w:rPr>
              <w:t>将</w:t>
            </w:r>
            <w:r>
              <w:rPr>
                <w:sz w:val="22"/>
                <w:shd w:fill="D9D9D9" w:color="auto" w:val="clear"/>
              </w:rPr>
              <w:t>不再适用。</w:t>
            </w:r>
          </w:p>
        </w:tc>
      </w:tr>
      <w:tr>
        <w:trPr>
          <w:trHeight w:val="1951" w:hRule="atLeast"/>
        </w:trPr>
        <w:tc>
          <w:tcPr>
            <w:tcW w:w="1790" w:type="dxa"/>
          </w:tcPr>
          <w:p>
            <w:pPr>
              <w:pStyle w:val="TableParagraph"/>
              <w:tabs>
                <w:tab w:pos="728" w:val="left" w:leader="none"/>
              </w:tabs>
              <w:spacing w:line="182" w:lineRule="auto" w:before="67"/>
              <w:ind w:left="200" w:right="214"/>
              <w:rPr>
                <w:rFonts w:ascii="微软雅黑" w:eastAsia="微软雅黑" w:hint="eastAsia"/>
                <w:b/>
                <w:sz w:val="21"/>
              </w:rPr>
            </w:pPr>
            <w:r>
              <w:rPr>
                <w:rFonts w:ascii="微软雅黑" w:eastAsia="微软雅黑" w:hint="eastAsia"/>
                <w:b/>
                <w:sz w:val="21"/>
              </w:rPr>
              <w:t>57.</w:t>
              <w:tab/>
              <w:t>严重心肌 炎</w:t>
            </w:r>
          </w:p>
        </w:tc>
        <w:tc>
          <w:tcPr>
            <w:tcW w:w="7804" w:type="dxa"/>
          </w:tcPr>
          <w:p>
            <w:pPr>
              <w:pStyle w:val="TableParagraph"/>
              <w:spacing w:line="273" w:lineRule="auto" w:before="66"/>
              <w:ind w:right="405"/>
              <w:rPr>
                <w:sz w:val="21"/>
              </w:rPr>
            </w:pPr>
            <w:r>
              <w:rPr>
                <w:sz w:val="21"/>
              </w:rPr>
              <w:t>指被保险人因严重心肌炎性病变导致心功能损害造成持续的永久不可逆性的心功能衰竭。必须满足所有以下条件：</w:t>
            </w:r>
          </w:p>
          <w:p>
            <w:pPr>
              <w:pStyle w:val="TableParagraph"/>
              <w:spacing w:line="242" w:lineRule="auto" w:before="12"/>
              <w:ind w:left="782" w:right="508" w:hanging="528"/>
              <w:rPr>
                <w:sz w:val="21"/>
              </w:rPr>
            </w:pPr>
            <w:r>
              <w:rPr>
                <w:sz w:val="21"/>
              </w:rPr>
              <w:t>（1）心功能衰竭程度达到纽约心脏病学会的心功能分级标准之心功能IV级， 或左室射血分数低于30%；</w:t>
            </w:r>
          </w:p>
          <w:p>
            <w:pPr>
              <w:pStyle w:val="TableParagraph"/>
              <w:spacing w:before="15"/>
              <w:rPr>
                <w:sz w:val="21"/>
              </w:rPr>
            </w:pPr>
            <w:r>
              <w:rPr>
                <w:sz w:val="21"/>
              </w:rPr>
              <w:t>（2）持续不间断180天以上；</w:t>
            </w:r>
          </w:p>
          <w:p>
            <w:pPr>
              <w:pStyle w:val="TableParagraph"/>
              <w:spacing w:before="17"/>
              <w:rPr>
                <w:sz w:val="21"/>
              </w:rPr>
            </w:pPr>
            <w:r>
              <w:rPr>
                <w:sz w:val="21"/>
              </w:rPr>
              <w:t>（3）被保险人永久不可逆性的体力活动能力受限，不能从事任何体力活动。</w:t>
            </w:r>
          </w:p>
        </w:tc>
      </w:tr>
      <w:tr>
        <w:trPr>
          <w:trHeight w:val="741" w:hRule="atLeast"/>
        </w:trPr>
        <w:tc>
          <w:tcPr>
            <w:tcW w:w="1790" w:type="dxa"/>
          </w:tcPr>
          <w:p>
            <w:pPr>
              <w:pStyle w:val="TableParagraph"/>
              <w:spacing w:line="180" w:lineRule="auto" w:before="74"/>
              <w:ind w:left="200" w:right="320"/>
              <w:rPr>
                <w:rFonts w:ascii="微软雅黑" w:eastAsia="微软雅黑" w:hint="eastAsia"/>
                <w:b/>
                <w:sz w:val="21"/>
              </w:rPr>
            </w:pPr>
            <w:r>
              <w:rPr>
                <w:rFonts w:ascii="微软雅黑" w:eastAsia="微软雅黑" w:hint="eastAsia"/>
                <w:b/>
                <w:sz w:val="21"/>
              </w:rPr>
              <w:t>58. 进行性多灶性白质脑病</w:t>
            </w:r>
          </w:p>
        </w:tc>
        <w:tc>
          <w:tcPr>
            <w:tcW w:w="7804" w:type="dxa"/>
          </w:tcPr>
          <w:p>
            <w:pPr>
              <w:pStyle w:val="TableParagraph"/>
              <w:spacing w:line="242" w:lineRule="auto" w:before="74"/>
              <w:ind w:left="321" w:right="405" w:hanging="68"/>
              <w:rPr>
                <w:sz w:val="21"/>
              </w:rPr>
            </w:pPr>
            <w:r>
              <w:rPr>
                <w:sz w:val="21"/>
              </w:rPr>
              <w:t>是一种亚急性脱髓鞘性脑病，常常发现于免疫缺陷的病人。必须由脑神经科专科医生根据脑组织活检确诊。</w:t>
            </w:r>
          </w:p>
        </w:tc>
      </w:tr>
      <w:tr>
        <w:trPr>
          <w:trHeight w:val="863" w:hRule="atLeast"/>
        </w:trPr>
        <w:tc>
          <w:tcPr>
            <w:tcW w:w="1790" w:type="dxa"/>
          </w:tcPr>
          <w:p>
            <w:pPr>
              <w:pStyle w:val="TableParagraph"/>
              <w:spacing w:line="180" w:lineRule="auto" w:before="71"/>
              <w:ind w:left="200" w:right="109"/>
              <w:rPr>
                <w:rFonts w:ascii="微软雅黑" w:eastAsia="微软雅黑" w:hint="eastAsia"/>
                <w:b/>
                <w:sz w:val="21"/>
              </w:rPr>
            </w:pPr>
            <w:r>
              <w:rPr>
                <w:rFonts w:ascii="微软雅黑" w:eastAsia="微软雅黑" w:hint="eastAsia"/>
                <w:b/>
                <w:sz w:val="21"/>
              </w:rPr>
              <w:t>59. 侵蚀性葡萄胎(或称恶性葡</w:t>
            </w:r>
          </w:p>
          <w:p>
            <w:pPr>
              <w:pStyle w:val="TableParagraph"/>
              <w:spacing w:line="227" w:lineRule="exact"/>
              <w:ind w:left="200"/>
              <w:rPr>
                <w:rFonts w:ascii="微软雅黑" w:eastAsia="微软雅黑" w:hint="eastAsia"/>
                <w:b/>
                <w:sz w:val="21"/>
              </w:rPr>
            </w:pPr>
            <w:r>
              <w:rPr>
                <w:rFonts w:ascii="微软雅黑" w:eastAsia="微软雅黑" w:hint="eastAsia"/>
                <w:b/>
                <w:w w:val="105"/>
                <w:sz w:val="21"/>
              </w:rPr>
              <w:t>萄胎)</w:t>
            </w:r>
          </w:p>
        </w:tc>
        <w:tc>
          <w:tcPr>
            <w:tcW w:w="7804" w:type="dxa"/>
          </w:tcPr>
          <w:p>
            <w:pPr>
              <w:pStyle w:val="TableParagraph"/>
              <w:spacing w:line="273" w:lineRule="auto" w:before="124"/>
              <w:ind w:left="220" w:right="410"/>
              <w:rPr>
                <w:sz w:val="21"/>
              </w:rPr>
            </w:pPr>
            <w:r>
              <w:rPr>
                <w:sz w:val="21"/>
              </w:rPr>
              <w:t>该类疾病是指异常增生的绒毛组织浸润性生长侵入子宫肌层或转移至其他器官或组织的葡萄胎，并已经进行化疗或手术治疗的。</w:t>
            </w:r>
          </w:p>
        </w:tc>
      </w:tr>
    </w:tbl>
    <w:p>
      <w:pPr>
        <w:spacing w:after="0" w:line="273" w:lineRule="auto"/>
        <w:rPr>
          <w:sz w:val="21"/>
        </w:rPr>
        <w:sectPr>
          <w:pgSz w:w="11910" w:h="16840"/>
          <w:pgMar w:top="146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6"/>
      </w:tblGrid>
      <w:tr>
        <w:trPr>
          <w:trHeight w:val="1337" w:hRule="atLeast"/>
        </w:trPr>
        <w:tc>
          <w:tcPr>
            <w:tcW w:w="1790" w:type="dxa"/>
          </w:tcPr>
          <w:p>
            <w:pPr>
              <w:pStyle w:val="TableParagraph"/>
              <w:spacing w:line="181" w:lineRule="exact"/>
              <w:ind w:left="200"/>
              <w:rPr>
                <w:rFonts w:ascii="微软雅黑" w:eastAsia="微软雅黑" w:hint="eastAsia"/>
                <w:b/>
                <w:sz w:val="21"/>
              </w:rPr>
            </w:pPr>
            <w:r>
              <w:rPr>
                <w:rFonts w:ascii="微软雅黑" w:eastAsia="微软雅黑" w:hint="eastAsia"/>
                <w:b/>
                <w:sz w:val="21"/>
              </w:rPr>
              <w:t>60. 破裂脑动脉</w:t>
            </w:r>
          </w:p>
          <w:p>
            <w:pPr>
              <w:pStyle w:val="TableParagraph"/>
              <w:spacing w:line="316" w:lineRule="exact"/>
              <w:ind w:left="200"/>
              <w:rPr>
                <w:rFonts w:ascii="微软雅黑" w:eastAsia="微软雅黑" w:hint="eastAsia"/>
                <w:b/>
                <w:sz w:val="21"/>
              </w:rPr>
            </w:pPr>
            <w:r>
              <w:rPr>
                <w:rFonts w:ascii="微软雅黑" w:eastAsia="微软雅黑" w:hint="eastAsia"/>
                <w:b/>
                <w:sz w:val="21"/>
              </w:rPr>
              <w:t>瘤夹闭手术</w:t>
            </w:r>
          </w:p>
        </w:tc>
        <w:tc>
          <w:tcPr>
            <w:tcW w:w="7806" w:type="dxa"/>
          </w:tcPr>
          <w:p>
            <w:pPr>
              <w:pStyle w:val="TableParagraph"/>
              <w:spacing w:line="273" w:lineRule="auto"/>
              <w:ind w:left="220" w:right="441"/>
              <w:rPr>
                <w:sz w:val="21"/>
              </w:rPr>
            </w:pPr>
            <w:r>
              <w:rPr>
                <w:sz w:val="21"/>
              </w:rPr>
              <w:t>指因脑动脉瘤破裂造成蛛网膜下腔出血，被保险人实际接受了在全麻下进行的破裂脑动脉瘤夹闭手术。</w:t>
            </w:r>
          </w:p>
          <w:p>
            <w:pPr>
              <w:pStyle w:val="TableParagraph"/>
              <w:spacing w:line="273" w:lineRule="auto" w:before="12"/>
              <w:ind w:left="110" w:right="201"/>
              <w:rPr>
                <w:sz w:val="21"/>
              </w:rPr>
            </w:pPr>
            <w:r>
              <w:rPr>
                <w:spacing w:val="-4"/>
                <w:sz w:val="21"/>
                <w:shd w:fill="D9D9D9" w:color="auto" w:val="clear"/>
              </w:rPr>
              <w:t>脑动脉瘤</w:t>
            </w:r>
            <w:r>
              <w:rPr>
                <w:spacing w:val="-5"/>
                <w:sz w:val="21"/>
                <w:shd w:fill="D9D9D9" w:color="auto" w:val="clear"/>
              </w:rPr>
              <w:t>（</w:t>
            </w:r>
            <w:r>
              <w:rPr>
                <w:sz w:val="21"/>
                <w:shd w:fill="D9D9D9" w:color="auto" w:val="clear"/>
              </w:rPr>
              <w:t>未破裂</w:t>
            </w:r>
            <w:r>
              <w:rPr>
                <w:spacing w:val="-20"/>
                <w:sz w:val="21"/>
                <w:shd w:fill="D9D9D9" w:color="auto" w:val="clear"/>
              </w:rPr>
              <w:t>）</w:t>
            </w:r>
            <w:r>
              <w:rPr>
                <w:spacing w:val="-7"/>
                <w:sz w:val="21"/>
                <w:shd w:fill="D9D9D9" w:color="auto" w:val="clear"/>
              </w:rPr>
              <w:t>预防性手术、颅骨打孔手术、动脉瘤栓塞手术、血管内手术及</w:t>
            </w:r>
            <w:r>
              <w:rPr>
                <w:spacing w:val="-6"/>
                <w:sz w:val="21"/>
                <w:shd w:fill="D9D9D9" w:color="auto" w:val="clear"/>
              </w:rPr>
              <w:t>其他颅脑手术不在保障范围内。</w:t>
            </w:r>
          </w:p>
        </w:tc>
      </w:tr>
      <w:tr>
        <w:trPr>
          <w:trHeight w:val="849" w:hRule="atLeast"/>
        </w:trPr>
        <w:tc>
          <w:tcPr>
            <w:tcW w:w="1790" w:type="dxa"/>
          </w:tcPr>
          <w:p>
            <w:pPr>
              <w:pStyle w:val="TableParagraph"/>
              <w:spacing w:line="177" w:lineRule="auto" w:before="82"/>
              <w:ind w:left="200" w:right="109"/>
              <w:rPr>
                <w:rFonts w:ascii="微软雅黑" w:eastAsia="微软雅黑" w:hint="eastAsia"/>
                <w:b/>
                <w:sz w:val="21"/>
              </w:rPr>
            </w:pPr>
            <w:r>
              <w:rPr>
                <w:rFonts w:ascii="微软雅黑" w:eastAsia="微软雅黑" w:hint="eastAsia"/>
                <w:b/>
                <w:sz w:val="21"/>
              </w:rPr>
              <w:t>61. 需手术切除的嗜铬细胞瘤</w:t>
            </w:r>
          </w:p>
        </w:tc>
        <w:tc>
          <w:tcPr>
            <w:tcW w:w="7806" w:type="dxa"/>
          </w:tcPr>
          <w:p>
            <w:pPr>
              <w:pStyle w:val="TableParagraph"/>
              <w:spacing w:line="273" w:lineRule="auto" w:before="132"/>
              <w:ind w:left="220" w:right="230"/>
              <w:rPr>
                <w:sz w:val="21"/>
              </w:rPr>
            </w:pPr>
            <w:r>
              <w:rPr>
                <w:sz w:val="21"/>
              </w:rPr>
              <w:t>是指肾上腺或嗜铬外组织出现神经内分泌肿瘤，并分泌过多的儿茶酚胺类，需要并实际进行了手术切除肿瘤。</w:t>
            </w:r>
            <w:r>
              <w:rPr>
                <w:sz w:val="21"/>
                <w:shd w:fill="D9D9D9" w:color="auto" w:val="clear"/>
              </w:rPr>
              <w:t>嗜铬细胞瘤的诊断必须由内分泌专科医生确定。</w:t>
            </w:r>
          </w:p>
        </w:tc>
      </w:tr>
      <w:tr>
        <w:trPr>
          <w:trHeight w:val="1791" w:hRule="atLeast"/>
        </w:trPr>
        <w:tc>
          <w:tcPr>
            <w:tcW w:w="1790" w:type="dxa"/>
          </w:tcPr>
          <w:p>
            <w:pPr>
              <w:pStyle w:val="TableParagraph"/>
              <w:spacing w:line="180" w:lineRule="auto" w:before="78"/>
              <w:ind w:left="200" w:right="320"/>
              <w:rPr>
                <w:rFonts w:ascii="微软雅黑" w:eastAsia="微软雅黑" w:hint="eastAsia"/>
                <w:b/>
                <w:sz w:val="21"/>
              </w:rPr>
            </w:pPr>
            <w:r>
              <w:rPr>
                <w:rFonts w:ascii="微软雅黑" w:eastAsia="微软雅黑" w:hint="eastAsia"/>
                <w:b/>
                <w:sz w:val="21"/>
              </w:rPr>
              <w:t>62. 进行性核上性麻痹(Steele- </w:t>
            </w:r>
            <w:r>
              <w:rPr>
                <w:rFonts w:ascii="微软雅黑" w:eastAsia="微软雅黑" w:hint="eastAsia"/>
                <w:b/>
                <w:w w:val="95"/>
                <w:sz w:val="21"/>
              </w:rPr>
              <w:t>Rchardson)</w:t>
            </w:r>
          </w:p>
        </w:tc>
        <w:tc>
          <w:tcPr>
            <w:tcW w:w="7806" w:type="dxa"/>
          </w:tcPr>
          <w:p>
            <w:pPr>
              <w:pStyle w:val="TableParagraph"/>
              <w:spacing w:line="273" w:lineRule="auto" w:before="137"/>
              <w:ind w:left="220" w:right="409"/>
              <w:jc w:val="both"/>
              <w:rPr>
                <w:sz w:val="21"/>
              </w:rPr>
            </w:pPr>
            <w:r>
              <w:rPr>
                <w:spacing w:val="-5"/>
                <w:sz w:val="21"/>
              </w:rPr>
              <w:t>进行性核上性麻痹</w:t>
            </w:r>
            <w:r>
              <w:rPr>
                <w:spacing w:val="-7"/>
                <w:sz w:val="21"/>
              </w:rPr>
              <w:t>（PSP）</w:t>
            </w:r>
            <w:r>
              <w:rPr>
                <w:spacing w:val="0"/>
                <w:sz w:val="21"/>
              </w:rPr>
              <w:t>又称 </w:t>
            </w:r>
            <w:r>
              <w:rPr>
                <w:sz w:val="21"/>
              </w:rPr>
              <w:t>Steele-Rchardson—Olszewski</w:t>
            </w:r>
            <w:r>
              <w:rPr>
                <w:spacing w:val="-4"/>
                <w:sz w:val="21"/>
              </w:rPr>
              <w:t> 综合征， 是一</w:t>
            </w:r>
            <w:r>
              <w:rPr>
                <w:spacing w:val="-5"/>
                <w:sz w:val="21"/>
              </w:rPr>
              <w:t>种少见的神经系统变性疾病，以假球麻痹、垂直性核上性眼肌麻痹、锥体外系肌僵直、步态共济失调和轻度痴呆为主要临床特征。</w:t>
            </w:r>
            <w:r>
              <w:rPr>
                <w:sz w:val="21"/>
              </w:rPr>
              <w:t>PSP</w:t>
            </w:r>
            <w:r>
              <w:rPr>
                <w:spacing w:val="15"/>
                <w:sz w:val="21"/>
              </w:rPr>
              <w:t> 必须由</w:t>
            </w:r>
            <w:r>
              <w:rPr>
                <w:spacing w:val="-2"/>
                <w:sz w:val="21"/>
                <w:shd w:fill="D9D9D9" w:color="auto" w:val="clear"/>
              </w:rPr>
              <w:t>三级甲等医院的神经内科专科医生确诊，</w:t>
            </w:r>
            <w:r>
              <w:rPr>
                <w:spacing w:val="-4"/>
                <w:sz w:val="21"/>
              </w:rPr>
              <w:t>并且被保险人自主生活能力完全丧失，无法独立完</w:t>
            </w:r>
            <w:r>
              <w:rPr>
                <w:spacing w:val="-5"/>
                <w:sz w:val="21"/>
              </w:rPr>
              <w:t>成六项基本</w:t>
            </w:r>
            <w:r>
              <w:rPr>
                <w:spacing w:val="-212"/>
                <w:sz w:val="21"/>
              </w:rPr>
              <w:t>日</w:t>
            </w:r>
            <w:r>
              <w:rPr>
                <w:spacing w:val="-4"/>
                <w:sz w:val="21"/>
              </w:rPr>
              <w:t>常生活活动中的三项或三项以上。</w:t>
            </w:r>
          </w:p>
        </w:tc>
      </w:tr>
      <w:tr>
        <w:trPr>
          <w:trHeight w:val="1109" w:hRule="atLeast"/>
        </w:trPr>
        <w:tc>
          <w:tcPr>
            <w:tcW w:w="1790" w:type="dxa"/>
          </w:tcPr>
          <w:p>
            <w:pPr>
              <w:pStyle w:val="TableParagraph"/>
              <w:spacing w:line="180" w:lineRule="auto" w:before="79"/>
              <w:ind w:left="200" w:right="109"/>
              <w:rPr>
                <w:rFonts w:ascii="微软雅黑" w:eastAsia="微软雅黑" w:hint="eastAsia"/>
                <w:b/>
                <w:sz w:val="21"/>
              </w:rPr>
            </w:pPr>
            <w:r>
              <w:rPr>
                <w:rFonts w:ascii="微软雅黑" w:eastAsia="微软雅黑" w:hint="eastAsia"/>
                <w:b/>
                <w:sz w:val="21"/>
              </w:rPr>
              <w:t>63. 多处臂丛神经根性撕脱</w:t>
            </w:r>
          </w:p>
        </w:tc>
        <w:tc>
          <w:tcPr>
            <w:tcW w:w="7806" w:type="dxa"/>
          </w:tcPr>
          <w:p>
            <w:pPr>
              <w:pStyle w:val="TableParagraph"/>
              <w:spacing w:line="261" w:lineRule="auto" w:before="68"/>
              <w:ind w:left="110" w:right="199"/>
              <w:rPr>
                <w:rFonts w:ascii="等线" w:eastAsia="等线" w:hint="eastAsia"/>
                <w:sz w:val="21"/>
              </w:rPr>
            </w:pPr>
            <w:r>
              <w:rPr>
                <w:rFonts w:ascii="等线" w:eastAsia="等线" w:hint="eastAsia"/>
                <w:spacing w:val="-8"/>
                <w:sz w:val="21"/>
              </w:rPr>
              <w:t>由于疾病或意外导致至少两根臂丛神经根性撕脱，所造成的手臂感觉功能与运动功</w:t>
            </w:r>
            <w:r>
              <w:rPr>
                <w:rFonts w:ascii="等线" w:eastAsia="等线" w:hint="eastAsia"/>
                <w:spacing w:val="-9"/>
                <w:sz w:val="21"/>
              </w:rPr>
              <w:t>能完全永久性丧失。</w:t>
            </w:r>
            <w:r>
              <w:rPr>
                <w:rFonts w:ascii="等线" w:eastAsia="等线" w:hint="eastAsia"/>
                <w:spacing w:val="-7"/>
                <w:sz w:val="21"/>
                <w:shd w:fill="D9D9D9" w:color="auto" w:val="clear"/>
              </w:rPr>
              <w:t>该病须由相关医学范畴的专科医生明确诊断，并且有电生理检</w:t>
            </w:r>
          </w:p>
          <w:p>
            <w:pPr>
              <w:pStyle w:val="TableParagraph"/>
              <w:spacing w:before="6"/>
              <w:ind w:left="110"/>
              <w:rPr>
                <w:rFonts w:ascii="等线" w:eastAsia="等线" w:hint="eastAsia"/>
                <w:sz w:val="21"/>
              </w:rPr>
            </w:pPr>
            <w:r>
              <w:rPr>
                <w:rFonts w:ascii="Times New Roman" w:eastAsia="Times New Roman"/>
                <w:spacing w:val="-53"/>
                <w:w w:val="100"/>
                <w:sz w:val="21"/>
                <w:shd w:fill="D9D9D9" w:color="auto" w:val="clear"/>
              </w:rPr>
              <w:t> </w:t>
            </w:r>
            <w:r>
              <w:rPr>
                <w:rFonts w:ascii="等线" w:eastAsia="等线" w:hint="eastAsia"/>
                <w:spacing w:val="-1"/>
                <w:sz w:val="21"/>
                <w:shd w:fill="D9D9D9" w:color="auto" w:val="clear"/>
              </w:rPr>
              <w:t>查结果证实。</w:t>
            </w:r>
          </w:p>
        </w:tc>
      </w:tr>
      <w:tr>
        <w:trPr>
          <w:trHeight w:val="1536" w:hRule="atLeast"/>
        </w:trPr>
        <w:tc>
          <w:tcPr>
            <w:tcW w:w="1790" w:type="dxa"/>
          </w:tcPr>
          <w:p>
            <w:pPr>
              <w:pStyle w:val="TableParagraph"/>
              <w:spacing w:line="180" w:lineRule="auto" w:before="78"/>
              <w:ind w:left="200" w:right="109"/>
              <w:rPr>
                <w:rFonts w:ascii="微软雅黑" w:eastAsia="微软雅黑" w:hint="eastAsia"/>
                <w:b/>
                <w:sz w:val="21"/>
              </w:rPr>
            </w:pPr>
            <w:r>
              <w:rPr>
                <w:rFonts w:ascii="微软雅黑" w:eastAsia="微软雅黑" w:hint="eastAsia"/>
                <w:b/>
                <w:sz w:val="21"/>
              </w:rPr>
              <w:t>64.</w:t>
            </w:r>
            <w:r>
              <w:rPr>
                <w:rFonts w:ascii="微软雅黑" w:eastAsia="微软雅黑" w:hint="eastAsia"/>
                <w:b/>
                <w:spacing w:val="5"/>
                <w:sz w:val="21"/>
              </w:rPr>
              <w:t> 严重肠道疾病并发症(本项保险责任仅在被</w:t>
            </w:r>
            <w:r>
              <w:rPr>
                <w:rFonts w:ascii="微软雅黑" w:eastAsia="微软雅黑" w:hint="eastAsia"/>
                <w:b/>
                <w:spacing w:val="8"/>
                <w:sz w:val="21"/>
              </w:rPr>
              <w:t>保险人 </w:t>
            </w:r>
            <w:r>
              <w:rPr>
                <w:rFonts w:ascii="微软雅黑" w:eastAsia="微软雅黑" w:hint="eastAsia"/>
                <w:b/>
                <w:sz w:val="21"/>
              </w:rPr>
              <w:t>18</w:t>
            </w:r>
            <w:r>
              <w:rPr>
                <w:rFonts w:ascii="微软雅黑" w:eastAsia="微软雅黑" w:hint="eastAsia"/>
                <w:b/>
                <w:spacing w:val="5"/>
                <w:sz w:val="21"/>
              </w:rPr>
              <w:t> 周岁以前提供保障)</w:t>
            </w:r>
          </w:p>
        </w:tc>
        <w:tc>
          <w:tcPr>
            <w:tcW w:w="7806" w:type="dxa"/>
          </w:tcPr>
          <w:p>
            <w:pPr>
              <w:pStyle w:val="TableParagraph"/>
              <w:spacing w:line="272" w:lineRule="exact" w:before="60"/>
              <w:ind w:left="220"/>
              <w:rPr>
                <w:sz w:val="21"/>
              </w:rPr>
            </w:pPr>
            <w:r>
              <w:rPr>
                <w:sz w:val="21"/>
              </w:rPr>
              <w:t>严重肠道疾病或外伤导致小肠损害并发症，必须满足以下所有条件：</w:t>
            </w:r>
          </w:p>
          <w:p>
            <w:pPr>
              <w:pStyle w:val="TableParagraph"/>
              <w:spacing w:line="269" w:lineRule="exact"/>
              <w:ind w:left="220"/>
              <w:rPr>
                <w:sz w:val="21"/>
              </w:rPr>
            </w:pPr>
            <w:r>
              <w:rPr>
                <w:sz w:val="21"/>
              </w:rPr>
              <w:t>（1）至少切除了三分之二小肠；</w:t>
            </w:r>
          </w:p>
          <w:p>
            <w:pPr>
              <w:pStyle w:val="TableParagraph"/>
              <w:spacing w:line="272" w:lineRule="exact"/>
              <w:ind w:left="220"/>
              <w:rPr>
                <w:sz w:val="21"/>
              </w:rPr>
            </w:pPr>
            <w:r>
              <w:rPr>
                <w:sz w:val="21"/>
              </w:rPr>
              <w:t>（2）完全肠外营养支持 3个月以上。</w:t>
            </w:r>
          </w:p>
          <w:p>
            <w:pPr>
              <w:pStyle w:val="TableParagraph"/>
              <w:spacing w:before="13"/>
              <w:ind w:left="110"/>
              <w:rPr>
                <w:sz w:val="21"/>
              </w:rPr>
            </w:pPr>
            <w:r>
              <w:rPr>
                <w:sz w:val="21"/>
                <w:shd w:fill="D9D9D9" w:color="auto" w:val="clear"/>
              </w:rPr>
              <w:t>本项保险责任仅在被保险人 18 周岁以前提供保障。</w:t>
            </w:r>
          </w:p>
        </w:tc>
      </w:tr>
      <w:tr>
        <w:trPr>
          <w:trHeight w:val="2242" w:hRule="atLeast"/>
        </w:trPr>
        <w:tc>
          <w:tcPr>
            <w:tcW w:w="1790" w:type="dxa"/>
          </w:tcPr>
          <w:p>
            <w:pPr>
              <w:pStyle w:val="TableParagraph"/>
              <w:spacing w:line="180" w:lineRule="auto" w:before="73"/>
              <w:ind w:left="200" w:right="109"/>
              <w:rPr>
                <w:rFonts w:ascii="微软雅黑" w:eastAsia="微软雅黑" w:hint="eastAsia"/>
                <w:b/>
                <w:sz w:val="21"/>
              </w:rPr>
            </w:pPr>
            <w:r>
              <w:rPr>
                <w:rFonts w:ascii="微软雅黑" w:eastAsia="微软雅黑" w:hint="eastAsia"/>
                <w:b/>
                <w:sz w:val="21"/>
              </w:rPr>
              <w:t>65. 严重瑞氏综合症（Reye 综合征，也称赖氏综合征、雷氏综合征）</w:t>
            </w:r>
          </w:p>
        </w:tc>
        <w:tc>
          <w:tcPr>
            <w:tcW w:w="7806" w:type="dxa"/>
          </w:tcPr>
          <w:p>
            <w:pPr>
              <w:pStyle w:val="TableParagraph"/>
              <w:ind w:left="0"/>
              <w:rPr>
                <w:sz w:val="15"/>
              </w:rPr>
            </w:pPr>
          </w:p>
          <w:p>
            <w:pPr>
              <w:pStyle w:val="TableParagraph"/>
              <w:spacing w:line="237" w:lineRule="auto"/>
              <w:ind w:left="220" w:right="402"/>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line="249" w:lineRule="exact"/>
              <w:ind w:left="220"/>
              <w:jc w:val="both"/>
              <w:rPr>
                <w:sz w:val="21"/>
              </w:rPr>
            </w:pPr>
            <w:r>
              <w:rPr>
                <w:sz w:val="21"/>
                <w:shd w:fill="D9D9D9" w:color="auto" w:val="clear"/>
              </w:rPr>
              <w:t>瑞氏综合征需由三级医院的儿科专科医生确诊，</w:t>
            </w:r>
            <w:r>
              <w:rPr>
                <w:sz w:val="21"/>
              </w:rPr>
              <w:t>并符合下列所有条件：</w:t>
            </w:r>
          </w:p>
          <w:p>
            <w:pPr>
              <w:pStyle w:val="TableParagraph"/>
              <w:spacing w:line="274" w:lineRule="exact"/>
              <w:ind w:left="220"/>
              <w:jc w:val="both"/>
              <w:rPr>
                <w:sz w:val="21"/>
              </w:rPr>
            </w:pPr>
            <w:r>
              <w:rPr>
                <w:sz w:val="21"/>
              </w:rPr>
              <w:t>（1）有脑水肿和颅内压升高的脑脊液检查和影像学检查证据；</w:t>
            </w:r>
          </w:p>
          <w:p>
            <w:pPr>
              <w:pStyle w:val="TableParagraph"/>
              <w:spacing w:before="17"/>
              <w:jc w:val="both"/>
              <w:rPr>
                <w:sz w:val="21"/>
              </w:rPr>
            </w:pPr>
            <w:r>
              <w:rPr>
                <w:sz w:val="21"/>
              </w:rPr>
              <w:t>（2）血氨超过正常值的3倍；</w:t>
            </w:r>
          </w:p>
          <w:p>
            <w:pPr>
              <w:pStyle w:val="TableParagraph"/>
              <w:spacing w:before="17"/>
              <w:jc w:val="both"/>
              <w:rPr>
                <w:sz w:val="21"/>
              </w:rPr>
            </w:pPr>
            <w:r>
              <w:rPr>
                <w:sz w:val="21"/>
              </w:rPr>
              <w:t>（3）临床出现昏迷，病程至少达到疾病分期第3期。</w:t>
            </w:r>
          </w:p>
        </w:tc>
      </w:tr>
      <w:tr>
        <w:trPr>
          <w:trHeight w:val="2539" w:hRule="atLeast"/>
        </w:trPr>
        <w:tc>
          <w:tcPr>
            <w:tcW w:w="1790" w:type="dxa"/>
          </w:tcPr>
          <w:p>
            <w:pPr>
              <w:pStyle w:val="TableParagraph"/>
              <w:spacing w:line="177" w:lineRule="auto" w:before="73"/>
              <w:ind w:left="200" w:right="109"/>
              <w:rPr>
                <w:rFonts w:ascii="微软雅黑" w:eastAsia="微软雅黑" w:hint="eastAsia"/>
                <w:b/>
                <w:sz w:val="21"/>
              </w:rPr>
            </w:pPr>
            <w:r>
              <w:rPr>
                <w:rFonts w:ascii="微软雅黑" w:eastAsia="微软雅黑" w:hint="eastAsia"/>
                <w:b/>
                <w:sz w:val="21"/>
              </w:rPr>
              <w:t>66. 严重自身免疫性肝炎</w:t>
            </w:r>
          </w:p>
        </w:tc>
        <w:tc>
          <w:tcPr>
            <w:tcW w:w="7806" w:type="dxa"/>
          </w:tcPr>
          <w:p>
            <w:pPr>
              <w:pStyle w:val="TableParagraph"/>
              <w:spacing w:line="273" w:lineRule="auto" w:before="65"/>
              <w:ind w:left="220" w:right="402"/>
              <w:jc w:val="both"/>
              <w:rPr>
                <w:sz w:val="21"/>
              </w:rPr>
            </w:pPr>
            <w:r>
              <w:rPr>
                <w:sz w:val="21"/>
              </w:rPr>
              <w:t>严重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63" w:lineRule="exact"/>
              <w:ind w:left="220"/>
              <w:rPr>
                <w:sz w:val="21"/>
              </w:rPr>
            </w:pPr>
            <w:r>
              <w:rPr>
                <w:sz w:val="21"/>
              </w:rPr>
              <w:t>（1）高γ球蛋白血症；</w:t>
            </w:r>
          </w:p>
          <w:p>
            <w:pPr>
              <w:pStyle w:val="TableParagraph"/>
              <w:spacing w:before="27"/>
              <w:ind w:left="748" w:right="544" w:hanging="528"/>
              <w:rPr>
                <w:sz w:val="21"/>
              </w:rPr>
            </w:pPr>
            <w:r>
              <w:rPr>
                <w:sz w:val="21"/>
              </w:rPr>
              <w:t>（2）血液中存在高水平的自身免疫抗体，如ANA（抗核抗体）、SMA（抗平滑肌抗体）、抗LKM1抗体或抗-SLA/LP抗体；</w:t>
            </w:r>
          </w:p>
          <w:p>
            <w:pPr>
              <w:pStyle w:val="TableParagraph"/>
              <w:spacing w:before="17"/>
              <w:jc w:val="both"/>
              <w:rPr>
                <w:sz w:val="21"/>
              </w:rPr>
            </w:pPr>
            <w:r>
              <w:rPr>
                <w:sz w:val="21"/>
              </w:rPr>
              <w:t>（3）肝脏活检证实免疫性肝炎；</w:t>
            </w:r>
          </w:p>
          <w:p>
            <w:pPr>
              <w:pStyle w:val="TableParagraph"/>
              <w:spacing w:before="17"/>
              <w:jc w:val="both"/>
              <w:rPr>
                <w:sz w:val="21"/>
              </w:rPr>
            </w:pPr>
            <w:r>
              <w:rPr>
                <w:sz w:val="21"/>
              </w:rPr>
              <w:t>（4）临床已经出现腹水、食道静脉曲张和脾肿大等肝硬化表现。</w:t>
            </w:r>
          </w:p>
        </w:tc>
      </w:tr>
      <w:tr>
        <w:trPr>
          <w:trHeight w:val="2172" w:hRule="atLeast"/>
        </w:trPr>
        <w:tc>
          <w:tcPr>
            <w:tcW w:w="1790" w:type="dxa"/>
          </w:tcPr>
          <w:p>
            <w:pPr>
              <w:pStyle w:val="TableParagraph"/>
              <w:spacing w:line="177" w:lineRule="auto" w:before="72"/>
              <w:ind w:left="200" w:right="109"/>
              <w:rPr>
                <w:rFonts w:ascii="微软雅黑" w:eastAsia="微软雅黑" w:hint="eastAsia"/>
                <w:b/>
                <w:sz w:val="21"/>
              </w:rPr>
            </w:pPr>
            <w:r>
              <w:rPr>
                <w:rFonts w:ascii="微软雅黑" w:eastAsia="微软雅黑" w:hint="eastAsia"/>
                <w:b/>
                <w:w w:val="105"/>
                <w:sz w:val="21"/>
              </w:rPr>
              <w:t>67. 严重的 </w:t>
            </w:r>
            <w:r>
              <w:rPr>
                <w:rFonts w:ascii="微软雅黑" w:eastAsia="微软雅黑" w:hint="eastAsia"/>
                <w:b/>
                <w:w w:val="130"/>
                <w:sz w:val="21"/>
              </w:rPr>
              <w:t>III </w:t>
            </w:r>
            <w:r>
              <w:rPr>
                <w:rFonts w:ascii="微软雅黑" w:eastAsia="微软雅黑" w:hint="eastAsia"/>
                <w:b/>
                <w:sz w:val="21"/>
              </w:rPr>
              <w:t>度房室传导阻滞</w:t>
            </w:r>
          </w:p>
        </w:tc>
        <w:tc>
          <w:tcPr>
            <w:tcW w:w="7806" w:type="dxa"/>
          </w:tcPr>
          <w:p>
            <w:pPr>
              <w:pStyle w:val="TableParagraph"/>
              <w:spacing w:line="273" w:lineRule="auto" w:before="146"/>
              <w:ind w:left="220" w:right="441"/>
              <w:rPr>
                <w:sz w:val="21"/>
              </w:rPr>
            </w:pPr>
            <w:r>
              <w:rPr>
                <w:sz w:val="21"/>
              </w:rPr>
              <w:t>指心房激动在房室交界区、房室束及其分支内发生阻滞，不能正常地传到心室的心脏传导性疾病，须满足下列所有条件：</w:t>
            </w:r>
          </w:p>
          <w:p>
            <w:pPr>
              <w:pStyle w:val="TableParagraph"/>
              <w:spacing w:line="263" w:lineRule="exact"/>
              <w:ind w:left="220"/>
              <w:rPr>
                <w:sz w:val="21"/>
              </w:rPr>
            </w:pPr>
            <w:r>
              <w:rPr>
                <w:sz w:val="21"/>
              </w:rPr>
              <w:t>（1）心电图显示房室搏动彼此独立，心室率&lt;40次/分钟；</w:t>
            </w:r>
          </w:p>
          <w:p>
            <w:pPr>
              <w:pStyle w:val="TableParagraph"/>
              <w:spacing w:line="274" w:lineRule="exact"/>
              <w:ind w:left="220"/>
              <w:rPr>
                <w:sz w:val="21"/>
              </w:rPr>
            </w:pPr>
            <w:r>
              <w:rPr>
                <w:sz w:val="21"/>
              </w:rPr>
              <w:t>（2）动态心电图显示至少3秒的RR间期；</w:t>
            </w:r>
          </w:p>
          <w:p>
            <w:pPr>
              <w:pStyle w:val="TableParagraph"/>
              <w:spacing w:before="17"/>
              <w:rPr>
                <w:sz w:val="21"/>
              </w:rPr>
            </w:pPr>
            <w:r>
              <w:rPr>
                <w:sz w:val="21"/>
              </w:rPr>
              <w:t>（3）出现阿-斯综合征或心力衰竭的表现；</w:t>
            </w:r>
          </w:p>
          <w:p>
            <w:pPr>
              <w:pStyle w:val="TableParagraph"/>
              <w:spacing w:line="280" w:lineRule="atLeast" w:before="12"/>
              <w:ind w:left="782" w:right="513" w:hanging="528"/>
              <w:rPr>
                <w:sz w:val="21"/>
              </w:rPr>
            </w:pPr>
            <w:r>
              <w:rPr>
                <w:sz w:val="21"/>
              </w:rPr>
              <w:t>（4）必须持续性依赖心脏起搏器维持心脏正常功能，且已经放置永久性心脏起搏器。</w:t>
            </w:r>
          </w:p>
        </w:tc>
      </w:tr>
    </w:tbl>
    <w:p>
      <w:pPr>
        <w:spacing w:after="0" w:line="280" w:lineRule="atLeast"/>
        <w:rPr>
          <w:sz w:val="21"/>
        </w:rPr>
        <w:sectPr>
          <w:pgSz w:w="11910" w:h="16840"/>
          <w:pgMar w:top="146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12"/>
      </w:tblGrid>
      <w:tr>
        <w:trPr>
          <w:trHeight w:val="1702" w:hRule="atLeast"/>
        </w:trPr>
        <w:tc>
          <w:tcPr>
            <w:tcW w:w="1790" w:type="dxa"/>
          </w:tcPr>
          <w:p>
            <w:pPr>
              <w:pStyle w:val="TableParagraph"/>
              <w:spacing w:line="181" w:lineRule="exact"/>
              <w:ind w:left="200"/>
              <w:rPr>
                <w:rFonts w:ascii="微软雅黑" w:eastAsia="微软雅黑" w:hint="eastAsia"/>
                <w:b/>
                <w:sz w:val="21"/>
              </w:rPr>
            </w:pPr>
            <w:r>
              <w:rPr>
                <w:rFonts w:ascii="微软雅黑" w:eastAsia="微软雅黑" w:hint="eastAsia"/>
                <w:b/>
                <w:sz w:val="21"/>
              </w:rPr>
              <w:t>68. 细菌性脑脊</w:t>
            </w:r>
          </w:p>
          <w:p>
            <w:pPr>
              <w:pStyle w:val="TableParagraph"/>
              <w:spacing w:line="316" w:lineRule="exact"/>
              <w:ind w:left="200"/>
              <w:rPr>
                <w:rFonts w:ascii="微软雅黑" w:eastAsia="微软雅黑" w:hint="eastAsia"/>
                <w:b/>
                <w:sz w:val="21"/>
              </w:rPr>
            </w:pPr>
            <w:r>
              <w:rPr>
                <w:rFonts w:ascii="微软雅黑" w:eastAsia="微软雅黑" w:hint="eastAsia"/>
                <w:b/>
                <w:sz w:val="21"/>
              </w:rPr>
              <w:t>髓膜炎</w:t>
            </w:r>
          </w:p>
        </w:tc>
        <w:tc>
          <w:tcPr>
            <w:tcW w:w="7812" w:type="dxa"/>
          </w:tcPr>
          <w:p>
            <w:pPr>
              <w:pStyle w:val="TableParagraph"/>
              <w:spacing w:line="273" w:lineRule="auto" w:before="9"/>
              <w:ind w:left="220" w:right="418"/>
              <w:jc w:val="both"/>
              <w:rPr>
                <w:sz w:val="21"/>
              </w:rPr>
            </w:pPr>
            <w:r>
              <w:rPr>
                <w:sz w:val="21"/>
              </w:rPr>
              <w:t>指因脑膜炎双球菌感染引起脑脊髓膜化脓性病变，且导致永久性神经损害，持续90天以上，并且脑脊液检查显示脑膜炎双球菌阳性。</w:t>
            </w:r>
          </w:p>
          <w:p>
            <w:pPr>
              <w:pStyle w:val="TableParagraph"/>
              <w:spacing w:line="273" w:lineRule="auto" w:before="65"/>
              <w:ind w:left="220" w:right="415"/>
              <w:jc w:val="both"/>
              <w:rPr>
                <w:sz w:val="21"/>
              </w:rPr>
            </w:pPr>
            <w:r>
              <w:rPr>
                <w:sz w:val="21"/>
              </w:rPr>
              <w:t>永久性神经损害是指由细菌性脑脊髓膜炎引起的耳聋、失明、动眼神经麻痹、瘫痪、脑积水、智力或性情中度以上的损害，且上述症状持续90天以上仍无改善迹象。</w:t>
            </w:r>
          </w:p>
        </w:tc>
      </w:tr>
      <w:tr>
        <w:trPr>
          <w:trHeight w:val="3178" w:hRule="atLeast"/>
        </w:trPr>
        <w:tc>
          <w:tcPr>
            <w:tcW w:w="1790" w:type="dxa"/>
          </w:tcPr>
          <w:p>
            <w:pPr>
              <w:pStyle w:val="TableParagraph"/>
              <w:tabs>
                <w:tab w:pos="728" w:val="left" w:leader="none"/>
              </w:tabs>
              <w:spacing w:line="180" w:lineRule="auto" w:before="102"/>
              <w:ind w:left="200" w:right="214"/>
              <w:rPr>
                <w:rFonts w:ascii="微软雅黑" w:eastAsia="微软雅黑" w:hint="eastAsia"/>
                <w:b/>
                <w:sz w:val="22"/>
              </w:rPr>
            </w:pPr>
            <w:r>
              <w:rPr>
                <w:rFonts w:ascii="微软雅黑" w:eastAsia="微软雅黑" w:hint="eastAsia"/>
                <w:b/>
                <w:sz w:val="21"/>
              </w:rPr>
              <w:t>69.</w:t>
              <w:tab/>
              <w:t>严重感染 性</w:t>
            </w:r>
            <w:r>
              <w:rPr>
                <w:rFonts w:ascii="微软雅黑" w:eastAsia="微软雅黑" w:hint="eastAsia"/>
                <w:b/>
                <w:sz w:val="22"/>
              </w:rPr>
              <w:t>心内膜炎</w:t>
            </w:r>
          </w:p>
        </w:tc>
        <w:tc>
          <w:tcPr>
            <w:tcW w:w="7812" w:type="dxa"/>
          </w:tcPr>
          <w:p>
            <w:pPr>
              <w:pStyle w:val="TableParagraph"/>
              <w:spacing w:line="267" w:lineRule="exact" w:before="26"/>
              <w:rPr>
                <w:sz w:val="21"/>
              </w:rPr>
            </w:pPr>
            <w:r>
              <w:rPr>
                <w:sz w:val="21"/>
              </w:rPr>
              <w:t>因感染性病原体造成心脏内膜发炎，并符合下列所有条件：</w:t>
            </w:r>
          </w:p>
          <w:p>
            <w:pPr>
              <w:pStyle w:val="TableParagraph"/>
              <w:spacing w:line="267" w:lineRule="exact"/>
              <w:rPr>
                <w:sz w:val="21"/>
              </w:rPr>
            </w:pPr>
            <w:r>
              <w:rPr>
                <w:sz w:val="21"/>
              </w:rPr>
              <w:t>（1）血液培养测试结果为阳性，证实存在感染病原体：</w:t>
            </w:r>
          </w:p>
          <w:p>
            <w:pPr>
              <w:pStyle w:val="TableParagraph"/>
              <w:spacing w:before="23"/>
              <w:ind w:left="993" w:right="514" w:hanging="212"/>
              <w:rPr>
                <w:sz w:val="21"/>
              </w:rPr>
            </w:pPr>
            <w:r>
              <w:rPr>
                <w:sz w:val="21"/>
              </w:rPr>
              <w:t>①微生物：在赘生物、栓塞的赘生物或心脏内脓疡经培养或组织检查证实有微生物；或</w:t>
            </w:r>
          </w:p>
          <w:p>
            <w:pPr>
              <w:pStyle w:val="TableParagraph"/>
              <w:spacing w:line="235" w:lineRule="auto" w:before="3"/>
              <w:ind w:left="993" w:right="514" w:hanging="212"/>
              <w:rPr>
                <w:sz w:val="21"/>
              </w:rPr>
            </w:pPr>
            <w:r>
              <w:rPr>
                <w:sz w:val="21"/>
              </w:rPr>
              <w:t>②病理性病灶：组织病理学检查证实赘生物或心脏内脓疡有活动性心内膜炎；或</w:t>
            </w:r>
          </w:p>
          <w:p>
            <w:pPr>
              <w:pStyle w:val="TableParagraph"/>
              <w:spacing w:line="247" w:lineRule="exact"/>
              <w:ind w:left="782"/>
              <w:rPr>
                <w:sz w:val="21"/>
              </w:rPr>
            </w:pPr>
            <w:r>
              <w:rPr>
                <w:sz w:val="21"/>
              </w:rPr>
              <w:t>③分别两次血液培养证实有典型的病原体且与心内膜炎吻合；或</w:t>
            </w:r>
          </w:p>
          <w:p>
            <w:pPr>
              <w:pStyle w:val="TableParagraph"/>
              <w:spacing w:line="272" w:lineRule="exact"/>
              <w:ind w:left="782"/>
              <w:rPr>
                <w:sz w:val="21"/>
              </w:rPr>
            </w:pPr>
            <w:r>
              <w:rPr>
                <w:sz w:val="21"/>
              </w:rPr>
              <w:t>④持续血液培养证实有病原体阳性反应，且与心内膜炎吻合。</w:t>
            </w:r>
          </w:p>
          <w:p>
            <w:pPr>
              <w:pStyle w:val="TableParagraph"/>
              <w:spacing w:line="242" w:lineRule="auto" w:before="18"/>
              <w:ind w:left="782" w:right="516" w:hanging="528"/>
              <w:rPr>
                <w:sz w:val="21"/>
              </w:rPr>
            </w:pPr>
            <w:r>
              <w:rPr>
                <w:sz w:val="21"/>
              </w:rPr>
              <w:t>（2）心内膜炎引起中度心瓣膜闭锁不全（指返流分数 20%或以上）或中度心瓣膜狭窄（指心瓣膜开口范围小于或等于正常的 30%）；及</w:t>
            </w:r>
          </w:p>
          <w:p>
            <w:pPr>
              <w:pStyle w:val="TableParagraph"/>
              <w:spacing w:before="16"/>
              <w:rPr>
                <w:sz w:val="21"/>
              </w:rPr>
            </w:pPr>
            <w:r>
              <w:rPr>
                <w:sz w:val="21"/>
              </w:rPr>
              <w:t>（3）心内膜炎及心瓣膜病损须经心脏专科医生确诊。</w:t>
            </w:r>
          </w:p>
        </w:tc>
      </w:tr>
      <w:tr>
        <w:trPr>
          <w:trHeight w:val="3197" w:hRule="atLeast"/>
        </w:trPr>
        <w:tc>
          <w:tcPr>
            <w:tcW w:w="1790" w:type="dxa"/>
          </w:tcPr>
          <w:p>
            <w:pPr>
              <w:pStyle w:val="TableParagraph"/>
              <w:spacing w:line="177" w:lineRule="auto" w:before="72"/>
              <w:ind w:left="200" w:right="109"/>
              <w:rPr>
                <w:rFonts w:ascii="微软雅黑" w:eastAsia="微软雅黑" w:hint="eastAsia"/>
                <w:b/>
                <w:sz w:val="21"/>
              </w:rPr>
            </w:pPr>
            <w:r>
              <w:rPr>
                <w:rFonts w:ascii="微软雅黑" w:eastAsia="微软雅黑" w:hint="eastAsia"/>
                <w:b/>
                <w:sz w:val="21"/>
              </w:rPr>
              <w:t>70. 严重骨髓增生异常综合征</w:t>
            </w:r>
          </w:p>
        </w:tc>
        <w:tc>
          <w:tcPr>
            <w:tcW w:w="7812" w:type="dxa"/>
          </w:tcPr>
          <w:p>
            <w:pPr>
              <w:pStyle w:val="TableParagraph"/>
              <w:spacing w:line="273" w:lineRule="auto" w:before="64"/>
              <w:ind w:right="415"/>
              <w:jc w:val="both"/>
              <w:rPr>
                <w:sz w:val="21"/>
              </w:rPr>
            </w:pPr>
            <w:r>
              <w:rPr>
                <w:spacing w:val="7"/>
                <w:sz w:val="21"/>
              </w:rPr>
              <w:t>骨髓增生异常综合征</w:t>
            </w:r>
            <w:r>
              <w:rPr>
                <w:sz w:val="21"/>
              </w:rPr>
              <w:t>（myelodysplastic</w:t>
            </w:r>
            <w:r>
              <w:rPr>
                <w:spacing w:val="91"/>
                <w:sz w:val="21"/>
              </w:rPr>
              <w:t> </w:t>
            </w:r>
            <w:r>
              <w:rPr>
                <w:sz w:val="21"/>
              </w:rPr>
              <w:t>syndromes，MDS）</w:t>
            </w:r>
            <w:r>
              <w:rPr>
                <w:spacing w:val="1"/>
                <w:sz w:val="21"/>
              </w:rPr>
              <w:t>是起源于造血干</w:t>
            </w:r>
            <w:r>
              <w:rPr>
                <w:spacing w:val="-5"/>
                <w:sz w:val="21"/>
              </w:rPr>
              <w:t>细胞的一组异质性髓系克隆性疾病，特点是髓系细胞发育异常，表现为无效造</w:t>
            </w:r>
            <w:r>
              <w:rPr>
                <w:spacing w:val="-8"/>
                <w:sz w:val="21"/>
              </w:rPr>
              <w:t>血、难治性血细胞减少，本主险合同所指的严重的骨髓异常增生综合征需满足</w:t>
            </w:r>
            <w:r>
              <w:rPr>
                <w:spacing w:val="-9"/>
                <w:sz w:val="21"/>
              </w:rPr>
              <w:t>下列所有条件：</w:t>
            </w:r>
          </w:p>
          <w:p>
            <w:pPr>
              <w:pStyle w:val="TableParagraph"/>
              <w:spacing w:before="16"/>
              <w:ind w:left="782" w:right="519" w:hanging="528"/>
              <w:rPr>
                <w:sz w:val="21"/>
              </w:rPr>
            </w:pPr>
            <w:r>
              <w:rPr>
                <w:sz w:val="21"/>
              </w:rPr>
              <w:t>（1）</w:t>
            </w:r>
            <w:r>
              <w:rPr>
                <w:spacing w:val="-5"/>
                <w:sz w:val="21"/>
                <w:shd w:fill="D9D9D9" w:color="auto" w:val="clear"/>
              </w:rPr>
              <w:t>由设有专门血液病专科的公立三级甲等医院血液病专科的主治级别以上的医师确</w:t>
            </w:r>
            <w:r>
              <w:rPr>
                <w:spacing w:val="-212"/>
                <w:sz w:val="21"/>
                <w:shd w:fill="D9D9D9" w:color="auto" w:val="clear"/>
              </w:rPr>
              <w:t>诊</w:t>
            </w:r>
            <w:r>
              <w:rPr>
                <w:sz w:val="21"/>
                <w:shd w:fill="D9D9D9" w:color="auto" w:val="clear"/>
              </w:rPr>
              <w:t>；</w:t>
            </w:r>
          </w:p>
          <w:p>
            <w:pPr>
              <w:pStyle w:val="TableParagraph"/>
              <w:spacing w:before="22"/>
              <w:rPr>
                <w:sz w:val="21"/>
              </w:rPr>
            </w:pPr>
            <w:r>
              <w:rPr>
                <w:sz w:val="21"/>
              </w:rPr>
              <w:t>（2）骨髓涂片检查同时符合发育异常细胞比例&gt;10% 、原始细胞比例&gt;15%；</w:t>
            </w:r>
          </w:p>
          <w:p>
            <w:pPr>
              <w:pStyle w:val="TableParagraph"/>
              <w:spacing w:before="22"/>
              <w:rPr>
                <w:sz w:val="21"/>
              </w:rPr>
            </w:pPr>
            <w:r>
              <w:rPr>
                <w:sz w:val="21"/>
              </w:rPr>
              <w:t>（3）已接受至少累计三十日的化疗或已接受骨髓移植治疗。</w:t>
            </w:r>
          </w:p>
          <w:p>
            <w:pPr>
              <w:pStyle w:val="TableParagraph"/>
              <w:spacing w:line="273" w:lineRule="auto" w:before="13"/>
              <w:ind w:left="110" w:right="207"/>
              <w:rPr>
                <w:sz w:val="21"/>
              </w:rPr>
            </w:pPr>
            <w:r>
              <w:rPr>
                <w:spacing w:val="-7"/>
                <w:sz w:val="21"/>
                <w:shd w:fill="D9D9D9" w:color="auto" w:val="clear"/>
              </w:rPr>
              <w:t>化疗日数的计算以被保险人实际服用、注射化疗药物的天数为准。疑似病例不在保障范围内。</w:t>
            </w:r>
          </w:p>
        </w:tc>
      </w:tr>
      <w:tr>
        <w:trPr>
          <w:trHeight w:val="1642" w:hRule="atLeast"/>
        </w:trPr>
        <w:tc>
          <w:tcPr>
            <w:tcW w:w="1790" w:type="dxa"/>
          </w:tcPr>
          <w:p>
            <w:pPr>
              <w:pStyle w:val="TableParagraph"/>
              <w:tabs>
                <w:tab w:pos="728" w:val="left" w:leader="none"/>
              </w:tabs>
              <w:spacing w:line="351" w:lineRule="exact"/>
              <w:ind w:left="200"/>
              <w:rPr>
                <w:rFonts w:ascii="微软雅黑" w:eastAsia="微软雅黑" w:hint="eastAsia"/>
                <w:b/>
                <w:sz w:val="21"/>
              </w:rPr>
            </w:pPr>
            <w:r>
              <w:rPr>
                <w:rFonts w:ascii="微软雅黑" w:eastAsia="微软雅黑" w:hint="eastAsia"/>
                <w:b/>
                <w:sz w:val="21"/>
              </w:rPr>
              <w:t>71.</w:t>
              <w:tab/>
              <w:t>严重癫痫</w:t>
            </w:r>
          </w:p>
        </w:tc>
        <w:tc>
          <w:tcPr>
            <w:tcW w:w="7812" w:type="dxa"/>
          </w:tcPr>
          <w:p>
            <w:pPr>
              <w:pStyle w:val="TableParagraph"/>
              <w:spacing w:line="274" w:lineRule="exact" w:before="127"/>
              <w:rPr>
                <w:sz w:val="21"/>
              </w:rPr>
            </w:pPr>
            <w:r>
              <w:rPr>
                <w:sz w:val="21"/>
              </w:rPr>
              <w:t>本病的诊断须由神经科或儿科专科医生根据典型临床症状和脑电图及MRI、PET、</w:t>
            </w:r>
          </w:p>
          <w:p>
            <w:pPr>
              <w:pStyle w:val="TableParagraph"/>
              <w:ind w:right="205"/>
              <w:jc w:val="both"/>
              <w:rPr>
                <w:sz w:val="21"/>
              </w:rPr>
            </w:pPr>
            <w:r>
              <w:rPr>
                <w:sz w:val="21"/>
              </w:rPr>
              <w:t>CT</w:t>
            </w:r>
            <w:r>
              <w:rPr>
                <w:spacing w:val="-12"/>
                <w:sz w:val="21"/>
              </w:rPr>
              <w:t> 等影相学检查做出。理赔时必须提供 </w:t>
            </w:r>
            <w:r>
              <w:rPr>
                <w:sz w:val="21"/>
              </w:rPr>
              <w:t>6</w:t>
            </w:r>
            <w:r>
              <w:rPr>
                <w:spacing w:val="-9"/>
                <w:sz w:val="21"/>
              </w:rPr>
              <w:t> 个月以上的相关病历记录证明被保险人存在经抗癫痫药物治疗无效而反复发作的强直阵挛性发作或癫痫大发作，且已行</w:t>
            </w:r>
            <w:r>
              <w:rPr>
                <w:spacing w:val="-10"/>
                <w:sz w:val="21"/>
              </w:rPr>
              <w:t>神经外科手术以治疗反复发作的癫痫。</w:t>
            </w:r>
          </w:p>
          <w:p>
            <w:pPr>
              <w:pStyle w:val="TableParagraph"/>
              <w:spacing w:before="14"/>
              <w:ind w:left="110"/>
              <w:rPr>
                <w:sz w:val="21"/>
              </w:rPr>
            </w:pPr>
            <w:r>
              <w:rPr>
                <w:sz w:val="21"/>
                <w:shd w:fill="D9D9D9" w:color="auto" w:val="clear"/>
              </w:rPr>
              <w:t>发热性惊厥以及没有全身性发作的失神发作（癫痫小发作）不在保障范围内。</w:t>
            </w:r>
          </w:p>
        </w:tc>
      </w:tr>
      <w:tr>
        <w:trPr>
          <w:trHeight w:val="1493" w:hRule="atLeast"/>
        </w:trPr>
        <w:tc>
          <w:tcPr>
            <w:tcW w:w="1790" w:type="dxa"/>
          </w:tcPr>
          <w:p>
            <w:pPr>
              <w:pStyle w:val="TableParagraph"/>
              <w:spacing w:line="180" w:lineRule="auto" w:before="78"/>
              <w:ind w:left="200" w:right="109"/>
              <w:rPr>
                <w:rFonts w:ascii="微软雅黑" w:eastAsia="微软雅黑" w:hint="eastAsia"/>
                <w:b/>
                <w:sz w:val="21"/>
              </w:rPr>
            </w:pPr>
            <w:r>
              <w:rPr>
                <w:rFonts w:ascii="微软雅黑" w:eastAsia="微软雅黑" w:hint="eastAsia"/>
                <w:b/>
                <w:sz w:val="21"/>
              </w:rPr>
              <w:t>72. 自体造血干细胞移植</w:t>
            </w:r>
          </w:p>
        </w:tc>
        <w:tc>
          <w:tcPr>
            <w:tcW w:w="7812" w:type="dxa"/>
          </w:tcPr>
          <w:p>
            <w:pPr>
              <w:pStyle w:val="TableParagraph"/>
              <w:spacing w:line="273" w:lineRule="auto" w:before="151"/>
              <w:ind w:right="415"/>
              <w:jc w:val="both"/>
              <w:rPr>
                <w:sz w:val="21"/>
              </w:rPr>
            </w:pPr>
            <w:r>
              <w:rPr>
                <w:spacing w:val="-6"/>
                <w:sz w:val="21"/>
              </w:rPr>
              <w:t>指由于被保险人自身骨髓造血功能异常或为了达到治疗肿瘤的目的，采集被保</w:t>
            </w:r>
            <w:r>
              <w:rPr>
                <w:spacing w:val="-7"/>
                <w:sz w:val="21"/>
              </w:rPr>
              <w:t>险人自己的一部分造血干细胞，分离并深低温保存，再回输给被保险人使其造</w:t>
            </w:r>
            <w:r>
              <w:rPr>
                <w:spacing w:val="-6"/>
                <w:sz w:val="21"/>
              </w:rPr>
              <w:t>血功能和免疫功能重新恢复的一种治疗方法。</w:t>
            </w:r>
          </w:p>
          <w:p>
            <w:pPr>
              <w:pStyle w:val="TableParagraph"/>
              <w:spacing w:before="7"/>
              <w:ind w:left="110"/>
              <w:rPr>
                <w:sz w:val="21"/>
              </w:rPr>
            </w:pPr>
            <w:r>
              <w:rPr>
                <w:sz w:val="21"/>
                <w:shd w:fill="D9D9D9" w:color="auto" w:val="clear"/>
              </w:rPr>
              <w:t>该治疗须由专科医生认为在临床上是必需的。</w:t>
            </w:r>
          </w:p>
        </w:tc>
      </w:tr>
      <w:tr>
        <w:trPr>
          <w:trHeight w:val="1937" w:hRule="atLeast"/>
        </w:trPr>
        <w:tc>
          <w:tcPr>
            <w:tcW w:w="1790" w:type="dxa"/>
          </w:tcPr>
          <w:p>
            <w:pPr>
              <w:pStyle w:val="TableParagraph"/>
              <w:spacing w:line="180" w:lineRule="auto" w:before="78"/>
              <w:ind w:left="200" w:right="109"/>
              <w:rPr>
                <w:rFonts w:ascii="微软雅黑" w:eastAsia="微软雅黑" w:hint="eastAsia"/>
                <w:b/>
                <w:sz w:val="21"/>
              </w:rPr>
            </w:pPr>
            <w:r>
              <w:rPr>
                <w:rFonts w:ascii="微软雅黑" w:eastAsia="微软雅黑" w:hint="eastAsia"/>
                <w:b/>
                <w:sz w:val="21"/>
              </w:rPr>
              <w:t>73. 肺淋巴管肌瘤病</w:t>
            </w:r>
          </w:p>
        </w:tc>
        <w:tc>
          <w:tcPr>
            <w:tcW w:w="7812" w:type="dxa"/>
          </w:tcPr>
          <w:p>
            <w:pPr>
              <w:pStyle w:val="TableParagraph"/>
              <w:spacing w:before="11"/>
              <w:ind w:left="0"/>
              <w:rPr>
                <w:sz w:val="29"/>
              </w:rPr>
            </w:pPr>
          </w:p>
          <w:p>
            <w:pPr>
              <w:pStyle w:val="TableParagraph"/>
              <w:spacing w:line="273" w:lineRule="auto"/>
              <w:ind w:right="418"/>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line="263" w:lineRule="exact"/>
              <w:rPr>
                <w:sz w:val="21"/>
              </w:rPr>
            </w:pPr>
            <w:r>
              <w:rPr>
                <w:sz w:val="21"/>
              </w:rPr>
              <w:t>（1）经组织病理学诊断；</w:t>
            </w:r>
          </w:p>
          <w:p>
            <w:pPr>
              <w:pStyle w:val="TableParagraph"/>
              <w:spacing w:line="274" w:lineRule="exact"/>
              <w:rPr>
                <w:sz w:val="21"/>
              </w:rPr>
            </w:pPr>
            <w:r>
              <w:rPr>
                <w:sz w:val="21"/>
              </w:rPr>
              <w:t>（2）CT 显示双肺弥漫性囊性改变；</w:t>
            </w:r>
          </w:p>
          <w:p>
            <w:pPr>
              <w:pStyle w:val="TableParagraph"/>
              <w:spacing w:line="274" w:lineRule="exact"/>
              <w:rPr>
                <w:sz w:val="21"/>
              </w:rPr>
            </w:pPr>
            <w:r>
              <w:rPr>
                <w:sz w:val="21"/>
              </w:rPr>
              <w:t>（3）血气提示低氧血症。</w:t>
            </w:r>
          </w:p>
        </w:tc>
      </w:tr>
      <w:tr>
        <w:trPr>
          <w:trHeight w:val="595" w:hRule="atLeast"/>
        </w:trPr>
        <w:tc>
          <w:tcPr>
            <w:tcW w:w="1790" w:type="dxa"/>
          </w:tcPr>
          <w:p>
            <w:pPr>
              <w:pStyle w:val="TableParagraph"/>
              <w:spacing w:line="294" w:lineRule="exact"/>
              <w:ind w:left="200"/>
              <w:rPr>
                <w:rFonts w:ascii="微软雅黑" w:eastAsia="微软雅黑" w:hint="eastAsia"/>
                <w:b/>
                <w:sz w:val="21"/>
              </w:rPr>
            </w:pPr>
            <w:r>
              <w:rPr>
                <w:rFonts w:ascii="微软雅黑" w:eastAsia="微软雅黑" w:hint="eastAsia"/>
                <w:b/>
                <w:sz w:val="21"/>
              </w:rPr>
              <w:t>74. 肺泡蛋白质</w:t>
            </w:r>
          </w:p>
          <w:p>
            <w:pPr>
              <w:pStyle w:val="TableParagraph"/>
              <w:spacing w:line="281" w:lineRule="exact"/>
              <w:ind w:left="200"/>
              <w:rPr>
                <w:rFonts w:ascii="微软雅黑" w:eastAsia="微软雅黑" w:hint="eastAsia"/>
                <w:b/>
                <w:sz w:val="21"/>
              </w:rPr>
            </w:pPr>
            <w:r>
              <w:rPr>
                <w:rFonts w:ascii="微软雅黑" w:eastAsia="微软雅黑" w:hint="eastAsia"/>
                <w:b/>
                <w:sz w:val="21"/>
              </w:rPr>
              <w:t>沉积症</w:t>
            </w:r>
          </w:p>
        </w:tc>
        <w:tc>
          <w:tcPr>
            <w:tcW w:w="7812" w:type="dxa"/>
          </w:tcPr>
          <w:p>
            <w:pPr>
              <w:pStyle w:val="TableParagraph"/>
              <w:spacing w:before="7"/>
              <w:ind w:left="0"/>
              <w:rPr>
                <w:sz w:val="17"/>
              </w:rPr>
            </w:pPr>
          </w:p>
          <w:p>
            <w:pPr>
              <w:pStyle w:val="TableParagraph"/>
              <w:spacing w:before="1"/>
              <w:rPr>
                <w:sz w:val="21"/>
              </w:rPr>
            </w:pPr>
            <w:r>
              <w:rPr>
                <w:sz w:val="21"/>
              </w:rPr>
              <w:t>指肺泡和细支气管腔内充满不可溶性富磷脂蛋白的疾病，胸部X线呈双肺弥漫</w:t>
            </w:r>
          </w:p>
        </w:tc>
      </w:tr>
    </w:tbl>
    <w:p>
      <w:pPr>
        <w:spacing w:after="0"/>
        <w:rPr>
          <w:sz w:val="21"/>
        </w:rPr>
        <w:sectPr>
          <w:pgSz w:w="11910" w:h="16840"/>
          <w:pgMar w:top="1460" w:bottom="280" w:left="138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72"/>
        <w:gridCol w:w="7806"/>
      </w:tblGrid>
      <w:tr>
        <w:trPr>
          <w:trHeight w:val="645" w:hRule="atLeast"/>
        </w:trPr>
        <w:tc>
          <w:tcPr>
            <w:tcW w:w="699" w:type="dxa"/>
          </w:tcPr>
          <w:p>
            <w:pPr>
              <w:pStyle w:val="TableParagraph"/>
              <w:ind w:left="0"/>
              <w:rPr>
                <w:rFonts w:ascii="Times New Roman"/>
                <w:sz w:val="20"/>
              </w:rPr>
            </w:pPr>
          </w:p>
        </w:tc>
        <w:tc>
          <w:tcPr>
            <w:tcW w:w="1772" w:type="dxa"/>
          </w:tcPr>
          <w:p>
            <w:pPr>
              <w:pStyle w:val="TableParagraph"/>
              <w:ind w:left="0"/>
              <w:rPr>
                <w:rFonts w:ascii="Times New Roman"/>
                <w:sz w:val="20"/>
              </w:rPr>
            </w:pPr>
          </w:p>
        </w:tc>
        <w:tc>
          <w:tcPr>
            <w:tcW w:w="7806" w:type="dxa"/>
          </w:tcPr>
          <w:p>
            <w:pPr>
              <w:pStyle w:val="TableParagraph"/>
              <w:spacing w:line="207" w:lineRule="exact"/>
              <w:rPr>
                <w:sz w:val="21"/>
              </w:rPr>
            </w:pPr>
            <w:r>
              <w:rPr>
                <w:sz w:val="21"/>
              </w:rPr>
              <w:t>性肺部磨玻璃影，病理学检查肺泡内充满有过碘酸雪夫（PAS）染色阳性的蛋</w:t>
            </w:r>
          </w:p>
          <w:p>
            <w:pPr>
              <w:pStyle w:val="TableParagraph"/>
              <w:spacing w:before="37"/>
              <w:rPr>
                <w:sz w:val="21"/>
              </w:rPr>
            </w:pPr>
            <w:r>
              <w:rPr>
                <w:sz w:val="21"/>
              </w:rPr>
              <w:t>白样物质，并且接受了肺灌洗治疗。</w:t>
            </w:r>
          </w:p>
        </w:tc>
      </w:tr>
      <w:tr>
        <w:trPr>
          <w:trHeight w:val="324" w:hRule="atLeast"/>
        </w:trPr>
        <w:tc>
          <w:tcPr>
            <w:tcW w:w="699" w:type="dxa"/>
          </w:tcPr>
          <w:p>
            <w:pPr>
              <w:pStyle w:val="TableParagraph"/>
              <w:ind w:left="0"/>
              <w:rPr>
                <w:rFonts w:ascii="Times New Roman"/>
                <w:sz w:val="20"/>
              </w:rPr>
            </w:pPr>
          </w:p>
        </w:tc>
        <w:tc>
          <w:tcPr>
            <w:tcW w:w="1772" w:type="dxa"/>
          </w:tcPr>
          <w:p>
            <w:pPr>
              <w:pStyle w:val="TableParagraph"/>
              <w:tabs>
                <w:tab w:pos="711" w:val="left" w:leader="none"/>
              </w:tabs>
              <w:spacing w:line="304" w:lineRule="exact"/>
              <w:ind w:left="182"/>
              <w:rPr>
                <w:rFonts w:ascii="微软雅黑" w:eastAsia="微软雅黑" w:hint="eastAsia"/>
                <w:b/>
                <w:sz w:val="21"/>
              </w:rPr>
            </w:pPr>
            <w:r>
              <w:rPr>
                <w:rFonts w:ascii="微软雅黑" w:eastAsia="微软雅黑" w:hint="eastAsia"/>
                <w:b/>
                <w:sz w:val="21"/>
              </w:rPr>
              <w:t>75.</w:t>
              <w:tab/>
              <w:t>小肠移植</w:t>
            </w:r>
          </w:p>
        </w:tc>
        <w:tc>
          <w:tcPr>
            <w:tcW w:w="7806" w:type="dxa"/>
          </w:tcPr>
          <w:p>
            <w:pPr>
              <w:pStyle w:val="TableParagraph"/>
              <w:ind w:left="0"/>
              <w:rPr>
                <w:rFonts w:ascii="Times New Roman"/>
                <w:sz w:val="20"/>
              </w:rPr>
            </w:pPr>
          </w:p>
        </w:tc>
      </w:tr>
      <w:tr>
        <w:trPr>
          <w:trHeight w:val="638" w:hRule="atLeast"/>
        </w:trPr>
        <w:tc>
          <w:tcPr>
            <w:tcW w:w="699" w:type="dxa"/>
          </w:tcPr>
          <w:p>
            <w:pPr>
              <w:pStyle w:val="TableParagraph"/>
              <w:ind w:left="0"/>
              <w:rPr>
                <w:rFonts w:ascii="Times New Roman"/>
                <w:sz w:val="20"/>
              </w:rPr>
            </w:pPr>
          </w:p>
        </w:tc>
        <w:tc>
          <w:tcPr>
            <w:tcW w:w="1772" w:type="dxa"/>
          </w:tcPr>
          <w:p>
            <w:pPr>
              <w:pStyle w:val="TableParagraph"/>
              <w:ind w:left="0"/>
              <w:rPr>
                <w:rFonts w:ascii="Times New Roman"/>
                <w:sz w:val="20"/>
              </w:rPr>
            </w:pPr>
          </w:p>
        </w:tc>
        <w:tc>
          <w:tcPr>
            <w:tcW w:w="7806" w:type="dxa"/>
          </w:tcPr>
          <w:p>
            <w:pPr>
              <w:pStyle w:val="TableParagraph"/>
              <w:spacing w:line="197" w:lineRule="exact"/>
              <w:rPr>
                <w:sz w:val="21"/>
              </w:rPr>
            </w:pPr>
            <w:r>
              <w:rPr>
                <w:sz w:val="21"/>
              </w:rPr>
              <w:t>指因肠道疾病或外伤，已经实施了在全身麻醉下进行的小肠的异体器官移植</w:t>
            </w:r>
          </w:p>
          <w:p>
            <w:pPr>
              <w:pStyle w:val="TableParagraph"/>
              <w:spacing w:before="37"/>
              <w:rPr>
                <w:sz w:val="21"/>
              </w:rPr>
            </w:pPr>
            <w:r>
              <w:rPr>
                <w:sz w:val="21"/>
              </w:rPr>
              <w:t>手术。</w:t>
            </w:r>
            <w:r>
              <w:rPr>
                <w:sz w:val="21"/>
                <w:shd w:fill="D9D9D9" w:color="auto" w:val="clear"/>
              </w:rPr>
              <w:t>此手术必须由专科医生认为是医学上必需的情况下进行。</w:t>
            </w:r>
          </w:p>
        </w:tc>
      </w:tr>
      <w:tr>
        <w:trPr>
          <w:trHeight w:val="3865" w:hRule="atLeast"/>
        </w:trPr>
        <w:tc>
          <w:tcPr>
            <w:tcW w:w="699" w:type="dxa"/>
          </w:tcPr>
          <w:p>
            <w:pPr>
              <w:pStyle w:val="TableParagraph"/>
              <w:ind w:left="0"/>
              <w:rPr>
                <w:rFonts w:ascii="Times New Roman"/>
                <w:sz w:val="20"/>
              </w:rPr>
            </w:pPr>
          </w:p>
        </w:tc>
        <w:tc>
          <w:tcPr>
            <w:tcW w:w="1772" w:type="dxa"/>
          </w:tcPr>
          <w:p>
            <w:pPr>
              <w:pStyle w:val="TableParagraph"/>
              <w:spacing w:line="177" w:lineRule="auto" w:before="88"/>
              <w:ind w:left="182" w:right="108"/>
              <w:rPr>
                <w:rFonts w:ascii="微软雅黑" w:eastAsia="微软雅黑" w:hint="eastAsia"/>
                <w:b/>
                <w:sz w:val="21"/>
              </w:rPr>
            </w:pPr>
            <w:r>
              <w:rPr>
                <w:rFonts w:ascii="微软雅黑" w:eastAsia="微软雅黑" w:hint="eastAsia"/>
                <w:b/>
                <w:sz w:val="21"/>
              </w:rPr>
              <w:t>76. 疾病或外伤所致智力障碍</w:t>
            </w:r>
          </w:p>
        </w:tc>
        <w:tc>
          <w:tcPr>
            <w:tcW w:w="7806" w:type="dxa"/>
          </w:tcPr>
          <w:p>
            <w:pPr>
              <w:pStyle w:val="TableParagraph"/>
              <w:spacing w:before="3"/>
              <w:ind w:left="0"/>
              <w:rPr>
                <w:sz w:val="29"/>
              </w:rPr>
            </w:pPr>
          </w:p>
          <w:p>
            <w:pPr>
              <w:pStyle w:val="TableParagraph"/>
              <w:spacing w:line="274" w:lineRule="exact"/>
              <w:rPr>
                <w:sz w:val="21"/>
              </w:rPr>
            </w:pPr>
            <w:r>
              <w:rPr>
                <w:sz w:val="21"/>
              </w:rPr>
              <w:t>因严重头部创伤或疾病造成被保险人智力低常（智力低于常态）。根据智商</w:t>
            </w:r>
          </w:p>
          <w:p>
            <w:pPr>
              <w:pStyle w:val="TableParagraph"/>
              <w:spacing w:line="266" w:lineRule="exact"/>
              <w:rPr>
                <w:sz w:val="21"/>
              </w:rPr>
            </w:pPr>
            <w:r>
              <w:rPr>
                <w:sz w:val="21"/>
              </w:rPr>
              <w:t>（ IQ ）， 智力低常分为轻度（ IQ50-70 ）； 中度（ IQ35-50 ）； 重度</w:t>
            </w:r>
          </w:p>
          <w:p>
            <w:pPr>
              <w:pStyle w:val="TableParagraph"/>
              <w:spacing w:line="237" w:lineRule="auto"/>
              <w:ind w:right="404"/>
              <w:rPr>
                <w:sz w:val="21"/>
              </w:rPr>
            </w:pPr>
            <w:r>
              <w:rPr>
                <w:sz w:val="22"/>
              </w:rPr>
              <w:t>（</w:t>
            </w:r>
            <w:r>
              <w:rPr>
                <w:sz w:val="21"/>
              </w:rPr>
              <w:t>IQ2</w:t>
            </w:r>
            <w:r>
              <w:rPr>
                <w:sz w:val="22"/>
              </w:rPr>
              <w:t>0</w:t>
            </w:r>
            <w:r>
              <w:rPr>
                <w:sz w:val="21"/>
              </w:rPr>
              <w:t>-35</w:t>
            </w:r>
            <w:r>
              <w:rPr>
                <w:sz w:val="22"/>
              </w:rPr>
              <w:t>）</w:t>
            </w:r>
            <w:r>
              <w:rPr>
                <w:spacing w:val="-2"/>
                <w:sz w:val="21"/>
              </w:rPr>
              <w:t>和极重度</w:t>
            </w:r>
            <w:r>
              <w:rPr>
                <w:sz w:val="22"/>
              </w:rPr>
              <w:t>（IQ</w:t>
            </w:r>
            <w:r>
              <w:rPr>
                <w:sz w:val="21"/>
              </w:rPr>
              <w:t>&lt;2</w:t>
            </w:r>
            <w:r>
              <w:rPr>
                <w:sz w:val="22"/>
              </w:rPr>
              <w:t>0）</w:t>
            </w:r>
            <w:r>
              <w:rPr>
                <w:spacing w:val="-5"/>
                <w:sz w:val="21"/>
              </w:rPr>
              <w:t>。智商的检测必须由专职心理测验工作者进行，专职心理测验工作者必须持有由心理测量专业委员会资格认定书。根据被保险人年龄采用对应的智力量表如韦克斯勒智力量表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pacing w:val="-4"/>
                <w:sz w:val="21"/>
              </w:rPr>
              <w:t>。必须满足下列全部条件：</w:t>
            </w:r>
          </w:p>
          <w:p>
            <w:pPr>
              <w:pStyle w:val="TableParagraph"/>
              <w:spacing w:before="28"/>
              <w:ind w:left="782" w:right="301" w:hanging="528"/>
              <w:rPr>
                <w:sz w:val="21"/>
              </w:rPr>
            </w:pPr>
            <w:r>
              <w:rPr>
                <w:sz w:val="21"/>
              </w:rPr>
              <w:t>（1）造成被保险人智力低常（智力低于常态）的严重头部创伤或疾病（以入院日期为准）发生在被保险人6周岁以后；</w:t>
            </w:r>
          </w:p>
          <w:p>
            <w:pPr>
              <w:pStyle w:val="TableParagraph"/>
              <w:spacing w:before="22"/>
              <w:rPr>
                <w:sz w:val="21"/>
              </w:rPr>
            </w:pPr>
            <w:r>
              <w:rPr>
                <w:sz w:val="21"/>
              </w:rPr>
              <w:t>（2）儿科主任医师确诊被保险人由于严重头部创伤或疾病造成智力低常；</w:t>
            </w:r>
          </w:p>
          <w:p>
            <w:pPr>
              <w:pStyle w:val="TableParagraph"/>
              <w:spacing w:before="22"/>
              <w:ind w:left="782" w:right="298" w:hanging="528"/>
              <w:rPr>
                <w:sz w:val="21"/>
              </w:rPr>
            </w:pPr>
            <w:r>
              <w:rPr>
                <w:sz w:val="21"/>
              </w:rPr>
              <w:t>（3）专职心理检测工作者适时做的心理检测证实被保险人智力低常（轻度、中度、重度或极重度）；</w:t>
            </w:r>
          </w:p>
          <w:p>
            <w:pPr>
              <w:pStyle w:val="TableParagraph"/>
              <w:spacing w:before="18"/>
              <w:rPr>
                <w:sz w:val="21"/>
              </w:rPr>
            </w:pPr>
            <w:r>
              <w:rPr>
                <w:sz w:val="21"/>
              </w:rPr>
              <w:t>（4）被保险人的智力低常自确认日起持续180天以上。</w:t>
            </w:r>
          </w:p>
        </w:tc>
      </w:tr>
      <w:tr>
        <w:trPr>
          <w:trHeight w:val="952" w:hRule="atLeast"/>
        </w:trPr>
        <w:tc>
          <w:tcPr>
            <w:tcW w:w="699" w:type="dxa"/>
          </w:tcPr>
          <w:p>
            <w:pPr>
              <w:pStyle w:val="TableParagraph"/>
              <w:ind w:left="0"/>
              <w:rPr>
                <w:rFonts w:ascii="Times New Roman"/>
                <w:sz w:val="20"/>
              </w:rPr>
            </w:pPr>
          </w:p>
        </w:tc>
        <w:tc>
          <w:tcPr>
            <w:tcW w:w="1772" w:type="dxa"/>
          </w:tcPr>
          <w:p>
            <w:pPr>
              <w:pStyle w:val="TableParagraph"/>
              <w:spacing w:line="180" w:lineRule="auto" w:before="70"/>
              <w:ind w:left="182" w:right="108"/>
              <w:rPr>
                <w:rFonts w:ascii="微软雅黑" w:eastAsia="微软雅黑" w:hint="eastAsia"/>
                <w:b/>
                <w:sz w:val="21"/>
              </w:rPr>
            </w:pPr>
            <w:r>
              <w:rPr>
                <w:rFonts w:ascii="微软雅黑" w:eastAsia="微软雅黑" w:hint="eastAsia"/>
                <w:b/>
                <w:sz w:val="21"/>
              </w:rPr>
              <w:t>77. 弥漫性血管内凝血</w:t>
            </w:r>
          </w:p>
        </w:tc>
        <w:tc>
          <w:tcPr>
            <w:tcW w:w="7806" w:type="dxa"/>
          </w:tcPr>
          <w:p>
            <w:pPr>
              <w:pStyle w:val="TableParagraph"/>
              <w:spacing w:before="3"/>
              <w:ind w:left="0"/>
              <w:rPr>
                <w:sz w:val="18"/>
              </w:rPr>
            </w:pPr>
          </w:p>
          <w:p>
            <w:pPr>
              <w:pStyle w:val="TableParagraph"/>
              <w:spacing w:line="273" w:lineRule="auto"/>
              <w:ind w:right="618"/>
              <w:rPr>
                <w:sz w:val="21"/>
              </w:rPr>
            </w:pPr>
            <w:r>
              <w:rPr>
                <w:sz w:val="21"/>
              </w:rPr>
              <w:t>指血液凝固系统和纤溶系统的过度活动导致微血管血栓形成、血小板及凝血因子耗竭和严重出血，需要输注血浆和浓缩血小板进行治疗。</w:t>
            </w:r>
          </w:p>
        </w:tc>
      </w:tr>
      <w:tr>
        <w:trPr>
          <w:trHeight w:val="896" w:hRule="atLeast"/>
        </w:trPr>
        <w:tc>
          <w:tcPr>
            <w:tcW w:w="699" w:type="dxa"/>
          </w:tcPr>
          <w:p>
            <w:pPr>
              <w:pStyle w:val="TableParagraph"/>
              <w:ind w:left="0"/>
              <w:rPr>
                <w:rFonts w:ascii="Times New Roman"/>
                <w:sz w:val="20"/>
              </w:rPr>
            </w:pPr>
          </w:p>
        </w:tc>
        <w:tc>
          <w:tcPr>
            <w:tcW w:w="1772" w:type="dxa"/>
          </w:tcPr>
          <w:p>
            <w:pPr>
              <w:pStyle w:val="TableParagraph"/>
              <w:spacing w:line="180" w:lineRule="auto" w:before="82"/>
              <w:ind w:left="182" w:right="108"/>
              <w:rPr>
                <w:rFonts w:ascii="微软雅黑" w:eastAsia="微软雅黑" w:hint="eastAsia"/>
                <w:b/>
                <w:sz w:val="21"/>
              </w:rPr>
            </w:pPr>
            <w:r>
              <w:rPr>
                <w:rFonts w:ascii="微软雅黑" w:eastAsia="微软雅黑" w:hint="eastAsia"/>
                <w:b/>
                <w:sz w:val="21"/>
              </w:rPr>
              <w:t>78. 严重面部烧伤</w:t>
            </w:r>
          </w:p>
        </w:tc>
        <w:tc>
          <w:tcPr>
            <w:tcW w:w="7806" w:type="dxa"/>
          </w:tcPr>
          <w:p>
            <w:pPr>
              <w:pStyle w:val="TableParagraph"/>
              <w:spacing w:before="12"/>
              <w:ind w:left="0"/>
              <w:rPr>
                <w:sz w:val="17"/>
              </w:rPr>
            </w:pPr>
          </w:p>
          <w:p>
            <w:pPr>
              <w:pStyle w:val="TableParagraph"/>
              <w:spacing w:line="228" w:lineRule="auto"/>
              <w:ind w:right="380"/>
              <w:rPr>
                <w:sz w:val="22"/>
              </w:rPr>
            </w:pPr>
            <w:r>
              <w:rPr>
                <w:sz w:val="21"/>
              </w:rPr>
              <w:t>指面部烧伤程度为Ⅲ度，且Ⅲ度烧伤的面积达到面部表面积的80％或者</w:t>
            </w:r>
            <w:r>
              <w:rPr>
                <w:sz w:val="22"/>
              </w:rPr>
              <w:t>80％以上，体表面积根据《中国新九分法》计算。</w:t>
            </w:r>
          </w:p>
        </w:tc>
      </w:tr>
      <w:tr>
        <w:trPr>
          <w:trHeight w:val="1934" w:hRule="atLeast"/>
        </w:trPr>
        <w:tc>
          <w:tcPr>
            <w:tcW w:w="699" w:type="dxa"/>
          </w:tcPr>
          <w:p>
            <w:pPr>
              <w:pStyle w:val="TableParagraph"/>
              <w:ind w:left="0"/>
              <w:rPr>
                <w:rFonts w:ascii="Times New Roman"/>
                <w:sz w:val="20"/>
              </w:rPr>
            </w:pPr>
          </w:p>
        </w:tc>
        <w:tc>
          <w:tcPr>
            <w:tcW w:w="1772" w:type="dxa"/>
          </w:tcPr>
          <w:p>
            <w:pPr>
              <w:pStyle w:val="TableParagraph"/>
              <w:spacing w:line="180" w:lineRule="auto" w:before="70"/>
              <w:ind w:left="182" w:right="108"/>
              <w:rPr>
                <w:rFonts w:ascii="微软雅黑" w:eastAsia="微软雅黑" w:hint="eastAsia"/>
                <w:b/>
                <w:sz w:val="21"/>
              </w:rPr>
            </w:pPr>
            <w:r>
              <w:rPr>
                <w:rFonts w:ascii="微软雅黑" w:eastAsia="微软雅黑" w:hint="eastAsia"/>
                <w:b/>
                <w:sz w:val="21"/>
              </w:rPr>
              <w:t>79. 亚急性硬化性全脑炎</w:t>
            </w:r>
          </w:p>
        </w:tc>
        <w:tc>
          <w:tcPr>
            <w:tcW w:w="7806" w:type="dxa"/>
          </w:tcPr>
          <w:p>
            <w:pPr>
              <w:pStyle w:val="TableParagraph"/>
              <w:spacing w:line="273" w:lineRule="auto" w:before="66"/>
              <w:ind w:right="407"/>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before="17"/>
              <w:ind w:left="782" w:right="405" w:hanging="528"/>
              <w:rPr>
                <w:sz w:val="21"/>
              </w:rPr>
            </w:pPr>
            <w:r>
              <w:rPr>
                <w:sz w:val="21"/>
              </w:rPr>
              <w:t>（1）脑电图存在周期性复合波、脑脊液 r-球蛋白升高、脑脊液和血清中麻疹抗体滴定度升高；</w:t>
            </w:r>
          </w:p>
          <w:p>
            <w:pPr>
              <w:pStyle w:val="TableParagraph"/>
              <w:spacing w:before="22"/>
              <w:ind w:left="782" w:right="298" w:hanging="528"/>
              <w:rPr>
                <w:sz w:val="21"/>
              </w:rPr>
            </w:pPr>
            <w:r>
              <w:rPr>
                <w:sz w:val="21"/>
              </w:rPr>
              <w:t>（2）被保险人出现运动障碍，自主生活能力完全丧失，无法独立完成六项基本日常生活活动中的三项或三项以上。</w:t>
            </w:r>
          </w:p>
        </w:tc>
      </w:tr>
      <w:tr>
        <w:trPr>
          <w:trHeight w:val="2729" w:hRule="atLeast"/>
        </w:trPr>
        <w:tc>
          <w:tcPr>
            <w:tcW w:w="699" w:type="dxa"/>
          </w:tcPr>
          <w:p>
            <w:pPr>
              <w:pStyle w:val="TableParagraph"/>
              <w:ind w:left="0"/>
              <w:rPr>
                <w:rFonts w:ascii="Times New Roman"/>
                <w:sz w:val="20"/>
              </w:rPr>
            </w:pPr>
          </w:p>
        </w:tc>
        <w:tc>
          <w:tcPr>
            <w:tcW w:w="1772" w:type="dxa"/>
          </w:tcPr>
          <w:p>
            <w:pPr>
              <w:pStyle w:val="TableParagraph"/>
              <w:spacing w:line="180" w:lineRule="auto" w:before="70"/>
              <w:ind w:left="182" w:right="108"/>
              <w:rPr>
                <w:rFonts w:ascii="微软雅黑" w:eastAsia="微软雅黑" w:hint="eastAsia"/>
                <w:b/>
                <w:sz w:val="21"/>
              </w:rPr>
            </w:pPr>
            <w:r>
              <w:rPr>
                <w:rFonts w:ascii="微软雅黑" w:eastAsia="微软雅黑" w:hint="eastAsia"/>
                <w:b/>
                <w:sz w:val="21"/>
              </w:rPr>
              <w:t>80. 脊髓小脑变性症</w:t>
            </w:r>
          </w:p>
        </w:tc>
        <w:tc>
          <w:tcPr>
            <w:tcW w:w="7806" w:type="dxa"/>
          </w:tcPr>
          <w:p>
            <w:pPr>
              <w:pStyle w:val="TableParagraph"/>
              <w:spacing w:before="11"/>
              <w:ind w:left="0"/>
              <w:rPr>
                <w:sz w:val="17"/>
              </w:rPr>
            </w:pPr>
          </w:p>
          <w:p>
            <w:pPr>
              <w:pStyle w:val="TableParagraph"/>
              <w:spacing w:line="273" w:lineRule="auto" w:before="1"/>
              <w:ind w:right="618"/>
              <w:rPr>
                <w:sz w:val="21"/>
              </w:rPr>
            </w:pPr>
            <w:r>
              <w:rPr>
                <w:sz w:val="21"/>
              </w:rPr>
              <w:t>指一组以小脑萎缩和共济失调为主要临床特点的疾病。必须符合所有以下条件：</w:t>
            </w:r>
          </w:p>
          <w:p>
            <w:pPr>
              <w:pStyle w:val="TableParagraph"/>
              <w:spacing w:line="242" w:lineRule="auto" w:before="12"/>
              <w:ind w:left="782" w:right="721" w:hanging="528"/>
              <w:rPr>
                <w:sz w:val="21"/>
              </w:rPr>
            </w:pPr>
            <w:r>
              <w:rPr>
                <w:sz w:val="21"/>
              </w:rPr>
              <w:t>（1）</w:t>
            </w:r>
            <w:r>
              <w:rPr>
                <w:sz w:val="21"/>
                <w:shd w:fill="D9D9D9" w:color="auto" w:val="clear"/>
              </w:rPr>
              <w:t>脊髓小脑变性症必须由神经内科专科医生确诊，</w:t>
            </w:r>
            <w:r>
              <w:rPr>
                <w:sz w:val="21"/>
              </w:rPr>
              <w:t>并有以下全部证据支持：</w:t>
            </w:r>
          </w:p>
          <w:p>
            <w:pPr>
              <w:pStyle w:val="TableParagraph"/>
              <w:spacing w:line="244" w:lineRule="exact"/>
              <w:ind w:left="782"/>
              <w:rPr>
                <w:sz w:val="21"/>
              </w:rPr>
            </w:pPr>
            <w:r>
              <w:rPr>
                <w:sz w:val="21"/>
              </w:rPr>
              <w:t>①影像学检查证实存在小脑萎缩；</w:t>
            </w:r>
          </w:p>
          <w:p>
            <w:pPr>
              <w:pStyle w:val="TableParagraph"/>
              <w:spacing w:line="272" w:lineRule="exact"/>
              <w:ind w:left="782"/>
              <w:rPr>
                <w:sz w:val="21"/>
              </w:rPr>
            </w:pPr>
            <w:r>
              <w:rPr>
                <w:sz w:val="21"/>
              </w:rPr>
              <w:t>②临床表现存在共济失调、语言障碍和肌张力异常；</w:t>
            </w:r>
          </w:p>
          <w:p>
            <w:pPr>
              <w:pStyle w:val="TableParagraph"/>
              <w:spacing w:before="17"/>
              <w:ind w:left="782" w:right="512" w:hanging="528"/>
              <w:rPr>
                <w:sz w:val="21"/>
              </w:rPr>
            </w:pPr>
            <w:r>
              <w:rPr>
                <w:sz w:val="21"/>
              </w:rPr>
              <w:t>（2）被保险人运动功能严重障碍，自主生活能力完全丧失，无法独立完成六项基本日常生活活动中的三项或三项以上。</w:t>
            </w:r>
          </w:p>
        </w:tc>
      </w:tr>
      <w:tr>
        <w:trPr>
          <w:trHeight w:val="1507" w:hRule="atLeast"/>
        </w:trPr>
        <w:tc>
          <w:tcPr>
            <w:tcW w:w="699" w:type="dxa"/>
          </w:tcPr>
          <w:p>
            <w:pPr>
              <w:pStyle w:val="TableParagraph"/>
              <w:spacing w:before="93"/>
              <w:ind w:left="0" w:right="180"/>
              <w:jc w:val="right"/>
              <w:rPr>
                <w:rFonts w:ascii="微软雅黑"/>
                <w:b/>
                <w:sz w:val="21"/>
              </w:rPr>
            </w:pPr>
            <w:r>
              <w:rPr>
                <w:rFonts w:ascii="微软雅黑"/>
                <w:b/>
                <w:sz w:val="21"/>
              </w:rPr>
              <w:t>6.4</w:t>
            </w:r>
          </w:p>
        </w:tc>
        <w:tc>
          <w:tcPr>
            <w:tcW w:w="1772" w:type="dxa"/>
          </w:tcPr>
          <w:p>
            <w:pPr>
              <w:pStyle w:val="TableParagraph"/>
              <w:spacing w:before="93"/>
              <w:ind w:left="182"/>
              <w:rPr>
                <w:rFonts w:ascii="微软雅黑" w:eastAsia="微软雅黑" w:hint="eastAsia"/>
                <w:b/>
                <w:sz w:val="21"/>
              </w:rPr>
            </w:pPr>
            <w:r>
              <w:rPr>
                <w:rFonts w:ascii="微软雅黑" w:eastAsia="微软雅黑" w:hint="eastAsia"/>
                <w:b/>
                <w:sz w:val="21"/>
              </w:rPr>
              <w:t>意外伤害</w:t>
            </w:r>
          </w:p>
        </w:tc>
        <w:tc>
          <w:tcPr>
            <w:tcW w:w="7806" w:type="dxa"/>
          </w:tcPr>
          <w:p>
            <w:pPr>
              <w:pStyle w:val="TableParagraph"/>
              <w:spacing w:line="273" w:lineRule="auto" w:before="155"/>
              <w:ind w:left="110" w:right="198"/>
              <w:rPr>
                <w:sz w:val="21"/>
              </w:rPr>
            </w:pPr>
            <w:r>
              <w:rPr>
                <w:spacing w:val="-9"/>
                <w:sz w:val="21"/>
              </w:rPr>
              <w:t>指遭受外来的、突发的、非本意的、非疾病的使身体受到伤害的客观事件。</w:t>
            </w:r>
            <w:r>
              <w:rPr>
                <w:sz w:val="21"/>
                <w:shd w:fill="D9D9D9" w:color="auto" w:val="clear"/>
              </w:rPr>
              <w:t>猝死不</w:t>
            </w:r>
            <w:r>
              <w:rPr>
                <w:spacing w:val="-1"/>
                <w:sz w:val="21"/>
                <w:shd w:fill="D9D9D9" w:color="auto" w:val="clear"/>
              </w:rPr>
              <w:t>属于意外伤害。</w:t>
            </w:r>
          </w:p>
          <w:p>
            <w:pPr>
              <w:pStyle w:val="TableParagraph"/>
              <w:spacing w:line="273" w:lineRule="auto" w:before="7"/>
              <w:ind w:left="110" w:right="198"/>
              <w:rPr>
                <w:sz w:val="21"/>
              </w:rPr>
            </w:pPr>
            <w:r>
              <w:rPr>
                <w:spacing w:val="-6"/>
                <w:sz w:val="21"/>
              </w:rPr>
              <w:t>猝死指表面健康的人因潜在疾病、机能障碍或其他原因在出现症状后 </w:t>
            </w:r>
            <w:r>
              <w:rPr>
                <w:sz w:val="21"/>
              </w:rPr>
              <w:t>24</w:t>
            </w:r>
            <w:r>
              <w:rPr>
                <w:spacing w:val="-5"/>
                <w:sz w:val="21"/>
              </w:rPr>
              <w:t> 小时内发生的非暴力性突然死亡。</w:t>
            </w:r>
            <w:r>
              <w:rPr>
                <w:spacing w:val="-5"/>
                <w:sz w:val="21"/>
                <w:shd w:fill="D9D9D9" w:color="auto" w:val="clear"/>
              </w:rPr>
              <w:t>猝死的认定以医院的诊断和公安部门的鉴定为准。</w:t>
            </w:r>
          </w:p>
        </w:tc>
      </w:tr>
      <w:tr>
        <w:trPr>
          <w:trHeight w:val="348" w:hRule="atLeast"/>
        </w:trPr>
        <w:tc>
          <w:tcPr>
            <w:tcW w:w="699" w:type="dxa"/>
          </w:tcPr>
          <w:p>
            <w:pPr>
              <w:pStyle w:val="TableParagraph"/>
              <w:spacing w:line="322" w:lineRule="exact" w:before="6"/>
              <w:ind w:left="0" w:right="180"/>
              <w:jc w:val="right"/>
              <w:rPr>
                <w:rFonts w:ascii="微软雅黑"/>
                <w:b/>
                <w:sz w:val="21"/>
              </w:rPr>
            </w:pPr>
            <w:r>
              <w:rPr>
                <w:rFonts w:ascii="微软雅黑"/>
                <w:b/>
                <w:sz w:val="21"/>
              </w:rPr>
              <w:t>6.5</w:t>
            </w:r>
          </w:p>
        </w:tc>
        <w:tc>
          <w:tcPr>
            <w:tcW w:w="1772" w:type="dxa"/>
          </w:tcPr>
          <w:p>
            <w:pPr>
              <w:pStyle w:val="TableParagraph"/>
              <w:spacing w:line="322" w:lineRule="exact" w:before="6"/>
              <w:ind w:left="182"/>
              <w:rPr>
                <w:rFonts w:ascii="微软雅黑" w:eastAsia="微软雅黑" w:hint="eastAsia"/>
                <w:b/>
                <w:sz w:val="21"/>
              </w:rPr>
            </w:pPr>
            <w:r>
              <w:rPr>
                <w:rFonts w:ascii="微软雅黑" w:eastAsia="微软雅黑" w:hint="eastAsia"/>
                <w:b/>
                <w:sz w:val="21"/>
              </w:rPr>
              <w:t>毒品</w:t>
            </w:r>
          </w:p>
        </w:tc>
        <w:tc>
          <w:tcPr>
            <w:tcW w:w="7806" w:type="dxa"/>
          </w:tcPr>
          <w:p>
            <w:pPr>
              <w:pStyle w:val="TableParagraph"/>
              <w:spacing w:line="259" w:lineRule="exact" w:before="69"/>
              <w:ind w:left="110"/>
              <w:rPr>
                <w:sz w:val="21"/>
              </w:rPr>
            </w:pPr>
            <w:r>
              <w:rPr>
                <w:spacing w:val="-8"/>
                <w:sz w:val="21"/>
              </w:rPr>
              <w:t>指中华人民共和国刑法规定的鸦片、海洛因、甲基苯丙胺</w:t>
            </w:r>
            <w:r>
              <w:rPr>
                <w:sz w:val="21"/>
              </w:rPr>
              <w:t>（</w:t>
            </w:r>
            <w:r>
              <w:rPr>
                <w:spacing w:val="-3"/>
                <w:sz w:val="21"/>
              </w:rPr>
              <w:t>冰毒</w:t>
            </w:r>
            <w:r>
              <w:rPr>
                <w:spacing w:val="-106"/>
                <w:sz w:val="21"/>
              </w:rPr>
              <w:t>）</w:t>
            </w:r>
            <w:r>
              <w:rPr>
                <w:spacing w:val="-14"/>
                <w:sz w:val="21"/>
              </w:rPr>
              <w:t>、吗啡、大麻、可</w:t>
            </w:r>
          </w:p>
        </w:tc>
      </w:tr>
    </w:tbl>
    <w:p>
      <w:pPr>
        <w:spacing w:after="0" w:line="259" w:lineRule="exact"/>
        <w:rPr>
          <w:sz w:val="21"/>
        </w:rPr>
        <w:sectPr>
          <w:pgSz w:w="11910" w:h="16840"/>
          <w:pgMar w:top="1480" w:bottom="280" w:left="70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19"/>
        <w:gridCol w:w="7909"/>
      </w:tblGrid>
      <w:tr>
        <w:trPr>
          <w:trHeight w:val="657" w:hRule="atLeast"/>
        </w:trPr>
        <w:tc>
          <w:tcPr>
            <w:tcW w:w="752" w:type="dxa"/>
          </w:tcPr>
          <w:p>
            <w:pPr>
              <w:pStyle w:val="TableParagraph"/>
              <w:ind w:left="0"/>
              <w:rPr>
                <w:rFonts w:ascii="Times New Roman"/>
                <w:sz w:val="20"/>
              </w:rPr>
            </w:pPr>
          </w:p>
        </w:tc>
        <w:tc>
          <w:tcPr>
            <w:tcW w:w="1719" w:type="dxa"/>
          </w:tcPr>
          <w:p>
            <w:pPr>
              <w:pStyle w:val="TableParagraph"/>
              <w:ind w:left="0"/>
              <w:rPr>
                <w:rFonts w:ascii="Times New Roman"/>
                <w:sz w:val="20"/>
              </w:rPr>
            </w:pPr>
          </w:p>
        </w:tc>
        <w:tc>
          <w:tcPr>
            <w:tcW w:w="7909" w:type="dxa"/>
          </w:tcPr>
          <w:p>
            <w:pPr>
              <w:pStyle w:val="TableParagraph"/>
              <w:spacing w:line="207" w:lineRule="exact"/>
              <w:ind w:left="110"/>
              <w:rPr>
                <w:sz w:val="21"/>
              </w:rPr>
            </w:pPr>
            <w:r>
              <w:rPr>
                <w:sz w:val="21"/>
              </w:rPr>
              <w:t>卡因以及国家规定管制的其他能够使人形成瘾癖的麻醉药品和精神药品，但不包括</w:t>
            </w:r>
          </w:p>
          <w:p>
            <w:pPr>
              <w:pStyle w:val="TableParagraph"/>
              <w:spacing w:before="37"/>
              <w:ind w:left="110"/>
              <w:rPr>
                <w:sz w:val="21"/>
              </w:rPr>
            </w:pPr>
            <w:r>
              <w:rPr>
                <w:sz w:val="21"/>
              </w:rPr>
              <w:t>由医生开具并遵医嘱使用的用于治疗疾病但含有毒品成分的处方药品。</w:t>
            </w:r>
          </w:p>
        </w:tc>
      </w:tr>
      <w:tr>
        <w:trPr>
          <w:trHeight w:val="1106" w:hRule="atLeast"/>
        </w:trPr>
        <w:tc>
          <w:tcPr>
            <w:tcW w:w="752" w:type="dxa"/>
          </w:tcPr>
          <w:p>
            <w:pPr>
              <w:pStyle w:val="TableParagraph"/>
              <w:spacing w:before="4"/>
              <w:ind w:left="200"/>
              <w:rPr>
                <w:rFonts w:ascii="微软雅黑"/>
                <w:b/>
                <w:sz w:val="21"/>
              </w:rPr>
            </w:pPr>
            <w:r>
              <w:rPr>
                <w:rFonts w:ascii="微软雅黑"/>
                <w:b/>
                <w:sz w:val="21"/>
              </w:rPr>
              <w:t>6.6</w:t>
            </w:r>
          </w:p>
        </w:tc>
        <w:tc>
          <w:tcPr>
            <w:tcW w:w="1719" w:type="dxa"/>
          </w:tcPr>
          <w:p>
            <w:pPr>
              <w:pStyle w:val="TableParagraph"/>
              <w:spacing w:before="4"/>
              <w:ind w:left="129"/>
              <w:rPr>
                <w:rFonts w:ascii="微软雅黑" w:eastAsia="微软雅黑" w:hint="eastAsia"/>
                <w:b/>
                <w:sz w:val="21"/>
              </w:rPr>
            </w:pPr>
            <w:r>
              <w:rPr>
                <w:rFonts w:ascii="微软雅黑" w:eastAsia="微软雅黑" w:hint="eastAsia"/>
                <w:b/>
                <w:sz w:val="21"/>
              </w:rPr>
              <w:t>酒后驾驶</w:t>
            </w:r>
          </w:p>
        </w:tc>
        <w:tc>
          <w:tcPr>
            <w:tcW w:w="7909" w:type="dxa"/>
          </w:tcPr>
          <w:p>
            <w:pPr>
              <w:pStyle w:val="TableParagraph"/>
              <w:spacing w:line="273" w:lineRule="auto" w:before="66"/>
              <w:ind w:left="110" w:right="303"/>
              <w:jc w:val="both"/>
              <w:rPr>
                <w:sz w:val="21"/>
              </w:rPr>
            </w:pPr>
            <w:r>
              <w:rPr>
                <w:spacing w:val="-9"/>
                <w:sz w:val="21"/>
              </w:rPr>
              <w:t>指经检测或鉴定，发生事故时车辆驾驶人员每百毫升血液中的酒精含量达到或超过</w:t>
            </w:r>
            <w:r>
              <w:rPr>
                <w:spacing w:val="-11"/>
                <w:sz w:val="21"/>
              </w:rPr>
              <w:t>一定的标准，公安机关交通管理部门依据《道路交通安全法》的规定认定为饮酒后</w:t>
            </w:r>
            <w:r>
              <w:rPr>
                <w:spacing w:val="-7"/>
                <w:sz w:val="21"/>
              </w:rPr>
              <w:t>驾驶或醉酒后驾驶。</w:t>
            </w:r>
          </w:p>
        </w:tc>
      </w:tr>
      <w:tr>
        <w:trPr>
          <w:trHeight w:val="2043" w:hRule="atLeast"/>
        </w:trPr>
        <w:tc>
          <w:tcPr>
            <w:tcW w:w="752" w:type="dxa"/>
          </w:tcPr>
          <w:p>
            <w:pPr>
              <w:pStyle w:val="TableParagraph"/>
              <w:spacing w:before="6"/>
              <w:ind w:left="200"/>
              <w:rPr>
                <w:rFonts w:ascii="微软雅黑"/>
                <w:b/>
                <w:sz w:val="21"/>
              </w:rPr>
            </w:pPr>
            <w:r>
              <w:rPr>
                <w:rFonts w:ascii="微软雅黑"/>
                <w:b/>
                <w:sz w:val="21"/>
              </w:rPr>
              <w:t>6.7</w:t>
            </w:r>
          </w:p>
        </w:tc>
        <w:tc>
          <w:tcPr>
            <w:tcW w:w="1719" w:type="dxa"/>
          </w:tcPr>
          <w:p>
            <w:pPr>
              <w:pStyle w:val="TableParagraph"/>
              <w:spacing w:line="206" w:lineRule="auto" w:before="57"/>
              <w:ind w:left="129" w:right="104"/>
              <w:rPr>
                <w:rFonts w:ascii="微软雅黑" w:eastAsia="微软雅黑" w:hint="eastAsia"/>
                <w:b/>
                <w:sz w:val="21"/>
              </w:rPr>
            </w:pPr>
            <w:r>
              <w:rPr>
                <w:rFonts w:ascii="微软雅黑" w:eastAsia="微软雅黑" w:hint="eastAsia"/>
                <w:b/>
                <w:sz w:val="21"/>
              </w:rPr>
              <w:t>无合法有效驾驶证驾驶</w:t>
            </w:r>
          </w:p>
        </w:tc>
        <w:tc>
          <w:tcPr>
            <w:tcW w:w="7909" w:type="dxa"/>
          </w:tcPr>
          <w:p>
            <w:pPr>
              <w:pStyle w:val="TableParagraph"/>
              <w:spacing w:before="68"/>
              <w:ind w:left="110"/>
              <w:rPr>
                <w:sz w:val="21"/>
              </w:rPr>
            </w:pPr>
            <w:r>
              <w:rPr>
                <w:sz w:val="21"/>
              </w:rPr>
              <w:t>指下列情形之一：</w:t>
            </w:r>
          </w:p>
          <w:p>
            <w:pPr>
              <w:pStyle w:val="TableParagraph"/>
              <w:spacing w:before="36"/>
              <w:ind w:left="110"/>
              <w:rPr>
                <w:sz w:val="21"/>
              </w:rPr>
            </w:pPr>
            <w:r>
              <w:rPr>
                <w:sz w:val="21"/>
              </w:rPr>
              <w:t>（1）没有取得驾驶资格；</w:t>
            </w:r>
          </w:p>
          <w:p>
            <w:pPr>
              <w:pStyle w:val="TableParagraph"/>
              <w:spacing w:before="37"/>
              <w:ind w:left="110"/>
              <w:rPr>
                <w:sz w:val="21"/>
              </w:rPr>
            </w:pPr>
            <w:r>
              <w:rPr>
                <w:sz w:val="21"/>
              </w:rPr>
              <w:t>（2）驾驶与驾驶证准驾车型不相符合的车辆；</w:t>
            </w:r>
          </w:p>
          <w:p>
            <w:pPr>
              <w:pStyle w:val="TableParagraph"/>
              <w:spacing w:before="37"/>
              <w:ind w:left="110"/>
              <w:rPr>
                <w:sz w:val="21"/>
              </w:rPr>
            </w:pPr>
            <w:r>
              <w:rPr>
                <w:sz w:val="21"/>
              </w:rPr>
              <w:t>（3）持审验不合格的驾驶证驾驶；</w:t>
            </w:r>
          </w:p>
          <w:p>
            <w:pPr>
              <w:pStyle w:val="TableParagraph"/>
              <w:spacing w:line="273" w:lineRule="auto" w:before="37"/>
              <w:ind w:left="633" w:right="308" w:hanging="528"/>
              <w:rPr>
                <w:sz w:val="21"/>
              </w:rPr>
            </w:pPr>
            <w:r>
              <w:rPr>
                <w:sz w:val="21"/>
              </w:rPr>
              <w:t>（4）持学习驾驶证学习驾车时，无教练员随车指导，或不按指定时间、路线学习驾车。</w:t>
            </w:r>
          </w:p>
        </w:tc>
      </w:tr>
      <w:tr>
        <w:trPr>
          <w:trHeight w:val="1418" w:hRule="atLeast"/>
        </w:trPr>
        <w:tc>
          <w:tcPr>
            <w:tcW w:w="752" w:type="dxa"/>
          </w:tcPr>
          <w:p>
            <w:pPr>
              <w:pStyle w:val="TableParagraph"/>
              <w:spacing w:before="4"/>
              <w:ind w:left="200"/>
              <w:rPr>
                <w:rFonts w:ascii="微软雅黑"/>
                <w:b/>
                <w:sz w:val="21"/>
              </w:rPr>
            </w:pPr>
            <w:r>
              <w:rPr>
                <w:rFonts w:ascii="微软雅黑"/>
                <w:b/>
                <w:sz w:val="21"/>
              </w:rPr>
              <w:t>6.8</w:t>
            </w:r>
          </w:p>
        </w:tc>
        <w:tc>
          <w:tcPr>
            <w:tcW w:w="1719" w:type="dxa"/>
          </w:tcPr>
          <w:p>
            <w:pPr>
              <w:pStyle w:val="TableParagraph"/>
              <w:spacing w:before="4"/>
              <w:ind w:left="129"/>
              <w:rPr>
                <w:rFonts w:ascii="微软雅黑" w:eastAsia="微软雅黑" w:hint="eastAsia"/>
                <w:b/>
                <w:sz w:val="21"/>
              </w:rPr>
            </w:pPr>
            <w:r>
              <w:rPr>
                <w:rFonts w:ascii="微软雅黑" w:eastAsia="微软雅黑" w:hint="eastAsia"/>
                <w:b/>
                <w:sz w:val="21"/>
              </w:rPr>
              <w:t>无有效行驶证</w:t>
            </w:r>
          </w:p>
        </w:tc>
        <w:tc>
          <w:tcPr>
            <w:tcW w:w="7909" w:type="dxa"/>
          </w:tcPr>
          <w:p>
            <w:pPr>
              <w:pStyle w:val="TableParagraph"/>
              <w:spacing w:before="66"/>
              <w:ind w:left="110"/>
              <w:rPr>
                <w:sz w:val="21"/>
              </w:rPr>
            </w:pPr>
            <w:r>
              <w:rPr>
                <w:sz w:val="21"/>
              </w:rPr>
              <w:t>指下列情形之一：</w:t>
            </w:r>
          </w:p>
          <w:p>
            <w:pPr>
              <w:pStyle w:val="TableParagraph"/>
              <w:spacing w:before="36"/>
              <w:ind w:left="110"/>
              <w:rPr>
                <w:sz w:val="21"/>
              </w:rPr>
            </w:pPr>
            <w:r>
              <w:rPr>
                <w:sz w:val="21"/>
              </w:rPr>
              <w:t>（1）未取得行驶证；</w:t>
            </w:r>
          </w:p>
          <w:p>
            <w:pPr>
              <w:pStyle w:val="TableParagraph"/>
              <w:spacing w:before="36"/>
              <w:ind w:left="110"/>
              <w:rPr>
                <w:sz w:val="21"/>
              </w:rPr>
            </w:pPr>
            <w:r>
              <w:rPr>
                <w:sz w:val="21"/>
              </w:rPr>
              <w:t>（2）机动车被依法注销登记的；</w:t>
            </w:r>
          </w:p>
          <w:p>
            <w:pPr>
              <w:pStyle w:val="TableParagraph"/>
              <w:spacing w:before="36"/>
              <w:ind w:left="110"/>
              <w:rPr>
                <w:sz w:val="21"/>
              </w:rPr>
            </w:pPr>
            <w:r>
              <w:rPr>
                <w:sz w:val="21"/>
              </w:rPr>
              <w:t>（3）未依法按时进行或通过机动车安全技术检验。</w:t>
            </w:r>
          </w:p>
        </w:tc>
      </w:tr>
      <w:tr>
        <w:trPr>
          <w:trHeight w:val="801" w:hRule="atLeast"/>
        </w:trPr>
        <w:tc>
          <w:tcPr>
            <w:tcW w:w="752" w:type="dxa"/>
          </w:tcPr>
          <w:p>
            <w:pPr>
              <w:pStyle w:val="TableParagraph"/>
              <w:spacing w:before="6"/>
              <w:ind w:left="200"/>
              <w:rPr>
                <w:rFonts w:ascii="微软雅黑"/>
                <w:b/>
                <w:sz w:val="21"/>
              </w:rPr>
            </w:pPr>
            <w:r>
              <w:rPr>
                <w:rFonts w:ascii="微软雅黑"/>
                <w:b/>
                <w:sz w:val="21"/>
              </w:rPr>
              <w:t>6.9</w:t>
            </w:r>
          </w:p>
        </w:tc>
        <w:tc>
          <w:tcPr>
            <w:tcW w:w="1719" w:type="dxa"/>
          </w:tcPr>
          <w:p>
            <w:pPr>
              <w:pStyle w:val="TableParagraph"/>
              <w:spacing w:before="6"/>
              <w:ind w:left="129"/>
              <w:rPr>
                <w:rFonts w:ascii="微软雅黑" w:eastAsia="微软雅黑" w:hint="eastAsia"/>
                <w:b/>
                <w:sz w:val="21"/>
              </w:rPr>
            </w:pPr>
            <w:r>
              <w:rPr>
                <w:rFonts w:ascii="微软雅黑" w:eastAsia="微软雅黑" w:hint="eastAsia"/>
                <w:b/>
                <w:sz w:val="21"/>
              </w:rPr>
              <w:t>机动车</w:t>
            </w:r>
          </w:p>
        </w:tc>
        <w:tc>
          <w:tcPr>
            <w:tcW w:w="7909" w:type="dxa"/>
          </w:tcPr>
          <w:p>
            <w:pPr>
              <w:pStyle w:val="TableParagraph"/>
              <w:spacing w:line="273" w:lineRule="auto" w:before="68"/>
              <w:ind w:left="110" w:right="302"/>
              <w:rPr>
                <w:sz w:val="21"/>
              </w:rPr>
            </w:pPr>
            <w:r>
              <w:rPr>
                <w:spacing w:val="-8"/>
                <w:sz w:val="21"/>
              </w:rPr>
              <w:t>指以动力装置驱动或者牵引，上道路行驶的供人员乘用或者用于运送物品以及进行</w:t>
            </w:r>
            <w:r>
              <w:rPr>
                <w:spacing w:val="-6"/>
                <w:sz w:val="21"/>
              </w:rPr>
              <w:t>工程专项作业的轮式车辆。</w:t>
            </w:r>
          </w:p>
        </w:tc>
      </w:tr>
      <w:tr>
        <w:trPr>
          <w:trHeight w:val="1431" w:hRule="atLeast"/>
        </w:trPr>
        <w:tc>
          <w:tcPr>
            <w:tcW w:w="752" w:type="dxa"/>
          </w:tcPr>
          <w:p>
            <w:pPr>
              <w:pStyle w:val="TableParagraph"/>
              <w:spacing w:before="17"/>
              <w:ind w:left="200"/>
              <w:rPr>
                <w:rFonts w:ascii="微软雅黑"/>
                <w:b/>
                <w:sz w:val="21"/>
              </w:rPr>
            </w:pPr>
            <w:r>
              <w:rPr>
                <w:rFonts w:ascii="微软雅黑"/>
                <w:b/>
                <w:sz w:val="21"/>
              </w:rPr>
              <w:t>6.10</w:t>
            </w:r>
          </w:p>
        </w:tc>
        <w:tc>
          <w:tcPr>
            <w:tcW w:w="1719" w:type="dxa"/>
          </w:tcPr>
          <w:p>
            <w:pPr>
              <w:pStyle w:val="TableParagraph"/>
              <w:spacing w:line="206" w:lineRule="auto" w:before="67"/>
              <w:ind w:left="129" w:right="104"/>
              <w:rPr>
                <w:rFonts w:ascii="微软雅黑" w:eastAsia="微软雅黑" w:hint="eastAsia"/>
                <w:b/>
                <w:sz w:val="21"/>
              </w:rPr>
            </w:pPr>
            <w:r>
              <w:rPr>
                <w:rFonts w:ascii="微软雅黑" w:eastAsia="微软雅黑" w:hint="eastAsia"/>
                <w:b/>
                <w:sz w:val="21"/>
              </w:rPr>
              <w:t>患艾滋病或感染艾滋病病毒</w:t>
            </w:r>
          </w:p>
        </w:tc>
        <w:tc>
          <w:tcPr>
            <w:tcW w:w="7909" w:type="dxa"/>
          </w:tcPr>
          <w:p>
            <w:pPr>
              <w:pStyle w:val="TableParagraph"/>
              <w:spacing w:line="256" w:lineRule="auto" w:before="79"/>
              <w:ind w:left="110" w:right="301"/>
              <w:rPr>
                <w:sz w:val="21"/>
              </w:rPr>
            </w:pPr>
            <w:r>
              <w:rPr>
                <w:spacing w:val="-7"/>
                <w:sz w:val="21"/>
              </w:rPr>
              <w:t>艾滋病病毒指人类免疫缺陷病毒，英文缩写为 </w:t>
            </w:r>
            <w:r>
              <w:rPr>
                <w:rFonts w:ascii="Times New Roman" w:eastAsia="Times New Roman"/>
                <w:spacing w:val="-3"/>
                <w:sz w:val="21"/>
              </w:rPr>
              <w:t>HIV</w:t>
            </w:r>
            <w:r>
              <w:rPr>
                <w:spacing w:val="-7"/>
                <w:sz w:val="21"/>
              </w:rPr>
              <w:t>。艾滋病指人类免疫缺陷病毒引起的获得性免疫缺陷综合征，英文缩写为 </w:t>
            </w:r>
            <w:r>
              <w:rPr>
                <w:rFonts w:ascii="Times New Roman" w:eastAsia="Times New Roman"/>
                <w:spacing w:val="-3"/>
                <w:sz w:val="21"/>
              </w:rPr>
              <w:t>AIDS</w:t>
            </w:r>
            <w:r>
              <w:rPr>
                <w:sz w:val="21"/>
              </w:rPr>
              <w:t>。</w:t>
            </w:r>
          </w:p>
          <w:p>
            <w:pPr>
              <w:pStyle w:val="TableParagraph"/>
              <w:spacing w:line="273" w:lineRule="auto" w:before="4"/>
              <w:ind w:left="110" w:right="198"/>
              <w:rPr>
                <w:sz w:val="21"/>
              </w:rPr>
            </w:pPr>
            <w:r>
              <w:rPr>
                <w:spacing w:val="-8"/>
                <w:sz w:val="21"/>
              </w:rPr>
              <w:t>在人体血液或其他样本中检测到艾滋病病毒或其抗体呈阳性，没有出现临床症状或</w:t>
            </w:r>
            <w:r>
              <w:rPr>
                <w:spacing w:val="-15"/>
                <w:sz w:val="21"/>
              </w:rPr>
              <w:t>体征的，为感染艾滋病病毒；如果同时出现了明显临床症状或体征的，为患艾滋病。</w:t>
            </w:r>
          </w:p>
        </w:tc>
      </w:tr>
      <w:tr>
        <w:trPr>
          <w:trHeight w:val="794" w:hRule="atLeast"/>
        </w:trPr>
        <w:tc>
          <w:tcPr>
            <w:tcW w:w="752" w:type="dxa"/>
          </w:tcPr>
          <w:p>
            <w:pPr>
              <w:pStyle w:val="TableParagraph"/>
              <w:spacing w:before="6"/>
              <w:ind w:left="200"/>
              <w:rPr>
                <w:rFonts w:ascii="微软雅黑"/>
                <w:b/>
                <w:sz w:val="21"/>
              </w:rPr>
            </w:pPr>
            <w:r>
              <w:rPr>
                <w:rFonts w:ascii="微软雅黑"/>
                <w:b/>
                <w:sz w:val="21"/>
              </w:rPr>
              <w:t>6.11</w:t>
            </w:r>
          </w:p>
        </w:tc>
        <w:tc>
          <w:tcPr>
            <w:tcW w:w="1719" w:type="dxa"/>
          </w:tcPr>
          <w:p>
            <w:pPr>
              <w:pStyle w:val="TableParagraph"/>
              <w:spacing w:before="6"/>
              <w:ind w:left="129"/>
              <w:rPr>
                <w:rFonts w:ascii="微软雅黑" w:eastAsia="微软雅黑" w:hint="eastAsia"/>
                <w:b/>
                <w:sz w:val="21"/>
              </w:rPr>
            </w:pPr>
            <w:r>
              <w:rPr>
                <w:rFonts w:ascii="微软雅黑" w:eastAsia="微软雅黑" w:hint="eastAsia"/>
                <w:b/>
                <w:sz w:val="21"/>
              </w:rPr>
              <w:t>遗传性疾病</w:t>
            </w:r>
          </w:p>
        </w:tc>
        <w:tc>
          <w:tcPr>
            <w:tcW w:w="7909" w:type="dxa"/>
          </w:tcPr>
          <w:p>
            <w:pPr>
              <w:pStyle w:val="TableParagraph"/>
              <w:spacing w:line="273" w:lineRule="auto" w:before="69"/>
              <w:ind w:left="110" w:right="231"/>
              <w:rPr>
                <w:sz w:val="21"/>
              </w:rPr>
            </w:pPr>
            <w:r>
              <w:rPr>
                <w:sz w:val="21"/>
              </w:rPr>
              <w:t>指生殖细胞或受精卵的遗传物质（染色体和基因）发生突变或畸变所引起的疾病， 通常具有由亲代传至后代的垂直传递的特征。</w:t>
            </w:r>
          </w:p>
        </w:tc>
      </w:tr>
      <w:tr>
        <w:trPr>
          <w:trHeight w:val="1107" w:hRule="atLeast"/>
        </w:trPr>
        <w:tc>
          <w:tcPr>
            <w:tcW w:w="752" w:type="dxa"/>
          </w:tcPr>
          <w:p>
            <w:pPr>
              <w:pStyle w:val="TableParagraph"/>
              <w:spacing w:before="4"/>
              <w:ind w:left="200"/>
              <w:rPr>
                <w:rFonts w:ascii="微软雅黑"/>
                <w:b/>
                <w:sz w:val="21"/>
              </w:rPr>
            </w:pPr>
            <w:r>
              <w:rPr>
                <w:rFonts w:ascii="微软雅黑"/>
                <w:b/>
                <w:sz w:val="21"/>
              </w:rPr>
              <w:t>6.12</w:t>
            </w:r>
          </w:p>
        </w:tc>
        <w:tc>
          <w:tcPr>
            <w:tcW w:w="1719" w:type="dxa"/>
          </w:tcPr>
          <w:p>
            <w:pPr>
              <w:pStyle w:val="TableParagraph"/>
              <w:spacing w:line="206" w:lineRule="auto" w:before="54"/>
              <w:ind w:left="129" w:right="104"/>
              <w:rPr>
                <w:rFonts w:ascii="微软雅黑" w:eastAsia="微软雅黑" w:hint="eastAsia"/>
                <w:b/>
                <w:sz w:val="21"/>
              </w:rPr>
            </w:pPr>
            <w:r>
              <w:rPr>
                <w:rFonts w:ascii="微软雅黑" w:eastAsia="微软雅黑" w:hint="eastAsia"/>
                <w:b/>
                <w:sz w:val="21"/>
              </w:rPr>
              <w:t>先天性畸形、变形或染色体异常</w:t>
            </w:r>
          </w:p>
        </w:tc>
        <w:tc>
          <w:tcPr>
            <w:tcW w:w="7909" w:type="dxa"/>
          </w:tcPr>
          <w:p>
            <w:pPr>
              <w:pStyle w:val="TableParagraph"/>
              <w:spacing w:line="273" w:lineRule="auto" w:before="66"/>
              <w:ind w:left="110" w:right="300"/>
              <w:jc w:val="both"/>
              <w:rPr>
                <w:sz w:val="21"/>
              </w:rPr>
            </w:pPr>
            <w:r>
              <w:rPr>
                <w:spacing w:val="-7"/>
                <w:sz w:val="21"/>
              </w:rPr>
              <w:t>指被保险人出生时就具有的畸形、变形或染色体异常。先天性畸形、变形和染色体</w:t>
            </w:r>
            <w:r>
              <w:rPr>
                <w:spacing w:val="-10"/>
                <w:sz w:val="21"/>
              </w:rPr>
              <w:t>异常依照世界卫生组织《疾病和有关健康问题的国际统计分类第十次修订本</w:t>
            </w:r>
            <w:r>
              <w:rPr>
                <w:spacing w:val="-5"/>
                <w:sz w:val="21"/>
              </w:rPr>
              <w:t>（</w:t>
            </w:r>
            <w:r>
              <w:rPr>
                <w:sz w:val="21"/>
              </w:rPr>
              <w:t>简称ICD-10）</w:t>
            </w:r>
            <w:r>
              <w:rPr>
                <w:spacing w:val="-2"/>
                <w:sz w:val="21"/>
              </w:rPr>
              <w:t>》确定。</w:t>
            </w:r>
          </w:p>
        </w:tc>
      </w:tr>
      <w:tr>
        <w:trPr>
          <w:trHeight w:val="480" w:hRule="atLeast"/>
        </w:trPr>
        <w:tc>
          <w:tcPr>
            <w:tcW w:w="752" w:type="dxa"/>
          </w:tcPr>
          <w:p>
            <w:pPr>
              <w:pStyle w:val="TableParagraph"/>
              <w:spacing w:before="6"/>
              <w:ind w:left="200"/>
              <w:rPr>
                <w:rFonts w:ascii="微软雅黑"/>
                <w:b/>
                <w:sz w:val="21"/>
              </w:rPr>
            </w:pPr>
            <w:r>
              <w:rPr>
                <w:rFonts w:ascii="微软雅黑"/>
                <w:b/>
                <w:sz w:val="21"/>
              </w:rPr>
              <w:t>6.13</w:t>
            </w:r>
          </w:p>
        </w:tc>
        <w:tc>
          <w:tcPr>
            <w:tcW w:w="1719" w:type="dxa"/>
          </w:tcPr>
          <w:p>
            <w:pPr>
              <w:pStyle w:val="TableParagraph"/>
              <w:spacing w:before="6"/>
              <w:ind w:left="129"/>
              <w:rPr>
                <w:rFonts w:ascii="微软雅黑" w:eastAsia="微软雅黑" w:hint="eastAsia"/>
                <w:b/>
                <w:sz w:val="21"/>
              </w:rPr>
            </w:pPr>
            <w:r>
              <w:rPr>
                <w:rFonts w:ascii="微软雅黑" w:eastAsia="微软雅黑" w:hint="eastAsia"/>
                <w:b/>
                <w:sz w:val="21"/>
              </w:rPr>
              <w:t>既往症</w:t>
            </w:r>
          </w:p>
        </w:tc>
        <w:tc>
          <w:tcPr>
            <w:tcW w:w="7909" w:type="dxa"/>
          </w:tcPr>
          <w:p>
            <w:pPr>
              <w:pStyle w:val="TableParagraph"/>
              <w:spacing w:before="68"/>
              <w:ind w:left="110"/>
              <w:rPr>
                <w:sz w:val="21"/>
              </w:rPr>
            </w:pPr>
            <w:r>
              <w:rPr>
                <w:sz w:val="21"/>
              </w:rPr>
              <w:t>指被保险人在本主险合同生效之前所患的已知的有关疾病或症状。</w:t>
            </w:r>
          </w:p>
        </w:tc>
      </w:tr>
      <w:tr>
        <w:trPr>
          <w:trHeight w:val="1469" w:hRule="atLeast"/>
        </w:trPr>
        <w:tc>
          <w:tcPr>
            <w:tcW w:w="752" w:type="dxa"/>
          </w:tcPr>
          <w:p>
            <w:pPr>
              <w:pStyle w:val="TableParagraph"/>
              <w:spacing w:before="6"/>
              <w:ind w:left="200"/>
              <w:rPr>
                <w:rFonts w:ascii="微软雅黑"/>
                <w:b/>
                <w:sz w:val="21"/>
              </w:rPr>
            </w:pPr>
            <w:r>
              <w:rPr>
                <w:rFonts w:ascii="微软雅黑"/>
                <w:b/>
                <w:sz w:val="21"/>
              </w:rPr>
              <w:t>6.14</w:t>
            </w:r>
          </w:p>
        </w:tc>
        <w:tc>
          <w:tcPr>
            <w:tcW w:w="1719" w:type="dxa"/>
          </w:tcPr>
          <w:p>
            <w:pPr>
              <w:pStyle w:val="TableParagraph"/>
              <w:spacing w:before="6"/>
              <w:ind w:left="129"/>
              <w:rPr>
                <w:rFonts w:ascii="微软雅黑" w:eastAsia="微软雅黑" w:hint="eastAsia"/>
                <w:b/>
                <w:sz w:val="21"/>
              </w:rPr>
            </w:pPr>
            <w:r>
              <w:rPr>
                <w:rFonts w:ascii="微软雅黑" w:eastAsia="微软雅黑" w:hint="eastAsia"/>
                <w:b/>
                <w:sz w:val="21"/>
              </w:rPr>
              <w:t>现金价值</w:t>
            </w:r>
          </w:p>
        </w:tc>
        <w:tc>
          <w:tcPr>
            <w:tcW w:w="7909" w:type="dxa"/>
          </w:tcPr>
          <w:p>
            <w:pPr>
              <w:pStyle w:val="TableParagraph"/>
              <w:spacing w:line="283" w:lineRule="exact" w:before="83"/>
              <w:ind w:left="110"/>
              <w:rPr>
                <w:sz w:val="21"/>
              </w:rPr>
            </w:pPr>
            <w:r>
              <w:rPr>
                <w:spacing w:val="-2"/>
                <w:w w:val="100"/>
                <w:sz w:val="21"/>
              </w:rPr>
              <w:t>计算公式为“保险费</w:t>
            </w:r>
            <w:r>
              <w:rPr>
                <w:spacing w:val="-67"/>
                <w:sz w:val="21"/>
              </w:rPr>
              <w:t> </w:t>
            </w:r>
            <w:r>
              <w:rPr>
                <w:rFonts w:ascii="Cambria Math" w:hAnsi="Cambria Math" w:eastAsia="Cambria Math"/>
                <w:w w:val="100"/>
                <w:sz w:val="21"/>
              </w:rPr>
              <w:t>×</w:t>
            </w:r>
            <w:r>
              <w:rPr>
                <w:rFonts w:ascii="Cambria Math" w:hAnsi="Cambria Math" w:eastAsia="Cambria Math"/>
                <w:sz w:val="21"/>
              </w:rPr>
              <w:t> </w:t>
            </w:r>
            <w:r>
              <w:rPr>
                <w:w w:val="100"/>
                <w:sz w:val="21"/>
              </w:rPr>
              <w:t>（</w:t>
            </w:r>
            <w:r>
              <w:rPr>
                <w:rFonts w:ascii="Cambria Math" w:hAnsi="Cambria Math" w:eastAsia="Cambria Math"/>
                <w:w w:val="100"/>
                <w:sz w:val="21"/>
              </w:rPr>
              <w:t>1</w:t>
            </w:r>
            <w:r>
              <w:rPr>
                <w:rFonts w:ascii="Cambria Math" w:hAnsi="Cambria Math" w:eastAsia="Cambria Math"/>
                <w:sz w:val="21"/>
              </w:rPr>
              <w:t> </w:t>
            </w:r>
            <w:r>
              <w:rPr>
                <w:rFonts w:ascii="Cambria Math" w:hAnsi="Cambria Math" w:eastAsia="Cambria Math"/>
                <w:w w:val="100"/>
                <w:sz w:val="21"/>
              </w:rPr>
              <w:t>−</w:t>
            </w:r>
            <w:r>
              <w:rPr>
                <w:rFonts w:ascii="Cambria Math" w:hAnsi="Cambria Math" w:eastAsia="Cambria Math"/>
                <w:spacing w:val="1"/>
                <w:sz w:val="21"/>
              </w:rPr>
              <w:t> </w:t>
            </w:r>
            <w:r>
              <w:rPr>
                <w:rFonts w:ascii="Cambria Math" w:hAnsi="Cambria Math" w:eastAsia="Cambria Math"/>
                <w:spacing w:val="-2"/>
                <w:w w:val="100"/>
                <w:sz w:val="21"/>
              </w:rPr>
              <w:t>25</w:t>
            </w:r>
            <w:r>
              <w:rPr>
                <w:rFonts w:ascii="Cambria Math" w:hAnsi="Cambria Math" w:eastAsia="Cambria Math"/>
                <w:spacing w:val="-1"/>
                <w:w w:val="100"/>
                <w:sz w:val="21"/>
              </w:rPr>
              <w:t>%</w:t>
            </w:r>
            <w:r>
              <w:rPr>
                <w:w w:val="100"/>
                <w:sz w:val="21"/>
              </w:rPr>
              <w:t>）</w:t>
            </w:r>
            <w:r>
              <w:rPr>
                <w:spacing w:val="-62"/>
                <w:sz w:val="21"/>
              </w:rPr>
              <w:t> </w:t>
            </w:r>
            <w:r>
              <w:rPr>
                <w:rFonts w:ascii="Cambria Math" w:hAnsi="Cambria Math" w:eastAsia="Cambria Math"/>
                <w:w w:val="100"/>
                <w:sz w:val="21"/>
              </w:rPr>
              <w:t>×</w:t>
            </w:r>
            <w:r>
              <w:rPr>
                <w:rFonts w:ascii="Cambria Math" w:hAnsi="Cambria Math" w:eastAsia="Cambria Math"/>
                <w:spacing w:val="-1"/>
                <w:sz w:val="21"/>
              </w:rPr>
              <w:t> </w:t>
            </w:r>
            <w:r>
              <w:rPr>
                <w:w w:val="100"/>
                <w:sz w:val="21"/>
              </w:rPr>
              <w:t>（</w:t>
            </w:r>
            <w:r>
              <w:rPr>
                <w:rFonts w:ascii="Cambria Math" w:hAnsi="Cambria Math" w:eastAsia="Cambria Math"/>
                <w:w w:val="100"/>
                <w:sz w:val="21"/>
              </w:rPr>
              <w:t>1</w:t>
            </w:r>
            <w:r>
              <w:rPr>
                <w:rFonts w:ascii="Cambria Math" w:hAnsi="Cambria Math" w:eastAsia="Cambria Math"/>
                <w:sz w:val="21"/>
              </w:rPr>
              <w:t> </w:t>
            </w:r>
            <w:r>
              <w:rPr>
                <w:rFonts w:ascii="Cambria Math" w:hAnsi="Cambria Math" w:eastAsia="Cambria Math"/>
                <w:w w:val="100"/>
                <w:sz w:val="21"/>
              </w:rPr>
              <w:t>−</w:t>
            </w:r>
            <w:r>
              <w:rPr>
                <w:rFonts w:ascii="Cambria Math" w:hAnsi="Cambria Math" w:eastAsia="Cambria Math"/>
                <w:spacing w:val="-3"/>
                <w:sz w:val="21"/>
              </w:rPr>
              <w:t> </w:t>
            </w:r>
            <w:r>
              <w:rPr>
                <w:w w:val="100"/>
                <w:sz w:val="21"/>
              </w:rPr>
              <w:t>经过天数</w:t>
            </w:r>
            <w:r>
              <w:rPr>
                <w:rFonts w:ascii="Cambria Math" w:hAnsi="Cambria Math" w:eastAsia="Cambria Math"/>
                <w:spacing w:val="1"/>
                <w:w w:val="100"/>
                <w:sz w:val="21"/>
              </w:rPr>
              <w:t>/</w:t>
            </w:r>
            <w:r>
              <w:rPr>
                <w:spacing w:val="-2"/>
                <w:w w:val="100"/>
                <w:sz w:val="21"/>
              </w:rPr>
              <w:t>保险期间</w:t>
            </w:r>
            <w:r>
              <w:rPr>
                <w:spacing w:val="-5"/>
                <w:w w:val="100"/>
                <w:sz w:val="21"/>
              </w:rPr>
              <w:t>）</w:t>
            </w:r>
            <w:r>
              <w:rPr>
                <w:spacing w:val="-106"/>
                <w:w w:val="100"/>
                <w:sz w:val="21"/>
              </w:rPr>
              <w:t>”。</w:t>
            </w:r>
          </w:p>
          <w:p>
            <w:pPr>
              <w:pStyle w:val="TableParagraph"/>
              <w:ind w:left="110" w:right="303"/>
              <w:rPr>
                <w:sz w:val="21"/>
              </w:rPr>
            </w:pPr>
            <w:r>
              <w:rPr>
                <w:spacing w:val="-8"/>
                <w:sz w:val="21"/>
              </w:rPr>
              <w:t>“经过天数”是指本主险合同自生效日起至终止之日为止实际经过的天数，经过天</w:t>
            </w:r>
            <w:r>
              <w:rPr>
                <w:spacing w:val="-18"/>
                <w:sz w:val="21"/>
              </w:rPr>
              <w:t>数不足 </w:t>
            </w:r>
            <w:r>
              <w:rPr>
                <w:sz w:val="21"/>
              </w:rPr>
              <w:t>1</w:t>
            </w:r>
            <w:r>
              <w:rPr>
                <w:spacing w:val="-10"/>
                <w:sz w:val="21"/>
              </w:rPr>
              <w:t> 天的不计。</w:t>
            </w:r>
          </w:p>
          <w:p>
            <w:pPr>
              <w:pStyle w:val="TableParagraph"/>
              <w:spacing w:before="32"/>
              <w:ind w:left="110"/>
              <w:rPr>
                <w:sz w:val="21"/>
              </w:rPr>
            </w:pPr>
            <w:r>
              <w:rPr>
                <w:sz w:val="21"/>
              </w:rPr>
              <w:t>“保险期间”是指自本主险合同生效日起至保险期间届满日之间的天数。</w:t>
            </w:r>
          </w:p>
        </w:tc>
      </w:tr>
      <w:tr>
        <w:trPr>
          <w:trHeight w:val="912" w:hRule="atLeast"/>
        </w:trPr>
        <w:tc>
          <w:tcPr>
            <w:tcW w:w="752" w:type="dxa"/>
          </w:tcPr>
          <w:p>
            <w:pPr>
              <w:pStyle w:val="TableParagraph"/>
              <w:spacing w:before="131"/>
              <w:ind w:left="200"/>
              <w:rPr>
                <w:rFonts w:ascii="微软雅黑"/>
                <w:b/>
                <w:sz w:val="21"/>
              </w:rPr>
            </w:pPr>
            <w:r>
              <w:rPr>
                <w:rFonts w:ascii="微软雅黑"/>
                <w:b/>
                <w:sz w:val="21"/>
              </w:rPr>
              <w:t>6.15</w:t>
            </w:r>
          </w:p>
        </w:tc>
        <w:tc>
          <w:tcPr>
            <w:tcW w:w="1719" w:type="dxa"/>
          </w:tcPr>
          <w:p>
            <w:pPr>
              <w:pStyle w:val="TableParagraph"/>
              <w:spacing w:before="131"/>
              <w:ind w:left="129"/>
              <w:rPr>
                <w:rFonts w:ascii="微软雅黑" w:eastAsia="微软雅黑" w:hint="eastAsia"/>
                <w:b/>
                <w:sz w:val="21"/>
              </w:rPr>
            </w:pPr>
            <w:r>
              <w:rPr>
                <w:rFonts w:ascii="微软雅黑" w:eastAsia="微软雅黑" w:hint="eastAsia"/>
                <w:b/>
                <w:sz w:val="21"/>
              </w:rPr>
              <w:t>有效身份证件</w:t>
            </w:r>
          </w:p>
        </w:tc>
        <w:tc>
          <w:tcPr>
            <w:tcW w:w="7909" w:type="dxa"/>
          </w:tcPr>
          <w:p>
            <w:pPr>
              <w:pStyle w:val="TableParagraph"/>
              <w:spacing w:before="10"/>
              <w:ind w:left="0"/>
              <w:rPr>
                <w:sz w:val="14"/>
              </w:rPr>
            </w:pPr>
          </w:p>
          <w:p>
            <w:pPr>
              <w:pStyle w:val="TableParagraph"/>
              <w:spacing w:line="273" w:lineRule="auto"/>
              <w:ind w:left="110" w:right="303"/>
              <w:rPr>
                <w:sz w:val="21"/>
              </w:rPr>
            </w:pPr>
            <w:r>
              <w:rPr>
                <w:spacing w:val="-8"/>
                <w:sz w:val="21"/>
              </w:rPr>
              <w:t>指由政府主管部门规定的证明个人身份的证件，如：居民身份证、按规定可使用的</w:t>
            </w:r>
            <w:r>
              <w:rPr>
                <w:spacing w:val="-6"/>
                <w:sz w:val="21"/>
              </w:rPr>
              <w:t>有效护照、军官证、警官证、士兵证等证件。</w:t>
            </w:r>
          </w:p>
        </w:tc>
      </w:tr>
      <w:tr>
        <w:trPr>
          <w:trHeight w:val="650" w:hRule="atLeast"/>
        </w:trPr>
        <w:tc>
          <w:tcPr>
            <w:tcW w:w="752" w:type="dxa"/>
          </w:tcPr>
          <w:p>
            <w:pPr>
              <w:pStyle w:val="TableParagraph"/>
              <w:spacing w:line="360" w:lineRule="exact"/>
              <w:ind w:left="200"/>
              <w:rPr>
                <w:rFonts w:ascii="微软雅黑"/>
                <w:b/>
                <w:sz w:val="21"/>
              </w:rPr>
            </w:pPr>
            <w:r>
              <w:rPr>
                <w:rFonts w:ascii="微软雅黑"/>
                <w:b/>
                <w:sz w:val="21"/>
              </w:rPr>
              <w:t>6.16</w:t>
            </w:r>
          </w:p>
        </w:tc>
        <w:tc>
          <w:tcPr>
            <w:tcW w:w="1719" w:type="dxa"/>
          </w:tcPr>
          <w:p>
            <w:pPr>
              <w:pStyle w:val="TableParagraph"/>
              <w:spacing w:line="360" w:lineRule="exact"/>
              <w:ind w:left="129"/>
              <w:rPr>
                <w:rFonts w:ascii="微软雅黑" w:eastAsia="微软雅黑" w:hint="eastAsia"/>
                <w:b/>
                <w:sz w:val="21"/>
              </w:rPr>
            </w:pPr>
            <w:r>
              <w:rPr>
                <w:rFonts w:ascii="微软雅黑" w:eastAsia="微软雅黑" w:hint="eastAsia"/>
                <w:b/>
                <w:sz w:val="21"/>
              </w:rPr>
              <w:t>周岁</w:t>
            </w:r>
          </w:p>
        </w:tc>
        <w:tc>
          <w:tcPr>
            <w:tcW w:w="7909" w:type="dxa"/>
          </w:tcPr>
          <w:p>
            <w:pPr>
              <w:pStyle w:val="TableParagraph"/>
              <w:spacing w:line="310" w:lineRule="atLeast" w:before="24"/>
              <w:ind w:left="110" w:right="303"/>
              <w:rPr>
                <w:sz w:val="21"/>
              </w:rPr>
            </w:pPr>
            <w:r>
              <w:rPr>
                <w:spacing w:val="-8"/>
                <w:sz w:val="21"/>
              </w:rPr>
              <w:t>指按有效身份证件中记载的出生日期计算的年龄，自出生之日起为零周岁，每经过</w:t>
            </w:r>
            <w:r>
              <w:rPr>
                <w:spacing w:val="-6"/>
                <w:sz w:val="21"/>
              </w:rPr>
              <w:t>一年增加一岁，不足一年的不计。</w:t>
            </w:r>
          </w:p>
        </w:tc>
      </w:tr>
    </w:tbl>
    <w:p>
      <w:pPr>
        <w:pStyle w:val="BodyText"/>
        <w:spacing w:before="2"/>
        <w:rPr>
          <w:sz w:val="19"/>
        </w:rPr>
      </w:pPr>
    </w:p>
    <w:p>
      <w:pPr>
        <w:pStyle w:val="Heading3"/>
        <w:spacing w:line="337" w:lineRule="exact"/>
        <w:ind w:left="0" w:right="1395"/>
        <w:jc w:val="right"/>
      </w:pPr>
      <w:r>
        <w:rPr/>
        <w:t>[本页内容结束]</w:t>
      </w:r>
    </w:p>
    <w:sectPr>
      <w:pgSz w:w="11910" w:h="16840"/>
      <w:pgMar w:top="1480" w:bottom="280" w:left="7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3"/>
      <w:numFmt w:val="decimal"/>
      <w:lvlText w:val="%1."/>
      <w:lvlJc w:val="left"/>
      <w:pPr>
        <w:ind w:left="119" w:hanging="423"/>
        <w:jc w:val="left"/>
      </w:pPr>
      <w:rPr>
        <w:rFonts w:hint="default" w:ascii="微软雅黑" w:hAnsi="微软雅黑" w:eastAsia="微软雅黑" w:cs="微软雅黑"/>
        <w:b/>
        <w:bCs/>
        <w:w w:val="99"/>
        <w:sz w:val="21"/>
        <w:szCs w:val="21"/>
      </w:rPr>
    </w:lvl>
    <w:lvl w:ilvl="1">
      <w:start w:val="0"/>
      <w:numFmt w:val="bullet"/>
      <w:lvlText w:val="•"/>
      <w:lvlJc w:val="left"/>
      <w:pPr>
        <w:ind w:left="267" w:hanging="423"/>
      </w:pPr>
      <w:rPr>
        <w:rFonts w:hint="default"/>
      </w:rPr>
    </w:lvl>
    <w:lvl w:ilvl="2">
      <w:start w:val="0"/>
      <w:numFmt w:val="bullet"/>
      <w:lvlText w:val="•"/>
      <w:lvlJc w:val="left"/>
      <w:pPr>
        <w:ind w:left="415" w:hanging="423"/>
      </w:pPr>
      <w:rPr>
        <w:rFonts w:hint="default"/>
      </w:rPr>
    </w:lvl>
    <w:lvl w:ilvl="3">
      <w:start w:val="0"/>
      <w:numFmt w:val="bullet"/>
      <w:lvlText w:val="•"/>
      <w:lvlJc w:val="left"/>
      <w:pPr>
        <w:ind w:left="563" w:hanging="423"/>
      </w:pPr>
      <w:rPr>
        <w:rFonts w:hint="default"/>
      </w:rPr>
    </w:lvl>
    <w:lvl w:ilvl="4">
      <w:start w:val="0"/>
      <w:numFmt w:val="bullet"/>
      <w:lvlText w:val="•"/>
      <w:lvlJc w:val="left"/>
      <w:pPr>
        <w:ind w:left="711" w:hanging="423"/>
      </w:pPr>
      <w:rPr>
        <w:rFonts w:hint="default"/>
      </w:rPr>
    </w:lvl>
    <w:lvl w:ilvl="5">
      <w:start w:val="0"/>
      <w:numFmt w:val="bullet"/>
      <w:lvlText w:val="•"/>
      <w:lvlJc w:val="left"/>
      <w:pPr>
        <w:ind w:left="859" w:hanging="423"/>
      </w:pPr>
      <w:rPr>
        <w:rFonts w:hint="default"/>
      </w:rPr>
    </w:lvl>
    <w:lvl w:ilvl="6">
      <w:start w:val="0"/>
      <w:numFmt w:val="bullet"/>
      <w:lvlText w:val="•"/>
      <w:lvlJc w:val="left"/>
      <w:pPr>
        <w:ind w:left="1007" w:hanging="423"/>
      </w:pPr>
      <w:rPr>
        <w:rFonts w:hint="default"/>
      </w:rPr>
    </w:lvl>
    <w:lvl w:ilvl="7">
      <w:start w:val="0"/>
      <w:numFmt w:val="bullet"/>
      <w:lvlText w:val="•"/>
      <w:lvlJc w:val="left"/>
      <w:pPr>
        <w:ind w:left="1155" w:hanging="423"/>
      </w:pPr>
      <w:rPr>
        <w:rFonts w:hint="default"/>
      </w:rPr>
    </w:lvl>
    <w:lvl w:ilvl="8">
      <w:start w:val="0"/>
      <w:numFmt w:val="bullet"/>
      <w:lvlText w:val="•"/>
      <w:lvlJc w:val="left"/>
      <w:pPr>
        <w:ind w:left="1302" w:hanging="423"/>
      </w:pPr>
      <w:rPr>
        <w:rFonts w:hint="default"/>
      </w:rPr>
    </w:lvl>
  </w:abstractNum>
  <w:abstractNum w:abstractNumId="11">
    <w:multiLevelType w:val="hybridMultilevel"/>
    <w:lvl w:ilvl="0">
      <w:start w:val="9"/>
      <w:numFmt w:val="decimal"/>
      <w:lvlText w:val="%1."/>
      <w:lvlJc w:val="left"/>
      <w:pPr>
        <w:ind w:left="1963" w:hanging="423"/>
        <w:jc w:val="left"/>
      </w:pPr>
      <w:rPr>
        <w:rFonts w:hint="default" w:ascii="微软雅黑" w:hAnsi="微软雅黑" w:eastAsia="微软雅黑" w:cs="微软雅黑"/>
        <w:b/>
        <w:bCs/>
        <w:w w:val="111"/>
        <w:position w:val="2"/>
        <w:sz w:val="21"/>
        <w:szCs w:val="21"/>
      </w:rPr>
    </w:lvl>
    <w:lvl w:ilvl="1">
      <w:start w:val="1"/>
      <w:numFmt w:val="upperRoman"/>
      <w:lvlText w:val="%2"/>
      <w:lvlJc w:val="left"/>
      <w:pPr>
        <w:ind w:left="2338" w:hanging="164"/>
        <w:jc w:val="left"/>
      </w:pPr>
      <w:rPr>
        <w:rFonts w:hint="default" w:ascii="宋体" w:hAnsi="宋体" w:eastAsia="宋体" w:cs="宋体"/>
        <w:w w:val="100"/>
        <w:sz w:val="21"/>
        <w:szCs w:val="21"/>
      </w:rPr>
    </w:lvl>
    <w:lvl w:ilvl="2">
      <w:start w:val="0"/>
      <w:numFmt w:val="bullet"/>
      <w:lvlText w:val="•"/>
      <w:lvlJc w:val="left"/>
      <w:pPr>
        <w:ind w:left="3127" w:hanging="164"/>
      </w:pPr>
      <w:rPr>
        <w:rFonts w:hint="default"/>
      </w:rPr>
    </w:lvl>
    <w:lvl w:ilvl="3">
      <w:start w:val="0"/>
      <w:numFmt w:val="bullet"/>
      <w:lvlText w:val="•"/>
      <w:lvlJc w:val="left"/>
      <w:pPr>
        <w:ind w:left="3914" w:hanging="164"/>
      </w:pPr>
      <w:rPr>
        <w:rFonts w:hint="default"/>
      </w:rPr>
    </w:lvl>
    <w:lvl w:ilvl="4">
      <w:start w:val="0"/>
      <w:numFmt w:val="bullet"/>
      <w:lvlText w:val="•"/>
      <w:lvlJc w:val="left"/>
      <w:pPr>
        <w:ind w:left="4701" w:hanging="164"/>
      </w:pPr>
      <w:rPr>
        <w:rFonts w:hint="default"/>
      </w:rPr>
    </w:lvl>
    <w:lvl w:ilvl="5">
      <w:start w:val="0"/>
      <w:numFmt w:val="bullet"/>
      <w:lvlText w:val="•"/>
      <w:lvlJc w:val="left"/>
      <w:pPr>
        <w:ind w:left="5488" w:hanging="164"/>
      </w:pPr>
      <w:rPr>
        <w:rFonts w:hint="default"/>
      </w:rPr>
    </w:lvl>
    <w:lvl w:ilvl="6">
      <w:start w:val="0"/>
      <w:numFmt w:val="bullet"/>
      <w:lvlText w:val="•"/>
      <w:lvlJc w:val="left"/>
      <w:pPr>
        <w:ind w:left="6275" w:hanging="164"/>
      </w:pPr>
      <w:rPr>
        <w:rFonts w:hint="default"/>
      </w:rPr>
    </w:lvl>
    <w:lvl w:ilvl="7">
      <w:start w:val="0"/>
      <w:numFmt w:val="bullet"/>
      <w:lvlText w:val="•"/>
      <w:lvlJc w:val="left"/>
      <w:pPr>
        <w:ind w:left="7062" w:hanging="164"/>
      </w:pPr>
      <w:rPr>
        <w:rFonts w:hint="default"/>
      </w:rPr>
    </w:lvl>
    <w:lvl w:ilvl="8">
      <w:start w:val="0"/>
      <w:numFmt w:val="bullet"/>
      <w:lvlText w:val="•"/>
      <w:lvlJc w:val="left"/>
      <w:pPr>
        <w:ind w:left="7849" w:hanging="164"/>
      </w:pPr>
      <w:rPr>
        <w:rFonts w:hint="default"/>
      </w:rPr>
    </w:lvl>
  </w:abstractNum>
  <w:abstractNum w:abstractNumId="10">
    <w:multiLevelType w:val="hybridMultilevel"/>
    <w:lvl w:ilvl="0">
      <w:start w:val="6"/>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微软雅黑" w:hAnsi="微软雅黑" w:eastAsia="微软雅黑" w:cs="微软雅黑"/>
        <w:b/>
        <w:bCs/>
        <w:w w:val="81"/>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9">
    <w:multiLevelType w:val="hybridMultilevel"/>
    <w:lvl w:ilvl="0">
      <w:start w:val="5"/>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微软雅黑" w:hAnsi="微软雅黑" w:eastAsia="微软雅黑" w:cs="微软雅黑"/>
        <w:b/>
        <w:bCs/>
        <w:w w:val="81"/>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8">
    <w:multiLevelType w:val="hybridMultilevel"/>
    <w:lvl w:ilvl="0">
      <w:start w:val="3"/>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微软雅黑" w:hAnsi="微软雅黑" w:eastAsia="微软雅黑" w:cs="微软雅黑"/>
        <w:b/>
        <w:bCs/>
        <w:w w:val="81"/>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7">
    <w:multiLevelType w:val="hybridMultilevel"/>
    <w:lvl w:ilvl="0">
      <w:start w:val="2"/>
      <w:numFmt w:val="decimal"/>
      <w:lvlText w:val="%1"/>
      <w:lvlJc w:val="left"/>
      <w:pPr>
        <w:ind w:left="899" w:hanging="682"/>
        <w:jc w:val="left"/>
      </w:pPr>
      <w:rPr>
        <w:rFonts w:hint="default"/>
      </w:rPr>
    </w:lvl>
    <w:lvl w:ilvl="1">
      <w:start w:val="1"/>
      <w:numFmt w:val="decimal"/>
      <w:lvlText w:val="%1.%2"/>
      <w:lvlJc w:val="left"/>
      <w:pPr>
        <w:ind w:left="2599" w:hanging="682"/>
        <w:jc w:val="left"/>
      </w:pPr>
      <w:rPr>
        <w:rFonts w:hint="default" w:ascii="微软雅黑" w:hAnsi="微软雅黑" w:eastAsia="微软雅黑" w:cs="微软雅黑"/>
        <w:b/>
        <w:bCs/>
        <w:w w:val="81"/>
        <w:sz w:val="21"/>
        <w:szCs w:val="21"/>
      </w:rPr>
    </w:lvl>
    <w:lvl w:ilvl="2">
      <w:start w:val="0"/>
      <w:numFmt w:val="bullet"/>
      <w:lvlText w:val="•"/>
      <w:lvlJc w:val="left"/>
      <w:pPr>
        <w:ind w:left="3456" w:hanging="682"/>
      </w:pPr>
      <w:rPr>
        <w:rFonts w:hint="default"/>
      </w:rPr>
    </w:lvl>
    <w:lvl w:ilvl="3">
      <w:start w:val="0"/>
      <w:numFmt w:val="bullet"/>
      <w:lvlText w:val="•"/>
      <w:lvlJc w:val="left"/>
      <w:pPr>
        <w:ind w:left="4312" w:hanging="682"/>
      </w:pPr>
      <w:rPr>
        <w:rFonts w:hint="default"/>
      </w:rPr>
    </w:lvl>
    <w:lvl w:ilvl="4">
      <w:start w:val="0"/>
      <w:numFmt w:val="bullet"/>
      <w:lvlText w:val="•"/>
      <w:lvlJc w:val="left"/>
      <w:pPr>
        <w:ind w:left="5168" w:hanging="682"/>
      </w:pPr>
      <w:rPr>
        <w:rFonts w:hint="default"/>
      </w:rPr>
    </w:lvl>
    <w:lvl w:ilvl="5">
      <w:start w:val="0"/>
      <w:numFmt w:val="bullet"/>
      <w:lvlText w:val="•"/>
      <w:lvlJc w:val="left"/>
      <w:pPr>
        <w:ind w:left="6024" w:hanging="682"/>
      </w:pPr>
      <w:rPr>
        <w:rFonts w:hint="default"/>
      </w:rPr>
    </w:lvl>
    <w:lvl w:ilvl="6">
      <w:start w:val="0"/>
      <w:numFmt w:val="bullet"/>
      <w:lvlText w:val="•"/>
      <w:lvlJc w:val="left"/>
      <w:pPr>
        <w:ind w:left="6880" w:hanging="682"/>
      </w:pPr>
      <w:rPr>
        <w:rFonts w:hint="default"/>
      </w:rPr>
    </w:lvl>
    <w:lvl w:ilvl="7">
      <w:start w:val="0"/>
      <w:numFmt w:val="bullet"/>
      <w:lvlText w:val="•"/>
      <w:lvlJc w:val="left"/>
      <w:pPr>
        <w:ind w:left="7736" w:hanging="682"/>
      </w:pPr>
      <w:rPr>
        <w:rFonts w:hint="default"/>
      </w:rPr>
    </w:lvl>
    <w:lvl w:ilvl="8">
      <w:start w:val="0"/>
      <w:numFmt w:val="bullet"/>
      <w:lvlText w:val="•"/>
      <w:lvlJc w:val="left"/>
      <w:pPr>
        <w:ind w:left="8592" w:hanging="682"/>
      </w:pPr>
      <w:rPr>
        <w:rFonts w:hint="default"/>
      </w:rPr>
    </w:lvl>
  </w:abstractNum>
  <w:abstractNum w:abstractNumId="6">
    <w:multiLevelType w:val="hybridMultilevel"/>
    <w:lvl w:ilvl="0">
      <w:start w:val="1"/>
      <w:numFmt w:val="decimal"/>
      <w:lvlText w:val="%1"/>
      <w:lvlJc w:val="left"/>
      <w:pPr>
        <w:ind w:left="2599" w:hanging="682"/>
        <w:jc w:val="left"/>
      </w:pPr>
      <w:rPr>
        <w:rFonts w:hint="default"/>
      </w:rPr>
    </w:lvl>
    <w:lvl w:ilvl="1">
      <w:start w:val="1"/>
      <w:numFmt w:val="decimal"/>
      <w:lvlText w:val="%1.%2"/>
      <w:lvlJc w:val="left"/>
      <w:pPr>
        <w:ind w:left="2599" w:hanging="682"/>
        <w:jc w:val="left"/>
      </w:pPr>
      <w:rPr>
        <w:rFonts w:hint="default" w:ascii="微软雅黑" w:hAnsi="微软雅黑" w:eastAsia="微软雅黑" w:cs="微软雅黑"/>
        <w:b/>
        <w:bCs/>
        <w:w w:val="81"/>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5">
    <w:multiLevelType w:val="hybridMultilevel"/>
    <w:lvl w:ilvl="0">
      <w:start w:val="6"/>
      <w:numFmt w:val="decimal"/>
      <w:lvlText w:val="%1"/>
      <w:lvlJc w:val="left"/>
      <w:pPr>
        <w:ind w:left="689" w:hanging="423"/>
        <w:jc w:val="left"/>
      </w:pPr>
      <w:rPr>
        <w:rFonts w:hint="default"/>
      </w:rPr>
    </w:lvl>
    <w:lvl w:ilvl="1">
      <w:start w:val="3"/>
      <w:numFmt w:val="decimal"/>
      <w:lvlText w:val="%1.%2"/>
      <w:lvlJc w:val="left"/>
      <w:pPr>
        <w:ind w:left="790" w:hanging="423"/>
        <w:jc w:val="left"/>
      </w:pPr>
      <w:rPr>
        <w:rFonts w:hint="default" w:ascii="宋体" w:hAnsi="宋体" w:eastAsia="宋体" w:cs="宋体"/>
        <w:w w:val="100"/>
        <w:sz w:val="21"/>
        <w:szCs w:val="21"/>
      </w:rPr>
    </w:lvl>
    <w:lvl w:ilvl="2">
      <w:start w:val="0"/>
      <w:numFmt w:val="bullet"/>
      <w:lvlText w:val="•"/>
      <w:lvlJc w:val="left"/>
      <w:pPr>
        <w:ind w:left="1057" w:hanging="423"/>
      </w:pPr>
      <w:rPr>
        <w:rFonts w:hint="default"/>
      </w:rPr>
    </w:lvl>
    <w:lvl w:ilvl="3">
      <w:start w:val="0"/>
      <w:numFmt w:val="bullet"/>
      <w:lvlText w:val="•"/>
      <w:lvlJc w:val="left"/>
      <w:pPr>
        <w:ind w:left="131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830" w:hanging="423"/>
      </w:pPr>
      <w:rPr>
        <w:rFonts w:hint="default"/>
      </w:rPr>
    </w:lvl>
    <w:lvl w:ilvl="6">
      <w:start w:val="0"/>
      <w:numFmt w:val="bullet"/>
      <w:lvlText w:val="•"/>
      <w:lvlJc w:val="left"/>
      <w:pPr>
        <w:ind w:left="2088" w:hanging="423"/>
      </w:pPr>
      <w:rPr>
        <w:rFonts w:hint="default"/>
      </w:rPr>
    </w:lvl>
    <w:lvl w:ilvl="7">
      <w:start w:val="0"/>
      <w:numFmt w:val="bullet"/>
      <w:lvlText w:val="•"/>
      <w:lvlJc w:val="left"/>
      <w:pPr>
        <w:ind w:left="2346" w:hanging="423"/>
      </w:pPr>
      <w:rPr>
        <w:rFonts w:hint="default"/>
      </w:rPr>
    </w:lvl>
    <w:lvl w:ilvl="8">
      <w:start w:val="0"/>
      <w:numFmt w:val="bullet"/>
      <w:lvlText w:val="•"/>
      <w:lvlJc w:val="left"/>
      <w:pPr>
        <w:ind w:left="2603" w:hanging="423"/>
      </w:pPr>
      <w:rPr>
        <w:rFonts w:hint="default"/>
      </w:rPr>
    </w:lvl>
  </w:abstractNum>
  <w:abstractNum w:abstractNumId="4">
    <w:multiLevelType w:val="hybridMultilevel"/>
    <w:lvl w:ilvl="0">
      <w:start w:val="6"/>
      <w:numFmt w:val="decimal"/>
      <w:lvlText w:val="%1"/>
      <w:lvlJc w:val="left"/>
      <w:pPr>
        <w:ind w:left="1093" w:hanging="423"/>
        <w:jc w:val="left"/>
      </w:pPr>
      <w:rPr>
        <w:rFonts w:hint="default"/>
      </w:rPr>
    </w:lvl>
    <w:lvl w:ilvl="1">
      <w:start w:val="1"/>
      <w:numFmt w:val="decimal"/>
      <w:lvlText w:val="%1.%2"/>
      <w:lvlJc w:val="left"/>
      <w:pPr>
        <w:ind w:left="1093" w:hanging="423"/>
        <w:jc w:val="left"/>
      </w:pPr>
      <w:rPr>
        <w:rFonts w:hint="default" w:ascii="宋体" w:hAnsi="宋体" w:eastAsia="宋体" w:cs="宋体"/>
        <w:w w:val="100"/>
        <w:sz w:val="21"/>
        <w:szCs w:val="21"/>
      </w:rPr>
    </w:lvl>
    <w:lvl w:ilvl="2">
      <w:start w:val="0"/>
      <w:numFmt w:val="bullet"/>
      <w:lvlText w:val="•"/>
      <w:lvlJc w:val="left"/>
      <w:pPr>
        <w:ind w:left="1612" w:hanging="423"/>
      </w:pPr>
      <w:rPr>
        <w:rFonts w:hint="default"/>
      </w:rPr>
    </w:lvl>
    <w:lvl w:ilvl="3">
      <w:start w:val="0"/>
      <w:numFmt w:val="bullet"/>
      <w:lvlText w:val="•"/>
      <w:lvlJc w:val="left"/>
      <w:pPr>
        <w:ind w:left="1869" w:hanging="423"/>
      </w:pPr>
      <w:rPr>
        <w:rFonts w:hint="default"/>
      </w:rPr>
    </w:lvl>
    <w:lvl w:ilvl="4">
      <w:start w:val="0"/>
      <w:numFmt w:val="bullet"/>
      <w:lvlText w:val="•"/>
      <w:lvlJc w:val="left"/>
      <w:pPr>
        <w:ind w:left="2125" w:hanging="423"/>
      </w:pPr>
      <w:rPr>
        <w:rFonts w:hint="default"/>
      </w:rPr>
    </w:lvl>
    <w:lvl w:ilvl="5">
      <w:start w:val="0"/>
      <w:numFmt w:val="bullet"/>
      <w:lvlText w:val="•"/>
      <w:lvlJc w:val="left"/>
      <w:pPr>
        <w:ind w:left="2382" w:hanging="423"/>
      </w:pPr>
      <w:rPr>
        <w:rFonts w:hint="default"/>
      </w:rPr>
    </w:lvl>
    <w:lvl w:ilvl="6">
      <w:start w:val="0"/>
      <w:numFmt w:val="bullet"/>
      <w:lvlText w:val="•"/>
      <w:lvlJc w:val="left"/>
      <w:pPr>
        <w:ind w:left="2638" w:hanging="423"/>
      </w:pPr>
      <w:rPr>
        <w:rFonts w:hint="default"/>
      </w:rPr>
    </w:lvl>
    <w:lvl w:ilvl="7">
      <w:start w:val="0"/>
      <w:numFmt w:val="bullet"/>
      <w:lvlText w:val="•"/>
      <w:lvlJc w:val="left"/>
      <w:pPr>
        <w:ind w:left="2894" w:hanging="423"/>
      </w:pPr>
      <w:rPr>
        <w:rFonts w:hint="default"/>
      </w:rPr>
    </w:lvl>
    <w:lvl w:ilvl="8">
      <w:start w:val="0"/>
      <w:numFmt w:val="bullet"/>
      <w:lvlText w:val="•"/>
      <w:lvlJc w:val="left"/>
      <w:pPr>
        <w:ind w:left="3151" w:hanging="423"/>
      </w:pPr>
      <w:rPr>
        <w:rFonts w:hint="default"/>
      </w:rPr>
    </w:lvl>
  </w:abstractNum>
  <w:abstractNum w:abstractNumId="3">
    <w:multiLevelType w:val="hybridMultilevel"/>
    <w:lvl w:ilvl="0">
      <w:start w:val="5"/>
      <w:numFmt w:val="decimal"/>
      <w:lvlText w:val="%1"/>
      <w:lvlJc w:val="left"/>
      <w:pPr>
        <w:ind w:left="1093" w:hanging="423"/>
        <w:jc w:val="left"/>
      </w:pPr>
      <w:rPr>
        <w:rFonts w:hint="default"/>
      </w:rPr>
    </w:lvl>
    <w:lvl w:ilvl="1">
      <w:start w:val="1"/>
      <w:numFmt w:val="decimal"/>
      <w:lvlText w:val="%1.%2"/>
      <w:lvlJc w:val="left"/>
      <w:pPr>
        <w:ind w:left="1093" w:hanging="423"/>
        <w:jc w:val="left"/>
      </w:pPr>
      <w:rPr>
        <w:rFonts w:hint="default" w:ascii="宋体" w:hAnsi="宋体" w:eastAsia="宋体" w:cs="宋体"/>
        <w:w w:val="100"/>
        <w:sz w:val="21"/>
        <w:szCs w:val="21"/>
      </w:rPr>
    </w:lvl>
    <w:lvl w:ilvl="2">
      <w:start w:val="0"/>
      <w:numFmt w:val="bullet"/>
      <w:lvlText w:val="•"/>
      <w:lvlJc w:val="left"/>
      <w:pPr>
        <w:ind w:left="1612" w:hanging="423"/>
      </w:pPr>
      <w:rPr>
        <w:rFonts w:hint="default"/>
      </w:rPr>
    </w:lvl>
    <w:lvl w:ilvl="3">
      <w:start w:val="0"/>
      <w:numFmt w:val="bullet"/>
      <w:lvlText w:val="•"/>
      <w:lvlJc w:val="left"/>
      <w:pPr>
        <w:ind w:left="1869" w:hanging="423"/>
      </w:pPr>
      <w:rPr>
        <w:rFonts w:hint="default"/>
      </w:rPr>
    </w:lvl>
    <w:lvl w:ilvl="4">
      <w:start w:val="0"/>
      <w:numFmt w:val="bullet"/>
      <w:lvlText w:val="•"/>
      <w:lvlJc w:val="left"/>
      <w:pPr>
        <w:ind w:left="2125" w:hanging="423"/>
      </w:pPr>
      <w:rPr>
        <w:rFonts w:hint="default"/>
      </w:rPr>
    </w:lvl>
    <w:lvl w:ilvl="5">
      <w:start w:val="0"/>
      <w:numFmt w:val="bullet"/>
      <w:lvlText w:val="•"/>
      <w:lvlJc w:val="left"/>
      <w:pPr>
        <w:ind w:left="2382" w:hanging="423"/>
      </w:pPr>
      <w:rPr>
        <w:rFonts w:hint="default"/>
      </w:rPr>
    </w:lvl>
    <w:lvl w:ilvl="6">
      <w:start w:val="0"/>
      <w:numFmt w:val="bullet"/>
      <w:lvlText w:val="•"/>
      <w:lvlJc w:val="left"/>
      <w:pPr>
        <w:ind w:left="2638" w:hanging="423"/>
      </w:pPr>
      <w:rPr>
        <w:rFonts w:hint="default"/>
      </w:rPr>
    </w:lvl>
    <w:lvl w:ilvl="7">
      <w:start w:val="0"/>
      <w:numFmt w:val="bullet"/>
      <w:lvlText w:val="•"/>
      <w:lvlJc w:val="left"/>
      <w:pPr>
        <w:ind w:left="2894" w:hanging="423"/>
      </w:pPr>
      <w:rPr>
        <w:rFonts w:hint="default"/>
      </w:rPr>
    </w:lvl>
    <w:lvl w:ilvl="8">
      <w:start w:val="0"/>
      <w:numFmt w:val="bullet"/>
      <w:lvlText w:val="•"/>
      <w:lvlJc w:val="left"/>
      <w:pPr>
        <w:ind w:left="3151" w:hanging="423"/>
      </w:pPr>
      <w:rPr>
        <w:rFonts w:hint="default"/>
      </w:rPr>
    </w:lvl>
  </w:abstractNum>
  <w:abstractNum w:abstractNumId="2">
    <w:multiLevelType w:val="hybridMultilevel"/>
    <w:lvl w:ilvl="0">
      <w:start w:val="3"/>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97" w:hanging="423"/>
      </w:pPr>
      <w:rPr>
        <w:rFonts w:hint="default"/>
      </w:rPr>
    </w:lvl>
    <w:lvl w:ilvl="5">
      <w:start w:val="0"/>
      <w:numFmt w:val="bullet"/>
      <w:lvlText w:val="•"/>
      <w:lvlJc w:val="left"/>
      <w:pPr>
        <w:ind w:left="1811" w:hanging="423"/>
      </w:pPr>
      <w:rPr>
        <w:rFonts w:hint="default"/>
      </w:rPr>
    </w:lvl>
    <w:lvl w:ilvl="6">
      <w:start w:val="0"/>
      <w:numFmt w:val="bullet"/>
      <w:lvlText w:val="•"/>
      <w:lvlJc w:val="left"/>
      <w:pPr>
        <w:ind w:left="2025"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54" w:hanging="423"/>
      </w:pPr>
      <w:rPr>
        <w:rFonts w:hint="default"/>
      </w:rPr>
    </w:lvl>
  </w:abstractNum>
  <w:abstractNum w:abstractNumId="1">
    <w:multiLevelType w:val="hybridMultilevel"/>
    <w:lvl w:ilvl="0">
      <w:start w:val="2"/>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97" w:hanging="423"/>
      </w:pPr>
      <w:rPr>
        <w:rFonts w:hint="default"/>
      </w:rPr>
    </w:lvl>
    <w:lvl w:ilvl="5">
      <w:start w:val="0"/>
      <w:numFmt w:val="bullet"/>
      <w:lvlText w:val="•"/>
      <w:lvlJc w:val="left"/>
      <w:pPr>
        <w:ind w:left="1811" w:hanging="423"/>
      </w:pPr>
      <w:rPr>
        <w:rFonts w:hint="default"/>
      </w:rPr>
    </w:lvl>
    <w:lvl w:ilvl="6">
      <w:start w:val="0"/>
      <w:numFmt w:val="bullet"/>
      <w:lvlText w:val="•"/>
      <w:lvlJc w:val="left"/>
      <w:pPr>
        <w:ind w:left="2025"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54" w:hanging="423"/>
      </w:pPr>
      <w:rPr>
        <w:rFonts w:hint="default"/>
      </w:rPr>
    </w:lvl>
  </w:abstractNum>
  <w:abstractNum w:abstractNumId="0">
    <w:multiLevelType w:val="hybridMultilevel"/>
    <w:lvl w:ilvl="0">
      <w:start w:val="1"/>
      <w:numFmt w:val="decimal"/>
      <w:lvlText w:val="%1"/>
      <w:lvlJc w:val="left"/>
      <w:pPr>
        <w:ind w:left="686" w:hanging="370"/>
        <w:jc w:val="left"/>
      </w:pPr>
      <w:rPr>
        <w:rFonts w:hint="default"/>
      </w:rPr>
    </w:lvl>
    <w:lvl w:ilvl="1">
      <w:start w:val="1"/>
      <w:numFmt w:val="decimal"/>
      <w:lvlText w:val="%1.%2"/>
      <w:lvlJc w:val="left"/>
      <w:pPr>
        <w:ind w:left="686" w:hanging="370"/>
        <w:jc w:val="left"/>
      </w:pPr>
      <w:rPr>
        <w:rFonts w:hint="default" w:ascii="宋体" w:hAnsi="宋体" w:eastAsia="宋体" w:cs="宋体"/>
        <w:w w:val="100"/>
        <w:sz w:val="21"/>
        <w:szCs w:val="21"/>
      </w:rPr>
    </w:lvl>
    <w:lvl w:ilvl="2">
      <w:start w:val="0"/>
      <w:numFmt w:val="bullet"/>
      <w:lvlText w:val="•"/>
      <w:lvlJc w:val="left"/>
      <w:pPr>
        <w:ind w:left="1120" w:hanging="370"/>
      </w:pPr>
      <w:rPr>
        <w:rFonts w:hint="default"/>
      </w:rPr>
    </w:lvl>
    <w:lvl w:ilvl="3">
      <w:start w:val="0"/>
      <w:numFmt w:val="bullet"/>
      <w:lvlText w:val="•"/>
      <w:lvlJc w:val="left"/>
      <w:pPr>
        <w:ind w:left="1340" w:hanging="370"/>
      </w:pPr>
      <w:rPr>
        <w:rFonts w:hint="default"/>
      </w:rPr>
    </w:lvl>
    <w:lvl w:ilvl="4">
      <w:start w:val="0"/>
      <w:numFmt w:val="bullet"/>
      <w:lvlText w:val="•"/>
      <w:lvlJc w:val="left"/>
      <w:pPr>
        <w:ind w:left="1561" w:hanging="370"/>
      </w:pPr>
      <w:rPr>
        <w:rFonts w:hint="default"/>
      </w:rPr>
    </w:lvl>
    <w:lvl w:ilvl="5">
      <w:start w:val="0"/>
      <w:numFmt w:val="bullet"/>
      <w:lvlText w:val="•"/>
      <w:lvlJc w:val="left"/>
      <w:pPr>
        <w:ind w:left="1781" w:hanging="370"/>
      </w:pPr>
      <w:rPr>
        <w:rFonts w:hint="default"/>
      </w:rPr>
    </w:lvl>
    <w:lvl w:ilvl="6">
      <w:start w:val="0"/>
      <w:numFmt w:val="bullet"/>
      <w:lvlText w:val="•"/>
      <w:lvlJc w:val="left"/>
      <w:pPr>
        <w:ind w:left="2001" w:hanging="370"/>
      </w:pPr>
      <w:rPr>
        <w:rFonts w:hint="default"/>
      </w:rPr>
    </w:lvl>
    <w:lvl w:ilvl="7">
      <w:start w:val="0"/>
      <w:numFmt w:val="bullet"/>
      <w:lvlText w:val="•"/>
      <w:lvlJc w:val="left"/>
      <w:pPr>
        <w:ind w:left="2222" w:hanging="370"/>
      </w:pPr>
      <w:rPr>
        <w:rFonts w:hint="default"/>
      </w:rPr>
    </w:lvl>
    <w:lvl w:ilvl="8">
      <w:start w:val="0"/>
      <w:numFmt w:val="bullet"/>
      <w:lvlText w:val="•"/>
      <w:lvlJc w:val="left"/>
      <w:pPr>
        <w:ind w:left="2442" w:hanging="37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228"/>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8"/>
      <w:outlineLvl w:val="2"/>
    </w:pPr>
    <w:rPr>
      <w:rFonts w:ascii="微软雅黑" w:hAnsi="微软雅黑" w:eastAsia="微软雅黑" w:cs="微软雅黑"/>
      <w:b/>
      <w:bCs/>
      <w:sz w:val="24"/>
      <w:szCs w:val="24"/>
    </w:rPr>
  </w:style>
  <w:style w:styleId="Heading3" w:type="paragraph">
    <w:name w:val="Heading 3"/>
    <w:basedOn w:val="Normal"/>
    <w:uiPriority w:val="1"/>
    <w:qFormat/>
    <w:pPr>
      <w:ind w:left="119"/>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599" w:hanging="2381"/>
    </w:pPr>
    <w:rPr>
      <w:rFonts w:ascii="宋体" w:hAnsi="宋体" w:eastAsia="宋体" w:cs="宋体"/>
    </w:rPr>
  </w:style>
  <w:style w:styleId="TableParagraph" w:type="paragraph">
    <w:name w:val="Table Paragraph"/>
    <w:basedOn w:val="Normal"/>
    <w:uiPriority w:val="1"/>
    <w:qFormat/>
    <w:pPr>
      <w:ind w:left="2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虎  欣</dc:creator>
  <dcterms:created xsi:type="dcterms:W3CDTF">2018-10-20T04:46:37Z</dcterms:created>
  <dcterms:modified xsi:type="dcterms:W3CDTF">2018-10-20T04:46:37Z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2017-06-07T00:00:00Z</vt:filetime>
  </property>
  <property fmtid="{D5CDD505-2E9C-101B-9397-08002B2CF9AE}" pid="3" name="Creator">
    <vt:lpwstr>Microsoft® Word 2016</vt:lpwstr>
  </property>
  <property fmtid="{D5CDD505-2E9C-101B-9397-08002B2CF9AE}" pid="4" name="LastSaved">
    <vt:filetime>2018-10-19T00:00:00Z</vt:filetime>
  </property>
</Properties>
</file>