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722" w:firstLine="0"/>
        <w:jc w:val="right"/>
        <w:rPr>
          <w:sz w:val="16"/>
        </w:rPr>
      </w:pPr>
      <w:r>
        <w:rPr>
          <w:sz w:val="16"/>
        </w:rPr>
        <w:t>平安人寿[2017]疾病保险 115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540" w:bottom="280" w:left="940" w:right="780"/>
        </w:sectPr>
      </w:pPr>
    </w:p>
    <w:p>
      <w:pPr>
        <w:pStyle w:val="Heading1"/>
        <w:spacing w:before="129"/>
        <w:jc w:val="right"/>
      </w:pPr>
      <w:r>
        <w:rPr/>
        <w:t>阅  读  指 引</w:t>
      </w:r>
    </w:p>
    <w:p>
      <w:pPr>
        <w:pStyle w:val="BodyText"/>
        <w:rPr>
          <w:rFonts w:ascii="微软雅黑"/>
          <w:b/>
          <w:sz w:val="16"/>
        </w:rPr>
      </w:pPr>
      <w:r>
        <w:rPr/>
        <w:br w:type="column"/>
      </w:r>
      <w:r>
        <w:rPr>
          <w:rFonts w:ascii="微软雅黑"/>
          <w:b/>
          <w:sz w:val="16"/>
        </w:rPr>
      </w:r>
    </w:p>
    <w:p>
      <w:pPr>
        <w:pStyle w:val="BodyText"/>
        <w:spacing w:before="5"/>
        <w:rPr>
          <w:rFonts w:ascii="微软雅黑"/>
          <w:b/>
          <w:sz w:val="10"/>
        </w:rPr>
      </w:pPr>
    </w:p>
    <w:p>
      <w:pPr>
        <w:spacing w:before="1"/>
        <w:ind w:left="1594" w:right="0" w:firstLine="0"/>
        <w:jc w:val="left"/>
        <w:rPr>
          <w:sz w:val="16"/>
        </w:rPr>
      </w:pPr>
      <w:r>
        <w:rPr>
          <w:sz w:val="16"/>
        </w:rPr>
        <w:t>请扫描以查询验证条款</w:t>
      </w:r>
    </w:p>
    <w:p>
      <w:pPr>
        <w:spacing w:after="0"/>
        <w:jc w:val="left"/>
        <w:rPr>
          <w:sz w:val="16"/>
        </w:rPr>
        <w:sectPr>
          <w:type w:val="continuous"/>
          <w:pgSz w:w="11910" w:h="16840"/>
          <w:pgMar w:top="540" w:bottom="280" w:left="940" w:right="780"/>
          <w:cols w:num="2" w:equalWidth="0">
            <w:col w:w="5893" w:space="40"/>
            <w:col w:w="4257"/>
          </w:cols>
        </w:sectPr>
      </w:pPr>
    </w:p>
    <w:p>
      <w:pPr>
        <w:pStyle w:val="BodyText"/>
        <w:spacing w:before="4"/>
        <w:rPr>
          <w:sz w:val="12"/>
        </w:rPr>
      </w:pPr>
      <w:r>
        <w:rPr/>
        <w:pict>
          <v:group style="position:absolute;margin-left:52.32pt;margin-top:28.020029pt;width:495.6pt;height:749.85pt;mso-position-horizontal-relative:page;mso-position-vertical-relative:page;z-index:-67816" coordorigin="1046,560" coordsize="9912,14997">
            <v:shape style="position:absolute;left:5791;top:11427;width:95;height:165" type="#_x0000_t75" stroked="false">
              <v:imagedata r:id="rId5" o:title=""/>
            </v:shape>
            <v:shape style="position:absolute;left:5791;top:12507;width:95;height:165" type="#_x0000_t75" stroked="false">
              <v:imagedata r:id="rId5" o:title=""/>
            </v:shape>
            <v:shape style="position:absolute;left:7901;top:12507;width:95;height:165" type="#_x0000_t75" stroked="false">
              <v:imagedata r:id="rId5" o:title=""/>
            </v:shape>
            <v:shape style="position:absolute;left:5791;top:13568;width:95;height:165" type="#_x0000_t75" stroked="false">
              <v:imagedata r:id="rId5" o:title=""/>
            </v:shape>
            <v:shape style="position:absolute;left:7901;top:13568;width:95;height:165" type="#_x0000_t75" stroked="false">
              <v:imagedata r:id="rId5" o:title=""/>
            </v:shape>
            <v:shape style="position:absolute;left:1046;top:2380;width:9912;height:13176" type="#_x0000_t75" stroked="false">
              <v:imagedata r:id="rId6" o:title=""/>
            </v:shape>
            <v:shape style="position:absolute;left:7712;top:2007;width:3118;height:312" type="#_x0000_t75" stroked="false">
              <v:imagedata r:id="rId7" o:title=""/>
            </v:shape>
            <v:shape style="position:absolute;left:7722;top:560;width:3118;height:312" type="#_x0000_t75" stroked="false">
              <v:imagedata r:id="rId7" o:title=""/>
            </v:shape>
            <v:shape style="position:absolute;left:8726;top:872;width:1140;height:1140" type="#_x0000_t75" stroked="false">
              <v:imagedata r:id="rId8" o:title=""/>
            </v:shape>
            <w10:wrap type="none"/>
          </v:group>
        </w:pict>
      </w:r>
    </w:p>
    <w:p>
      <w:pPr>
        <w:pStyle w:val="Heading3"/>
        <w:spacing w:line="550" w:lineRule="exact" w:before="51"/>
      </w:pPr>
      <w:r>
        <w:rPr>
          <w:rFonts w:ascii="Arial" w:hAnsi="Arial" w:eastAsia="Arial"/>
          <w:w w:val="105"/>
          <w:position w:val="-11"/>
          <w:sz w:val="52"/>
        </w:rPr>
        <w:t></w:t>
      </w:r>
      <w:r>
        <w:rPr/>
        <w:t>平安附加平安福（2018）提前给付重大疾病保险产品提供特定轻度重疾及重疾保障</w:t>
      </w:r>
    </w:p>
    <w:p>
      <w:pPr>
        <w:spacing w:line="528"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pStyle w:val="ListParagraph"/>
        <w:numPr>
          <w:ilvl w:val="0"/>
          <w:numId w:val="1"/>
        </w:numPr>
        <w:tabs>
          <w:tab w:pos="1191" w:val="left" w:leader="none"/>
          <w:tab w:pos="1192" w:val="left" w:leader="none"/>
        </w:tabs>
        <w:spacing w:line="344" w:lineRule="exact" w:before="0" w:after="0"/>
        <w:ind w:left="1191" w:right="0" w:hanging="420"/>
        <w:jc w:val="left"/>
        <w:rPr>
          <w:sz w:val="21"/>
        </w:rPr>
      </w:pPr>
      <w:r>
        <w:rPr>
          <w:rFonts w:ascii="Microsoft JhengHei" w:eastAsia="Microsoft JhengHei" w:hint="eastAsia"/>
          <w:b/>
          <w:sz w:val="21"/>
        </w:rPr>
        <w:t>被保险人</w:t>
      </w:r>
      <w:r>
        <w:rPr>
          <w:spacing w:val="-3"/>
          <w:sz w:val="21"/>
        </w:rPr>
        <w:t>就是受保险合同保障的人。</w:t>
      </w:r>
    </w:p>
    <w:p>
      <w:pPr>
        <w:pStyle w:val="ListParagraph"/>
        <w:numPr>
          <w:ilvl w:val="0"/>
          <w:numId w:val="1"/>
        </w:numPr>
        <w:tabs>
          <w:tab w:pos="1191" w:val="left" w:leader="none"/>
          <w:tab w:pos="1192" w:val="left" w:leader="none"/>
        </w:tabs>
        <w:spacing w:line="240" w:lineRule="auto" w:before="133" w:after="0"/>
        <w:ind w:left="1191" w:right="0" w:hanging="420"/>
        <w:jc w:val="left"/>
        <w:rPr>
          <w:sz w:val="21"/>
        </w:rPr>
      </w:pPr>
      <w:r>
        <w:rPr>
          <w:rFonts w:ascii="Microsoft JhengHei" w:eastAsia="Microsoft JhengHei" w:hint="eastAsia"/>
          <w:b/>
          <w:sz w:val="21"/>
        </w:rPr>
        <w:t>投保人</w:t>
      </w:r>
      <w:r>
        <w:rPr>
          <w:spacing w:val="-3"/>
          <w:sz w:val="21"/>
        </w:rPr>
        <w:t>就是购买保险并交纳保险费的人。</w:t>
      </w:r>
    </w:p>
    <w:p>
      <w:pPr>
        <w:pStyle w:val="ListParagraph"/>
        <w:numPr>
          <w:ilvl w:val="0"/>
          <w:numId w:val="1"/>
        </w:numPr>
        <w:tabs>
          <w:tab w:pos="1191" w:val="left" w:leader="none"/>
          <w:tab w:pos="1192" w:val="left" w:leader="none"/>
        </w:tabs>
        <w:spacing w:line="240" w:lineRule="auto" w:before="136" w:after="0"/>
        <w:ind w:left="1191" w:right="0" w:hanging="420"/>
        <w:jc w:val="left"/>
        <w:rPr>
          <w:sz w:val="21"/>
        </w:rPr>
      </w:pPr>
      <w:r>
        <w:rPr>
          <w:rFonts w:ascii="Microsoft JhengHei" w:eastAsia="Microsoft JhengHei" w:hint="eastAsia"/>
          <w:b/>
          <w:sz w:val="21"/>
        </w:rPr>
        <w:t>受益人</w:t>
      </w:r>
      <w:r>
        <w:rPr>
          <w:spacing w:val="-3"/>
          <w:sz w:val="21"/>
        </w:rPr>
        <w:t>就是发生保险事故后领取保险金的人。</w:t>
      </w:r>
    </w:p>
    <w:p>
      <w:pPr>
        <w:pStyle w:val="ListParagraph"/>
        <w:numPr>
          <w:ilvl w:val="0"/>
          <w:numId w:val="1"/>
        </w:numPr>
        <w:tabs>
          <w:tab w:pos="1191" w:val="left" w:leader="none"/>
          <w:tab w:pos="1192" w:val="left" w:leader="none"/>
        </w:tabs>
        <w:spacing w:line="240" w:lineRule="auto" w:before="134" w:after="0"/>
        <w:ind w:left="1191" w:right="0" w:hanging="420"/>
        <w:jc w:val="left"/>
        <w:rPr>
          <w:sz w:val="21"/>
        </w:rPr>
      </w:pPr>
      <w:r>
        <w:rPr>
          <w:rFonts w:ascii="Microsoft JhengHei" w:eastAsia="Microsoft JhengHei" w:hint="eastAsia"/>
          <w:b/>
          <w:sz w:val="21"/>
        </w:rPr>
        <w:t>保险人</w:t>
      </w:r>
      <w:r>
        <w:rPr>
          <w:spacing w:val="-3"/>
          <w:sz w:val="21"/>
        </w:rPr>
        <w:t>就是保险公司。</w:t>
      </w:r>
    </w:p>
    <w:p>
      <w:pPr>
        <w:pStyle w:val="Heading3"/>
        <w:spacing w:before="78"/>
      </w:pPr>
      <w:r>
        <w:rPr>
          <w:rFonts w:ascii="Arial" w:hAnsi="Arial" w:eastAsia="Arial"/>
          <w:position w:val="-11"/>
          <w:sz w:val="52"/>
        </w:rPr>
        <w:t></w:t>
      </w:r>
      <w:r>
        <w:rPr/>
        <w:t>下面我们举例说明本产品提供哪些保障</w:t>
      </w:r>
    </w:p>
    <w:p>
      <w:pPr>
        <w:pStyle w:val="BodyText"/>
        <w:spacing w:line="436" w:lineRule="auto" w:before="26"/>
        <w:ind w:left="771" w:right="746"/>
      </w:pPr>
      <w:r>
        <w:rPr>
          <w:spacing w:val="-12"/>
        </w:rPr>
        <w:t>例子：王先生为妻子李女士</w:t>
      </w:r>
      <w:r>
        <w:rPr/>
        <w:t>（30</w:t>
      </w:r>
      <w:r>
        <w:rPr>
          <w:spacing w:val="-14"/>
        </w:rPr>
        <w:t> 周岁</w:t>
      </w:r>
      <w:r>
        <w:rPr>
          <w:spacing w:val="-48"/>
        </w:rPr>
        <w:t>）</w:t>
      </w:r>
      <w:r>
        <w:rPr>
          <w:spacing w:val="-8"/>
        </w:rPr>
        <w:t>投保平安附加平安福</w:t>
      </w:r>
      <w:r>
        <w:rPr>
          <w:spacing w:val="-10"/>
        </w:rPr>
        <w:t>（2018）</w:t>
      </w:r>
      <w:r>
        <w:rPr>
          <w:spacing w:val="-8"/>
        </w:rPr>
        <w:t>提前给付重大疾病保险</w:t>
      </w:r>
      <w:r>
        <w:rPr>
          <w:spacing w:val="-3"/>
        </w:rPr>
        <w:t>（简</w:t>
      </w:r>
      <w:r>
        <w:rPr>
          <w:spacing w:val="-2"/>
          <w:w w:val="100"/>
        </w:rPr>
        <w:t>称平安福重疾</w:t>
      </w:r>
      <w:r>
        <w:rPr>
          <w:spacing w:val="-53"/>
        </w:rPr>
        <w:t> </w:t>
      </w:r>
      <w:r>
        <w:rPr>
          <w:spacing w:val="-3"/>
          <w:w w:val="100"/>
        </w:rPr>
        <w:t>1</w:t>
      </w:r>
      <w:r>
        <w:rPr>
          <w:w w:val="100"/>
        </w:rPr>
        <w:t>8</w:t>
      </w:r>
      <w:r>
        <w:rPr>
          <w:spacing w:val="-106"/>
          <w:w w:val="100"/>
        </w:rPr>
        <w:t>）</w:t>
      </w:r>
      <w:r>
        <w:rPr>
          <w:spacing w:val="-3"/>
          <w:w w:val="100"/>
        </w:rPr>
        <w:t>，基本保险金额</w:t>
      </w:r>
      <w:r>
        <w:rPr>
          <w:spacing w:val="-3"/>
        </w:rPr>
        <w:t> </w:t>
      </w:r>
      <w:r>
        <w:rPr>
          <w:spacing w:val="-3"/>
          <w:w w:val="100"/>
        </w:rPr>
        <w:t>3</w:t>
      </w:r>
      <w:r>
        <w:rPr>
          <w:w w:val="100"/>
        </w:rPr>
        <w:t>0</w:t>
      </w:r>
      <w:r>
        <w:rPr>
          <w:spacing w:val="-53"/>
        </w:rPr>
        <w:t> </w:t>
      </w:r>
      <w:r>
        <w:rPr>
          <w:spacing w:val="-3"/>
          <w:w w:val="100"/>
        </w:rPr>
        <w:t>万元，受益人为李女士，同时还投保平安平安福（</w:t>
      </w:r>
      <w:r>
        <w:rPr>
          <w:w w:val="100"/>
        </w:rPr>
        <w:t>201</w:t>
      </w:r>
      <w:r>
        <w:rPr>
          <w:spacing w:val="-3"/>
          <w:w w:val="100"/>
        </w:rPr>
        <w:t>8</w:t>
      </w:r>
      <w:r>
        <w:rPr>
          <w:w w:val="100"/>
        </w:rPr>
        <w:t>）</w:t>
      </w:r>
      <w:r>
        <w:rPr>
          <w:spacing w:val="-1"/>
        </w:rPr>
        <w:t>终身寿险</w:t>
      </w:r>
      <w:r>
        <w:rPr>
          <w:spacing w:val="-3"/>
        </w:rPr>
        <w:t>（</w:t>
      </w:r>
      <w:r>
        <w:rPr>
          <w:spacing w:val="-11"/>
        </w:rPr>
        <w:t>简称平安福 </w:t>
      </w:r>
      <w:r>
        <w:rPr/>
        <w:t>18）</w:t>
      </w:r>
      <w:r>
        <w:rPr>
          <w:spacing w:val="-6"/>
        </w:rPr>
        <w:t>及其他附加长期意外伤害保险，平安福 </w:t>
      </w:r>
      <w:r>
        <w:rPr/>
        <w:t>18</w:t>
      </w:r>
      <w:r>
        <w:rPr>
          <w:spacing w:val="-15"/>
        </w:rPr>
        <w:t> 基本保险金额 </w:t>
      </w:r>
      <w:r>
        <w:rPr/>
        <w:t>31</w:t>
      </w:r>
      <w:r>
        <w:rPr>
          <w:spacing w:val="-14"/>
        </w:rPr>
        <w:t> 万元。</w:t>
      </w:r>
      <w:r>
        <w:rPr>
          <w:spacing w:val="-3"/>
        </w:rPr>
        <w:t>本例中王先生为投保人，李女士为被保险人及受益人，平安人寿为保险人。</w:t>
      </w:r>
    </w:p>
    <w:p>
      <w:pPr>
        <w:pStyle w:val="BodyText"/>
        <w:spacing w:line="436" w:lineRule="auto" w:before="52"/>
        <w:ind w:left="771" w:right="825"/>
      </w:pPr>
      <w:r>
        <w:rPr/>
        <w:pict>
          <v:shapetype id="_x0000_t202" o:spt="202" coordsize="21600,21600" path="m,l,21600r21600,l21600,xe">
            <v:stroke joinstyle="miter"/>
            <v:path gradientshapeok="t" o:connecttype="rect"/>
          </v:shapetype>
          <v:shape style="position:absolute;margin-left:76.919998pt;margin-top:44.851154pt;width:446.8pt;height:327.75pt;mso-position-horizontal-relative:page;mso-position-vertical-relative:paragraph;z-index:10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2"/>
                    <w:gridCol w:w="2127"/>
                    <w:gridCol w:w="2410"/>
                    <w:gridCol w:w="1364"/>
                  </w:tblGrid>
                  <w:tr>
                    <w:trPr>
                      <w:trHeight w:val="772" w:hRule="atLeast"/>
                    </w:trPr>
                    <w:tc>
                      <w:tcPr>
                        <w:tcW w:w="3022" w:type="dxa"/>
                      </w:tcPr>
                      <w:p>
                        <w:pPr>
                          <w:pStyle w:val="TableParagraph"/>
                          <w:spacing w:before="146"/>
                          <w:ind w:left="1069" w:right="1063"/>
                          <w:jc w:val="center"/>
                          <w:rPr>
                            <w:rFonts w:ascii="Microsoft JhengHei" w:eastAsia="Microsoft JhengHei" w:hint="eastAsia"/>
                            <w:b/>
                            <w:sz w:val="21"/>
                          </w:rPr>
                        </w:pPr>
                        <w:r>
                          <w:rPr>
                            <w:rFonts w:ascii="Microsoft JhengHei" w:eastAsia="Microsoft JhengHei" w:hint="eastAsia"/>
                            <w:b/>
                            <w:sz w:val="21"/>
                          </w:rPr>
                          <w:t>领取条件</w:t>
                        </w:r>
                      </w:p>
                    </w:tc>
                    <w:tc>
                      <w:tcPr>
                        <w:tcW w:w="5901" w:type="dxa"/>
                        <w:gridSpan w:val="3"/>
                      </w:tcPr>
                      <w:p>
                        <w:pPr>
                          <w:pStyle w:val="TableParagraph"/>
                          <w:spacing w:before="146"/>
                          <w:ind w:left="1578"/>
                          <w:rPr>
                            <w:rFonts w:ascii="Microsoft JhengHei" w:eastAsia="Microsoft JhengHei" w:hint="eastAsia"/>
                            <w:b/>
                            <w:sz w:val="21"/>
                          </w:rPr>
                        </w:pPr>
                        <w:r>
                          <w:rPr>
                            <w:rFonts w:ascii="Microsoft JhengHei" w:eastAsia="Microsoft JhengHei" w:hint="eastAsia"/>
                            <w:b/>
                            <w:sz w:val="21"/>
                          </w:rPr>
                          <w:t>特定轻度重疾保险金给付金额</w:t>
                        </w:r>
                      </w:p>
                    </w:tc>
                  </w:tr>
                  <w:tr>
                    <w:trPr>
                      <w:trHeight w:val="1199" w:hRule="atLeast"/>
                    </w:trPr>
                    <w:tc>
                      <w:tcPr>
                        <w:tcW w:w="3022" w:type="dxa"/>
                      </w:tcPr>
                      <w:p>
                        <w:pPr>
                          <w:pStyle w:val="TableParagraph"/>
                          <w:spacing w:before="73"/>
                          <w:ind w:left="107"/>
                          <w:rPr>
                            <w:sz w:val="21"/>
                          </w:rPr>
                        </w:pPr>
                        <w:r>
                          <w:rPr>
                            <w:sz w:val="21"/>
                          </w:rPr>
                          <w:t>①被保险人发生特定轻度重疾</w:t>
                        </w:r>
                      </w:p>
                      <w:p>
                        <w:pPr>
                          <w:pStyle w:val="TableParagraph"/>
                          <w:spacing w:before="122"/>
                          <w:ind w:left="107"/>
                          <w:rPr>
                            <w:sz w:val="21"/>
                          </w:rPr>
                        </w:pPr>
                        <w:r>
                          <w:rPr>
                            <w:sz w:val="21"/>
                          </w:rPr>
                          <w:t>②达到运动标准一</w:t>
                        </w:r>
                      </w:p>
                      <w:p>
                        <w:pPr>
                          <w:pStyle w:val="TableParagraph"/>
                          <w:spacing w:before="125"/>
                          <w:ind w:left="108"/>
                          <w:rPr>
                            <w:sz w:val="21"/>
                          </w:rPr>
                        </w:pPr>
                        <w:r>
                          <w:rPr>
                            <w:sz w:val="21"/>
                          </w:rPr>
                          <w:t>③达到运动标准二</w:t>
                        </w:r>
                      </w:p>
                    </w:tc>
                    <w:tc>
                      <w:tcPr>
                        <w:tcW w:w="2127" w:type="dxa"/>
                      </w:tcPr>
                      <w:p>
                        <w:pPr>
                          <w:pStyle w:val="TableParagraph"/>
                          <w:spacing w:before="1"/>
                          <w:ind w:left="0"/>
                          <w:rPr>
                            <w:sz w:val="22"/>
                          </w:rPr>
                        </w:pPr>
                      </w:p>
                      <w:p>
                        <w:pPr>
                          <w:pStyle w:val="TableParagraph"/>
                          <w:spacing w:line="280" w:lineRule="auto" w:before="1"/>
                          <w:ind w:left="746" w:right="209" w:hanging="524"/>
                          <w:rPr>
                            <w:sz w:val="21"/>
                          </w:rPr>
                        </w:pPr>
                        <w:r>
                          <w:rPr>
                            <w:sz w:val="21"/>
                          </w:rPr>
                          <w:t>基本特定轻度重疾保险金</w:t>
                        </w:r>
                      </w:p>
                    </w:tc>
                    <w:tc>
                      <w:tcPr>
                        <w:tcW w:w="2410" w:type="dxa"/>
                      </w:tcPr>
                      <w:p>
                        <w:pPr>
                          <w:pStyle w:val="TableParagraph"/>
                          <w:spacing w:line="278" w:lineRule="auto" w:before="131"/>
                          <w:ind w:left="153" w:right="142"/>
                          <w:jc w:val="both"/>
                          <w:rPr>
                            <w:sz w:val="21"/>
                          </w:rPr>
                        </w:pPr>
                        <w:r>
                          <w:rPr>
                            <w:sz w:val="21"/>
                          </w:rPr>
                          <w:t>达到运动标准后发生特定轻度重疾额外给付的特定轻度重疾保险金</w:t>
                        </w:r>
                      </w:p>
                    </w:tc>
                    <w:tc>
                      <w:tcPr>
                        <w:tcW w:w="1364" w:type="dxa"/>
                      </w:tcPr>
                      <w:p>
                        <w:pPr>
                          <w:pStyle w:val="TableParagraph"/>
                          <w:ind w:left="0"/>
                          <w:rPr>
                            <w:sz w:val="20"/>
                          </w:rPr>
                        </w:pPr>
                      </w:p>
                      <w:p>
                        <w:pPr>
                          <w:pStyle w:val="TableParagraph"/>
                          <w:spacing w:before="5"/>
                          <w:ind w:left="0"/>
                          <w:rPr>
                            <w:sz w:val="14"/>
                          </w:rPr>
                        </w:pPr>
                      </w:p>
                      <w:p>
                        <w:pPr>
                          <w:pStyle w:val="TableParagraph"/>
                          <w:ind w:left="345" w:right="338"/>
                          <w:jc w:val="center"/>
                          <w:rPr>
                            <w:sz w:val="21"/>
                          </w:rPr>
                        </w:pPr>
                        <w:r>
                          <w:rPr>
                            <w:sz w:val="21"/>
                          </w:rPr>
                          <w:t>合计</w:t>
                        </w:r>
                      </w:p>
                    </w:tc>
                  </w:tr>
                  <w:tr>
                    <w:trPr>
                      <w:trHeight w:val="1093" w:hRule="atLeast"/>
                    </w:trPr>
                    <w:tc>
                      <w:tcPr>
                        <w:tcW w:w="3022" w:type="dxa"/>
                      </w:tcPr>
                      <w:p>
                        <w:pPr>
                          <w:pStyle w:val="TableParagraph"/>
                          <w:ind w:left="0"/>
                          <w:rPr>
                            <w:sz w:val="20"/>
                          </w:rPr>
                        </w:pPr>
                      </w:p>
                      <w:p>
                        <w:pPr>
                          <w:pStyle w:val="TableParagraph"/>
                          <w:spacing w:before="136"/>
                          <w:ind w:left="6"/>
                          <w:jc w:val="center"/>
                          <w:rPr>
                            <w:sz w:val="21"/>
                          </w:rPr>
                        </w:pPr>
                        <w:r>
                          <w:rPr>
                            <w:w w:val="100"/>
                            <w:sz w:val="21"/>
                          </w:rPr>
                          <w:t>①</w:t>
                        </w:r>
                      </w:p>
                    </w:tc>
                    <w:tc>
                      <w:tcPr>
                        <w:tcW w:w="2127" w:type="dxa"/>
                      </w:tcPr>
                      <w:p>
                        <w:pPr>
                          <w:pStyle w:val="TableParagraph"/>
                          <w:ind w:left="0"/>
                          <w:rPr>
                            <w:sz w:val="20"/>
                          </w:rPr>
                        </w:pPr>
                      </w:p>
                      <w:p>
                        <w:pPr>
                          <w:pStyle w:val="TableParagraph"/>
                          <w:spacing w:before="136"/>
                          <w:ind w:left="46" w:right="36"/>
                          <w:jc w:val="center"/>
                          <w:rPr>
                            <w:sz w:val="21"/>
                          </w:rPr>
                        </w:pPr>
                        <w:r>
                          <w:rPr>
                            <w:sz w:val="21"/>
                          </w:rPr>
                          <w:t>30 万元×20 =6 万元</w:t>
                        </w:r>
                      </w:p>
                    </w:tc>
                    <w:tc>
                      <w:tcPr>
                        <w:tcW w:w="2410" w:type="dxa"/>
                      </w:tcPr>
                      <w:p>
                        <w:pPr>
                          <w:pStyle w:val="TableParagraph"/>
                          <w:ind w:left="0"/>
                          <w:rPr>
                            <w:sz w:val="20"/>
                          </w:rPr>
                        </w:pPr>
                      </w:p>
                      <w:p>
                        <w:pPr>
                          <w:pStyle w:val="TableParagraph"/>
                          <w:spacing w:before="136"/>
                          <w:ind w:left="7"/>
                          <w:jc w:val="center"/>
                          <w:rPr>
                            <w:sz w:val="21"/>
                          </w:rPr>
                        </w:pPr>
                        <w:r>
                          <w:rPr>
                            <w:w w:val="100"/>
                            <w:sz w:val="21"/>
                          </w:rPr>
                          <w:t>/</w:t>
                        </w:r>
                      </w:p>
                    </w:tc>
                    <w:tc>
                      <w:tcPr>
                        <w:tcW w:w="1364" w:type="dxa"/>
                      </w:tcPr>
                      <w:p>
                        <w:pPr>
                          <w:pStyle w:val="TableParagraph"/>
                          <w:ind w:left="0"/>
                          <w:rPr>
                            <w:sz w:val="20"/>
                          </w:rPr>
                        </w:pPr>
                      </w:p>
                      <w:p>
                        <w:pPr>
                          <w:pStyle w:val="TableParagraph"/>
                          <w:spacing w:before="136"/>
                          <w:ind w:left="345" w:right="339"/>
                          <w:jc w:val="center"/>
                          <w:rPr>
                            <w:sz w:val="21"/>
                          </w:rPr>
                        </w:pPr>
                        <w:r>
                          <w:rPr>
                            <w:sz w:val="21"/>
                          </w:rPr>
                          <w:t>6 万元</w:t>
                        </w:r>
                      </w:p>
                    </w:tc>
                  </w:tr>
                  <w:tr>
                    <w:trPr>
                      <w:trHeight w:val="1046" w:hRule="atLeast"/>
                    </w:trPr>
                    <w:tc>
                      <w:tcPr>
                        <w:tcW w:w="3022" w:type="dxa"/>
                      </w:tcPr>
                      <w:p>
                        <w:pPr>
                          <w:pStyle w:val="TableParagraph"/>
                          <w:spacing w:before="7"/>
                          <w:ind w:left="0"/>
                          <w:rPr>
                            <w:sz w:val="28"/>
                          </w:rPr>
                        </w:pPr>
                      </w:p>
                      <w:p>
                        <w:pPr>
                          <w:pStyle w:val="TableParagraph"/>
                          <w:ind w:left="1069" w:right="1063"/>
                          <w:jc w:val="center"/>
                          <w:rPr>
                            <w:sz w:val="21"/>
                          </w:rPr>
                        </w:pPr>
                        <w:r>
                          <w:rPr>
                            <w:sz w:val="21"/>
                          </w:rPr>
                          <w:t>①②</w:t>
                        </w:r>
                      </w:p>
                    </w:tc>
                    <w:tc>
                      <w:tcPr>
                        <w:tcW w:w="2127" w:type="dxa"/>
                      </w:tcPr>
                      <w:p>
                        <w:pPr>
                          <w:pStyle w:val="TableParagraph"/>
                          <w:spacing w:before="7"/>
                          <w:ind w:left="0"/>
                          <w:rPr>
                            <w:sz w:val="28"/>
                          </w:rPr>
                        </w:pPr>
                      </w:p>
                      <w:p>
                        <w:pPr>
                          <w:pStyle w:val="TableParagraph"/>
                          <w:ind w:left="46" w:right="36"/>
                          <w:jc w:val="center"/>
                          <w:rPr>
                            <w:sz w:val="21"/>
                          </w:rPr>
                        </w:pPr>
                        <w:r>
                          <w:rPr>
                            <w:sz w:val="21"/>
                          </w:rPr>
                          <w:t>30 万元×20 =6 万元</w:t>
                        </w:r>
                      </w:p>
                    </w:tc>
                    <w:tc>
                      <w:tcPr>
                        <w:tcW w:w="2410" w:type="dxa"/>
                      </w:tcPr>
                      <w:p>
                        <w:pPr>
                          <w:pStyle w:val="TableParagraph"/>
                          <w:spacing w:before="7"/>
                          <w:ind w:left="0"/>
                          <w:rPr>
                            <w:sz w:val="28"/>
                          </w:rPr>
                        </w:pPr>
                      </w:p>
                      <w:p>
                        <w:pPr>
                          <w:pStyle w:val="TableParagraph"/>
                          <w:ind w:left="80" w:right="75"/>
                          <w:jc w:val="center"/>
                          <w:rPr>
                            <w:sz w:val="21"/>
                          </w:rPr>
                        </w:pPr>
                        <w:r>
                          <w:rPr>
                            <w:sz w:val="21"/>
                          </w:rPr>
                          <w:t>30 万元×1=0.3 万元</w:t>
                        </w:r>
                      </w:p>
                    </w:tc>
                    <w:tc>
                      <w:tcPr>
                        <w:tcW w:w="1364" w:type="dxa"/>
                      </w:tcPr>
                      <w:p>
                        <w:pPr>
                          <w:pStyle w:val="TableParagraph"/>
                          <w:spacing w:before="7"/>
                          <w:ind w:left="0"/>
                          <w:rPr>
                            <w:sz w:val="28"/>
                          </w:rPr>
                        </w:pPr>
                      </w:p>
                      <w:p>
                        <w:pPr>
                          <w:pStyle w:val="TableParagraph"/>
                          <w:ind w:left="286"/>
                          <w:rPr>
                            <w:sz w:val="21"/>
                          </w:rPr>
                        </w:pPr>
                        <w:r>
                          <w:rPr>
                            <w:sz w:val="21"/>
                          </w:rPr>
                          <w:t>6.3 万元</w:t>
                        </w:r>
                      </w:p>
                    </w:tc>
                  </w:tr>
                  <w:tr>
                    <w:trPr>
                      <w:trHeight w:val="1053" w:hRule="atLeast"/>
                    </w:trPr>
                    <w:tc>
                      <w:tcPr>
                        <w:tcW w:w="3022" w:type="dxa"/>
                      </w:tcPr>
                      <w:p>
                        <w:pPr>
                          <w:pStyle w:val="TableParagraph"/>
                          <w:spacing w:before="12"/>
                          <w:ind w:left="0"/>
                          <w:rPr>
                            <w:sz w:val="28"/>
                          </w:rPr>
                        </w:pPr>
                      </w:p>
                      <w:p>
                        <w:pPr>
                          <w:pStyle w:val="TableParagraph"/>
                          <w:ind w:left="1069" w:right="1063"/>
                          <w:jc w:val="center"/>
                          <w:rPr>
                            <w:sz w:val="21"/>
                          </w:rPr>
                        </w:pPr>
                        <w:r>
                          <w:rPr>
                            <w:sz w:val="21"/>
                          </w:rPr>
                          <w:t>①③</w:t>
                        </w:r>
                      </w:p>
                    </w:tc>
                    <w:tc>
                      <w:tcPr>
                        <w:tcW w:w="2127" w:type="dxa"/>
                      </w:tcPr>
                      <w:p>
                        <w:pPr>
                          <w:pStyle w:val="TableParagraph"/>
                          <w:spacing w:before="12"/>
                          <w:ind w:left="0"/>
                          <w:rPr>
                            <w:sz w:val="28"/>
                          </w:rPr>
                        </w:pPr>
                      </w:p>
                      <w:p>
                        <w:pPr>
                          <w:pStyle w:val="TableParagraph"/>
                          <w:ind w:left="46" w:right="36"/>
                          <w:jc w:val="center"/>
                          <w:rPr>
                            <w:sz w:val="21"/>
                          </w:rPr>
                        </w:pPr>
                        <w:r>
                          <w:rPr>
                            <w:sz w:val="21"/>
                          </w:rPr>
                          <w:t>30 万元×20 =6 万元</w:t>
                        </w:r>
                      </w:p>
                    </w:tc>
                    <w:tc>
                      <w:tcPr>
                        <w:tcW w:w="2410" w:type="dxa"/>
                      </w:tcPr>
                      <w:p>
                        <w:pPr>
                          <w:pStyle w:val="TableParagraph"/>
                          <w:spacing w:before="12"/>
                          <w:ind w:left="0"/>
                          <w:rPr>
                            <w:sz w:val="28"/>
                          </w:rPr>
                        </w:pPr>
                      </w:p>
                      <w:p>
                        <w:pPr>
                          <w:pStyle w:val="TableParagraph"/>
                          <w:ind w:left="80" w:right="75"/>
                          <w:jc w:val="center"/>
                          <w:rPr>
                            <w:sz w:val="21"/>
                          </w:rPr>
                        </w:pPr>
                        <w:r>
                          <w:rPr>
                            <w:sz w:val="21"/>
                          </w:rPr>
                          <w:t>30 万元×2=0.6 万元</w:t>
                        </w:r>
                      </w:p>
                    </w:tc>
                    <w:tc>
                      <w:tcPr>
                        <w:tcW w:w="1364" w:type="dxa"/>
                      </w:tcPr>
                      <w:p>
                        <w:pPr>
                          <w:pStyle w:val="TableParagraph"/>
                          <w:spacing w:before="12"/>
                          <w:ind w:left="0"/>
                          <w:rPr>
                            <w:sz w:val="28"/>
                          </w:rPr>
                        </w:pPr>
                      </w:p>
                      <w:p>
                        <w:pPr>
                          <w:pStyle w:val="TableParagraph"/>
                          <w:ind w:left="286"/>
                          <w:rPr>
                            <w:sz w:val="21"/>
                          </w:rPr>
                        </w:pPr>
                        <w:r>
                          <w:rPr>
                            <w:sz w:val="21"/>
                          </w:rPr>
                          <w:t>6.6 万元</w:t>
                        </w:r>
                      </w:p>
                    </w:tc>
                  </w:tr>
                  <w:tr>
                    <w:trPr>
                      <w:trHeight w:val="1319" w:hRule="atLeast"/>
                    </w:trPr>
                    <w:tc>
                      <w:tcPr>
                        <w:tcW w:w="8923" w:type="dxa"/>
                        <w:gridSpan w:val="4"/>
                      </w:tcPr>
                      <w:p>
                        <w:pPr>
                          <w:pStyle w:val="TableParagraph"/>
                          <w:spacing w:before="107"/>
                          <w:ind w:left="107"/>
                          <w:rPr>
                            <w:sz w:val="21"/>
                          </w:rPr>
                        </w:pPr>
                        <w:r>
                          <w:rPr>
                            <w:sz w:val="21"/>
                          </w:rPr>
                          <w:t>特定轻度重疾保险金累计给付以三次为限，每种特定轻度重疾限给付一次，当累计给付的特定</w:t>
                        </w:r>
                      </w:p>
                      <w:p>
                        <w:pPr>
                          <w:pStyle w:val="TableParagraph"/>
                          <w:spacing w:line="440" w:lineRule="atLeast" w:before="1"/>
                          <w:ind w:left="107" w:right="187"/>
                          <w:rPr>
                            <w:sz w:val="21"/>
                          </w:rPr>
                        </w:pPr>
                        <w:r>
                          <w:rPr>
                            <w:sz w:val="21"/>
                          </w:rPr>
                          <w:t>轻度重疾保险金达到三次时，特定轻度重疾保险金保险责任终止，本附加险合同继续有效，基本保险金额不变。</w:t>
                        </w:r>
                      </w:p>
                    </w:tc>
                  </w:tr>
                </w:tbl>
                <w:p>
                  <w:pPr>
                    <w:pStyle w:val="BodyText"/>
                  </w:pPr>
                </w:p>
              </w:txbxContent>
            </v:textbox>
            <w10:wrap type="none"/>
          </v:shape>
        </w:pict>
      </w:r>
      <w:r>
        <w:rPr>
          <w:spacing w:val="-7"/>
        </w:rPr>
        <w:t>假设李女士在第 </w:t>
      </w:r>
      <w:r>
        <w:rPr/>
        <w:t>3</w:t>
      </w:r>
      <w:r>
        <w:rPr>
          <w:spacing w:val="-8"/>
        </w:rPr>
        <w:t> 个保单年度开始后发生本附加险合同约定的特定轻度重疾，不同情况下特定</w:t>
      </w:r>
      <w:r>
        <w:rPr>
          <w:spacing w:val="-3"/>
        </w:rPr>
        <w:t>轻度重疾保险金赔付如下表所示：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4"/>
        </w:rPr>
      </w:pPr>
    </w:p>
    <w:p>
      <w:pPr>
        <w:spacing w:line="316" w:lineRule="auto" w:before="0"/>
        <w:ind w:left="8048" w:right="49" w:firstLine="0"/>
        <w:jc w:val="left"/>
        <w:rPr>
          <w:sz w:val="18"/>
        </w:rPr>
      </w:pPr>
      <w:r>
        <w:rPr>
          <w:sz w:val="18"/>
        </w:rPr>
        <w:t>险种简称：平安福重疾 18 险种代码：1240</w:t>
      </w:r>
    </w:p>
    <w:p>
      <w:pPr>
        <w:spacing w:after="0" w:line="316" w:lineRule="auto"/>
        <w:jc w:val="left"/>
        <w:rPr>
          <w:sz w:val="18"/>
        </w:rPr>
        <w:sectPr>
          <w:type w:val="continuous"/>
          <w:pgSz w:w="11910" w:h="16840"/>
          <w:pgMar w:top="540" w:bottom="280" w:left="940" w:right="780"/>
        </w:sectPr>
      </w:pPr>
    </w:p>
    <w:p>
      <w:pPr>
        <w:pStyle w:val="BodyText"/>
        <w:spacing w:line="350" w:lineRule="auto" w:before="128"/>
        <w:ind w:left="504" w:right="237"/>
      </w:pPr>
      <w:r>
        <w:rPr/>
        <w:pict>
          <v:group style="position:absolute;margin-left:52.32pt;margin-top:-.296286pt;width:495.6pt;height:692.2pt;mso-position-horizontal-relative:page;mso-position-vertical-relative:paragraph;z-index:-67768" coordorigin="1046,-6" coordsize="9912,13844">
            <v:shape style="position:absolute;left:5846;top:4756;width:95;height:165" type="#_x0000_t75" stroked="false">
              <v:imagedata r:id="rId5" o:title=""/>
            </v:shape>
            <v:shape style="position:absolute;left:6005;top:5222;width:95;height:165" type="#_x0000_t75" stroked="false">
              <v:imagedata r:id="rId5" o:title=""/>
            </v:shape>
            <v:shape style="position:absolute;left:8342;top:5685;width:95;height:165" type="#_x0000_t75" stroked="false">
              <v:imagedata r:id="rId5" o:title=""/>
            </v:shape>
            <v:shape style="position:absolute;left:8292;top:6148;width:95;height:165" type="#_x0000_t75" stroked="false">
              <v:imagedata r:id="rId5" o:title=""/>
            </v:shape>
            <v:shape style="position:absolute;left:8292;top:6614;width:95;height:165" type="#_x0000_t75" stroked="false">
              <v:imagedata r:id="rId5" o:title=""/>
            </v:shape>
            <v:shape style="position:absolute;left:5846;top:7077;width:95;height:165" type="#_x0000_t75" stroked="false">
              <v:imagedata r:id="rId5" o:title=""/>
            </v:shape>
            <v:shape style="position:absolute;left:8342;top:7077;width:95;height:165" type="#_x0000_t75" stroked="false">
              <v:imagedata r:id="rId5" o:title=""/>
            </v:shape>
            <v:shape style="position:absolute;left:5846;top:7540;width:95;height:165" type="#_x0000_t75" stroked="false">
              <v:imagedata r:id="rId5" o:title=""/>
            </v:shape>
            <v:shape style="position:absolute;left:8292;top:7540;width:95;height:165" type="#_x0000_t75" stroked="false">
              <v:imagedata r:id="rId5" o:title=""/>
            </v:shape>
            <v:shape style="position:absolute;left:5846;top:8006;width:95;height:165" type="#_x0000_t75" stroked="false">
              <v:imagedata r:id="rId5" o:title=""/>
            </v:shape>
            <v:shape style="position:absolute;left:8292;top:8006;width:95;height:165" type="#_x0000_t75" stroked="false">
              <v:imagedata r:id="rId5" o:title=""/>
            </v:shape>
            <v:shape style="position:absolute;left:6005;top:8469;width:95;height:165" type="#_x0000_t75" stroked="false">
              <v:imagedata r:id="rId5" o:title=""/>
            </v:shape>
            <v:shape style="position:absolute;left:8342;top:8469;width:95;height:165" type="#_x0000_t75" stroked="false">
              <v:imagedata r:id="rId5" o:title=""/>
            </v:shape>
            <v:shape style="position:absolute;left:6005;top:8932;width:95;height:165" type="#_x0000_t75" stroked="false">
              <v:imagedata r:id="rId5" o:title=""/>
            </v:shape>
            <v:shape style="position:absolute;left:8292;top:8932;width:95;height:165" type="#_x0000_t75" stroked="false">
              <v:imagedata r:id="rId5" o:title=""/>
            </v:shape>
            <v:shape style="position:absolute;left:6005;top:9398;width:95;height:165" type="#_x0000_t75" stroked="false">
              <v:imagedata r:id="rId5" o:title=""/>
            </v:shape>
            <v:shape style="position:absolute;left:8292;top:9398;width:95;height:165" type="#_x0000_t75" stroked="false">
              <v:imagedata r:id="rId5" o:title=""/>
            </v:shape>
            <v:shape style="position:absolute;left:1046;top:-6;width:9912;height:13844" type="#_x0000_t75" stroked="false">
              <v:imagedata r:id="rId9" o:title=""/>
            </v:shape>
            <v:rect style="position:absolute;left:1578;top:10743;width:8737;height:2575" filled="true" fillcolor="#ffffff" stroked="false">
              <v:fill type="solid"/>
            </v:rect>
            <v:rect style="position:absolute;left:1578;top:10743;width:8737;height:2575" filled="false" stroked="true" strokeweight=".75pt" strokecolor="#000000">
              <v:stroke dashstyle="shortdot"/>
            </v:rect>
            <v:rect style="position:absolute;left:1695;top:10801;width:2555;height:2356" filled="true" fillcolor="#ffffff" stroked="false">
              <v:fill type="solid"/>
            </v:rect>
            <w10:wrap type="none"/>
          </v:group>
        </w:pict>
      </w:r>
      <w:r>
        <w:rPr/>
        <w:pict>
          <v:shape style="position:absolute;margin-left:73.199997pt;margin-top:42.782681pt;width:454.2pt;height:442.1pt;mso-position-horizontal-relative:page;mso-position-vertical-relative:paragraph;z-index:10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1"/>
                    <w:gridCol w:w="1277"/>
                    <w:gridCol w:w="2271"/>
                    <w:gridCol w:w="2405"/>
                    <w:gridCol w:w="1157"/>
                  </w:tblGrid>
                  <w:tr>
                    <w:trPr>
                      <w:trHeight w:val="443" w:hRule="atLeast"/>
                    </w:trPr>
                    <w:tc>
                      <w:tcPr>
                        <w:tcW w:w="1961" w:type="dxa"/>
                      </w:tcPr>
                      <w:p>
                        <w:pPr>
                          <w:pStyle w:val="TableParagraph"/>
                          <w:spacing w:line="346" w:lineRule="exact"/>
                          <w:ind w:left="541" w:right="530"/>
                          <w:jc w:val="center"/>
                          <w:rPr>
                            <w:rFonts w:ascii="Microsoft JhengHei" w:eastAsia="Microsoft JhengHei" w:hint="eastAsia"/>
                            <w:b/>
                            <w:sz w:val="21"/>
                          </w:rPr>
                        </w:pPr>
                        <w:r>
                          <w:rPr>
                            <w:rFonts w:ascii="Microsoft JhengHei" w:eastAsia="Microsoft JhengHei" w:hint="eastAsia"/>
                            <w:b/>
                            <w:sz w:val="21"/>
                          </w:rPr>
                          <w:t>领取条件</w:t>
                        </w:r>
                      </w:p>
                    </w:tc>
                    <w:tc>
                      <w:tcPr>
                        <w:tcW w:w="7110" w:type="dxa"/>
                        <w:gridSpan w:val="4"/>
                      </w:tcPr>
                      <w:p>
                        <w:pPr>
                          <w:pStyle w:val="TableParagraph"/>
                          <w:spacing w:line="346" w:lineRule="exact"/>
                          <w:ind w:left="2380" w:right="2370"/>
                          <w:jc w:val="center"/>
                          <w:rPr>
                            <w:rFonts w:ascii="Microsoft JhengHei" w:eastAsia="Microsoft JhengHei" w:hint="eastAsia"/>
                            <w:b/>
                            <w:sz w:val="21"/>
                          </w:rPr>
                        </w:pPr>
                        <w:r>
                          <w:rPr>
                            <w:rFonts w:ascii="Microsoft JhengHei" w:eastAsia="Microsoft JhengHei" w:hint="eastAsia"/>
                            <w:b/>
                            <w:sz w:val="21"/>
                          </w:rPr>
                          <w:t>重大疾病保险金给付金额</w:t>
                        </w:r>
                      </w:p>
                    </w:tc>
                  </w:tr>
                  <w:tr>
                    <w:trPr>
                      <w:trHeight w:val="2800" w:hRule="atLeast"/>
                    </w:trPr>
                    <w:tc>
                      <w:tcPr>
                        <w:tcW w:w="1961" w:type="dxa"/>
                      </w:tcPr>
                      <w:p>
                        <w:pPr>
                          <w:pStyle w:val="TableParagraph"/>
                          <w:spacing w:line="253" w:lineRule="exact"/>
                          <w:ind w:left="107"/>
                          <w:rPr>
                            <w:sz w:val="21"/>
                          </w:rPr>
                        </w:pPr>
                        <w:r>
                          <w:rPr>
                            <w:sz w:val="21"/>
                          </w:rPr>
                          <w:t>①被保险人初次发</w:t>
                        </w:r>
                      </w:p>
                      <w:p>
                        <w:pPr>
                          <w:pStyle w:val="TableParagraph"/>
                          <w:spacing w:before="6"/>
                          <w:ind w:left="107"/>
                          <w:rPr>
                            <w:sz w:val="21"/>
                          </w:rPr>
                        </w:pPr>
                        <w:r>
                          <w:rPr>
                            <w:sz w:val="21"/>
                          </w:rPr>
                          <w:t>生重大疾病</w:t>
                        </w:r>
                      </w:p>
                      <w:p>
                        <w:pPr>
                          <w:pStyle w:val="TableParagraph"/>
                          <w:spacing w:before="3"/>
                          <w:ind w:left="107"/>
                          <w:rPr>
                            <w:sz w:val="21"/>
                          </w:rPr>
                        </w:pPr>
                        <w:r>
                          <w:rPr>
                            <w:sz w:val="21"/>
                          </w:rPr>
                          <w:t>②达到运动标准一</w:t>
                        </w:r>
                      </w:p>
                      <w:p>
                        <w:pPr>
                          <w:pStyle w:val="TableParagraph"/>
                          <w:spacing w:before="5"/>
                          <w:ind w:left="108"/>
                          <w:rPr>
                            <w:sz w:val="21"/>
                          </w:rPr>
                        </w:pPr>
                        <w:r>
                          <w:rPr>
                            <w:sz w:val="21"/>
                          </w:rPr>
                          <w:t>③达到运动标准二</w:t>
                        </w:r>
                      </w:p>
                      <w:p>
                        <w:pPr>
                          <w:pStyle w:val="TableParagraph"/>
                          <w:spacing w:line="242" w:lineRule="auto" w:before="5"/>
                          <w:ind w:left="108" w:right="41" w:hanging="1"/>
                          <w:rPr>
                            <w:sz w:val="21"/>
                          </w:rPr>
                        </w:pPr>
                        <w:r>
                          <w:rPr>
                            <w:sz w:val="21"/>
                          </w:rPr>
                          <w:t>④70 周岁前发生过一次特定轻度重疾</w:t>
                        </w:r>
                      </w:p>
                      <w:p>
                        <w:pPr>
                          <w:pStyle w:val="TableParagraph"/>
                          <w:spacing w:line="244" w:lineRule="auto" w:before="3"/>
                          <w:ind w:left="108" w:right="41" w:hanging="1"/>
                          <w:rPr>
                            <w:sz w:val="21"/>
                          </w:rPr>
                        </w:pPr>
                        <w:r>
                          <w:rPr>
                            <w:sz w:val="21"/>
                          </w:rPr>
                          <w:t>⑤70 周岁前发生过两次特定轻度重疾</w:t>
                        </w:r>
                      </w:p>
                      <w:p>
                        <w:pPr>
                          <w:pStyle w:val="TableParagraph"/>
                          <w:spacing w:line="244" w:lineRule="auto"/>
                          <w:ind w:left="108" w:right="41" w:hanging="1"/>
                          <w:rPr>
                            <w:sz w:val="21"/>
                          </w:rPr>
                        </w:pPr>
                        <w:r>
                          <w:rPr>
                            <w:sz w:val="21"/>
                          </w:rPr>
                          <w:t>⑥70 周岁前发生过三次特定轻度重疾</w:t>
                        </w:r>
                      </w:p>
                    </w:tc>
                    <w:tc>
                      <w:tcPr>
                        <w:tcW w:w="1277"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5"/>
                          <w:ind w:left="0"/>
                          <w:rPr>
                            <w:sz w:val="23"/>
                          </w:rPr>
                        </w:pPr>
                      </w:p>
                      <w:p>
                        <w:pPr>
                          <w:pStyle w:val="TableParagraph"/>
                          <w:spacing w:line="278" w:lineRule="auto"/>
                          <w:ind w:left="219" w:right="97" w:hanging="106"/>
                          <w:rPr>
                            <w:sz w:val="21"/>
                          </w:rPr>
                        </w:pPr>
                        <w:r>
                          <w:rPr>
                            <w:sz w:val="21"/>
                          </w:rPr>
                          <w:t>基本重大疾病保险金</w:t>
                        </w:r>
                      </w:p>
                    </w:tc>
                    <w:tc>
                      <w:tcPr>
                        <w:tcW w:w="2271"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line="280" w:lineRule="auto" w:before="145"/>
                          <w:ind w:left="190" w:right="175"/>
                          <w:jc w:val="center"/>
                          <w:rPr>
                            <w:sz w:val="21"/>
                          </w:rPr>
                        </w:pPr>
                        <w:r>
                          <w:rPr>
                            <w:sz w:val="21"/>
                          </w:rPr>
                          <w:t>达到运动标准后发生重大疾病额外给付的重大疾病保险金</w:t>
                        </w:r>
                      </w:p>
                    </w:tc>
                    <w:tc>
                      <w:tcPr>
                        <w:tcW w:w="2405"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line="280" w:lineRule="auto" w:before="145"/>
                          <w:ind w:left="153" w:right="137"/>
                          <w:jc w:val="center"/>
                          <w:rPr>
                            <w:sz w:val="21"/>
                          </w:rPr>
                        </w:pPr>
                        <w:r>
                          <w:rPr>
                            <w:sz w:val="21"/>
                          </w:rPr>
                          <w:t>发生过特定轻度重疾后发生重大疾病额外给付的重大疾病保险金</w:t>
                        </w:r>
                      </w:p>
                    </w:tc>
                    <w:tc>
                      <w:tcPr>
                        <w:tcW w:w="1157"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9"/>
                          <w:ind w:left="0"/>
                          <w:rPr>
                            <w:sz w:val="15"/>
                          </w:rPr>
                        </w:pPr>
                      </w:p>
                      <w:p>
                        <w:pPr>
                          <w:pStyle w:val="TableParagraph"/>
                          <w:ind w:left="191" w:right="177"/>
                          <w:jc w:val="center"/>
                          <w:rPr>
                            <w:sz w:val="21"/>
                          </w:rPr>
                        </w:pPr>
                        <w:r>
                          <w:rPr>
                            <w:sz w:val="21"/>
                          </w:rPr>
                          <w:t>合计</w:t>
                        </w:r>
                      </w:p>
                    </w:tc>
                  </w:tr>
                  <w:tr>
                    <w:trPr>
                      <w:trHeight w:val="453" w:hRule="atLeast"/>
                    </w:trPr>
                    <w:tc>
                      <w:tcPr>
                        <w:tcW w:w="1961" w:type="dxa"/>
                      </w:tcPr>
                      <w:p>
                        <w:pPr>
                          <w:pStyle w:val="TableParagraph"/>
                          <w:spacing w:before="78"/>
                          <w:ind w:left="7"/>
                          <w:jc w:val="center"/>
                          <w:rPr>
                            <w:sz w:val="21"/>
                          </w:rPr>
                        </w:pPr>
                        <w:r>
                          <w:rPr>
                            <w:w w:val="100"/>
                            <w:sz w:val="21"/>
                          </w:rPr>
                          <w:t>①</w:t>
                        </w:r>
                      </w:p>
                    </w:tc>
                    <w:tc>
                      <w:tcPr>
                        <w:tcW w:w="1277" w:type="dxa"/>
                      </w:tcPr>
                      <w:p>
                        <w:pPr>
                          <w:pStyle w:val="TableParagraph"/>
                          <w:spacing w:before="78"/>
                          <w:ind w:left="250" w:right="241"/>
                          <w:jc w:val="center"/>
                          <w:rPr>
                            <w:sz w:val="21"/>
                          </w:rPr>
                        </w:pPr>
                        <w:r>
                          <w:rPr>
                            <w:sz w:val="21"/>
                          </w:rPr>
                          <w:t>30 万元</w:t>
                        </w:r>
                      </w:p>
                    </w:tc>
                    <w:tc>
                      <w:tcPr>
                        <w:tcW w:w="2271" w:type="dxa"/>
                      </w:tcPr>
                      <w:p>
                        <w:pPr>
                          <w:pStyle w:val="TableParagraph"/>
                          <w:spacing w:before="78"/>
                          <w:ind w:left="8"/>
                          <w:jc w:val="center"/>
                          <w:rPr>
                            <w:sz w:val="21"/>
                          </w:rPr>
                        </w:pPr>
                        <w:r>
                          <w:rPr>
                            <w:w w:val="100"/>
                            <w:sz w:val="21"/>
                          </w:rPr>
                          <w:t>/</w:t>
                        </w:r>
                      </w:p>
                    </w:tc>
                    <w:tc>
                      <w:tcPr>
                        <w:tcW w:w="2405" w:type="dxa"/>
                      </w:tcPr>
                      <w:p>
                        <w:pPr>
                          <w:pStyle w:val="TableParagraph"/>
                          <w:spacing w:before="78"/>
                          <w:ind w:left="7"/>
                          <w:jc w:val="center"/>
                          <w:rPr>
                            <w:sz w:val="21"/>
                          </w:rPr>
                        </w:pPr>
                        <w:r>
                          <w:rPr>
                            <w:w w:val="100"/>
                            <w:sz w:val="21"/>
                          </w:rPr>
                          <w:t>/</w:t>
                        </w:r>
                      </w:p>
                    </w:tc>
                    <w:tc>
                      <w:tcPr>
                        <w:tcW w:w="1157" w:type="dxa"/>
                      </w:tcPr>
                      <w:p>
                        <w:pPr>
                          <w:pStyle w:val="TableParagraph"/>
                          <w:spacing w:before="78"/>
                          <w:ind w:left="191" w:right="180"/>
                          <w:jc w:val="center"/>
                          <w:rPr>
                            <w:sz w:val="21"/>
                          </w:rPr>
                        </w:pPr>
                        <w:r>
                          <w:rPr>
                            <w:sz w:val="21"/>
                          </w:rPr>
                          <w:t>30 万元</w:t>
                        </w:r>
                      </w:p>
                    </w:tc>
                  </w:tr>
                  <w:tr>
                    <w:trPr>
                      <w:trHeight w:val="453" w:hRule="atLeast"/>
                    </w:trPr>
                    <w:tc>
                      <w:tcPr>
                        <w:tcW w:w="1961" w:type="dxa"/>
                      </w:tcPr>
                      <w:p>
                        <w:pPr>
                          <w:pStyle w:val="TableParagraph"/>
                          <w:spacing w:before="78"/>
                          <w:ind w:left="541" w:right="530"/>
                          <w:jc w:val="center"/>
                          <w:rPr>
                            <w:sz w:val="21"/>
                          </w:rPr>
                        </w:pPr>
                        <w:r>
                          <w:rPr>
                            <w:sz w:val="21"/>
                          </w:rPr>
                          <w:t>①②</w:t>
                        </w:r>
                      </w:p>
                    </w:tc>
                    <w:tc>
                      <w:tcPr>
                        <w:tcW w:w="1277" w:type="dxa"/>
                      </w:tcPr>
                      <w:p>
                        <w:pPr>
                          <w:pStyle w:val="TableParagraph"/>
                          <w:spacing w:before="78"/>
                          <w:ind w:left="250" w:right="241"/>
                          <w:jc w:val="center"/>
                          <w:rPr>
                            <w:sz w:val="21"/>
                          </w:rPr>
                        </w:pPr>
                        <w:r>
                          <w:rPr>
                            <w:sz w:val="21"/>
                          </w:rPr>
                          <w:t>30 万元</w:t>
                        </w:r>
                      </w:p>
                    </w:tc>
                    <w:tc>
                      <w:tcPr>
                        <w:tcW w:w="2271" w:type="dxa"/>
                      </w:tcPr>
                      <w:p>
                        <w:pPr>
                          <w:pStyle w:val="TableParagraph"/>
                          <w:spacing w:before="78"/>
                          <w:ind w:left="11" w:right="5"/>
                          <w:jc w:val="center"/>
                          <w:rPr>
                            <w:sz w:val="21"/>
                          </w:rPr>
                        </w:pPr>
                        <w:r>
                          <w:rPr>
                            <w:sz w:val="21"/>
                          </w:rPr>
                          <w:t>30 万元×5=1.5 万元</w:t>
                        </w:r>
                      </w:p>
                    </w:tc>
                    <w:tc>
                      <w:tcPr>
                        <w:tcW w:w="2405" w:type="dxa"/>
                      </w:tcPr>
                      <w:p>
                        <w:pPr>
                          <w:pStyle w:val="TableParagraph"/>
                          <w:spacing w:before="78"/>
                          <w:ind w:left="7"/>
                          <w:jc w:val="center"/>
                          <w:rPr>
                            <w:sz w:val="21"/>
                          </w:rPr>
                        </w:pPr>
                        <w:r>
                          <w:rPr>
                            <w:w w:val="100"/>
                            <w:sz w:val="21"/>
                          </w:rPr>
                          <w:t>/</w:t>
                        </w:r>
                      </w:p>
                    </w:tc>
                    <w:tc>
                      <w:tcPr>
                        <w:tcW w:w="1157" w:type="dxa"/>
                      </w:tcPr>
                      <w:p>
                        <w:pPr>
                          <w:pStyle w:val="TableParagraph"/>
                          <w:spacing w:before="78"/>
                          <w:ind w:left="133"/>
                          <w:rPr>
                            <w:sz w:val="21"/>
                          </w:rPr>
                        </w:pPr>
                        <w:r>
                          <w:rPr>
                            <w:sz w:val="21"/>
                          </w:rPr>
                          <w:t>31.5 万元</w:t>
                        </w:r>
                      </w:p>
                    </w:tc>
                  </w:tr>
                  <w:tr>
                    <w:trPr>
                      <w:trHeight w:val="455" w:hRule="atLeast"/>
                    </w:trPr>
                    <w:tc>
                      <w:tcPr>
                        <w:tcW w:w="1961" w:type="dxa"/>
                      </w:tcPr>
                      <w:p>
                        <w:pPr>
                          <w:pStyle w:val="TableParagraph"/>
                          <w:spacing w:before="81"/>
                          <w:ind w:left="541" w:right="530"/>
                          <w:jc w:val="center"/>
                          <w:rPr>
                            <w:sz w:val="21"/>
                          </w:rPr>
                        </w:pPr>
                        <w:r>
                          <w:rPr>
                            <w:sz w:val="21"/>
                          </w:rPr>
                          <w:t>①③</w:t>
                        </w:r>
                      </w:p>
                    </w:tc>
                    <w:tc>
                      <w:tcPr>
                        <w:tcW w:w="1277" w:type="dxa"/>
                      </w:tcPr>
                      <w:p>
                        <w:pPr>
                          <w:pStyle w:val="TableParagraph"/>
                          <w:spacing w:before="81"/>
                          <w:ind w:left="250" w:right="241"/>
                          <w:jc w:val="center"/>
                          <w:rPr>
                            <w:sz w:val="21"/>
                          </w:rPr>
                        </w:pPr>
                        <w:r>
                          <w:rPr>
                            <w:sz w:val="21"/>
                          </w:rPr>
                          <w:t>30 万元</w:t>
                        </w:r>
                      </w:p>
                    </w:tc>
                    <w:tc>
                      <w:tcPr>
                        <w:tcW w:w="2271" w:type="dxa"/>
                      </w:tcPr>
                      <w:p>
                        <w:pPr>
                          <w:pStyle w:val="TableParagraph"/>
                          <w:spacing w:before="81"/>
                          <w:ind w:left="11" w:right="1"/>
                          <w:jc w:val="center"/>
                          <w:rPr>
                            <w:sz w:val="21"/>
                          </w:rPr>
                        </w:pPr>
                        <w:r>
                          <w:rPr>
                            <w:sz w:val="21"/>
                          </w:rPr>
                          <w:t>30 万元×10 =3 万元</w:t>
                        </w:r>
                      </w:p>
                    </w:tc>
                    <w:tc>
                      <w:tcPr>
                        <w:tcW w:w="2405" w:type="dxa"/>
                      </w:tcPr>
                      <w:p>
                        <w:pPr>
                          <w:pStyle w:val="TableParagraph"/>
                          <w:spacing w:before="81"/>
                          <w:ind w:left="7"/>
                          <w:jc w:val="center"/>
                          <w:rPr>
                            <w:sz w:val="21"/>
                          </w:rPr>
                        </w:pPr>
                        <w:r>
                          <w:rPr>
                            <w:w w:val="100"/>
                            <w:sz w:val="21"/>
                          </w:rPr>
                          <w:t>/</w:t>
                        </w:r>
                      </w:p>
                    </w:tc>
                    <w:tc>
                      <w:tcPr>
                        <w:tcW w:w="1157" w:type="dxa"/>
                      </w:tcPr>
                      <w:p>
                        <w:pPr>
                          <w:pStyle w:val="TableParagraph"/>
                          <w:spacing w:before="81"/>
                          <w:ind w:left="191" w:right="179"/>
                          <w:jc w:val="center"/>
                          <w:rPr>
                            <w:sz w:val="21"/>
                          </w:rPr>
                        </w:pPr>
                        <w:r>
                          <w:rPr>
                            <w:sz w:val="21"/>
                          </w:rPr>
                          <w:t>33 万元</w:t>
                        </w:r>
                      </w:p>
                    </w:tc>
                  </w:tr>
                  <w:tr>
                    <w:trPr>
                      <w:trHeight w:val="453" w:hRule="atLeast"/>
                    </w:trPr>
                    <w:tc>
                      <w:tcPr>
                        <w:tcW w:w="1961" w:type="dxa"/>
                      </w:tcPr>
                      <w:p>
                        <w:pPr>
                          <w:pStyle w:val="TableParagraph"/>
                          <w:spacing w:before="78"/>
                          <w:ind w:left="541" w:right="530"/>
                          <w:jc w:val="center"/>
                          <w:rPr>
                            <w:sz w:val="21"/>
                          </w:rPr>
                        </w:pPr>
                        <w:r>
                          <w:rPr>
                            <w:sz w:val="21"/>
                          </w:rPr>
                          <w:t>①④</w:t>
                        </w:r>
                      </w:p>
                    </w:tc>
                    <w:tc>
                      <w:tcPr>
                        <w:tcW w:w="1277" w:type="dxa"/>
                      </w:tcPr>
                      <w:p>
                        <w:pPr>
                          <w:pStyle w:val="TableParagraph"/>
                          <w:spacing w:before="78"/>
                          <w:ind w:left="250" w:right="241"/>
                          <w:jc w:val="center"/>
                          <w:rPr>
                            <w:sz w:val="21"/>
                          </w:rPr>
                        </w:pPr>
                        <w:r>
                          <w:rPr>
                            <w:sz w:val="21"/>
                          </w:rPr>
                          <w:t>30 万元</w:t>
                        </w:r>
                      </w:p>
                    </w:tc>
                    <w:tc>
                      <w:tcPr>
                        <w:tcW w:w="2271" w:type="dxa"/>
                      </w:tcPr>
                      <w:p>
                        <w:pPr>
                          <w:pStyle w:val="TableParagraph"/>
                          <w:spacing w:before="78"/>
                          <w:ind w:left="8"/>
                          <w:jc w:val="center"/>
                          <w:rPr>
                            <w:sz w:val="21"/>
                          </w:rPr>
                        </w:pPr>
                        <w:r>
                          <w:rPr>
                            <w:w w:val="100"/>
                            <w:sz w:val="21"/>
                          </w:rPr>
                          <w:t>/</w:t>
                        </w:r>
                      </w:p>
                    </w:tc>
                    <w:tc>
                      <w:tcPr>
                        <w:tcW w:w="2405" w:type="dxa"/>
                      </w:tcPr>
                      <w:p>
                        <w:pPr>
                          <w:pStyle w:val="TableParagraph"/>
                          <w:spacing w:before="78"/>
                          <w:ind w:left="146" w:right="137"/>
                          <w:jc w:val="center"/>
                          <w:rPr>
                            <w:sz w:val="21"/>
                          </w:rPr>
                        </w:pPr>
                        <w:r>
                          <w:rPr>
                            <w:sz w:val="21"/>
                          </w:rPr>
                          <w:t>30 万元×20 =6 万元</w:t>
                        </w:r>
                      </w:p>
                    </w:tc>
                    <w:tc>
                      <w:tcPr>
                        <w:tcW w:w="1157" w:type="dxa"/>
                      </w:tcPr>
                      <w:p>
                        <w:pPr>
                          <w:pStyle w:val="TableParagraph"/>
                          <w:spacing w:before="78"/>
                          <w:ind w:left="191" w:right="179"/>
                          <w:jc w:val="center"/>
                          <w:rPr>
                            <w:sz w:val="21"/>
                          </w:rPr>
                        </w:pPr>
                        <w:r>
                          <w:rPr>
                            <w:sz w:val="21"/>
                          </w:rPr>
                          <w:t>36 万元</w:t>
                        </w:r>
                      </w:p>
                    </w:tc>
                  </w:tr>
                  <w:tr>
                    <w:trPr>
                      <w:trHeight w:val="453" w:hRule="atLeast"/>
                    </w:trPr>
                    <w:tc>
                      <w:tcPr>
                        <w:tcW w:w="1961" w:type="dxa"/>
                      </w:tcPr>
                      <w:p>
                        <w:pPr>
                          <w:pStyle w:val="TableParagraph"/>
                          <w:spacing w:before="78"/>
                          <w:ind w:left="541" w:right="530"/>
                          <w:jc w:val="center"/>
                          <w:rPr>
                            <w:sz w:val="21"/>
                          </w:rPr>
                        </w:pPr>
                        <w:r>
                          <w:rPr>
                            <w:sz w:val="21"/>
                          </w:rPr>
                          <w:t>①⑤</w:t>
                        </w:r>
                      </w:p>
                    </w:tc>
                    <w:tc>
                      <w:tcPr>
                        <w:tcW w:w="1277" w:type="dxa"/>
                      </w:tcPr>
                      <w:p>
                        <w:pPr>
                          <w:pStyle w:val="TableParagraph"/>
                          <w:spacing w:before="78"/>
                          <w:ind w:left="250" w:right="241"/>
                          <w:jc w:val="center"/>
                          <w:rPr>
                            <w:sz w:val="21"/>
                          </w:rPr>
                        </w:pPr>
                        <w:r>
                          <w:rPr>
                            <w:sz w:val="21"/>
                          </w:rPr>
                          <w:t>30 万元</w:t>
                        </w:r>
                      </w:p>
                    </w:tc>
                    <w:tc>
                      <w:tcPr>
                        <w:tcW w:w="2271" w:type="dxa"/>
                      </w:tcPr>
                      <w:p>
                        <w:pPr>
                          <w:pStyle w:val="TableParagraph"/>
                          <w:spacing w:before="78"/>
                          <w:ind w:left="8"/>
                          <w:jc w:val="center"/>
                          <w:rPr>
                            <w:sz w:val="21"/>
                          </w:rPr>
                        </w:pPr>
                        <w:r>
                          <w:rPr>
                            <w:w w:val="100"/>
                            <w:sz w:val="21"/>
                          </w:rPr>
                          <w:t>/</w:t>
                        </w:r>
                      </w:p>
                    </w:tc>
                    <w:tc>
                      <w:tcPr>
                        <w:tcW w:w="2405" w:type="dxa"/>
                      </w:tcPr>
                      <w:p>
                        <w:pPr>
                          <w:pStyle w:val="TableParagraph"/>
                          <w:spacing w:before="78"/>
                          <w:ind w:left="131" w:right="122"/>
                          <w:jc w:val="center"/>
                          <w:rPr>
                            <w:sz w:val="21"/>
                          </w:rPr>
                        </w:pPr>
                        <w:r>
                          <w:rPr>
                            <w:sz w:val="21"/>
                          </w:rPr>
                          <w:t>30 万元×40 =12 万元</w:t>
                        </w:r>
                      </w:p>
                    </w:tc>
                    <w:tc>
                      <w:tcPr>
                        <w:tcW w:w="1157" w:type="dxa"/>
                      </w:tcPr>
                      <w:p>
                        <w:pPr>
                          <w:pStyle w:val="TableParagraph"/>
                          <w:spacing w:before="78"/>
                          <w:ind w:left="191" w:right="179"/>
                          <w:jc w:val="center"/>
                          <w:rPr>
                            <w:sz w:val="21"/>
                          </w:rPr>
                        </w:pPr>
                        <w:r>
                          <w:rPr>
                            <w:sz w:val="21"/>
                          </w:rPr>
                          <w:t>42 万元</w:t>
                        </w:r>
                      </w:p>
                    </w:tc>
                  </w:tr>
                  <w:tr>
                    <w:trPr>
                      <w:trHeight w:val="455" w:hRule="atLeast"/>
                    </w:trPr>
                    <w:tc>
                      <w:tcPr>
                        <w:tcW w:w="1961" w:type="dxa"/>
                      </w:tcPr>
                      <w:p>
                        <w:pPr>
                          <w:pStyle w:val="TableParagraph"/>
                          <w:spacing w:before="81"/>
                          <w:ind w:left="541" w:right="530"/>
                          <w:jc w:val="center"/>
                          <w:rPr>
                            <w:sz w:val="21"/>
                          </w:rPr>
                        </w:pPr>
                        <w:r>
                          <w:rPr>
                            <w:sz w:val="21"/>
                          </w:rPr>
                          <w:t>①⑥</w:t>
                        </w:r>
                      </w:p>
                    </w:tc>
                    <w:tc>
                      <w:tcPr>
                        <w:tcW w:w="1277" w:type="dxa"/>
                      </w:tcPr>
                      <w:p>
                        <w:pPr>
                          <w:pStyle w:val="TableParagraph"/>
                          <w:spacing w:before="81"/>
                          <w:ind w:left="250" w:right="241"/>
                          <w:jc w:val="center"/>
                          <w:rPr>
                            <w:sz w:val="21"/>
                          </w:rPr>
                        </w:pPr>
                        <w:r>
                          <w:rPr>
                            <w:sz w:val="21"/>
                          </w:rPr>
                          <w:t>30 万元</w:t>
                        </w:r>
                      </w:p>
                    </w:tc>
                    <w:tc>
                      <w:tcPr>
                        <w:tcW w:w="2271" w:type="dxa"/>
                      </w:tcPr>
                      <w:p>
                        <w:pPr>
                          <w:pStyle w:val="TableParagraph"/>
                          <w:spacing w:before="81"/>
                          <w:ind w:left="8"/>
                          <w:jc w:val="center"/>
                          <w:rPr>
                            <w:sz w:val="21"/>
                          </w:rPr>
                        </w:pPr>
                        <w:r>
                          <w:rPr>
                            <w:w w:val="100"/>
                            <w:sz w:val="21"/>
                          </w:rPr>
                          <w:t>/</w:t>
                        </w:r>
                      </w:p>
                    </w:tc>
                    <w:tc>
                      <w:tcPr>
                        <w:tcW w:w="2405" w:type="dxa"/>
                      </w:tcPr>
                      <w:p>
                        <w:pPr>
                          <w:pStyle w:val="TableParagraph"/>
                          <w:spacing w:before="81"/>
                          <w:ind w:left="131" w:right="122"/>
                          <w:jc w:val="center"/>
                          <w:rPr>
                            <w:sz w:val="21"/>
                          </w:rPr>
                        </w:pPr>
                        <w:r>
                          <w:rPr>
                            <w:sz w:val="21"/>
                          </w:rPr>
                          <w:t>30 万元×60 =18 万元</w:t>
                        </w:r>
                      </w:p>
                    </w:tc>
                    <w:tc>
                      <w:tcPr>
                        <w:tcW w:w="1157" w:type="dxa"/>
                      </w:tcPr>
                      <w:p>
                        <w:pPr>
                          <w:pStyle w:val="TableParagraph"/>
                          <w:spacing w:before="81"/>
                          <w:ind w:left="191" w:right="179"/>
                          <w:jc w:val="center"/>
                          <w:rPr>
                            <w:sz w:val="21"/>
                          </w:rPr>
                        </w:pPr>
                        <w:r>
                          <w:rPr>
                            <w:sz w:val="21"/>
                          </w:rPr>
                          <w:t>48 万元</w:t>
                        </w:r>
                      </w:p>
                    </w:tc>
                  </w:tr>
                  <w:tr>
                    <w:trPr>
                      <w:trHeight w:val="453" w:hRule="atLeast"/>
                    </w:trPr>
                    <w:tc>
                      <w:tcPr>
                        <w:tcW w:w="1961" w:type="dxa"/>
                      </w:tcPr>
                      <w:p>
                        <w:pPr>
                          <w:pStyle w:val="TableParagraph"/>
                          <w:spacing w:before="78"/>
                          <w:ind w:left="541" w:right="530"/>
                          <w:jc w:val="center"/>
                          <w:rPr>
                            <w:sz w:val="21"/>
                          </w:rPr>
                        </w:pPr>
                        <w:r>
                          <w:rPr>
                            <w:sz w:val="21"/>
                          </w:rPr>
                          <w:t>①②④</w:t>
                        </w:r>
                      </w:p>
                    </w:tc>
                    <w:tc>
                      <w:tcPr>
                        <w:tcW w:w="1277" w:type="dxa"/>
                      </w:tcPr>
                      <w:p>
                        <w:pPr>
                          <w:pStyle w:val="TableParagraph"/>
                          <w:spacing w:before="78"/>
                          <w:ind w:left="250" w:right="241"/>
                          <w:jc w:val="center"/>
                          <w:rPr>
                            <w:sz w:val="21"/>
                          </w:rPr>
                        </w:pPr>
                        <w:r>
                          <w:rPr>
                            <w:sz w:val="21"/>
                          </w:rPr>
                          <w:t>30 万元</w:t>
                        </w:r>
                      </w:p>
                    </w:tc>
                    <w:tc>
                      <w:tcPr>
                        <w:tcW w:w="2271" w:type="dxa"/>
                      </w:tcPr>
                      <w:p>
                        <w:pPr>
                          <w:pStyle w:val="TableParagraph"/>
                          <w:spacing w:before="78"/>
                          <w:ind w:left="11" w:right="5"/>
                          <w:jc w:val="center"/>
                          <w:rPr>
                            <w:sz w:val="21"/>
                          </w:rPr>
                        </w:pPr>
                        <w:r>
                          <w:rPr>
                            <w:sz w:val="21"/>
                          </w:rPr>
                          <w:t>30 万元×5=1.5 万元</w:t>
                        </w:r>
                      </w:p>
                    </w:tc>
                    <w:tc>
                      <w:tcPr>
                        <w:tcW w:w="2405" w:type="dxa"/>
                      </w:tcPr>
                      <w:p>
                        <w:pPr>
                          <w:pStyle w:val="TableParagraph"/>
                          <w:spacing w:before="78"/>
                          <w:ind w:left="146" w:right="137"/>
                          <w:jc w:val="center"/>
                          <w:rPr>
                            <w:sz w:val="21"/>
                          </w:rPr>
                        </w:pPr>
                        <w:r>
                          <w:rPr>
                            <w:sz w:val="21"/>
                          </w:rPr>
                          <w:t>30 万元×20 =6 万元</w:t>
                        </w:r>
                      </w:p>
                    </w:tc>
                    <w:tc>
                      <w:tcPr>
                        <w:tcW w:w="1157" w:type="dxa"/>
                      </w:tcPr>
                      <w:p>
                        <w:pPr>
                          <w:pStyle w:val="TableParagraph"/>
                          <w:spacing w:before="78"/>
                          <w:ind w:left="133"/>
                          <w:rPr>
                            <w:sz w:val="21"/>
                          </w:rPr>
                        </w:pPr>
                        <w:r>
                          <w:rPr>
                            <w:sz w:val="21"/>
                          </w:rPr>
                          <w:t>37.5 万元</w:t>
                        </w:r>
                      </w:p>
                    </w:tc>
                  </w:tr>
                  <w:tr>
                    <w:trPr>
                      <w:trHeight w:val="453" w:hRule="atLeast"/>
                    </w:trPr>
                    <w:tc>
                      <w:tcPr>
                        <w:tcW w:w="1961" w:type="dxa"/>
                      </w:tcPr>
                      <w:p>
                        <w:pPr>
                          <w:pStyle w:val="TableParagraph"/>
                          <w:spacing w:before="78"/>
                          <w:ind w:left="541" w:right="530"/>
                          <w:jc w:val="center"/>
                          <w:rPr>
                            <w:sz w:val="21"/>
                          </w:rPr>
                        </w:pPr>
                        <w:r>
                          <w:rPr>
                            <w:sz w:val="21"/>
                          </w:rPr>
                          <w:t>①②⑤</w:t>
                        </w:r>
                      </w:p>
                    </w:tc>
                    <w:tc>
                      <w:tcPr>
                        <w:tcW w:w="1277" w:type="dxa"/>
                      </w:tcPr>
                      <w:p>
                        <w:pPr>
                          <w:pStyle w:val="TableParagraph"/>
                          <w:spacing w:before="78"/>
                          <w:ind w:left="250" w:right="241"/>
                          <w:jc w:val="center"/>
                          <w:rPr>
                            <w:sz w:val="21"/>
                          </w:rPr>
                        </w:pPr>
                        <w:r>
                          <w:rPr>
                            <w:sz w:val="21"/>
                          </w:rPr>
                          <w:t>30 万元</w:t>
                        </w:r>
                      </w:p>
                    </w:tc>
                    <w:tc>
                      <w:tcPr>
                        <w:tcW w:w="2271" w:type="dxa"/>
                      </w:tcPr>
                      <w:p>
                        <w:pPr>
                          <w:pStyle w:val="TableParagraph"/>
                          <w:spacing w:before="78"/>
                          <w:ind w:left="11" w:right="5"/>
                          <w:jc w:val="center"/>
                          <w:rPr>
                            <w:sz w:val="21"/>
                          </w:rPr>
                        </w:pPr>
                        <w:r>
                          <w:rPr>
                            <w:sz w:val="21"/>
                          </w:rPr>
                          <w:t>30 万元×5=1.5 万元</w:t>
                        </w:r>
                      </w:p>
                    </w:tc>
                    <w:tc>
                      <w:tcPr>
                        <w:tcW w:w="2405" w:type="dxa"/>
                      </w:tcPr>
                      <w:p>
                        <w:pPr>
                          <w:pStyle w:val="TableParagraph"/>
                          <w:spacing w:before="78"/>
                          <w:ind w:left="132" w:right="122"/>
                          <w:jc w:val="center"/>
                          <w:rPr>
                            <w:sz w:val="21"/>
                          </w:rPr>
                        </w:pPr>
                        <w:r>
                          <w:rPr>
                            <w:sz w:val="21"/>
                          </w:rPr>
                          <w:t>30 万元×40 =12 万元</w:t>
                        </w:r>
                      </w:p>
                    </w:tc>
                    <w:tc>
                      <w:tcPr>
                        <w:tcW w:w="1157" w:type="dxa"/>
                      </w:tcPr>
                      <w:p>
                        <w:pPr>
                          <w:pStyle w:val="TableParagraph"/>
                          <w:spacing w:before="78"/>
                          <w:ind w:left="133"/>
                          <w:rPr>
                            <w:sz w:val="21"/>
                          </w:rPr>
                        </w:pPr>
                        <w:r>
                          <w:rPr>
                            <w:sz w:val="21"/>
                          </w:rPr>
                          <w:t>43.5 万元</w:t>
                        </w:r>
                      </w:p>
                    </w:tc>
                  </w:tr>
                  <w:tr>
                    <w:trPr>
                      <w:trHeight w:val="455" w:hRule="atLeast"/>
                    </w:trPr>
                    <w:tc>
                      <w:tcPr>
                        <w:tcW w:w="1961" w:type="dxa"/>
                      </w:tcPr>
                      <w:p>
                        <w:pPr>
                          <w:pStyle w:val="TableParagraph"/>
                          <w:spacing w:before="81"/>
                          <w:ind w:left="541" w:right="530"/>
                          <w:jc w:val="center"/>
                          <w:rPr>
                            <w:sz w:val="21"/>
                          </w:rPr>
                        </w:pPr>
                        <w:r>
                          <w:rPr>
                            <w:sz w:val="21"/>
                          </w:rPr>
                          <w:t>①②⑥</w:t>
                        </w:r>
                      </w:p>
                    </w:tc>
                    <w:tc>
                      <w:tcPr>
                        <w:tcW w:w="1277" w:type="dxa"/>
                      </w:tcPr>
                      <w:p>
                        <w:pPr>
                          <w:pStyle w:val="TableParagraph"/>
                          <w:spacing w:before="81"/>
                          <w:ind w:left="250" w:right="241"/>
                          <w:jc w:val="center"/>
                          <w:rPr>
                            <w:sz w:val="21"/>
                          </w:rPr>
                        </w:pPr>
                        <w:r>
                          <w:rPr>
                            <w:sz w:val="21"/>
                          </w:rPr>
                          <w:t>30 万元</w:t>
                        </w:r>
                      </w:p>
                    </w:tc>
                    <w:tc>
                      <w:tcPr>
                        <w:tcW w:w="2271" w:type="dxa"/>
                      </w:tcPr>
                      <w:p>
                        <w:pPr>
                          <w:pStyle w:val="TableParagraph"/>
                          <w:spacing w:before="81"/>
                          <w:ind w:left="11" w:right="5"/>
                          <w:jc w:val="center"/>
                          <w:rPr>
                            <w:sz w:val="21"/>
                          </w:rPr>
                        </w:pPr>
                        <w:r>
                          <w:rPr>
                            <w:sz w:val="21"/>
                          </w:rPr>
                          <w:t>30 万元×5=1.5 万元</w:t>
                        </w:r>
                      </w:p>
                    </w:tc>
                    <w:tc>
                      <w:tcPr>
                        <w:tcW w:w="2405" w:type="dxa"/>
                      </w:tcPr>
                      <w:p>
                        <w:pPr>
                          <w:pStyle w:val="TableParagraph"/>
                          <w:spacing w:before="81"/>
                          <w:ind w:left="132" w:right="122"/>
                          <w:jc w:val="center"/>
                          <w:rPr>
                            <w:sz w:val="21"/>
                          </w:rPr>
                        </w:pPr>
                        <w:r>
                          <w:rPr>
                            <w:sz w:val="21"/>
                          </w:rPr>
                          <w:t>30 万元×60 =18 万元</w:t>
                        </w:r>
                      </w:p>
                    </w:tc>
                    <w:tc>
                      <w:tcPr>
                        <w:tcW w:w="1157" w:type="dxa"/>
                      </w:tcPr>
                      <w:p>
                        <w:pPr>
                          <w:pStyle w:val="TableParagraph"/>
                          <w:spacing w:before="81"/>
                          <w:ind w:left="133"/>
                          <w:rPr>
                            <w:sz w:val="21"/>
                          </w:rPr>
                        </w:pPr>
                        <w:r>
                          <w:rPr>
                            <w:sz w:val="21"/>
                          </w:rPr>
                          <w:t>49.5 万元</w:t>
                        </w:r>
                      </w:p>
                    </w:tc>
                  </w:tr>
                  <w:tr>
                    <w:trPr>
                      <w:trHeight w:val="453" w:hRule="atLeast"/>
                    </w:trPr>
                    <w:tc>
                      <w:tcPr>
                        <w:tcW w:w="1961" w:type="dxa"/>
                      </w:tcPr>
                      <w:p>
                        <w:pPr>
                          <w:pStyle w:val="TableParagraph"/>
                          <w:spacing w:before="78"/>
                          <w:ind w:left="541" w:right="530"/>
                          <w:jc w:val="center"/>
                          <w:rPr>
                            <w:sz w:val="21"/>
                          </w:rPr>
                        </w:pPr>
                        <w:r>
                          <w:rPr>
                            <w:sz w:val="21"/>
                          </w:rPr>
                          <w:t>①③④</w:t>
                        </w:r>
                      </w:p>
                    </w:tc>
                    <w:tc>
                      <w:tcPr>
                        <w:tcW w:w="1277" w:type="dxa"/>
                      </w:tcPr>
                      <w:p>
                        <w:pPr>
                          <w:pStyle w:val="TableParagraph"/>
                          <w:spacing w:before="78"/>
                          <w:ind w:left="250" w:right="241"/>
                          <w:jc w:val="center"/>
                          <w:rPr>
                            <w:sz w:val="21"/>
                          </w:rPr>
                        </w:pPr>
                        <w:r>
                          <w:rPr>
                            <w:sz w:val="21"/>
                          </w:rPr>
                          <w:t>30 万元</w:t>
                        </w:r>
                      </w:p>
                    </w:tc>
                    <w:tc>
                      <w:tcPr>
                        <w:tcW w:w="2271" w:type="dxa"/>
                      </w:tcPr>
                      <w:p>
                        <w:pPr>
                          <w:pStyle w:val="TableParagraph"/>
                          <w:spacing w:before="78"/>
                          <w:ind w:left="11" w:right="1"/>
                          <w:jc w:val="center"/>
                          <w:rPr>
                            <w:sz w:val="21"/>
                          </w:rPr>
                        </w:pPr>
                        <w:r>
                          <w:rPr>
                            <w:sz w:val="21"/>
                          </w:rPr>
                          <w:t>30 万元×10 =3 万元</w:t>
                        </w:r>
                      </w:p>
                    </w:tc>
                    <w:tc>
                      <w:tcPr>
                        <w:tcW w:w="2405" w:type="dxa"/>
                      </w:tcPr>
                      <w:p>
                        <w:pPr>
                          <w:pStyle w:val="TableParagraph"/>
                          <w:spacing w:before="78"/>
                          <w:ind w:left="147" w:right="137"/>
                          <w:jc w:val="center"/>
                          <w:rPr>
                            <w:sz w:val="21"/>
                          </w:rPr>
                        </w:pPr>
                        <w:r>
                          <w:rPr>
                            <w:sz w:val="21"/>
                          </w:rPr>
                          <w:t>30 万元×20 =6 万元</w:t>
                        </w:r>
                      </w:p>
                    </w:tc>
                    <w:tc>
                      <w:tcPr>
                        <w:tcW w:w="1157" w:type="dxa"/>
                      </w:tcPr>
                      <w:p>
                        <w:pPr>
                          <w:pStyle w:val="TableParagraph"/>
                          <w:spacing w:before="78"/>
                          <w:ind w:left="191" w:right="179"/>
                          <w:jc w:val="center"/>
                          <w:rPr>
                            <w:sz w:val="21"/>
                          </w:rPr>
                        </w:pPr>
                        <w:r>
                          <w:rPr>
                            <w:sz w:val="21"/>
                          </w:rPr>
                          <w:t>39 万元</w:t>
                        </w:r>
                      </w:p>
                    </w:tc>
                  </w:tr>
                  <w:tr>
                    <w:trPr>
                      <w:trHeight w:val="453" w:hRule="atLeast"/>
                    </w:trPr>
                    <w:tc>
                      <w:tcPr>
                        <w:tcW w:w="1961" w:type="dxa"/>
                      </w:tcPr>
                      <w:p>
                        <w:pPr>
                          <w:pStyle w:val="TableParagraph"/>
                          <w:spacing w:before="78"/>
                          <w:ind w:left="541" w:right="530"/>
                          <w:jc w:val="center"/>
                          <w:rPr>
                            <w:sz w:val="21"/>
                          </w:rPr>
                        </w:pPr>
                        <w:r>
                          <w:rPr>
                            <w:sz w:val="21"/>
                          </w:rPr>
                          <w:t>①③⑤</w:t>
                        </w:r>
                      </w:p>
                    </w:tc>
                    <w:tc>
                      <w:tcPr>
                        <w:tcW w:w="1277" w:type="dxa"/>
                      </w:tcPr>
                      <w:p>
                        <w:pPr>
                          <w:pStyle w:val="TableParagraph"/>
                          <w:spacing w:before="78"/>
                          <w:ind w:left="250" w:right="241"/>
                          <w:jc w:val="center"/>
                          <w:rPr>
                            <w:sz w:val="21"/>
                          </w:rPr>
                        </w:pPr>
                        <w:r>
                          <w:rPr>
                            <w:sz w:val="21"/>
                          </w:rPr>
                          <w:t>30 万元</w:t>
                        </w:r>
                      </w:p>
                    </w:tc>
                    <w:tc>
                      <w:tcPr>
                        <w:tcW w:w="2271" w:type="dxa"/>
                      </w:tcPr>
                      <w:p>
                        <w:pPr>
                          <w:pStyle w:val="TableParagraph"/>
                          <w:spacing w:before="78"/>
                          <w:ind w:left="11" w:right="1"/>
                          <w:jc w:val="center"/>
                          <w:rPr>
                            <w:sz w:val="21"/>
                          </w:rPr>
                        </w:pPr>
                        <w:r>
                          <w:rPr>
                            <w:sz w:val="21"/>
                          </w:rPr>
                          <w:t>30 万元×10 =3 万元</w:t>
                        </w:r>
                      </w:p>
                    </w:tc>
                    <w:tc>
                      <w:tcPr>
                        <w:tcW w:w="2405" w:type="dxa"/>
                      </w:tcPr>
                      <w:p>
                        <w:pPr>
                          <w:pStyle w:val="TableParagraph"/>
                          <w:spacing w:before="78"/>
                          <w:ind w:left="132" w:right="122"/>
                          <w:jc w:val="center"/>
                          <w:rPr>
                            <w:sz w:val="21"/>
                          </w:rPr>
                        </w:pPr>
                        <w:r>
                          <w:rPr>
                            <w:sz w:val="21"/>
                          </w:rPr>
                          <w:t>30 万元×40 =12 万元</w:t>
                        </w:r>
                      </w:p>
                    </w:tc>
                    <w:tc>
                      <w:tcPr>
                        <w:tcW w:w="1157" w:type="dxa"/>
                      </w:tcPr>
                      <w:p>
                        <w:pPr>
                          <w:pStyle w:val="TableParagraph"/>
                          <w:spacing w:before="78"/>
                          <w:ind w:left="191" w:right="179"/>
                          <w:jc w:val="center"/>
                          <w:rPr>
                            <w:sz w:val="21"/>
                          </w:rPr>
                        </w:pPr>
                        <w:r>
                          <w:rPr>
                            <w:sz w:val="21"/>
                          </w:rPr>
                          <w:t>45 万元</w:t>
                        </w:r>
                      </w:p>
                    </w:tc>
                  </w:tr>
                  <w:tr>
                    <w:trPr>
                      <w:trHeight w:val="455" w:hRule="atLeast"/>
                    </w:trPr>
                    <w:tc>
                      <w:tcPr>
                        <w:tcW w:w="1961" w:type="dxa"/>
                      </w:tcPr>
                      <w:p>
                        <w:pPr>
                          <w:pStyle w:val="TableParagraph"/>
                          <w:spacing w:before="81"/>
                          <w:ind w:left="541" w:right="530"/>
                          <w:jc w:val="center"/>
                          <w:rPr>
                            <w:sz w:val="21"/>
                          </w:rPr>
                        </w:pPr>
                        <w:r>
                          <w:rPr>
                            <w:sz w:val="21"/>
                          </w:rPr>
                          <w:t>①③⑥</w:t>
                        </w:r>
                      </w:p>
                    </w:tc>
                    <w:tc>
                      <w:tcPr>
                        <w:tcW w:w="1277" w:type="dxa"/>
                      </w:tcPr>
                      <w:p>
                        <w:pPr>
                          <w:pStyle w:val="TableParagraph"/>
                          <w:spacing w:before="81"/>
                          <w:ind w:left="250" w:right="241"/>
                          <w:jc w:val="center"/>
                          <w:rPr>
                            <w:sz w:val="21"/>
                          </w:rPr>
                        </w:pPr>
                        <w:r>
                          <w:rPr>
                            <w:sz w:val="21"/>
                          </w:rPr>
                          <w:t>30 万元</w:t>
                        </w:r>
                      </w:p>
                    </w:tc>
                    <w:tc>
                      <w:tcPr>
                        <w:tcW w:w="2271" w:type="dxa"/>
                      </w:tcPr>
                      <w:p>
                        <w:pPr>
                          <w:pStyle w:val="TableParagraph"/>
                          <w:spacing w:before="81"/>
                          <w:ind w:left="11" w:right="1"/>
                          <w:jc w:val="center"/>
                          <w:rPr>
                            <w:sz w:val="21"/>
                          </w:rPr>
                        </w:pPr>
                        <w:r>
                          <w:rPr>
                            <w:sz w:val="21"/>
                          </w:rPr>
                          <w:t>30 万元×10 =3 万元</w:t>
                        </w:r>
                      </w:p>
                    </w:tc>
                    <w:tc>
                      <w:tcPr>
                        <w:tcW w:w="2405" w:type="dxa"/>
                      </w:tcPr>
                      <w:p>
                        <w:pPr>
                          <w:pStyle w:val="TableParagraph"/>
                          <w:spacing w:before="81"/>
                          <w:ind w:left="132" w:right="122"/>
                          <w:jc w:val="center"/>
                          <w:rPr>
                            <w:sz w:val="21"/>
                          </w:rPr>
                        </w:pPr>
                        <w:r>
                          <w:rPr>
                            <w:sz w:val="21"/>
                          </w:rPr>
                          <w:t>30 万元×60 =18 万元</w:t>
                        </w:r>
                      </w:p>
                    </w:tc>
                    <w:tc>
                      <w:tcPr>
                        <w:tcW w:w="1157" w:type="dxa"/>
                      </w:tcPr>
                      <w:p>
                        <w:pPr>
                          <w:pStyle w:val="TableParagraph"/>
                          <w:spacing w:before="81"/>
                          <w:ind w:left="191" w:right="179"/>
                          <w:jc w:val="center"/>
                          <w:rPr>
                            <w:sz w:val="21"/>
                          </w:rPr>
                        </w:pPr>
                        <w:r>
                          <w:rPr>
                            <w:sz w:val="21"/>
                          </w:rPr>
                          <w:t>51 万元</w:t>
                        </w:r>
                      </w:p>
                    </w:tc>
                  </w:tr>
                </w:tbl>
                <w:p>
                  <w:pPr>
                    <w:pStyle w:val="BodyText"/>
                  </w:pPr>
                </w:p>
              </w:txbxContent>
            </v:textbox>
            <w10:wrap type="none"/>
          </v:shape>
        </w:pict>
      </w:r>
      <w:r>
        <w:rPr/>
        <w:t>假设李女士在第3个保单年度开始后初次发生本附加险合同约定的重大疾病，不同情况下重大疾病保险金赔付如下表所示：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Heading3"/>
        <w:ind w:left="668"/>
      </w:pPr>
      <w:r>
        <w:rPr/>
        <w:t>以上举例仅供您更好地理解产品之用，您所购买产品的具体保险利益以保险合同中载明的为准。</w:t>
      </w:r>
    </w:p>
    <w:p>
      <w:pPr>
        <w:spacing w:before="58"/>
        <w:ind w:left="245" w:right="0" w:firstLine="0"/>
        <w:jc w:val="left"/>
        <w:rPr>
          <w:rFonts w:ascii="Microsoft JhengHei" w:hAnsi="Microsoft JhengHei" w:eastAsia="Microsoft JhengHei" w:hint="eastAsia"/>
          <w:b/>
          <w:sz w:val="21"/>
        </w:rPr>
      </w:pPr>
      <w:r>
        <w:rPr>
          <w:rFonts w:ascii="Arial" w:hAnsi="Arial" w:eastAsia="Arial"/>
          <w:b/>
          <w:w w:val="110"/>
          <w:position w:val="-11"/>
          <w:sz w:val="52"/>
        </w:rPr>
        <w:t></w:t>
      </w:r>
      <w:r>
        <w:rPr>
          <w:rFonts w:ascii="Microsoft JhengHei" w:hAnsi="Microsoft JhengHei" w:eastAsia="Microsoft JhengHei" w:hint="eastAsia"/>
          <w:b/>
          <w:w w:val="110"/>
          <w:sz w:val="21"/>
        </w:rPr>
        <w:t>条款目录</w:t>
      </w:r>
    </w:p>
    <w:p>
      <w:pPr>
        <w:spacing w:after="0"/>
        <w:jc w:val="left"/>
        <w:rPr>
          <w:rFonts w:ascii="Microsoft JhengHei" w:hAnsi="Microsoft JhengHei" w:eastAsia="Microsoft JhengHei" w:hint="eastAsia"/>
          <w:sz w:val="21"/>
        </w:rPr>
        <w:sectPr>
          <w:pgSz w:w="11910" w:h="16840"/>
          <w:pgMar w:top="1120" w:bottom="280" w:left="940" w:right="840"/>
        </w:sectPr>
      </w:pPr>
    </w:p>
    <w:p>
      <w:pPr>
        <w:spacing w:line="223" w:lineRule="exact" w:before="0"/>
        <w:ind w:left="898" w:right="0" w:firstLine="0"/>
        <w:jc w:val="left"/>
        <w:rPr>
          <w:rFonts w:ascii="Microsoft JhengHei" w:eastAsia="Microsoft JhengHei" w:hint="eastAsia"/>
          <w:b/>
          <w:sz w:val="21"/>
        </w:rPr>
      </w:pPr>
      <w:r>
        <w:rPr>
          <w:b/>
          <w:sz w:val="21"/>
        </w:rPr>
        <w:t>1.</w:t>
      </w:r>
      <w:r>
        <w:rPr>
          <w:rFonts w:ascii="Microsoft JhengHei" w:eastAsia="Microsoft JhengHei" w:hint="eastAsia"/>
          <w:b/>
          <w:sz w:val="21"/>
        </w:rPr>
        <w:t>我们保什么、保多久</w:t>
      </w:r>
    </w:p>
    <w:p>
      <w:pPr>
        <w:pStyle w:val="ListParagraph"/>
        <w:numPr>
          <w:ilvl w:val="1"/>
          <w:numId w:val="2"/>
        </w:numPr>
        <w:tabs>
          <w:tab w:pos="1532" w:val="left" w:leader="none"/>
        </w:tabs>
        <w:spacing w:line="208" w:lineRule="exact" w:before="0" w:after="0"/>
        <w:ind w:left="1532" w:right="0" w:hanging="423"/>
        <w:jc w:val="left"/>
        <w:rPr>
          <w:sz w:val="21"/>
        </w:rPr>
      </w:pPr>
      <w:r>
        <w:rPr>
          <w:spacing w:val="-3"/>
          <w:sz w:val="21"/>
        </w:rPr>
        <w:t>保险责任</w:t>
      </w:r>
    </w:p>
    <w:p>
      <w:pPr>
        <w:pStyle w:val="ListParagraph"/>
        <w:numPr>
          <w:ilvl w:val="1"/>
          <w:numId w:val="2"/>
        </w:numPr>
        <w:tabs>
          <w:tab w:pos="1530" w:val="left" w:leader="none"/>
        </w:tabs>
        <w:spacing w:line="186" w:lineRule="exact" w:before="0" w:after="0"/>
        <w:ind w:left="1529" w:right="0" w:hanging="420"/>
        <w:jc w:val="left"/>
        <w:rPr>
          <w:sz w:val="21"/>
        </w:rPr>
      </w:pPr>
      <w:r>
        <w:rPr>
          <w:spacing w:val="-2"/>
          <w:sz w:val="21"/>
        </w:rPr>
        <w:t>保险期间</w:t>
      </w:r>
    </w:p>
    <w:p>
      <w:pPr>
        <w:pStyle w:val="Heading3"/>
        <w:spacing w:line="266" w:lineRule="exact"/>
        <w:ind w:left="898"/>
      </w:pPr>
      <w:r>
        <w:rPr>
          <w:rFonts w:ascii="宋体" w:eastAsia="宋体" w:hint="eastAsia"/>
        </w:rPr>
        <w:t>2.</w:t>
      </w:r>
      <w:r>
        <w:rPr/>
        <w:t>我们不保什么</w:t>
      </w:r>
    </w:p>
    <w:p>
      <w:pPr>
        <w:pStyle w:val="ListParagraph"/>
        <w:numPr>
          <w:ilvl w:val="1"/>
          <w:numId w:val="3"/>
        </w:numPr>
        <w:tabs>
          <w:tab w:pos="1532" w:val="left" w:leader="none"/>
        </w:tabs>
        <w:spacing w:line="208" w:lineRule="exact" w:before="0" w:after="0"/>
        <w:ind w:left="1532" w:right="0" w:hanging="423"/>
        <w:jc w:val="left"/>
        <w:rPr>
          <w:sz w:val="21"/>
        </w:rPr>
      </w:pPr>
      <w:r>
        <w:rPr>
          <w:spacing w:val="-3"/>
          <w:sz w:val="21"/>
        </w:rPr>
        <w:t>责任免除</w:t>
      </w:r>
    </w:p>
    <w:p>
      <w:pPr>
        <w:pStyle w:val="ListParagraph"/>
        <w:numPr>
          <w:ilvl w:val="1"/>
          <w:numId w:val="3"/>
        </w:numPr>
        <w:tabs>
          <w:tab w:pos="1532" w:val="left" w:leader="none"/>
        </w:tabs>
        <w:spacing w:line="186" w:lineRule="exact" w:before="0" w:after="0"/>
        <w:ind w:left="1532" w:right="0" w:hanging="423"/>
        <w:jc w:val="left"/>
        <w:rPr>
          <w:sz w:val="21"/>
        </w:rPr>
      </w:pPr>
      <w:r>
        <w:rPr>
          <w:spacing w:val="-3"/>
          <w:sz w:val="21"/>
        </w:rPr>
        <w:t>其他免责条款</w:t>
      </w:r>
    </w:p>
    <w:p>
      <w:pPr>
        <w:pStyle w:val="Heading3"/>
        <w:spacing w:line="266" w:lineRule="exact"/>
        <w:ind w:left="898"/>
      </w:pPr>
      <w:r>
        <w:rPr>
          <w:rFonts w:ascii="宋体" w:eastAsia="宋体" w:hint="eastAsia"/>
        </w:rPr>
        <w:t>3.</w:t>
      </w:r>
      <w:r>
        <w:rPr/>
        <w:t>如何支付保险费</w:t>
      </w:r>
    </w:p>
    <w:p>
      <w:pPr>
        <w:pStyle w:val="ListParagraph"/>
        <w:numPr>
          <w:ilvl w:val="1"/>
          <w:numId w:val="4"/>
        </w:numPr>
        <w:tabs>
          <w:tab w:pos="1532" w:val="left" w:leader="none"/>
        </w:tabs>
        <w:spacing w:line="208" w:lineRule="exact" w:before="0" w:after="0"/>
        <w:ind w:left="1531" w:right="0" w:hanging="422"/>
        <w:jc w:val="left"/>
        <w:rPr>
          <w:sz w:val="21"/>
        </w:rPr>
      </w:pPr>
      <w:r>
        <w:rPr>
          <w:spacing w:val="-3"/>
          <w:sz w:val="21"/>
        </w:rPr>
        <w:t>保险费的支付</w:t>
      </w:r>
    </w:p>
    <w:p>
      <w:pPr>
        <w:pStyle w:val="ListParagraph"/>
        <w:numPr>
          <w:ilvl w:val="1"/>
          <w:numId w:val="4"/>
        </w:numPr>
        <w:tabs>
          <w:tab w:pos="1532" w:val="left" w:leader="none"/>
        </w:tabs>
        <w:spacing w:line="221" w:lineRule="exact" w:before="0" w:after="0"/>
        <w:ind w:left="1531" w:right="0" w:hanging="422"/>
        <w:jc w:val="left"/>
        <w:rPr>
          <w:sz w:val="21"/>
        </w:rPr>
      </w:pPr>
      <w:r>
        <w:rPr>
          <w:spacing w:val="-2"/>
          <w:sz w:val="21"/>
        </w:rPr>
        <w:t>宽限期</w:t>
      </w:r>
    </w:p>
    <w:p>
      <w:pPr>
        <w:pStyle w:val="ListParagraph"/>
        <w:numPr>
          <w:ilvl w:val="1"/>
          <w:numId w:val="4"/>
        </w:numPr>
        <w:tabs>
          <w:tab w:pos="1530" w:val="left" w:leader="none"/>
        </w:tabs>
        <w:spacing w:line="249" w:lineRule="exact" w:before="0" w:after="0"/>
        <w:ind w:left="1529" w:right="0" w:hanging="420"/>
        <w:jc w:val="left"/>
        <w:rPr>
          <w:sz w:val="21"/>
        </w:rPr>
      </w:pPr>
      <w:r>
        <w:rPr>
          <w:spacing w:val="-3"/>
          <w:sz w:val="21"/>
        </w:rPr>
        <w:t>效力中止与恢复</w:t>
      </w:r>
    </w:p>
    <w:p>
      <w:pPr>
        <w:pStyle w:val="Heading3"/>
        <w:spacing w:line="223" w:lineRule="exact"/>
        <w:ind w:left="823"/>
      </w:pPr>
      <w:r>
        <w:rPr>
          <w:b w:val="0"/>
        </w:rPr>
        <w:br w:type="column"/>
      </w:r>
      <w:r>
        <w:rPr>
          <w:rFonts w:ascii="宋体" w:eastAsia="宋体" w:hint="eastAsia"/>
        </w:rPr>
        <w:t>4.</w:t>
      </w:r>
      <w:r>
        <w:rPr/>
        <w:t>如何领取保险金</w:t>
      </w:r>
    </w:p>
    <w:p>
      <w:pPr>
        <w:pStyle w:val="ListParagraph"/>
        <w:numPr>
          <w:ilvl w:val="1"/>
          <w:numId w:val="5"/>
        </w:numPr>
        <w:tabs>
          <w:tab w:pos="1458" w:val="left" w:leader="none"/>
        </w:tabs>
        <w:spacing w:line="208" w:lineRule="exact" w:before="0" w:after="0"/>
        <w:ind w:left="1457" w:right="0" w:hanging="422"/>
        <w:jc w:val="left"/>
        <w:rPr>
          <w:sz w:val="21"/>
        </w:rPr>
      </w:pPr>
      <w:r>
        <w:rPr>
          <w:spacing w:val="-2"/>
          <w:sz w:val="21"/>
        </w:rPr>
        <w:t>受益人</w:t>
      </w:r>
    </w:p>
    <w:p>
      <w:pPr>
        <w:pStyle w:val="ListParagraph"/>
        <w:numPr>
          <w:ilvl w:val="1"/>
          <w:numId w:val="5"/>
        </w:numPr>
        <w:tabs>
          <w:tab w:pos="1458" w:val="left" w:leader="none"/>
        </w:tabs>
        <w:spacing w:line="220" w:lineRule="exact" w:before="0" w:after="0"/>
        <w:ind w:left="1457" w:right="0" w:hanging="422"/>
        <w:jc w:val="left"/>
        <w:rPr>
          <w:sz w:val="21"/>
        </w:rPr>
      </w:pPr>
      <w:r>
        <w:rPr>
          <w:spacing w:val="-3"/>
          <w:sz w:val="21"/>
        </w:rPr>
        <w:t>保险金申请</w:t>
      </w:r>
    </w:p>
    <w:p>
      <w:pPr>
        <w:pStyle w:val="ListParagraph"/>
        <w:numPr>
          <w:ilvl w:val="1"/>
          <w:numId w:val="5"/>
        </w:numPr>
        <w:tabs>
          <w:tab w:pos="1458" w:val="left" w:leader="none"/>
        </w:tabs>
        <w:spacing w:line="187" w:lineRule="exact" w:before="0" w:after="0"/>
        <w:ind w:left="1457" w:right="0" w:hanging="422"/>
        <w:jc w:val="left"/>
        <w:rPr>
          <w:sz w:val="21"/>
        </w:rPr>
      </w:pPr>
      <w:r>
        <w:rPr>
          <w:spacing w:val="-3"/>
          <w:sz w:val="21"/>
        </w:rPr>
        <w:t>保险金的给付</w:t>
      </w:r>
    </w:p>
    <w:p>
      <w:pPr>
        <w:pStyle w:val="Heading3"/>
        <w:spacing w:line="265" w:lineRule="exact"/>
        <w:ind w:left="823"/>
      </w:pPr>
      <w:r>
        <w:rPr>
          <w:rFonts w:ascii="宋体" w:eastAsia="宋体" w:hint="eastAsia"/>
        </w:rPr>
        <w:t>5.</w:t>
      </w:r>
      <w:r>
        <w:rPr/>
        <w:t>如何退保</w:t>
      </w:r>
    </w:p>
    <w:p>
      <w:pPr>
        <w:pStyle w:val="ListParagraph"/>
        <w:numPr>
          <w:ilvl w:val="1"/>
          <w:numId w:val="6"/>
        </w:numPr>
        <w:tabs>
          <w:tab w:pos="1458" w:val="left" w:leader="none"/>
        </w:tabs>
        <w:spacing w:line="208" w:lineRule="exact" w:before="0" w:after="0"/>
        <w:ind w:left="1455" w:right="0" w:hanging="420"/>
        <w:jc w:val="left"/>
        <w:rPr>
          <w:sz w:val="21"/>
        </w:rPr>
      </w:pPr>
      <w:r>
        <w:rPr>
          <w:spacing w:val="-2"/>
          <w:sz w:val="21"/>
        </w:rPr>
        <w:t>犹豫期</w:t>
      </w:r>
    </w:p>
    <w:p>
      <w:pPr>
        <w:pStyle w:val="ListParagraph"/>
        <w:numPr>
          <w:ilvl w:val="1"/>
          <w:numId w:val="6"/>
        </w:numPr>
        <w:tabs>
          <w:tab w:pos="1470" w:val="left" w:leader="none"/>
        </w:tabs>
        <w:spacing w:line="192" w:lineRule="auto" w:before="28" w:after="0"/>
        <w:ind w:left="1455" w:right="0" w:hanging="420"/>
        <w:jc w:val="left"/>
        <w:rPr>
          <w:sz w:val="21"/>
        </w:rPr>
      </w:pPr>
      <w:r>
        <w:rPr>
          <w:spacing w:val="8"/>
          <w:sz w:val="21"/>
        </w:rPr>
        <w:t>您解除合同的手续及风险</w:t>
      </w:r>
    </w:p>
    <w:p>
      <w:pPr>
        <w:pStyle w:val="Heading3"/>
        <w:spacing w:line="205" w:lineRule="exact"/>
        <w:ind w:left="823"/>
      </w:pPr>
      <w:r>
        <w:rPr>
          <w:rFonts w:ascii="宋体" w:eastAsia="宋体" w:hint="eastAsia"/>
        </w:rPr>
        <w:t>6.</w:t>
      </w:r>
      <w:r>
        <w:rPr/>
        <w:t>其他权益</w:t>
      </w:r>
    </w:p>
    <w:p>
      <w:pPr>
        <w:pStyle w:val="ListParagraph"/>
        <w:numPr>
          <w:ilvl w:val="1"/>
          <w:numId w:val="7"/>
        </w:numPr>
        <w:tabs>
          <w:tab w:pos="1456" w:val="left" w:leader="none"/>
        </w:tabs>
        <w:spacing w:line="237" w:lineRule="exact" w:before="0" w:after="0"/>
        <w:ind w:left="1455" w:right="0" w:hanging="420"/>
        <w:jc w:val="left"/>
        <w:rPr>
          <w:sz w:val="21"/>
        </w:rPr>
      </w:pPr>
      <w:r>
        <w:rPr>
          <w:spacing w:val="-2"/>
          <w:sz w:val="21"/>
        </w:rPr>
        <w:t>现金价值</w:t>
      </w:r>
    </w:p>
    <w:p>
      <w:pPr>
        <w:pStyle w:val="ListParagraph"/>
        <w:numPr>
          <w:ilvl w:val="1"/>
          <w:numId w:val="7"/>
        </w:numPr>
        <w:tabs>
          <w:tab w:pos="1035" w:val="left" w:leader="none"/>
        </w:tabs>
        <w:spacing w:line="171" w:lineRule="exact" w:before="0" w:after="0"/>
        <w:ind w:left="1034" w:right="0" w:hanging="420"/>
        <w:jc w:val="left"/>
        <w:rPr>
          <w:sz w:val="21"/>
        </w:rPr>
      </w:pPr>
      <w:r>
        <w:rPr>
          <w:w w:val="100"/>
          <w:sz w:val="21"/>
        </w:rPr>
        <w:br w:type="column"/>
      </w:r>
      <w:r>
        <w:rPr>
          <w:spacing w:val="-2"/>
          <w:sz w:val="21"/>
        </w:rPr>
        <w:t>减额交清</w:t>
      </w:r>
    </w:p>
    <w:p>
      <w:pPr>
        <w:pStyle w:val="Heading3"/>
        <w:numPr>
          <w:ilvl w:val="0"/>
          <w:numId w:val="8"/>
        </w:numPr>
        <w:tabs>
          <w:tab w:pos="721" w:val="left" w:leader="none"/>
        </w:tabs>
        <w:spacing w:line="232" w:lineRule="exact" w:before="0" w:after="0"/>
        <w:ind w:left="720" w:right="0" w:hanging="317"/>
        <w:jc w:val="left"/>
      </w:pPr>
      <w:r>
        <w:rPr/>
        <w:t>特定轻度重疾释义</w:t>
      </w:r>
    </w:p>
    <w:p>
      <w:pPr>
        <w:pStyle w:val="ListParagraph"/>
        <w:numPr>
          <w:ilvl w:val="0"/>
          <w:numId w:val="8"/>
        </w:numPr>
        <w:tabs>
          <w:tab w:pos="721" w:val="left" w:leader="none"/>
        </w:tabs>
        <w:spacing w:line="221" w:lineRule="exact" w:before="0" w:after="0"/>
        <w:ind w:left="720" w:right="0" w:hanging="317"/>
        <w:jc w:val="left"/>
        <w:rPr>
          <w:rFonts w:ascii="Microsoft JhengHei" w:eastAsia="Microsoft JhengHei" w:hint="eastAsia"/>
          <w:b/>
          <w:sz w:val="21"/>
        </w:rPr>
      </w:pPr>
      <w:r>
        <w:rPr>
          <w:rFonts w:ascii="Microsoft JhengHei" w:eastAsia="Microsoft JhengHei" w:hint="eastAsia"/>
          <w:b/>
          <w:sz w:val="21"/>
        </w:rPr>
        <w:t>重大疾病释义</w:t>
      </w:r>
    </w:p>
    <w:p>
      <w:pPr>
        <w:pStyle w:val="ListParagraph"/>
        <w:numPr>
          <w:ilvl w:val="0"/>
          <w:numId w:val="8"/>
        </w:numPr>
        <w:tabs>
          <w:tab w:pos="721" w:val="left" w:leader="none"/>
        </w:tabs>
        <w:spacing w:line="253" w:lineRule="exact" w:before="0" w:after="0"/>
        <w:ind w:left="720" w:right="0" w:hanging="317"/>
        <w:jc w:val="left"/>
        <w:rPr>
          <w:rFonts w:ascii="Microsoft JhengHei" w:eastAsia="Microsoft JhengHei" w:hint="eastAsia"/>
          <w:b/>
          <w:sz w:val="21"/>
        </w:rPr>
      </w:pPr>
      <w:r>
        <w:rPr>
          <w:rFonts w:ascii="Microsoft JhengHei" w:eastAsia="Microsoft JhengHei" w:hint="eastAsia"/>
          <w:b/>
          <w:sz w:val="21"/>
        </w:rPr>
        <w:t>需关注的其他内容</w:t>
      </w:r>
    </w:p>
    <w:p>
      <w:pPr>
        <w:pStyle w:val="ListParagraph"/>
        <w:numPr>
          <w:ilvl w:val="1"/>
          <w:numId w:val="8"/>
        </w:numPr>
        <w:tabs>
          <w:tab w:pos="1038" w:val="left" w:leader="none"/>
        </w:tabs>
        <w:spacing w:line="208" w:lineRule="exact" w:before="0" w:after="0"/>
        <w:ind w:left="1037" w:right="0" w:hanging="423"/>
        <w:jc w:val="left"/>
        <w:rPr>
          <w:sz w:val="21"/>
        </w:rPr>
      </w:pPr>
      <w:r>
        <w:rPr>
          <w:spacing w:val="-3"/>
          <w:sz w:val="21"/>
        </w:rPr>
        <w:t>合同订立</w:t>
      </w:r>
    </w:p>
    <w:p>
      <w:pPr>
        <w:pStyle w:val="ListParagraph"/>
        <w:numPr>
          <w:ilvl w:val="1"/>
          <w:numId w:val="8"/>
        </w:numPr>
        <w:tabs>
          <w:tab w:pos="1036" w:val="left" w:leader="none"/>
        </w:tabs>
        <w:spacing w:line="221" w:lineRule="exact" w:before="0" w:after="0"/>
        <w:ind w:left="1035" w:right="0" w:hanging="421"/>
        <w:jc w:val="left"/>
        <w:rPr>
          <w:sz w:val="21"/>
        </w:rPr>
      </w:pPr>
      <w:r>
        <w:rPr>
          <w:spacing w:val="-2"/>
          <w:sz w:val="21"/>
        </w:rPr>
        <w:t>合同生效</w:t>
      </w:r>
    </w:p>
    <w:p>
      <w:pPr>
        <w:pStyle w:val="ListParagraph"/>
        <w:numPr>
          <w:ilvl w:val="1"/>
          <w:numId w:val="8"/>
        </w:numPr>
        <w:tabs>
          <w:tab w:pos="1038" w:val="left" w:leader="none"/>
        </w:tabs>
        <w:spacing w:line="220" w:lineRule="exact" w:before="0" w:after="0"/>
        <w:ind w:left="1037" w:right="0" w:hanging="423"/>
        <w:jc w:val="left"/>
        <w:rPr>
          <w:sz w:val="21"/>
        </w:rPr>
      </w:pPr>
      <w:r>
        <w:rPr>
          <w:spacing w:val="-3"/>
          <w:sz w:val="21"/>
        </w:rPr>
        <w:t>投保年龄</w:t>
      </w:r>
    </w:p>
    <w:p>
      <w:pPr>
        <w:pStyle w:val="ListParagraph"/>
        <w:numPr>
          <w:ilvl w:val="1"/>
          <w:numId w:val="8"/>
        </w:numPr>
        <w:tabs>
          <w:tab w:pos="1036" w:val="left" w:leader="none"/>
        </w:tabs>
        <w:spacing w:line="220" w:lineRule="exact" w:before="0" w:after="0"/>
        <w:ind w:left="1035" w:right="0" w:hanging="421"/>
        <w:jc w:val="left"/>
        <w:rPr>
          <w:sz w:val="21"/>
        </w:rPr>
      </w:pPr>
      <w:r>
        <w:rPr>
          <w:spacing w:val="-2"/>
          <w:sz w:val="21"/>
        </w:rPr>
        <w:t>年龄错误</w:t>
      </w:r>
    </w:p>
    <w:p>
      <w:pPr>
        <w:pStyle w:val="ListParagraph"/>
        <w:numPr>
          <w:ilvl w:val="1"/>
          <w:numId w:val="8"/>
        </w:numPr>
        <w:tabs>
          <w:tab w:pos="1038" w:val="left" w:leader="none"/>
        </w:tabs>
        <w:spacing w:line="222" w:lineRule="exact" w:before="0" w:after="0"/>
        <w:ind w:left="1037" w:right="0" w:hanging="423"/>
        <w:jc w:val="left"/>
        <w:rPr>
          <w:sz w:val="21"/>
        </w:rPr>
      </w:pPr>
      <w:r>
        <w:rPr>
          <w:spacing w:val="-3"/>
          <w:sz w:val="21"/>
        </w:rPr>
        <w:t>效力终止</w:t>
      </w:r>
    </w:p>
    <w:p>
      <w:pPr>
        <w:pStyle w:val="ListParagraph"/>
        <w:numPr>
          <w:ilvl w:val="1"/>
          <w:numId w:val="8"/>
        </w:numPr>
        <w:tabs>
          <w:tab w:pos="1038" w:val="left" w:leader="none"/>
        </w:tabs>
        <w:spacing w:line="249" w:lineRule="exact" w:before="0" w:after="0"/>
        <w:ind w:left="1037" w:right="0" w:hanging="423"/>
        <w:jc w:val="left"/>
        <w:rPr>
          <w:sz w:val="21"/>
        </w:rPr>
      </w:pPr>
      <w:r>
        <w:rPr>
          <w:spacing w:val="-3"/>
          <w:sz w:val="21"/>
        </w:rPr>
        <w:t>适用主险合同条款</w:t>
      </w:r>
    </w:p>
    <w:p>
      <w:pPr>
        <w:spacing w:after="0" w:line="249" w:lineRule="exact"/>
        <w:jc w:val="left"/>
        <w:rPr>
          <w:sz w:val="21"/>
        </w:rPr>
        <w:sectPr>
          <w:type w:val="continuous"/>
          <w:pgSz w:w="11910" w:h="16840"/>
          <w:pgMar w:top="540" w:bottom="280" w:left="940" w:right="840"/>
          <w:cols w:num="3" w:equalWidth="0">
            <w:col w:w="3011" w:space="40"/>
            <w:col w:w="3249" w:space="39"/>
            <w:col w:w="3791"/>
          </w:cols>
        </w:sectPr>
      </w:pPr>
    </w:p>
    <w:p>
      <w:pPr>
        <w:pStyle w:val="BodyText"/>
        <w:ind w:left="220"/>
        <w:rPr>
          <w:sz w:val="20"/>
        </w:rPr>
      </w:pPr>
      <w:r>
        <w:rPr>
          <w:sz w:val="20"/>
        </w:rPr>
        <w:drawing>
          <wp:inline distT="0" distB="0" distL="0" distR="0">
            <wp:extent cx="2052283" cy="342042"/>
            <wp:effectExtent l="0" t="0" r="0" b="0"/>
            <wp:docPr id="1" name="image6.png" descr="新LOGO-K"/>
            <wp:cNvGraphicFramePr>
              <a:graphicFrameLocks noChangeAspect="1"/>
            </wp:cNvGraphicFramePr>
            <a:graphic>
              <a:graphicData uri="http://schemas.openxmlformats.org/drawingml/2006/picture">
                <pic:pic>
                  <pic:nvPicPr>
                    <pic:cNvPr id="2" name="image6.png"/>
                    <pic:cNvPicPr/>
                  </pic:nvPicPr>
                  <pic:blipFill>
                    <a:blip r:embed="rId10" cstate="print"/>
                    <a:stretch>
                      <a:fillRect/>
                    </a:stretch>
                  </pic:blipFill>
                  <pic:spPr>
                    <a:xfrm>
                      <a:off x="0" y="0"/>
                      <a:ext cx="2052283" cy="342042"/>
                    </a:xfrm>
                    <a:prstGeom prst="rect">
                      <a:avLst/>
                    </a:prstGeom>
                  </pic:spPr>
                </pic:pic>
              </a:graphicData>
            </a:graphic>
          </wp:inline>
        </w:drawing>
      </w:r>
      <w:r>
        <w:rPr>
          <w:sz w:val="20"/>
        </w:rPr>
      </w:r>
    </w:p>
    <w:p>
      <w:pPr>
        <w:pStyle w:val="BodyText"/>
        <w:rPr>
          <w:sz w:val="20"/>
        </w:rPr>
      </w:pPr>
    </w:p>
    <w:p>
      <w:pPr>
        <w:pStyle w:val="BodyText"/>
        <w:spacing w:before="11"/>
        <w:rPr>
          <w:sz w:val="12"/>
        </w:rPr>
      </w:pPr>
      <w:r>
        <w:rPr/>
        <w:drawing>
          <wp:anchor distT="0" distB="0" distL="0" distR="0" allowOverlap="1" layoutInCell="1" locked="0" behindDoc="0" simplePos="0" relativeHeight="1120">
            <wp:simplePos x="0" y="0"/>
            <wp:positionH relativeFrom="page">
              <wp:posOffset>1458137</wp:posOffset>
            </wp:positionH>
            <wp:positionV relativeFrom="paragraph">
              <wp:posOffset>131538</wp:posOffset>
            </wp:positionV>
            <wp:extent cx="4715827" cy="230504"/>
            <wp:effectExtent l="0" t="0" r="0" b="0"/>
            <wp:wrapTopAndBottom/>
            <wp:docPr id="3" name="image7.png" descr="抬头"/>
            <wp:cNvGraphicFramePr>
              <a:graphicFrameLocks noChangeAspect="1"/>
            </wp:cNvGraphicFramePr>
            <a:graphic>
              <a:graphicData uri="http://schemas.openxmlformats.org/drawingml/2006/picture">
                <pic:pic>
                  <pic:nvPicPr>
                    <pic:cNvPr id="4" name="image7.png"/>
                    <pic:cNvPicPr/>
                  </pic:nvPicPr>
                  <pic:blipFill>
                    <a:blip r:embed="rId11" cstate="print"/>
                    <a:stretch>
                      <a:fillRect/>
                    </a:stretch>
                  </pic:blipFill>
                  <pic:spPr>
                    <a:xfrm>
                      <a:off x="0" y="0"/>
                      <a:ext cx="4715827" cy="230504"/>
                    </a:xfrm>
                    <a:prstGeom prst="rect">
                      <a:avLst/>
                    </a:prstGeom>
                  </pic:spPr>
                </pic:pic>
              </a:graphicData>
            </a:graphic>
          </wp:anchor>
        </w:drawing>
      </w:r>
    </w:p>
    <w:p>
      <w:pPr>
        <w:pStyle w:val="BodyText"/>
        <w:spacing w:before="1"/>
        <w:rPr>
          <w:sz w:val="18"/>
        </w:rPr>
      </w:pPr>
    </w:p>
    <w:p>
      <w:pPr>
        <w:pStyle w:val="Heading1"/>
        <w:spacing w:line="506" w:lineRule="exact"/>
        <w:ind w:left="1391"/>
      </w:pPr>
      <w:r>
        <w:rPr/>
        <w:t>平安附加平安福（2018）提前给付重大疾病保险条款</w:t>
      </w:r>
    </w:p>
    <w:p>
      <w:pPr>
        <w:pStyle w:val="BodyText"/>
        <w:spacing w:before="6"/>
        <w:rPr>
          <w:rFonts w:ascii="微软雅黑"/>
          <w:b/>
          <w:sz w:val="42"/>
        </w:rPr>
      </w:pPr>
    </w:p>
    <w:p>
      <w:pPr>
        <w:pStyle w:val="BodyText"/>
        <w:ind w:left="220"/>
      </w:pPr>
      <w:r>
        <w:rPr/>
        <w:pict>
          <v:rect style="position:absolute;margin-left:204.479996pt;margin-top:140.663651pt;width:339.84pt;height:13.68pt;mso-position-horizontal-relative:page;mso-position-vertical-relative:paragraph;z-index:-67672" filled="true" fillcolor="#dadada" stroked="false">
            <v:fill type="solid"/>
            <w10:wrap type="none"/>
          </v:rect>
        </w:pict>
      </w:r>
      <w:r>
        <w:rPr/>
        <w:t>在本条款中，“您”指投保人，“我们”、“本公司”均指中国平安人寿保险股份有限公司。</w:t>
      </w:r>
    </w:p>
    <w:p>
      <w:pPr>
        <w:pStyle w:val="BodyText"/>
        <w:spacing w:before="8"/>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467"/>
        <w:gridCol w:w="6902"/>
      </w:tblGrid>
      <w:tr>
        <w:trPr>
          <w:trHeight w:val="937" w:hRule="atLeast"/>
        </w:trPr>
        <w:tc>
          <w:tcPr>
            <w:tcW w:w="710" w:type="dxa"/>
            <w:tcBorders>
              <w:bottom w:val="single" w:sz="8" w:space="0" w:color="000000"/>
            </w:tcBorders>
          </w:tcPr>
          <w:p>
            <w:pPr>
              <w:pStyle w:val="TableParagraph"/>
              <w:spacing w:line="423" w:lineRule="exact"/>
              <w:ind w:left="0" w:right="151"/>
              <w:jc w:val="right"/>
              <w:rPr>
                <w:rFonts w:ascii="Arial" w:hAnsi="Arial"/>
                <w:b/>
                <w:sz w:val="40"/>
              </w:rPr>
            </w:pPr>
            <w:r>
              <w:rPr>
                <w:rFonts w:ascii="Arial" w:hAnsi="Arial"/>
                <w:b/>
                <w:w w:val="119"/>
                <w:sz w:val="40"/>
              </w:rPr>
              <w:t></w:t>
            </w:r>
          </w:p>
        </w:tc>
        <w:tc>
          <w:tcPr>
            <w:tcW w:w="9369" w:type="dxa"/>
            <w:gridSpan w:val="2"/>
            <w:tcBorders>
              <w:bottom w:val="single" w:sz="8" w:space="0" w:color="000000"/>
            </w:tcBorders>
          </w:tcPr>
          <w:p>
            <w:pPr>
              <w:pStyle w:val="TableParagraph"/>
              <w:spacing w:line="276" w:lineRule="exact"/>
              <w:ind w:left="154"/>
              <w:rPr>
                <w:b/>
                <w:sz w:val="24"/>
              </w:rPr>
            </w:pPr>
            <w:r>
              <w:rPr>
                <w:b/>
                <w:w w:val="95"/>
                <w:sz w:val="24"/>
              </w:rPr>
              <w:t>我们保什么、保多久</w:t>
            </w:r>
          </w:p>
          <w:p>
            <w:pPr>
              <w:pStyle w:val="TableParagraph"/>
              <w:spacing w:before="134"/>
              <w:ind w:left="154"/>
              <w:rPr>
                <w:sz w:val="24"/>
              </w:rPr>
            </w:pPr>
            <w:r>
              <w:rPr>
                <w:sz w:val="24"/>
              </w:rPr>
              <w:t>这部分讲的是我们提供的保障以及我们提供保障的期间。</w:t>
            </w:r>
          </w:p>
        </w:tc>
      </w:tr>
      <w:tr>
        <w:trPr>
          <w:trHeight w:val="1173" w:hRule="atLeast"/>
        </w:trPr>
        <w:tc>
          <w:tcPr>
            <w:tcW w:w="710" w:type="dxa"/>
            <w:tcBorders>
              <w:top w:val="single" w:sz="8" w:space="0" w:color="000000"/>
            </w:tcBorders>
          </w:tcPr>
          <w:p>
            <w:pPr>
              <w:pStyle w:val="TableParagraph"/>
              <w:spacing w:before="2"/>
              <w:ind w:left="0"/>
              <w:rPr>
                <w:sz w:val="19"/>
              </w:rPr>
            </w:pPr>
          </w:p>
          <w:p>
            <w:pPr>
              <w:pStyle w:val="TableParagraph"/>
              <w:ind w:left="0" w:right="172"/>
              <w:jc w:val="right"/>
              <w:rPr>
                <w:b/>
                <w:sz w:val="21"/>
              </w:rPr>
            </w:pPr>
            <w:r>
              <w:rPr>
                <w:b/>
                <w:sz w:val="21"/>
              </w:rPr>
              <w:t>1.1</w:t>
            </w:r>
          </w:p>
        </w:tc>
        <w:tc>
          <w:tcPr>
            <w:tcW w:w="2467" w:type="dxa"/>
            <w:tcBorders>
              <w:top w:val="single" w:sz="8" w:space="0" w:color="000000"/>
            </w:tcBorders>
          </w:tcPr>
          <w:p>
            <w:pPr>
              <w:pStyle w:val="TableParagraph"/>
              <w:spacing w:before="2"/>
              <w:ind w:left="0"/>
              <w:rPr>
                <w:sz w:val="19"/>
              </w:rPr>
            </w:pPr>
          </w:p>
          <w:p>
            <w:pPr>
              <w:pStyle w:val="TableParagraph"/>
              <w:ind w:left="154"/>
              <w:rPr>
                <w:b/>
                <w:sz w:val="21"/>
              </w:rPr>
            </w:pPr>
            <w:r>
              <w:rPr>
                <w:b/>
                <w:sz w:val="21"/>
              </w:rPr>
              <w:t>保险责任</w:t>
            </w:r>
          </w:p>
          <w:p>
            <w:pPr>
              <w:pStyle w:val="TableParagraph"/>
              <w:spacing w:before="11"/>
              <w:ind w:left="0"/>
              <w:rPr>
                <w:sz w:val="21"/>
              </w:rPr>
            </w:pPr>
          </w:p>
          <w:p>
            <w:pPr>
              <w:pStyle w:val="TableParagraph"/>
              <w:ind w:left="154"/>
              <w:rPr>
                <w:rFonts w:ascii="等线" w:eastAsia="等线" w:hint="eastAsia"/>
                <w:b/>
                <w:sz w:val="24"/>
              </w:rPr>
            </w:pPr>
            <w:r>
              <w:rPr>
                <w:rFonts w:ascii="等线" w:eastAsia="等线" w:hint="eastAsia"/>
                <w:b/>
                <w:sz w:val="24"/>
              </w:rPr>
              <w:t>等待期</w:t>
            </w:r>
          </w:p>
        </w:tc>
        <w:tc>
          <w:tcPr>
            <w:tcW w:w="6902" w:type="dxa"/>
            <w:tcBorders>
              <w:top w:val="single" w:sz="8" w:space="0" w:color="000000"/>
            </w:tcBorders>
          </w:tcPr>
          <w:p>
            <w:pPr>
              <w:pStyle w:val="TableParagraph"/>
              <w:spacing w:before="2"/>
              <w:ind w:left="0"/>
              <w:rPr>
                <w:sz w:val="19"/>
              </w:rPr>
            </w:pPr>
          </w:p>
          <w:p>
            <w:pPr>
              <w:pStyle w:val="TableParagraph"/>
              <w:ind w:left="0"/>
              <w:rPr>
                <w:sz w:val="21"/>
              </w:rPr>
            </w:pPr>
            <w:r>
              <w:rPr>
                <w:sz w:val="21"/>
              </w:rPr>
              <w:t>在本附加险合同保险期间内，我们承担如下保险责任：</w:t>
            </w:r>
          </w:p>
          <w:p>
            <w:pPr>
              <w:pStyle w:val="TableParagraph"/>
              <w:spacing w:before="8"/>
              <w:ind w:left="0"/>
              <w:rPr>
                <w:sz w:val="24"/>
              </w:rPr>
            </w:pPr>
          </w:p>
          <w:p>
            <w:pPr>
              <w:pStyle w:val="TableParagraph"/>
              <w:ind w:left="0"/>
              <w:rPr>
                <w:sz w:val="21"/>
              </w:rPr>
            </w:pPr>
            <w:r>
              <w:rPr>
                <w:spacing w:val="-4"/>
                <w:sz w:val="21"/>
                <w:shd w:fill="DADADA" w:color="auto" w:val="clear"/>
              </w:rPr>
              <w:t>从本附加险合同生效</w:t>
            </w:r>
            <w:r>
              <w:rPr>
                <w:sz w:val="21"/>
                <w:shd w:fill="DADADA" w:color="auto" w:val="clear"/>
              </w:rPr>
              <w:t>（</w:t>
            </w:r>
            <w:r>
              <w:rPr>
                <w:spacing w:val="-3"/>
                <w:sz w:val="21"/>
                <w:shd w:fill="DADADA" w:color="auto" w:val="clear"/>
              </w:rPr>
              <w:t>或最后复效</w:t>
            </w:r>
            <w:r>
              <w:rPr>
                <w:spacing w:val="-13"/>
                <w:sz w:val="21"/>
                <w:shd w:fill="DADADA" w:color="auto" w:val="clear"/>
              </w:rPr>
              <w:t>）</w:t>
            </w:r>
            <w:r>
              <w:rPr>
                <w:spacing w:val="-11"/>
                <w:sz w:val="21"/>
                <w:shd w:fill="DADADA" w:color="auto" w:val="clear"/>
              </w:rPr>
              <w:t>之日起 </w:t>
            </w:r>
            <w:r>
              <w:rPr>
                <w:sz w:val="21"/>
                <w:shd w:fill="DADADA" w:color="auto" w:val="clear"/>
              </w:rPr>
              <w:t>90</w:t>
            </w:r>
            <w:r>
              <w:rPr>
                <w:spacing w:val="-8"/>
                <w:sz w:val="21"/>
                <w:shd w:fill="DADADA" w:color="auto" w:val="clear"/>
              </w:rPr>
              <w:t> 日内，被保险人首次发病并</w:t>
            </w:r>
          </w:p>
        </w:tc>
      </w:tr>
      <w:tr>
        <w:trPr>
          <w:trHeight w:val="311" w:hRule="atLeast"/>
        </w:trPr>
        <w:tc>
          <w:tcPr>
            <w:tcW w:w="710" w:type="dxa"/>
          </w:tcPr>
          <w:p>
            <w:pPr>
              <w:pStyle w:val="TableParagraph"/>
              <w:ind w:left="0"/>
              <w:rPr>
                <w:rFonts w:ascii="Times New Roman"/>
                <w:sz w:val="18"/>
              </w:rPr>
            </w:pPr>
          </w:p>
        </w:tc>
        <w:tc>
          <w:tcPr>
            <w:tcW w:w="2467" w:type="dxa"/>
          </w:tcPr>
          <w:p>
            <w:pPr>
              <w:pStyle w:val="TableParagraph"/>
              <w:ind w:left="0"/>
              <w:rPr>
                <w:rFonts w:ascii="Times New Roman"/>
                <w:sz w:val="18"/>
              </w:rPr>
            </w:pPr>
          </w:p>
        </w:tc>
        <w:tc>
          <w:tcPr>
            <w:tcW w:w="6902" w:type="dxa"/>
            <w:shd w:val="clear" w:color="auto" w:fill="DADADA"/>
          </w:tcPr>
          <w:p>
            <w:pPr>
              <w:pStyle w:val="TableParagraph"/>
              <w:spacing w:line="262" w:lineRule="exact"/>
              <w:ind w:left="0"/>
              <w:rPr>
                <w:sz w:val="21"/>
              </w:rPr>
            </w:pPr>
            <w:r>
              <w:rPr>
                <w:sz w:val="21"/>
              </w:rPr>
              <w:t>经</w:t>
            </w:r>
            <w:r>
              <w:rPr>
                <w:rFonts w:ascii="黑体" w:hAnsi="黑体" w:eastAsia="黑体" w:hint="eastAsia"/>
                <w:b/>
                <w:sz w:val="21"/>
              </w:rPr>
              <w:t>医院 </w:t>
            </w:r>
            <w:hyperlink w:history="true" w:anchor="_bookmark0">
              <w:r>
                <w:rPr>
                  <w:rFonts w:ascii="黑体" w:hAnsi="黑体" w:eastAsia="黑体" w:hint="eastAsia"/>
                  <w:b/>
                  <w:position w:val="11"/>
                  <w:sz w:val="11"/>
                </w:rPr>
                <w:t>1</w:t>
              </w:r>
            </w:hyperlink>
            <w:r>
              <w:rPr>
                <w:sz w:val="21"/>
              </w:rPr>
              <w:t>确诊为本附加险合同约定的</w:t>
            </w:r>
            <w:r>
              <w:rPr>
                <w:rFonts w:ascii="黑体" w:hAnsi="黑体" w:eastAsia="黑体" w:hint="eastAsia"/>
                <w:b/>
                <w:sz w:val="21"/>
              </w:rPr>
              <w:t>“特定轻度重疾”</w:t>
            </w:r>
            <w:hyperlink w:history="true" w:anchor="_bookmark1">
              <w:r>
                <w:rPr>
                  <w:rFonts w:ascii="黑体" w:hAnsi="黑体" w:eastAsia="黑体" w:hint="eastAsia"/>
                  <w:b/>
                  <w:position w:val="11"/>
                  <w:sz w:val="11"/>
                </w:rPr>
                <w:t>2</w:t>
              </w:r>
            </w:hyperlink>
            <w:r>
              <w:rPr>
                <w:sz w:val="21"/>
              </w:rPr>
              <w:t>或</w:t>
            </w:r>
            <w:r>
              <w:rPr>
                <w:rFonts w:ascii="黑体" w:hAnsi="黑体" w:eastAsia="黑体" w:hint="eastAsia"/>
                <w:b/>
                <w:sz w:val="21"/>
              </w:rPr>
              <w:t>“重大疾病”</w:t>
            </w:r>
            <w:hyperlink w:history="true" w:anchor="_bookmark2">
              <w:r>
                <w:rPr>
                  <w:rFonts w:ascii="黑体" w:hAnsi="黑体" w:eastAsia="黑体" w:hint="eastAsia"/>
                  <w:b/>
                  <w:position w:val="11"/>
                  <w:sz w:val="11"/>
                </w:rPr>
                <w:t>3</w:t>
              </w:r>
            </w:hyperlink>
            <w:r>
              <w:rPr>
                <w:sz w:val="21"/>
              </w:rPr>
              <w:t>，</w:t>
            </w:r>
          </w:p>
        </w:tc>
      </w:tr>
      <w:tr>
        <w:trPr>
          <w:trHeight w:val="4913" w:hRule="atLeast"/>
        </w:trPr>
        <w:tc>
          <w:tcPr>
            <w:tcW w:w="710" w:type="dxa"/>
          </w:tcPr>
          <w:p>
            <w:pPr>
              <w:pStyle w:val="TableParagraph"/>
              <w:ind w:left="0"/>
              <w:rPr>
                <w:rFonts w:ascii="Times New Roman"/>
                <w:sz w:val="18"/>
              </w:rPr>
            </w:pPr>
          </w:p>
        </w:tc>
        <w:tc>
          <w:tcPr>
            <w:tcW w:w="2467" w:type="dxa"/>
          </w:tcPr>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24"/>
              </w:rPr>
            </w:pPr>
          </w:p>
          <w:p>
            <w:pPr>
              <w:pStyle w:val="TableParagraph"/>
              <w:ind w:left="0"/>
              <w:rPr>
                <w:sz w:val="18"/>
              </w:rPr>
            </w:pPr>
          </w:p>
          <w:p>
            <w:pPr>
              <w:pStyle w:val="TableParagraph"/>
              <w:spacing w:line="232" w:lineRule="auto" w:before="1"/>
              <w:ind w:left="154" w:right="191"/>
              <w:rPr>
                <w:rFonts w:ascii="等线" w:eastAsia="等线" w:hint="eastAsia"/>
                <w:b/>
                <w:sz w:val="24"/>
              </w:rPr>
            </w:pPr>
            <w:r>
              <w:rPr>
                <w:rFonts w:ascii="等线" w:eastAsia="等线" w:hint="eastAsia"/>
                <w:b/>
                <w:sz w:val="24"/>
              </w:rPr>
              <w:t>特定轻度重疾保险金</w:t>
            </w:r>
          </w:p>
        </w:tc>
        <w:tc>
          <w:tcPr>
            <w:tcW w:w="6902" w:type="dxa"/>
          </w:tcPr>
          <w:p>
            <w:pPr>
              <w:pStyle w:val="TableParagraph"/>
              <w:spacing w:line="273" w:lineRule="auto"/>
              <w:ind w:left="0" w:right="-15"/>
              <w:rPr>
                <w:sz w:val="21"/>
              </w:rPr>
            </w:pPr>
            <w:r>
              <w:rPr>
                <w:spacing w:val="-6"/>
                <w:sz w:val="21"/>
                <w:shd w:fill="DADADA" w:color="auto" w:val="clear"/>
              </w:rPr>
              <w:t>我们不承担保险责任，退还本附加险合同的现金价值，本附加险合同终止。</w:t>
            </w:r>
            <w:r>
              <w:rPr>
                <w:spacing w:val="-16"/>
                <w:sz w:val="21"/>
                <w:shd w:fill="DADADA" w:color="auto" w:val="clear"/>
              </w:rPr>
              <w:t>这 </w:t>
            </w:r>
            <w:r>
              <w:rPr>
                <w:sz w:val="21"/>
                <w:shd w:fill="DADADA" w:color="auto" w:val="clear"/>
              </w:rPr>
              <w:t>90</w:t>
            </w:r>
            <w:r>
              <w:rPr>
                <w:spacing w:val="-27"/>
                <w:sz w:val="21"/>
                <w:shd w:fill="DADADA" w:color="auto" w:val="clear"/>
              </w:rPr>
              <w:t> 日的时间称为等待期</w:t>
            </w:r>
            <w:r>
              <w:rPr>
                <w:spacing w:val="-3"/>
                <w:sz w:val="21"/>
              </w:rPr>
              <w:t>；被保险人因</w:t>
            </w:r>
            <w:r>
              <w:rPr>
                <w:rFonts w:ascii="黑体" w:eastAsia="黑体" w:hint="eastAsia"/>
                <w:b/>
                <w:spacing w:val="-4"/>
                <w:sz w:val="21"/>
              </w:rPr>
              <w:t>意外伤害 </w:t>
            </w:r>
            <w:hyperlink w:history="true" w:anchor="_bookmark3">
              <w:r>
                <w:rPr>
                  <w:rFonts w:ascii="黑体" w:eastAsia="黑体" w:hint="eastAsia"/>
                  <w:b/>
                  <w:position w:val="11"/>
                  <w:sz w:val="11"/>
                </w:rPr>
                <w:t>4</w:t>
              </w:r>
            </w:hyperlink>
            <w:r>
              <w:rPr>
                <w:spacing w:val="-3"/>
                <w:sz w:val="21"/>
              </w:rPr>
              <w:t>发生上述情形的，无等待期。</w:t>
            </w:r>
          </w:p>
          <w:p>
            <w:pPr>
              <w:pStyle w:val="TableParagraph"/>
              <w:spacing w:before="20"/>
              <w:ind w:left="0"/>
              <w:rPr>
                <w:sz w:val="21"/>
              </w:rPr>
            </w:pPr>
            <w:r>
              <w:rPr>
                <w:sz w:val="21"/>
              </w:rPr>
              <w:t>如果在等待期后发生保险事故，我们按照下列方式给付保险金：</w:t>
            </w:r>
          </w:p>
          <w:p>
            <w:pPr>
              <w:pStyle w:val="TableParagraph"/>
              <w:spacing w:before="6"/>
              <w:ind w:left="0"/>
              <w:rPr>
                <w:sz w:val="24"/>
              </w:rPr>
            </w:pPr>
          </w:p>
          <w:p>
            <w:pPr>
              <w:pStyle w:val="TableParagraph"/>
              <w:ind w:left="0"/>
              <w:rPr>
                <w:b/>
                <w:sz w:val="21"/>
              </w:rPr>
            </w:pPr>
            <w:r>
              <w:rPr>
                <w:b/>
                <w:sz w:val="21"/>
              </w:rPr>
              <w:t>（一）基本特定轻度重疾保险金</w:t>
            </w:r>
          </w:p>
          <w:p>
            <w:pPr>
              <w:pStyle w:val="TableParagraph"/>
              <w:spacing w:line="273" w:lineRule="auto" w:before="37"/>
              <w:ind w:left="0" w:right="101"/>
              <w:jc w:val="both"/>
              <w:rPr>
                <w:sz w:val="21"/>
              </w:rPr>
            </w:pPr>
            <w:r>
              <w:rPr>
                <w:sz w:val="21"/>
              </w:rPr>
              <w:t>被保险人等待期后经医院确诊发生本附加险合同约定的特定轻度重疾，且此前未发生本附加险合同约定的重大疾病，我们按照本附加险合同</w:t>
            </w:r>
            <w:r>
              <w:rPr>
                <w:rFonts w:ascii="黑体" w:eastAsia="黑体" w:hint="eastAsia"/>
                <w:b/>
                <w:sz w:val="21"/>
              </w:rPr>
              <w:t>基本保险金额 </w:t>
            </w:r>
            <w:hyperlink w:history="true" w:anchor="_bookmark4">
              <w:r>
                <w:rPr>
                  <w:rFonts w:ascii="黑体" w:eastAsia="黑体" w:hint="eastAsia"/>
                  <w:b/>
                  <w:position w:val="11"/>
                  <w:sz w:val="11"/>
                </w:rPr>
                <w:t>5</w:t>
              </w:r>
            </w:hyperlink>
            <w:r>
              <w:rPr>
                <w:sz w:val="21"/>
              </w:rPr>
              <w:t>的 20%给付特定轻度重疾保险金。</w:t>
            </w:r>
          </w:p>
          <w:p>
            <w:pPr>
              <w:pStyle w:val="TableParagraph"/>
              <w:spacing w:before="6"/>
              <w:ind w:left="0"/>
              <w:rPr>
                <w:sz w:val="21"/>
              </w:rPr>
            </w:pPr>
          </w:p>
          <w:p>
            <w:pPr>
              <w:pStyle w:val="TableParagraph"/>
              <w:spacing w:line="310" w:lineRule="atLeast"/>
              <w:ind w:left="0" w:right="97"/>
              <w:jc w:val="both"/>
              <w:rPr>
                <w:sz w:val="21"/>
              </w:rPr>
            </w:pPr>
            <w:r>
              <w:rPr>
                <w:b/>
                <w:sz w:val="21"/>
              </w:rPr>
              <w:t>（二）</w:t>
            </w:r>
            <w:r>
              <w:rPr>
                <w:b/>
                <w:spacing w:val="-3"/>
                <w:sz w:val="21"/>
              </w:rPr>
              <w:t>达到运动标准后发生特定轻度重疾额外给付的特定轻度重疾保险金</w:t>
            </w:r>
            <w:r>
              <w:rPr>
                <w:spacing w:val="-3"/>
                <w:sz w:val="21"/>
              </w:rPr>
              <w:t>若被保险人在本附加险合同生效之日起两个</w:t>
            </w:r>
            <w:r>
              <w:rPr>
                <w:rFonts w:ascii="黑体" w:eastAsia="黑体" w:hint="eastAsia"/>
                <w:b/>
                <w:spacing w:val="-4"/>
                <w:sz w:val="21"/>
              </w:rPr>
              <w:t>保单年度 </w:t>
            </w:r>
            <w:hyperlink w:history="true" w:anchor="_bookmark5">
              <w:r>
                <w:rPr>
                  <w:rFonts w:ascii="黑体" w:eastAsia="黑体" w:hint="eastAsia"/>
                  <w:b/>
                  <w:position w:val="11"/>
                  <w:sz w:val="11"/>
                </w:rPr>
                <w:t>6</w:t>
              </w:r>
            </w:hyperlink>
            <w:r>
              <w:rPr>
                <w:spacing w:val="-9"/>
                <w:sz w:val="21"/>
              </w:rPr>
              <w:t>内，参加指定的运动</w:t>
            </w:r>
            <w:r>
              <w:rPr>
                <w:spacing w:val="-3"/>
                <w:sz w:val="21"/>
              </w:rPr>
              <w:t>记录平台活动，达到以下运动标准，被保险人</w:t>
            </w:r>
            <w:r>
              <w:rPr>
                <w:b/>
                <w:spacing w:val="-3"/>
                <w:sz w:val="21"/>
              </w:rPr>
              <w:t>在第 </w:t>
            </w:r>
            <w:r>
              <w:rPr>
                <w:b/>
                <w:sz w:val="21"/>
              </w:rPr>
              <w:t>3</w:t>
            </w:r>
            <w:r>
              <w:rPr>
                <w:b/>
                <w:spacing w:val="-3"/>
                <w:sz w:val="21"/>
              </w:rPr>
              <w:t> 个保单年度开始后</w:t>
            </w:r>
            <w:r>
              <w:rPr>
                <w:sz w:val="21"/>
              </w:rPr>
              <w:t>， 经医院确诊发生本附加险合同约定的特定轻度重疾，且此前未发生本附加险合同约定的重大疾病，我们在给付基本特定轻度重疾保险金的前提下， </w:t>
            </w:r>
            <w:r>
              <w:rPr>
                <w:spacing w:val="-3"/>
                <w:sz w:val="21"/>
              </w:rPr>
              <w:t>还按照如下约定额外给付特定轻度重疾保险金：</w:t>
            </w:r>
          </w:p>
        </w:tc>
      </w:tr>
    </w:tbl>
    <w:p>
      <w:pPr>
        <w:pStyle w:val="BodyText"/>
        <w:spacing w:before="1"/>
        <w:rPr>
          <w:sz w:val="13"/>
        </w:rPr>
      </w:pPr>
      <w:r>
        <w:rPr/>
        <w:pict>
          <v:line style="position:absolute;mso-position-horizontal-relative:page;mso-position-vertical-relative:paragraph;z-index:1144;mso-wrap-distance-left:0;mso-wrap-distance-right:0" from="51pt,10.76314pt" to="195pt,10.76314pt" stroked="true" strokeweight=".481pt" strokecolor="#000000">
            <v:stroke dashstyle="solid"/>
            <w10:wrap type="topAndBottom"/>
          </v:line>
        </w:pict>
      </w:r>
    </w:p>
    <w:p>
      <w:pPr>
        <w:spacing w:line="268" w:lineRule="auto" w:before="25"/>
        <w:ind w:left="364" w:right="83" w:hanging="144"/>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z w:val="18"/>
        </w:rPr>
        <w:t>该医院必须具有符合国家有关医院管理规则设置标准的医疗设备， 且全天二十四小时有合格医师及护士驻院提供医疗及护理服务。</w:t>
      </w:r>
    </w:p>
    <w:p>
      <w:pPr>
        <w:spacing w:line="280" w:lineRule="exact" w:before="10"/>
        <w:ind w:left="400" w:right="217" w:hanging="181"/>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特定轻度重疾</w:t>
      </w:r>
      <w:r>
        <w:rPr>
          <w:spacing w:val="-6"/>
          <w:sz w:val="18"/>
        </w:rPr>
        <w:t>指被保险人初次发生符合</w:t>
      </w:r>
      <w:r>
        <w:rPr>
          <w:sz w:val="18"/>
        </w:rPr>
        <w:t>“7</w:t>
      </w:r>
      <w:r>
        <w:rPr>
          <w:spacing w:val="-16"/>
          <w:sz w:val="18"/>
        </w:rPr>
        <w:t> 特定轻度重疾释义”定义的疾病，或初次接受符合</w:t>
      </w:r>
      <w:r>
        <w:rPr>
          <w:sz w:val="18"/>
        </w:rPr>
        <w:t>“7</w:t>
      </w:r>
      <w:r>
        <w:rPr>
          <w:spacing w:val="-11"/>
          <w:sz w:val="18"/>
        </w:rPr>
        <w:t> 特定轻度重疾释义”的手术。该疾病或手术应当由专科医生明确诊断。</w:t>
      </w:r>
    </w:p>
    <w:p>
      <w:pPr>
        <w:spacing w:line="268" w:lineRule="exact" w:before="0"/>
        <w:ind w:left="220" w:right="0" w:firstLine="0"/>
        <w:jc w:val="left"/>
        <w:rPr>
          <w:sz w:val="18"/>
        </w:rPr>
      </w:pPr>
      <w:bookmarkStart w:name="_bookmark2" w:id="3"/>
      <w:bookmarkEnd w:id="3"/>
      <w:r>
        <w:rPr/>
      </w:r>
      <w:r>
        <w:rPr>
          <w:rFonts w:ascii="Microsoft JhengHei" w:hAnsi="Microsoft JhengHei" w:eastAsia="Microsoft JhengHei" w:hint="eastAsia"/>
          <w:b/>
          <w:position w:val="9"/>
          <w:sz w:val="9"/>
        </w:rPr>
        <w:t>3  </w:t>
      </w:r>
      <w:r>
        <w:rPr>
          <w:rFonts w:ascii="Microsoft JhengHei" w:hAnsi="Microsoft JhengHei" w:eastAsia="Microsoft JhengHei" w:hint="eastAsia"/>
          <w:b/>
          <w:sz w:val="18"/>
        </w:rPr>
        <w:t>重大疾病</w:t>
      </w:r>
      <w:r>
        <w:rPr>
          <w:sz w:val="18"/>
        </w:rPr>
        <w:t>指被保险人初次发生符合“8 重大疾病释义”定义的疾病，或初次接受符合“8 重大疾病释义”定义的手术。该疾病</w:t>
      </w:r>
    </w:p>
    <w:p>
      <w:pPr>
        <w:spacing w:line="285" w:lineRule="auto" w:before="24"/>
        <w:ind w:left="400" w:right="222" w:firstLine="0"/>
        <w:jc w:val="both"/>
        <w:rPr>
          <w:sz w:val="18"/>
        </w:rPr>
      </w:pPr>
      <w:r>
        <w:rPr>
          <w:spacing w:val="-1"/>
          <w:sz w:val="18"/>
        </w:rPr>
        <w:t>或手术应当由专科医生明确诊断。专科医生应当同时满足以下四项资格条件</w:t>
      </w:r>
      <w:r>
        <w:rPr>
          <w:spacing w:val="-101"/>
          <w:sz w:val="18"/>
        </w:rPr>
        <w:t>：</w:t>
      </w:r>
      <w:r>
        <w:rPr>
          <w:sz w:val="18"/>
        </w:rPr>
        <w:t>（</w:t>
      </w:r>
      <w:r>
        <w:rPr>
          <w:spacing w:val="-2"/>
          <w:sz w:val="18"/>
        </w:rPr>
        <w:t>1</w:t>
      </w:r>
      <w:r>
        <w:rPr>
          <w:spacing w:val="-10"/>
          <w:sz w:val="18"/>
        </w:rPr>
        <w:t>）</w:t>
      </w:r>
      <w:r>
        <w:rPr>
          <w:spacing w:val="-1"/>
          <w:sz w:val="18"/>
        </w:rPr>
        <w:t>具有有效的中华人民共和国《医师资格证</w:t>
      </w:r>
      <w:r>
        <w:rPr>
          <w:spacing w:val="-63"/>
          <w:sz w:val="18"/>
        </w:rPr>
        <w:t>书》；</w:t>
      </w:r>
      <w:r>
        <w:rPr>
          <w:spacing w:val="1"/>
          <w:sz w:val="18"/>
        </w:rPr>
        <w:t>（</w:t>
      </w:r>
      <w:r>
        <w:rPr>
          <w:spacing w:val="-2"/>
          <w:sz w:val="18"/>
        </w:rPr>
        <w:t>2</w:t>
      </w:r>
      <w:r>
        <w:rPr>
          <w:spacing w:val="-8"/>
          <w:sz w:val="18"/>
        </w:rPr>
        <w:t>）</w:t>
      </w:r>
      <w:r>
        <w:rPr>
          <w:spacing w:val="-10"/>
          <w:sz w:val="18"/>
        </w:rPr>
        <w:t>具有有效的中华人民共和国《医师执业证书》，并按期到相关部门登记注册；</w:t>
      </w:r>
      <w:r>
        <w:rPr>
          <w:spacing w:val="1"/>
          <w:sz w:val="18"/>
        </w:rPr>
        <w:t>（</w:t>
      </w:r>
      <w:r>
        <w:rPr>
          <w:spacing w:val="-2"/>
          <w:sz w:val="18"/>
        </w:rPr>
        <w:t>3</w:t>
      </w:r>
      <w:r>
        <w:rPr>
          <w:spacing w:val="-8"/>
          <w:sz w:val="18"/>
        </w:rPr>
        <w:t>）</w:t>
      </w:r>
      <w:r>
        <w:rPr>
          <w:sz w:val="18"/>
        </w:rPr>
        <w:t>具有有效的中华人民共和国主治</w:t>
      </w:r>
      <w:r>
        <w:rPr>
          <w:spacing w:val="-10"/>
          <w:sz w:val="18"/>
        </w:rPr>
        <w:t>医师或主治医师以上职称的《医师职称证书》；</w:t>
      </w:r>
      <w:r>
        <w:rPr>
          <w:spacing w:val="1"/>
          <w:sz w:val="18"/>
        </w:rPr>
        <w:t>（</w:t>
      </w:r>
      <w:r>
        <w:rPr>
          <w:spacing w:val="-2"/>
          <w:sz w:val="18"/>
        </w:rPr>
        <w:t>4</w:t>
      </w:r>
      <w:r>
        <w:rPr>
          <w:sz w:val="18"/>
        </w:rPr>
        <w:t>）在二级或二级以上医院的相应科室从事临床工作三年以上。</w:t>
      </w:r>
    </w:p>
    <w:p>
      <w:pPr>
        <w:spacing w:line="251" w:lineRule="exact" w:before="0"/>
        <w:ind w:left="220" w:right="0" w:firstLine="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意外伤害</w:t>
      </w:r>
      <w:r>
        <w:rPr>
          <w:sz w:val="18"/>
        </w:rPr>
        <w:t>指遭受外来的、突发的、非本意的、非疾病的使身体受到伤害的客观事件。</w:t>
      </w:r>
    </w:p>
    <w:p>
      <w:pPr>
        <w:spacing w:line="278" w:lineRule="exact" w:before="29"/>
        <w:ind w:left="400" w:right="222" w:hanging="18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line="228" w:lineRule="exact" w:before="0"/>
        <w:ind w:left="220" w:right="0" w:firstLine="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保单年度</w:t>
      </w:r>
      <w:r>
        <w:rPr>
          <w:sz w:val="18"/>
        </w:rPr>
        <w:t>指从保险合同生效日或生效对应日零时起至下一年度保险合同生效对应日零时止的期间为一个保单年度。</w:t>
      </w:r>
    </w:p>
    <w:p>
      <w:pPr>
        <w:spacing w:after="0" w:line="228" w:lineRule="exact"/>
        <w:jc w:val="left"/>
        <w:rPr>
          <w:sz w:val="18"/>
        </w:rPr>
        <w:sectPr>
          <w:pgSz w:w="11910" w:h="16840"/>
          <w:pgMar w:top="880" w:bottom="280" w:left="800" w:right="8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8"/>
        <w:gridCol w:w="7316"/>
      </w:tblGrid>
      <w:tr>
        <w:trPr>
          <w:trHeight w:val="6946" w:hRule="atLeast"/>
        </w:trPr>
        <w:tc>
          <w:tcPr>
            <w:tcW w:w="2198" w:type="dxa"/>
          </w:tcPr>
          <w:p>
            <w:pPr>
              <w:pStyle w:val="TableParagraph"/>
              <w:ind w:left="0"/>
              <w:rPr>
                <w:rFonts w:ascii="Times New Roman"/>
                <w:sz w:val="20"/>
              </w:rPr>
            </w:pPr>
          </w:p>
        </w:tc>
        <w:tc>
          <w:tcPr>
            <w:tcW w:w="7316" w:type="dxa"/>
          </w:tcPr>
          <w:p>
            <w:pPr>
              <w:pStyle w:val="TableParagraph"/>
              <w:spacing w:line="211" w:lineRule="exact"/>
              <w:ind w:left="315"/>
              <w:jc w:val="both"/>
              <w:rPr>
                <w:sz w:val="21"/>
              </w:rPr>
            </w:pPr>
            <w:r>
              <w:rPr>
                <w:sz w:val="21"/>
              </w:rPr>
              <w:t>（1）被保险人参加指定的运动记录平台活动，且在本附加险合同生效之日</w:t>
            </w:r>
          </w:p>
          <w:p>
            <w:pPr>
              <w:pStyle w:val="TableParagraph"/>
              <w:spacing w:before="37"/>
              <w:ind w:left="841"/>
              <w:rPr>
                <w:sz w:val="21"/>
              </w:rPr>
            </w:pPr>
            <w:r>
              <w:rPr>
                <w:spacing w:val="-10"/>
                <w:sz w:val="21"/>
              </w:rPr>
              <w:t>起两个保单年度内，累计 </w:t>
            </w:r>
            <w:r>
              <w:rPr>
                <w:sz w:val="21"/>
              </w:rPr>
              <w:t>18</w:t>
            </w:r>
            <w:r>
              <w:rPr>
                <w:spacing w:val="-12"/>
                <w:sz w:val="21"/>
              </w:rPr>
              <w:t> 个月达到每月至少有 </w:t>
            </w:r>
            <w:r>
              <w:rPr>
                <w:sz w:val="21"/>
              </w:rPr>
              <w:t>25</w:t>
            </w:r>
            <w:r>
              <w:rPr>
                <w:spacing w:val="-8"/>
                <w:sz w:val="21"/>
              </w:rPr>
              <w:t> 天每天运动步数</w:t>
            </w:r>
          </w:p>
          <w:p>
            <w:pPr>
              <w:pStyle w:val="TableParagraph"/>
              <w:spacing w:line="273" w:lineRule="auto" w:before="37"/>
              <w:ind w:left="841" w:right="198"/>
              <w:rPr>
                <w:sz w:val="21"/>
              </w:rPr>
            </w:pPr>
            <w:r>
              <w:rPr>
                <w:spacing w:val="-2"/>
                <w:w w:val="100"/>
                <w:sz w:val="21"/>
              </w:rPr>
              <w:t>不少于</w:t>
            </w:r>
            <w:r>
              <w:rPr>
                <w:spacing w:val="-2"/>
                <w:sz w:val="21"/>
              </w:rPr>
              <w:t> </w:t>
            </w:r>
            <w:r>
              <w:rPr>
                <w:w w:val="100"/>
                <w:sz w:val="21"/>
              </w:rPr>
              <w:t>1</w:t>
            </w:r>
            <w:r>
              <w:rPr>
                <w:spacing w:val="-3"/>
                <w:w w:val="100"/>
                <w:sz w:val="21"/>
              </w:rPr>
              <w:t>0</w:t>
            </w:r>
            <w:r>
              <w:rPr>
                <w:w w:val="100"/>
                <w:sz w:val="21"/>
              </w:rPr>
              <w:t>000</w:t>
            </w:r>
            <w:r>
              <w:rPr>
                <w:sz w:val="21"/>
              </w:rPr>
              <w:t> </w:t>
            </w:r>
            <w:r>
              <w:rPr>
                <w:spacing w:val="-3"/>
                <w:w w:val="100"/>
                <w:sz w:val="21"/>
              </w:rPr>
              <w:t>步的标准（</w:t>
            </w:r>
            <w:r>
              <w:rPr>
                <w:spacing w:val="-2"/>
                <w:w w:val="100"/>
                <w:sz w:val="21"/>
              </w:rPr>
              <w:t>运动标准一</w:t>
            </w:r>
            <w:r>
              <w:rPr>
                <w:spacing w:val="-106"/>
                <w:w w:val="100"/>
                <w:sz w:val="21"/>
              </w:rPr>
              <w:t>）</w:t>
            </w:r>
            <w:r>
              <w:rPr>
                <w:spacing w:val="-3"/>
                <w:w w:val="100"/>
                <w:sz w:val="21"/>
              </w:rPr>
              <w:t>，我们按照本附加险合同基本</w:t>
            </w:r>
            <w:r>
              <w:rPr>
                <w:spacing w:val="-8"/>
                <w:sz w:val="21"/>
              </w:rPr>
              <w:t>保险金额的 </w:t>
            </w:r>
            <w:r>
              <w:rPr>
                <w:sz w:val="21"/>
              </w:rPr>
              <w:t>1</w:t>
            </w:r>
            <w:r>
              <w:rPr>
                <w:spacing w:val="-3"/>
                <w:sz w:val="21"/>
              </w:rPr>
              <w:t>%额外给付特定轻度重疾保险金；</w:t>
            </w:r>
          </w:p>
          <w:p>
            <w:pPr>
              <w:pStyle w:val="TableParagraph"/>
              <w:spacing w:line="273" w:lineRule="auto" w:before="7"/>
              <w:ind w:left="841" w:right="198" w:hanging="526"/>
              <w:rPr>
                <w:sz w:val="21"/>
              </w:rPr>
            </w:pPr>
            <w:r>
              <w:rPr>
                <w:spacing w:val="-6"/>
                <w:sz w:val="21"/>
              </w:rPr>
              <w:t>（2）</w:t>
            </w:r>
            <w:r>
              <w:rPr>
                <w:spacing w:val="-4"/>
                <w:sz w:val="21"/>
              </w:rPr>
              <w:t>被保险人参加指定的运动记录平台活动，且在本附加险合同生效之日</w:t>
            </w:r>
            <w:r>
              <w:rPr>
                <w:spacing w:val="-10"/>
                <w:sz w:val="21"/>
              </w:rPr>
              <w:t>起两个保单年度内，累计 </w:t>
            </w:r>
            <w:r>
              <w:rPr>
                <w:sz w:val="21"/>
              </w:rPr>
              <w:t>24</w:t>
            </w:r>
            <w:r>
              <w:rPr>
                <w:spacing w:val="-12"/>
                <w:sz w:val="21"/>
              </w:rPr>
              <w:t> 个月达到每月至少有 </w:t>
            </w:r>
            <w:r>
              <w:rPr>
                <w:sz w:val="21"/>
              </w:rPr>
              <w:t>25</w:t>
            </w:r>
            <w:r>
              <w:rPr>
                <w:spacing w:val="-8"/>
                <w:sz w:val="21"/>
              </w:rPr>
              <w:t> 天每天运动步数</w:t>
            </w:r>
          </w:p>
          <w:p>
            <w:pPr>
              <w:pStyle w:val="TableParagraph"/>
              <w:spacing w:line="273" w:lineRule="auto" w:before="7"/>
              <w:ind w:left="841" w:right="198"/>
              <w:rPr>
                <w:sz w:val="21"/>
              </w:rPr>
            </w:pPr>
            <w:r>
              <w:rPr>
                <w:spacing w:val="-2"/>
                <w:w w:val="100"/>
                <w:sz w:val="21"/>
              </w:rPr>
              <w:t>不少于</w:t>
            </w:r>
            <w:r>
              <w:rPr>
                <w:spacing w:val="-2"/>
                <w:sz w:val="21"/>
              </w:rPr>
              <w:t> </w:t>
            </w:r>
            <w:r>
              <w:rPr>
                <w:w w:val="100"/>
                <w:sz w:val="21"/>
              </w:rPr>
              <w:t>1</w:t>
            </w:r>
            <w:r>
              <w:rPr>
                <w:spacing w:val="-3"/>
                <w:w w:val="100"/>
                <w:sz w:val="21"/>
              </w:rPr>
              <w:t>0</w:t>
            </w:r>
            <w:r>
              <w:rPr>
                <w:w w:val="100"/>
                <w:sz w:val="21"/>
              </w:rPr>
              <w:t>000</w:t>
            </w:r>
            <w:r>
              <w:rPr>
                <w:sz w:val="21"/>
              </w:rPr>
              <w:t> </w:t>
            </w:r>
            <w:r>
              <w:rPr>
                <w:spacing w:val="-3"/>
                <w:w w:val="100"/>
                <w:sz w:val="21"/>
              </w:rPr>
              <w:t>步的标准（</w:t>
            </w:r>
            <w:r>
              <w:rPr>
                <w:spacing w:val="-2"/>
                <w:w w:val="100"/>
                <w:sz w:val="21"/>
              </w:rPr>
              <w:t>运动标准二</w:t>
            </w:r>
            <w:r>
              <w:rPr>
                <w:spacing w:val="-106"/>
                <w:w w:val="100"/>
                <w:sz w:val="21"/>
              </w:rPr>
              <w:t>）</w:t>
            </w:r>
            <w:r>
              <w:rPr>
                <w:spacing w:val="-3"/>
                <w:w w:val="100"/>
                <w:sz w:val="21"/>
              </w:rPr>
              <w:t>，我们按照本附加险合同基本</w:t>
            </w:r>
            <w:r>
              <w:rPr>
                <w:spacing w:val="-8"/>
                <w:sz w:val="21"/>
              </w:rPr>
              <w:t>保险金额的 </w:t>
            </w:r>
            <w:r>
              <w:rPr>
                <w:sz w:val="21"/>
              </w:rPr>
              <w:t>2</w:t>
            </w:r>
            <w:r>
              <w:rPr>
                <w:spacing w:val="-3"/>
                <w:sz w:val="21"/>
              </w:rPr>
              <w:t>%额外给付特定轻度重疾保险金。</w:t>
            </w:r>
          </w:p>
          <w:p>
            <w:pPr>
              <w:pStyle w:val="TableParagraph"/>
              <w:spacing w:line="273" w:lineRule="auto" w:before="7"/>
              <w:ind w:left="315" w:right="198"/>
              <w:jc w:val="both"/>
              <w:rPr>
                <w:sz w:val="21"/>
              </w:rPr>
            </w:pPr>
            <w:r>
              <w:rPr>
                <w:sz w:val="21"/>
              </w:rPr>
              <w:t>达到运动标准后发生特定轻度重疾额外给付的特定轻度重疾保险金，我们按照被保险人确诊发生本附加险合同约定的特定轻度重疾时满足的以上约定条件之一单独给付，不累计给付。</w:t>
            </w:r>
          </w:p>
          <w:p>
            <w:pPr>
              <w:pStyle w:val="TableParagraph"/>
              <w:spacing w:before="4"/>
              <w:ind w:left="0"/>
              <w:rPr>
                <w:sz w:val="24"/>
              </w:rPr>
            </w:pPr>
          </w:p>
          <w:p>
            <w:pPr>
              <w:pStyle w:val="TableParagraph"/>
              <w:spacing w:line="273" w:lineRule="auto" w:before="1"/>
              <w:ind w:left="316" w:right="200"/>
              <w:jc w:val="both"/>
              <w:rPr>
                <w:sz w:val="21"/>
              </w:rPr>
            </w:pPr>
            <w:r>
              <w:rPr>
                <w:sz w:val="21"/>
              </w:rPr>
              <w:t>在本附加险合同保险期间内，特定轻度重疾保险金累计给付以三次为限， 每种特定轻度重疾限给付一次，当累计给付的特定轻度重疾保险金达到三次时，特定轻度重疾保险金保险责任终止，本附加险合同继续有效，基本保险金额不变。</w:t>
            </w:r>
          </w:p>
          <w:p>
            <w:pPr>
              <w:pStyle w:val="TableParagraph"/>
              <w:spacing w:line="273" w:lineRule="auto" w:before="8"/>
              <w:ind w:left="316" w:right="200"/>
              <w:jc w:val="both"/>
              <w:rPr>
                <w:sz w:val="21"/>
              </w:rPr>
            </w:pPr>
            <w:r>
              <w:rPr>
                <w:sz w:val="21"/>
              </w:rPr>
              <w:t>若被保险人因同一疾病或同一事故导致其发生本附加险合同约定的两种或两种以上的特定轻度重疾，我们仅按一种特定轻度重疾给付特定轻度重疾保险金。</w:t>
            </w:r>
          </w:p>
          <w:p>
            <w:pPr>
              <w:pStyle w:val="TableParagraph"/>
              <w:spacing w:line="273" w:lineRule="auto" w:before="9"/>
              <w:ind w:left="315" w:right="199"/>
              <w:jc w:val="both"/>
              <w:rPr>
                <w:sz w:val="21"/>
              </w:rPr>
            </w:pPr>
            <w:r>
              <w:rPr>
                <w:sz w:val="21"/>
              </w:rPr>
              <w:t>若被保险人确诊特定轻度重疾时已经符合本附加险合同约定的重大疾病保险金的给付条件，则我们按照下述“重大疾病保险金”责任进行给付，</w:t>
            </w:r>
            <w:r>
              <w:rPr>
                <w:sz w:val="21"/>
                <w:shd w:fill="DADADA" w:color="auto" w:val="clear"/>
              </w:rPr>
              <w:t>不再承担给付特定轻度重疾保险金的责任。</w:t>
            </w:r>
          </w:p>
        </w:tc>
      </w:tr>
      <w:tr>
        <w:trPr>
          <w:trHeight w:val="6653" w:hRule="atLeast"/>
        </w:trPr>
        <w:tc>
          <w:tcPr>
            <w:tcW w:w="2198" w:type="dxa"/>
          </w:tcPr>
          <w:p>
            <w:pPr>
              <w:pStyle w:val="TableParagraph"/>
              <w:spacing w:before="103"/>
              <w:ind w:left="200"/>
              <w:rPr>
                <w:rFonts w:ascii="等线" w:eastAsia="等线" w:hint="eastAsia"/>
                <w:b/>
                <w:sz w:val="24"/>
              </w:rPr>
            </w:pPr>
            <w:r>
              <w:rPr>
                <w:rFonts w:ascii="等线" w:eastAsia="等线" w:hint="eastAsia"/>
                <w:b/>
                <w:sz w:val="24"/>
              </w:rPr>
              <w:t>重大疾病保险金</w:t>
            </w:r>
          </w:p>
        </w:tc>
        <w:tc>
          <w:tcPr>
            <w:tcW w:w="7316" w:type="dxa"/>
          </w:tcPr>
          <w:p>
            <w:pPr>
              <w:pStyle w:val="TableParagraph"/>
              <w:spacing w:before="139"/>
              <w:ind w:left="315"/>
              <w:rPr>
                <w:b/>
                <w:sz w:val="21"/>
              </w:rPr>
            </w:pPr>
            <w:r>
              <w:rPr>
                <w:b/>
                <w:sz w:val="21"/>
              </w:rPr>
              <w:t>（一）基本重大疾病保险金</w:t>
            </w:r>
          </w:p>
          <w:p>
            <w:pPr>
              <w:pStyle w:val="TableParagraph"/>
              <w:spacing w:line="273" w:lineRule="auto" w:before="36"/>
              <w:ind w:left="315" w:right="200"/>
              <w:jc w:val="both"/>
              <w:rPr>
                <w:sz w:val="21"/>
              </w:rPr>
            </w:pPr>
            <w:r>
              <w:rPr>
                <w:sz w:val="21"/>
              </w:rPr>
              <w:t>被保险人等待期后经医院确诊初次发生本附加险合同约定的重大疾病，我们按照本附加险合同基本保险金额给付重大疾病保险金，本附加险合同终止。</w:t>
            </w:r>
          </w:p>
          <w:p>
            <w:pPr>
              <w:pStyle w:val="TableParagraph"/>
              <w:spacing w:before="5"/>
              <w:ind w:left="0"/>
              <w:rPr>
                <w:sz w:val="24"/>
              </w:rPr>
            </w:pPr>
          </w:p>
          <w:p>
            <w:pPr>
              <w:pStyle w:val="TableParagraph"/>
              <w:ind w:left="315"/>
              <w:rPr>
                <w:b/>
                <w:sz w:val="21"/>
              </w:rPr>
            </w:pPr>
            <w:r>
              <w:rPr>
                <w:b/>
                <w:sz w:val="21"/>
              </w:rPr>
              <w:t>（二）达到运动标准后发生重大疾病额外给付的重大疾病保险金</w:t>
            </w:r>
          </w:p>
          <w:p>
            <w:pPr>
              <w:pStyle w:val="TableParagraph"/>
              <w:spacing w:line="273" w:lineRule="auto" w:before="37"/>
              <w:ind w:left="315" w:right="199"/>
              <w:jc w:val="both"/>
              <w:rPr>
                <w:sz w:val="21"/>
              </w:rPr>
            </w:pPr>
            <w:r>
              <w:rPr>
                <w:sz w:val="21"/>
              </w:rPr>
              <w:t>若被保险人在本附加险合同生效之日起两个保单年度内，参加指定的运动</w:t>
            </w:r>
            <w:r>
              <w:rPr>
                <w:spacing w:val="-3"/>
                <w:sz w:val="21"/>
              </w:rPr>
              <w:t>记录平台活动，达到以下运动标准，被保险人</w:t>
            </w:r>
            <w:r>
              <w:rPr>
                <w:b/>
                <w:spacing w:val="-3"/>
                <w:sz w:val="21"/>
              </w:rPr>
              <w:t>在第 </w:t>
            </w:r>
            <w:r>
              <w:rPr>
                <w:b/>
                <w:sz w:val="21"/>
              </w:rPr>
              <w:t>3</w:t>
            </w:r>
            <w:r>
              <w:rPr>
                <w:b/>
                <w:spacing w:val="-3"/>
                <w:sz w:val="21"/>
              </w:rPr>
              <w:t> 个保单年度开始后， </w:t>
            </w:r>
            <w:r>
              <w:rPr>
                <w:spacing w:val="-3"/>
                <w:sz w:val="21"/>
              </w:rPr>
              <w:t>经医院确诊初次发生本附加险合同约定的重大疾病，我们按照如下约定额外给付重大疾病保险金：</w:t>
            </w:r>
          </w:p>
          <w:p>
            <w:pPr>
              <w:pStyle w:val="TableParagraph"/>
              <w:spacing w:line="273" w:lineRule="auto" w:before="7"/>
              <w:ind w:left="841" w:right="199" w:hanging="526"/>
              <w:rPr>
                <w:sz w:val="21"/>
              </w:rPr>
            </w:pPr>
            <w:r>
              <w:rPr>
                <w:spacing w:val="-6"/>
                <w:sz w:val="21"/>
              </w:rPr>
              <w:t>（1）</w:t>
            </w:r>
            <w:r>
              <w:rPr>
                <w:spacing w:val="-4"/>
                <w:sz w:val="21"/>
              </w:rPr>
              <w:t>被保险人参加指定的运动记录平台活动，且在本附加险合同生效之日</w:t>
            </w:r>
            <w:r>
              <w:rPr>
                <w:spacing w:val="-10"/>
                <w:sz w:val="21"/>
              </w:rPr>
              <w:t>起两个保单年度内，累计 </w:t>
            </w:r>
            <w:r>
              <w:rPr>
                <w:sz w:val="21"/>
              </w:rPr>
              <w:t>18</w:t>
            </w:r>
            <w:r>
              <w:rPr>
                <w:spacing w:val="-12"/>
                <w:sz w:val="21"/>
              </w:rPr>
              <w:t> 个月达到每月至少有 </w:t>
            </w:r>
            <w:r>
              <w:rPr>
                <w:sz w:val="21"/>
              </w:rPr>
              <w:t>25</w:t>
            </w:r>
            <w:r>
              <w:rPr>
                <w:spacing w:val="-8"/>
                <w:sz w:val="21"/>
              </w:rPr>
              <w:t> 天每天运动步数</w:t>
            </w:r>
          </w:p>
          <w:p>
            <w:pPr>
              <w:pStyle w:val="TableParagraph"/>
              <w:spacing w:line="273" w:lineRule="auto" w:before="7"/>
              <w:ind w:left="841" w:right="199"/>
              <w:rPr>
                <w:sz w:val="21"/>
              </w:rPr>
            </w:pPr>
            <w:r>
              <w:rPr>
                <w:spacing w:val="-2"/>
                <w:w w:val="100"/>
                <w:sz w:val="21"/>
              </w:rPr>
              <w:t>不少于</w:t>
            </w:r>
            <w:r>
              <w:rPr>
                <w:spacing w:val="-2"/>
                <w:sz w:val="21"/>
              </w:rPr>
              <w:t> </w:t>
            </w:r>
            <w:r>
              <w:rPr>
                <w:w w:val="100"/>
                <w:sz w:val="21"/>
              </w:rPr>
              <w:t>1</w:t>
            </w:r>
            <w:r>
              <w:rPr>
                <w:spacing w:val="-3"/>
                <w:w w:val="100"/>
                <w:sz w:val="21"/>
              </w:rPr>
              <w:t>0</w:t>
            </w:r>
            <w:r>
              <w:rPr>
                <w:w w:val="100"/>
                <w:sz w:val="21"/>
              </w:rPr>
              <w:t>000</w:t>
            </w:r>
            <w:r>
              <w:rPr>
                <w:sz w:val="21"/>
              </w:rPr>
              <w:t> </w:t>
            </w:r>
            <w:r>
              <w:rPr>
                <w:spacing w:val="-3"/>
                <w:w w:val="100"/>
                <w:sz w:val="21"/>
              </w:rPr>
              <w:t>步的标准（</w:t>
            </w:r>
            <w:r>
              <w:rPr>
                <w:spacing w:val="-2"/>
                <w:w w:val="100"/>
                <w:sz w:val="21"/>
              </w:rPr>
              <w:t>运动标准一</w:t>
            </w:r>
            <w:r>
              <w:rPr>
                <w:spacing w:val="-106"/>
                <w:w w:val="100"/>
                <w:sz w:val="21"/>
              </w:rPr>
              <w:t>）</w:t>
            </w:r>
            <w:r>
              <w:rPr>
                <w:spacing w:val="-3"/>
                <w:w w:val="100"/>
                <w:sz w:val="21"/>
              </w:rPr>
              <w:t>，我们按照本附加险合同基本</w:t>
            </w:r>
            <w:r>
              <w:rPr>
                <w:spacing w:val="-7"/>
                <w:sz w:val="21"/>
              </w:rPr>
              <w:t>保险金额的 </w:t>
            </w:r>
            <w:r>
              <w:rPr>
                <w:sz w:val="21"/>
              </w:rPr>
              <w:t>5</w:t>
            </w:r>
            <w:r>
              <w:rPr>
                <w:spacing w:val="-3"/>
                <w:sz w:val="21"/>
              </w:rPr>
              <w:t>%额外给付重大疾病保险金，本附加险合同终止；</w:t>
            </w:r>
          </w:p>
          <w:p>
            <w:pPr>
              <w:pStyle w:val="TableParagraph"/>
              <w:spacing w:line="273" w:lineRule="auto" w:before="7"/>
              <w:ind w:left="841" w:right="198" w:hanging="526"/>
              <w:rPr>
                <w:sz w:val="21"/>
              </w:rPr>
            </w:pPr>
            <w:r>
              <w:rPr>
                <w:spacing w:val="-6"/>
                <w:sz w:val="21"/>
              </w:rPr>
              <w:t>（2）</w:t>
            </w:r>
            <w:r>
              <w:rPr>
                <w:spacing w:val="-4"/>
                <w:sz w:val="21"/>
              </w:rPr>
              <w:t>被保险人参加指定的运动记录平台活动，且在本附加险合同生效之日</w:t>
            </w:r>
            <w:r>
              <w:rPr>
                <w:spacing w:val="-10"/>
                <w:sz w:val="21"/>
              </w:rPr>
              <w:t>起两个保单年度内，累计 </w:t>
            </w:r>
            <w:r>
              <w:rPr>
                <w:sz w:val="21"/>
              </w:rPr>
              <w:t>24</w:t>
            </w:r>
            <w:r>
              <w:rPr>
                <w:spacing w:val="-12"/>
                <w:sz w:val="21"/>
              </w:rPr>
              <w:t> 个月达到每月至少有 </w:t>
            </w:r>
            <w:r>
              <w:rPr>
                <w:sz w:val="21"/>
              </w:rPr>
              <w:t>25</w:t>
            </w:r>
            <w:r>
              <w:rPr>
                <w:spacing w:val="-8"/>
                <w:sz w:val="21"/>
              </w:rPr>
              <w:t> 天每天运动步数</w:t>
            </w:r>
          </w:p>
          <w:p>
            <w:pPr>
              <w:pStyle w:val="TableParagraph"/>
              <w:spacing w:line="273" w:lineRule="auto" w:before="7"/>
              <w:ind w:left="841" w:right="198"/>
              <w:rPr>
                <w:sz w:val="21"/>
              </w:rPr>
            </w:pPr>
            <w:r>
              <w:rPr>
                <w:spacing w:val="-2"/>
                <w:w w:val="100"/>
                <w:sz w:val="21"/>
              </w:rPr>
              <w:t>不少于</w:t>
            </w:r>
            <w:r>
              <w:rPr>
                <w:spacing w:val="-2"/>
                <w:sz w:val="21"/>
              </w:rPr>
              <w:t> </w:t>
            </w:r>
            <w:r>
              <w:rPr>
                <w:w w:val="100"/>
                <w:sz w:val="21"/>
              </w:rPr>
              <w:t>1</w:t>
            </w:r>
            <w:r>
              <w:rPr>
                <w:spacing w:val="-3"/>
                <w:w w:val="100"/>
                <w:sz w:val="21"/>
              </w:rPr>
              <w:t>0</w:t>
            </w:r>
            <w:r>
              <w:rPr>
                <w:w w:val="100"/>
                <w:sz w:val="21"/>
              </w:rPr>
              <w:t>000</w:t>
            </w:r>
            <w:r>
              <w:rPr>
                <w:sz w:val="21"/>
              </w:rPr>
              <w:t> </w:t>
            </w:r>
            <w:r>
              <w:rPr>
                <w:spacing w:val="-3"/>
                <w:w w:val="100"/>
                <w:sz w:val="21"/>
              </w:rPr>
              <w:t>步的标准（</w:t>
            </w:r>
            <w:r>
              <w:rPr>
                <w:spacing w:val="-2"/>
                <w:w w:val="100"/>
                <w:sz w:val="21"/>
              </w:rPr>
              <w:t>运动标准二</w:t>
            </w:r>
            <w:r>
              <w:rPr>
                <w:spacing w:val="-106"/>
                <w:w w:val="100"/>
                <w:sz w:val="21"/>
              </w:rPr>
              <w:t>）</w:t>
            </w:r>
            <w:r>
              <w:rPr>
                <w:spacing w:val="-3"/>
                <w:w w:val="100"/>
                <w:sz w:val="21"/>
              </w:rPr>
              <w:t>，我们按照本附加险合同基本</w:t>
            </w:r>
            <w:r>
              <w:rPr>
                <w:spacing w:val="-7"/>
                <w:sz w:val="21"/>
              </w:rPr>
              <w:t>保险金额的 </w:t>
            </w:r>
            <w:r>
              <w:rPr>
                <w:sz w:val="21"/>
              </w:rPr>
              <w:t>10</w:t>
            </w:r>
            <w:r>
              <w:rPr>
                <w:spacing w:val="-3"/>
                <w:sz w:val="21"/>
              </w:rPr>
              <w:t>%额外给付重大疾病保险金，本附加险合同终止。</w:t>
            </w:r>
          </w:p>
          <w:p>
            <w:pPr>
              <w:pStyle w:val="TableParagraph"/>
              <w:spacing w:line="312" w:lineRule="exact" w:before="3"/>
              <w:ind w:left="315" w:right="198"/>
              <w:jc w:val="both"/>
              <w:rPr>
                <w:sz w:val="21"/>
              </w:rPr>
            </w:pPr>
            <w:r>
              <w:rPr>
                <w:sz w:val="21"/>
              </w:rPr>
              <w:t>达到运动标准后发生重大疾病额外给付的重大疾病保险金，我们按照被保险人确诊发生本附加险合同约定的重大疾病时满足的以上约定条件之一单独给付，不累计给付。</w:t>
            </w:r>
          </w:p>
        </w:tc>
      </w:tr>
    </w:tbl>
    <w:p>
      <w:pPr>
        <w:spacing w:after="0" w:line="312" w:lineRule="exact"/>
        <w:jc w:val="both"/>
        <w:rPr>
          <w:sz w:val="21"/>
        </w:rPr>
        <w:sectPr>
          <w:pgSz w:w="11910" w:h="16840"/>
          <w:pgMar w:top="1160" w:bottom="280" w:left="1460" w:right="700"/>
        </w:sectPr>
      </w:pPr>
    </w:p>
    <w:p>
      <w:pPr>
        <w:pStyle w:val="Heading3"/>
        <w:spacing w:before="22"/>
        <w:ind w:left="3169"/>
        <w:rPr>
          <w:rFonts w:ascii="宋体" w:eastAsia="宋体" w:hint="eastAsia"/>
        </w:rPr>
      </w:pPr>
      <w:r>
        <w:rPr>
          <w:rFonts w:ascii="宋体" w:eastAsia="宋体" w:hint="eastAsia"/>
        </w:rPr>
        <w:t>（三）发生特定轻度重疾后发生重大疾病额外给付的重大疾病保险金</w:t>
      </w:r>
    </w:p>
    <w:p>
      <w:pPr>
        <w:pStyle w:val="BodyText"/>
        <w:spacing w:line="273" w:lineRule="auto" w:before="37"/>
        <w:ind w:left="3169" w:right="70"/>
      </w:pPr>
      <w:r>
        <w:rPr/>
        <w:t>若被保险人发生过经医院确诊的、符合本附加险合同约定的特定轻度重疾， 且满足本附加险合同约定的特定轻度重疾保险金给付条件，被保险人经医院确诊初次发生本附加险合同约定的重大疾病，我们按照如下约定额外给付重大疾病保险金：</w:t>
      </w:r>
    </w:p>
    <w:p>
      <w:pPr>
        <w:pStyle w:val="BodyText"/>
        <w:spacing w:line="273" w:lineRule="auto" w:before="7"/>
        <w:ind w:left="3694" w:right="215" w:hanging="526"/>
        <w:jc w:val="both"/>
      </w:pPr>
      <w:r>
        <w:rPr/>
        <w:t>（1）</w:t>
      </w:r>
      <w:r>
        <w:rPr>
          <w:spacing w:val="-4"/>
        </w:rPr>
        <w:t>被保险人经医院确诊初次发生重大疾病，且在 </w:t>
      </w:r>
      <w:r>
        <w:rPr/>
        <w:t>70 </w:t>
      </w:r>
      <w:r>
        <w:rPr>
          <w:rFonts w:ascii="黑体" w:eastAsia="黑体" w:hint="eastAsia"/>
          <w:b/>
          <w:spacing w:val="-3"/>
        </w:rPr>
        <w:t>周岁 </w:t>
      </w:r>
      <w:hyperlink w:history="true" w:anchor="_bookmark6">
        <w:r>
          <w:rPr>
            <w:rFonts w:ascii="黑体" w:eastAsia="黑体" w:hint="eastAsia"/>
            <w:b/>
            <w:position w:val="11"/>
            <w:sz w:val="11"/>
          </w:rPr>
          <w:t>7</w:t>
        </w:r>
      </w:hyperlink>
      <w:r>
        <w:rPr/>
        <w:t>前（</w:t>
      </w:r>
      <w:r>
        <w:rPr>
          <w:spacing w:val="-8"/>
        </w:rPr>
        <w:t>不含 </w:t>
      </w:r>
      <w:r>
        <w:rPr/>
        <w:t>70 </w:t>
      </w:r>
      <w:r>
        <w:rPr>
          <w:spacing w:val="-2"/>
        </w:rPr>
        <w:t>周岁</w:t>
      </w:r>
      <w:r>
        <w:rPr>
          <w:spacing w:val="-15"/>
        </w:rPr>
        <w:t>）</w:t>
      </w:r>
      <w:r>
        <w:rPr>
          <w:spacing w:val="-5"/>
        </w:rPr>
        <w:t>发生过一次特定轻度重疾，我们按照本附加险合同基本保险金</w:t>
      </w:r>
      <w:r>
        <w:rPr>
          <w:spacing w:val="-10"/>
        </w:rPr>
        <w:t>额的 </w:t>
      </w:r>
      <w:r>
        <w:rPr/>
        <w:t>20%</w:t>
      </w:r>
      <w:r>
        <w:rPr>
          <w:spacing w:val="-3"/>
        </w:rPr>
        <w:t>额外给付重大疾病保险金，本附加险合同终止；</w:t>
      </w:r>
    </w:p>
    <w:p>
      <w:pPr>
        <w:pStyle w:val="BodyText"/>
        <w:spacing w:line="273" w:lineRule="auto" w:before="7"/>
        <w:ind w:left="3695" w:right="214" w:hanging="526"/>
        <w:jc w:val="both"/>
      </w:pPr>
      <w:r>
        <w:rPr>
          <w:spacing w:val="-5"/>
        </w:rPr>
        <w:t>（2）</w:t>
      </w:r>
      <w:r>
        <w:rPr>
          <w:spacing w:val="-7"/>
        </w:rPr>
        <w:t>被保险人经医院确诊初次发生重大疾病，且在 </w:t>
      </w:r>
      <w:r>
        <w:rPr/>
        <w:t>70</w:t>
      </w:r>
      <w:r>
        <w:rPr>
          <w:spacing w:val="-15"/>
        </w:rPr>
        <w:t> 周岁前</w:t>
      </w:r>
      <w:r>
        <w:rPr/>
        <w:t>（</w:t>
      </w:r>
      <w:r>
        <w:rPr>
          <w:spacing w:val="-16"/>
        </w:rPr>
        <w:t>不含 </w:t>
      </w:r>
      <w:r>
        <w:rPr/>
        <w:t>70</w:t>
      </w:r>
      <w:r>
        <w:rPr>
          <w:spacing w:val="-24"/>
        </w:rPr>
        <w:t> 周岁</w:t>
      </w:r>
      <w:r>
        <w:rPr>
          <w:spacing w:val="-17"/>
        </w:rPr>
        <w:t>）</w:t>
      </w:r>
      <w:r>
        <w:rPr>
          <w:spacing w:val="-4"/>
        </w:rPr>
        <w:t>发生过两次不同种特定轻度重疾，我们按照本附加险合同基本保</w:t>
      </w:r>
      <w:r>
        <w:rPr>
          <w:spacing w:val="-7"/>
        </w:rPr>
        <w:t>险金额的 </w:t>
      </w:r>
      <w:r>
        <w:rPr/>
        <w:t>40%</w:t>
      </w:r>
      <w:r>
        <w:rPr>
          <w:spacing w:val="-3"/>
        </w:rPr>
        <w:t>额外给付重大疾病保险金，本附加险合同终止；</w:t>
      </w:r>
    </w:p>
    <w:p>
      <w:pPr>
        <w:pStyle w:val="BodyText"/>
        <w:spacing w:line="273" w:lineRule="auto" w:before="7"/>
        <w:ind w:left="3695" w:right="212" w:hanging="526"/>
        <w:jc w:val="both"/>
      </w:pPr>
      <w:r>
        <w:rPr>
          <w:spacing w:val="-5"/>
        </w:rPr>
        <w:t>（3）</w:t>
      </w:r>
      <w:r>
        <w:rPr>
          <w:spacing w:val="-7"/>
        </w:rPr>
        <w:t>被保险人经医院确诊初次发生重大疾病，且在 </w:t>
      </w:r>
      <w:r>
        <w:rPr/>
        <w:t>70</w:t>
      </w:r>
      <w:r>
        <w:rPr>
          <w:spacing w:val="-15"/>
        </w:rPr>
        <w:t> 周岁前</w:t>
      </w:r>
      <w:r>
        <w:rPr/>
        <w:t>（</w:t>
      </w:r>
      <w:r>
        <w:rPr>
          <w:spacing w:val="-16"/>
        </w:rPr>
        <w:t>不含 </w:t>
      </w:r>
      <w:r>
        <w:rPr/>
        <w:t>70</w:t>
      </w:r>
      <w:r>
        <w:rPr>
          <w:spacing w:val="-24"/>
        </w:rPr>
        <w:t> 周岁</w:t>
      </w:r>
      <w:r>
        <w:rPr>
          <w:spacing w:val="-17"/>
        </w:rPr>
        <w:t>）</w:t>
      </w:r>
      <w:r>
        <w:rPr>
          <w:spacing w:val="-4"/>
        </w:rPr>
        <w:t>发生过三次不同种特定轻度重疾，我们按照本附加险合同基本保</w:t>
      </w:r>
      <w:r>
        <w:rPr>
          <w:spacing w:val="-8"/>
        </w:rPr>
        <w:t>险金额的 </w:t>
      </w:r>
      <w:r>
        <w:rPr/>
        <w:t>60%</w:t>
      </w:r>
      <w:r>
        <w:rPr>
          <w:spacing w:val="-3"/>
        </w:rPr>
        <w:t>额外给付重大疾病保险金，本附加险合同终止。</w:t>
      </w:r>
    </w:p>
    <w:p>
      <w:pPr>
        <w:pStyle w:val="BodyText"/>
        <w:spacing w:line="273" w:lineRule="auto" w:before="7"/>
        <w:ind w:left="3170" w:right="214"/>
        <w:jc w:val="both"/>
      </w:pPr>
      <w:r>
        <w:rPr/>
        <w:t>发生特定轻度重疾后发生重大疾病额外给付的重大疾病保险金，我们按照被保险人确诊发生本附加险合同约定的重大疾病时满足的以上约定条件之一单独给付，不累计给付。</w:t>
      </w:r>
    </w:p>
    <w:p>
      <w:pPr>
        <w:pStyle w:val="BodyText"/>
        <w:spacing w:before="5"/>
        <w:rPr>
          <w:sz w:val="22"/>
        </w:rPr>
      </w:pPr>
    </w:p>
    <w:p>
      <w:pPr>
        <w:pStyle w:val="BodyText"/>
        <w:spacing w:line="273" w:lineRule="auto"/>
        <w:ind w:left="3170" w:right="215"/>
        <w:jc w:val="both"/>
      </w:pPr>
      <w:r>
        <w:rPr/>
        <w:t>我们给付重大疾病保险金后，本附加险合同终止，主险合同基本保险金额按本附加险合同的基本保险金额等额减少；主险合同约定的各项保险责任及保险单上载明的现金价值按减少后的基本保险金额确定。当主险合同基本保险金额减少至零时，主险合同终止。</w:t>
      </w:r>
    </w:p>
    <w:p>
      <w:pPr>
        <w:pStyle w:val="BodyText"/>
        <w:spacing w:before="7"/>
        <w:ind w:left="3170"/>
      </w:pPr>
      <w:r>
        <w:rPr/>
        <w:t>重大疾病保险金给付以一次为限。</w:t>
      </w:r>
    </w:p>
    <w:p>
      <w:pPr>
        <w:pStyle w:val="BodyText"/>
        <w:spacing w:before="6"/>
        <w:rPr>
          <w:sz w:val="24"/>
        </w:rPr>
      </w:pPr>
    </w:p>
    <w:p>
      <w:pPr>
        <w:pStyle w:val="BodyText"/>
        <w:spacing w:before="1"/>
        <w:ind w:left="3170"/>
      </w:pPr>
      <w:r>
        <w:rPr/>
        <w:t>上述所称“18 个月”、“24 个月”均指</w:t>
      </w:r>
      <w:r>
        <w:rPr>
          <w:b/>
        </w:rPr>
        <w:t>自然月 </w:t>
      </w:r>
      <w:hyperlink w:history="true" w:anchor="_bookmark7">
        <w:r>
          <w:rPr>
            <w:b/>
            <w:position w:val="11"/>
            <w:sz w:val="11"/>
          </w:rPr>
          <w:t>8</w:t>
        </w:r>
      </w:hyperlink>
      <w:r>
        <w:rPr/>
        <w:t>。</w:t>
      </w:r>
    </w:p>
    <w:p>
      <w:pPr>
        <w:pStyle w:val="BodyText"/>
        <w:spacing w:line="273" w:lineRule="auto" w:before="37"/>
        <w:ind w:left="3169" w:right="166"/>
      </w:pPr>
      <w:r>
        <w:rPr/>
        <w:t>若本附加险合同生效当月实际剩余天数不满 1 个自然月，但达到如下运动标准，生效当月视为达标并计算在“18 个月”、“24 个月”之内：</w:t>
      </w:r>
    </w:p>
    <w:p>
      <w:pPr>
        <w:pStyle w:val="BodyText"/>
        <w:spacing w:line="273" w:lineRule="auto" w:before="7"/>
        <w:ind w:left="3695" w:right="215" w:hanging="526"/>
        <w:jc w:val="both"/>
      </w:pPr>
      <w:r>
        <w:rPr>
          <w:spacing w:val="-6"/>
        </w:rPr>
        <w:t>（1）</w:t>
      </w:r>
      <w:r>
        <w:rPr>
          <w:spacing w:val="-4"/>
        </w:rPr>
        <w:t>若自本附加险合同生效之日起至生效当月最后一天止，实际天数大于</w:t>
      </w:r>
      <w:r>
        <w:rPr>
          <w:spacing w:val="-20"/>
        </w:rPr>
        <w:t>等于 </w:t>
      </w:r>
      <w:r>
        <w:rPr/>
        <w:t>15</w:t>
      </w:r>
      <w:r>
        <w:rPr>
          <w:spacing w:val="-15"/>
        </w:rPr>
        <w:t> 天，则至少有 </w:t>
      </w:r>
      <w:r>
        <w:rPr/>
        <w:t>15</w:t>
      </w:r>
      <w:r>
        <w:rPr>
          <w:spacing w:val="-13"/>
        </w:rPr>
        <w:t> 天每天运动步数不少于 </w:t>
      </w:r>
      <w:r>
        <w:rPr/>
        <w:t>10000</w:t>
      </w:r>
      <w:r>
        <w:rPr>
          <w:spacing w:val="-19"/>
        </w:rPr>
        <w:t> 步；</w:t>
      </w:r>
    </w:p>
    <w:p>
      <w:pPr>
        <w:pStyle w:val="BodyText"/>
        <w:spacing w:before="7"/>
        <w:ind w:left="3170"/>
      </w:pPr>
      <w:r>
        <w:rPr/>
        <w:t>（2）若自本附加险合同生效之日起至生效当月最后一天止，实际天数小于</w:t>
      </w:r>
    </w:p>
    <w:p>
      <w:pPr>
        <w:pStyle w:val="BodyText"/>
        <w:spacing w:before="37"/>
        <w:ind w:left="3695"/>
      </w:pPr>
      <w:r>
        <w:rPr/>
        <w:t>15 天，则每天运动步数不少于 10000 步。</w:t>
      </w:r>
    </w:p>
    <w:p>
      <w:pPr>
        <w:pStyle w:val="BodyText"/>
        <w:spacing w:before="2"/>
        <w:rPr>
          <w:sz w:val="20"/>
        </w:rPr>
      </w:pPr>
    </w:p>
    <w:p>
      <w:pPr>
        <w:spacing w:after="0"/>
        <w:rPr>
          <w:sz w:val="20"/>
        </w:rPr>
        <w:sectPr>
          <w:pgSz w:w="11910" w:h="16840"/>
          <w:pgMar w:top="1080" w:bottom="280" w:left="920" w:right="800"/>
        </w:sectPr>
      </w:pPr>
    </w:p>
    <w:p>
      <w:pPr>
        <w:spacing w:line="235" w:lineRule="auto" w:before="28"/>
        <w:ind w:left="856" w:right="0" w:firstLine="0"/>
        <w:jc w:val="left"/>
        <w:rPr>
          <w:rFonts w:ascii="等线" w:eastAsia="等线" w:hint="eastAsia"/>
          <w:b/>
          <w:sz w:val="24"/>
        </w:rPr>
      </w:pPr>
      <w:r>
        <w:rPr>
          <w:rFonts w:ascii="等线" w:eastAsia="等线" w:hint="eastAsia"/>
          <w:b/>
          <w:sz w:val="24"/>
        </w:rPr>
        <w:t>我们所保障的特定轻度重疾</w:t>
      </w:r>
    </w:p>
    <w:p>
      <w:pPr>
        <w:pStyle w:val="BodyText"/>
        <w:spacing w:line="273" w:lineRule="auto" w:before="57"/>
        <w:ind w:left="154" w:right="217"/>
      </w:pPr>
      <w:r>
        <w:rPr/>
        <w:br w:type="column"/>
      </w:r>
      <w:r>
        <w:rPr>
          <w:spacing w:val="-5"/>
        </w:rPr>
        <w:t>我们提供保障的特定轻度重疾共有 </w:t>
      </w:r>
      <w:r>
        <w:rPr/>
        <w:t>20</w:t>
      </w:r>
      <w:r>
        <w:rPr>
          <w:spacing w:val="-8"/>
        </w:rPr>
        <w:t> 种，名称如下，具体释义见“</w:t>
      </w:r>
      <w:r>
        <w:rPr/>
        <w:t>7</w:t>
      </w:r>
      <w:r>
        <w:rPr>
          <w:spacing w:val="-15"/>
        </w:rPr>
        <w:t> 特定</w:t>
      </w:r>
      <w:r>
        <w:rPr>
          <w:spacing w:val="-16"/>
        </w:rPr>
        <w:t>轻度重疾释义”。</w:t>
      </w:r>
    </w:p>
    <w:p>
      <w:pPr>
        <w:spacing w:after="0" w:line="273" w:lineRule="auto"/>
        <w:sectPr>
          <w:type w:val="continuous"/>
          <w:pgSz w:w="11910" w:h="16840"/>
          <w:pgMar w:top="540" w:bottom="280" w:left="920" w:right="800"/>
          <w:cols w:num="2" w:equalWidth="0">
            <w:col w:w="2976" w:space="40"/>
            <w:col w:w="7174"/>
          </w:cols>
        </w:sectPr>
      </w:pPr>
    </w:p>
    <w:p>
      <w:pPr>
        <w:pStyle w:val="BodyText"/>
        <w:spacing w:before="9"/>
        <w:rPr>
          <w:sz w:val="14"/>
        </w:rPr>
      </w:pPr>
    </w:p>
    <w:tbl>
      <w:tblPr>
        <w:tblW w:w="0" w:type="auto"/>
        <w:jc w:val="left"/>
        <w:tblInd w:w="3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1904"/>
        <w:gridCol w:w="2547"/>
      </w:tblGrid>
      <w:tr>
        <w:trPr>
          <w:trHeight w:val="270" w:hRule="atLeast"/>
        </w:trPr>
        <w:tc>
          <w:tcPr>
            <w:tcW w:w="6786" w:type="dxa"/>
            <w:gridSpan w:val="3"/>
          </w:tcPr>
          <w:p>
            <w:pPr>
              <w:pStyle w:val="TableParagraph"/>
              <w:spacing w:line="241" w:lineRule="exact"/>
              <w:ind w:left="107"/>
              <w:rPr>
                <w:b/>
                <w:sz w:val="21"/>
              </w:rPr>
            </w:pPr>
            <w:r>
              <w:rPr>
                <w:b/>
                <w:sz w:val="21"/>
              </w:rPr>
              <w:t>第 1 类：与恶性肿瘤相关的疾病</w:t>
            </w:r>
          </w:p>
        </w:tc>
      </w:tr>
      <w:tr>
        <w:trPr>
          <w:trHeight w:val="273" w:hRule="atLeast"/>
        </w:trPr>
        <w:tc>
          <w:tcPr>
            <w:tcW w:w="2335" w:type="dxa"/>
            <w:tcBorders>
              <w:right w:val="nil"/>
            </w:tcBorders>
          </w:tcPr>
          <w:p>
            <w:pPr>
              <w:pStyle w:val="TableParagraph"/>
              <w:spacing w:line="243" w:lineRule="exact"/>
              <w:ind w:left="107"/>
              <w:rPr>
                <w:sz w:val="21"/>
              </w:rPr>
            </w:pPr>
            <w:r>
              <w:rPr>
                <w:sz w:val="21"/>
              </w:rPr>
              <w:t>1、早期恶性病变</w:t>
            </w:r>
          </w:p>
        </w:tc>
        <w:tc>
          <w:tcPr>
            <w:tcW w:w="1904" w:type="dxa"/>
            <w:tcBorders>
              <w:left w:val="nil"/>
              <w:right w:val="nil"/>
            </w:tcBorders>
          </w:tcPr>
          <w:p>
            <w:pPr>
              <w:pStyle w:val="TableParagraph"/>
              <w:spacing w:line="243" w:lineRule="exact"/>
              <w:ind w:left="237"/>
              <w:rPr>
                <w:sz w:val="21"/>
              </w:rPr>
            </w:pPr>
            <w:r>
              <w:rPr>
                <w:sz w:val="21"/>
              </w:rPr>
              <w:t>2、原位癌</w:t>
            </w:r>
          </w:p>
        </w:tc>
        <w:tc>
          <w:tcPr>
            <w:tcW w:w="2547" w:type="dxa"/>
            <w:tcBorders>
              <w:left w:val="nil"/>
            </w:tcBorders>
          </w:tcPr>
          <w:p>
            <w:pPr>
              <w:pStyle w:val="TableParagraph"/>
              <w:spacing w:line="243" w:lineRule="exact"/>
              <w:ind w:left="729"/>
              <w:rPr>
                <w:sz w:val="21"/>
              </w:rPr>
            </w:pPr>
            <w:r>
              <w:rPr>
                <w:sz w:val="21"/>
              </w:rPr>
              <w:t>3、皮肤癌</w:t>
            </w:r>
          </w:p>
        </w:tc>
      </w:tr>
      <w:tr>
        <w:trPr>
          <w:trHeight w:val="273" w:hRule="atLeast"/>
        </w:trPr>
        <w:tc>
          <w:tcPr>
            <w:tcW w:w="6786" w:type="dxa"/>
            <w:gridSpan w:val="3"/>
          </w:tcPr>
          <w:p>
            <w:pPr>
              <w:pStyle w:val="TableParagraph"/>
              <w:spacing w:line="241" w:lineRule="exact"/>
              <w:ind w:left="107"/>
              <w:rPr>
                <w:b/>
                <w:sz w:val="21"/>
              </w:rPr>
            </w:pPr>
            <w:r>
              <w:rPr>
                <w:b/>
                <w:sz w:val="21"/>
              </w:rPr>
              <w:t>第 2 类：与心脏或脑血管相关的疾病</w:t>
            </w:r>
          </w:p>
        </w:tc>
      </w:tr>
      <w:tr>
        <w:trPr>
          <w:trHeight w:val="815" w:hRule="atLeast"/>
        </w:trPr>
        <w:tc>
          <w:tcPr>
            <w:tcW w:w="2335" w:type="dxa"/>
            <w:tcBorders>
              <w:right w:val="nil"/>
            </w:tcBorders>
          </w:tcPr>
          <w:p>
            <w:pPr>
              <w:pStyle w:val="TableParagraph"/>
              <w:spacing w:line="239" w:lineRule="exact"/>
              <w:ind w:left="107"/>
              <w:rPr>
                <w:sz w:val="21"/>
              </w:rPr>
            </w:pPr>
            <w:r>
              <w:rPr>
                <w:sz w:val="21"/>
              </w:rPr>
              <w:t>4、心脏瓣膜介入手术</w:t>
            </w:r>
          </w:p>
          <w:p>
            <w:pPr>
              <w:pStyle w:val="TableParagraph"/>
              <w:spacing w:line="272" w:lineRule="exact"/>
              <w:ind w:left="107"/>
              <w:rPr>
                <w:sz w:val="21"/>
              </w:rPr>
            </w:pPr>
            <w:r>
              <w:rPr>
                <w:sz w:val="21"/>
              </w:rPr>
              <w:t>6、心包膜切除术</w:t>
            </w:r>
          </w:p>
          <w:p>
            <w:pPr>
              <w:pStyle w:val="TableParagraph"/>
              <w:spacing w:line="274" w:lineRule="exact"/>
              <w:ind w:left="107"/>
              <w:rPr>
                <w:sz w:val="21"/>
              </w:rPr>
            </w:pPr>
            <w:r>
              <w:rPr>
                <w:sz w:val="21"/>
              </w:rPr>
              <w:t>8、早期原发性心肌病</w:t>
            </w:r>
          </w:p>
        </w:tc>
        <w:tc>
          <w:tcPr>
            <w:tcW w:w="4451" w:type="dxa"/>
            <w:gridSpan w:val="2"/>
            <w:tcBorders>
              <w:left w:val="nil"/>
            </w:tcBorders>
          </w:tcPr>
          <w:p>
            <w:pPr>
              <w:pStyle w:val="TableParagraph"/>
              <w:spacing w:line="239" w:lineRule="exact"/>
              <w:ind w:left="237"/>
              <w:rPr>
                <w:sz w:val="21"/>
              </w:rPr>
            </w:pPr>
            <w:r>
              <w:rPr>
                <w:sz w:val="21"/>
              </w:rPr>
              <w:t>5、主动脉内手术</w:t>
            </w:r>
          </w:p>
          <w:p>
            <w:pPr>
              <w:pStyle w:val="TableParagraph"/>
              <w:spacing w:line="272" w:lineRule="exact"/>
              <w:ind w:left="237"/>
              <w:rPr>
                <w:sz w:val="21"/>
              </w:rPr>
            </w:pPr>
            <w:r>
              <w:rPr>
                <w:sz w:val="21"/>
              </w:rPr>
              <w:t>7、颈动脉血管成形术或内膜切除术</w:t>
            </w:r>
          </w:p>
          <w:p>
            <w:pPr>
              <w:pStyle w:val="TableParagraph"/>
              <w:spacing w:line="274" w:lineRule="exact"/>
              <w:ind w:left="237"/>
              <w:rPr>
                <w:sz w:val="21"/>
              </w:rPr>
            </w:pPr>
            <w:r>
              <w:rPr>
                <w:sz w:val="21"/>
              </w:rPr>
              <w:t>9、心脏起搏器植入</w:t>
            </w:r>
          </w:p>
        </w:tc>
      </w:tr>
      <w:tr>
        <w:trPr>
          <w:trHeight w:val="273" w:hRule="atLeast"/>
        </w:trPr>
        <w:tc>
          <w:tcPr>
            <w:tcW w:w="6786" w:type="dxa"/>
            <w:gridSpan w:val="3"/>
          </w:tcPr>
          <w:p>
            <w:pPr>
              <w:pStyle w:val="TableParagraph"/>
              <w:spacing w:line="241" w:lineRule="exact"/>
              <w:ind w:left="107"/>
              <w:rPr>
                <w:b/>
                <w:sz w:val="21"/>
              </w:rPr>
            </w:pPr>
            <w:r>
              <w:rPr>
                <w:b/>
                <w:sz w:val="21"/>
              </w:rPr>
              <w:t>第 3 类：与器官功能严重受损相关的疾病</w:t>
            </w:r>
          </w:p>
        </w:tc>
      </w:tr>
      <w:tr>
        <w:trPr>
          <w:trHeight w:val="815" w:hRule="atLeast"/>
        </w:trPr>
        <w:tc>
          <w:tcPr>
            <w:tcW w:w="2335" w:type="dxa"/>
            <w:tcBorders>
              <w:right w:val="nil"/>
            </w:tcBorders>
          </w:tcPr>
          <w:p>
            <w:pPr>
              <w:pStyle w:val="TableParagraph"/>
              <w:spacing w:line="240" w:lineRule="exact"/>
              <w:ind w:left="107"/>
              <w:rPr>
                <w:sz w:val="21"/>
              </w:rPr>
            </w:pPr>
            <w:r>
              <w:rPr>
                <w:sz w:val="21"/>
              </w:rPr>
              <w:t>10、听力严重受损</w:t>
            </w:r>
          </w:p>
          <w:p>
            <w:pPr>
              <w:pStyle w:val="TableParagraph"/>
              <w:spacing w:line="272" w:lineRule="exact"/>
              <w:ind w:left="107"/>
              <w:rPr>
                <w:sz w:val="21"/>
              </w:rPr>
            </w:pPr>
            <w:r>
              <w:rPr>
                <w:sz w:val="21"/>
              </w:rPr>
              <w:t>12、肝叶切除</w:t>
            </w:r>
          </w:p>
          <w:p>
            <w:pPr>
              <w:pStyle w:val="TableParagraph"/>
              <w:spacing w:line="273" w:lineRule="exact"/>
              <w:ind w:left="107"/>
              <w:rPr>
                <w:sz w:val="21"/>
              </w:rPr>
            </w:pPr>
            <w:r>
              <w:rPr>
                <w:sz w:val="21"/>
              </w:rPr>
              <w:t>14、视力严重受损</w:t>
            </w:r>
          </w:p>
        </w:tc>
        <w:tc>
          <w:tcPr>
            <w:tcW w:w="4451" w:type="dxa"/>
            <w:gridSpan w:val="2"/>
            <w:tcBorders>
              <w:left w:val="nil"/>
            </w:tcBorders>
          </w:tcPr>
          <w:p>
            <w:pPr>
              <w:pStyle w:val="TableParagraph"/>
              <w:spacing w:line="240" w:lineRule="exact"/>
              <w:ind w:left="237"/>
              <w:rPr>
                <w:sz w:val="21"/>
              </w:rPr>
            </w:pPr>
            <w:r>
              <w:rPr>
                <w:sz w:val="21"/>
              </w:rPr>
              <w:t>11、单个肢体缺失</w:t>
            </w:r>
          </w:p>
          <w:p>
            <w:pPr>
              <w:pStyle w:val="TableParagraph"/>
              <w:spacing w:line="274" w:lineRule="exact"/>
              <w:ind w:left="237"/>
              <w:rPr>
                <w:sz w:val="21"/>
              </w:rPr>
            </w:pPr>
            <w:r>
              <w:rPr>
                <w:sz w:val="21"/>
              </w:rPr>
              <w:t>13、非严重型再生障碍性贫血</w:t>
            </w:r>
          </w:p>
        </w:tc>
      </w:tr>
      <w:tr>
        <w:trPr>
          <w:trHeight w:val="273" w:hRule="atLeast"/>
        </w:trPr>
        <w:tc>
          <w:tcPr>
            <w:tcW w:w="6786" w:type="dxa"/>
            <w:gridSpan w:val="3"/>
          </w:tcPr>
          <w:p>
            <w:pPr>
              <w:pStyle w:val="TableParagraph"/>
              <w:spacing w:line="243" w:lineRule="exact"/>
              <w:ind w:left="107"/>
              <w:rPr>
                <w:b/>
                <w:sz w:val="21"/>
              </w:rPr>
            </w:pPr>
            <w:r>
              <w:rPr>
                <w:b/>
                <w:sz w:val="21"/>
              </w:rPr>
              <w:t>第 4 类：与神经系统相关的疾病</w:t>
            </w:r>
          </w:p>
        </w:tc>
      </w:tr>
    </w:tbl>
    <w:p>
      <w:pPr>
        <w:pStyle w:val="BodyText"/>
        <w:spacing w:before="9"/>
        <w:rPr>
          <w:sz w:val="10"/>
        </w:rPr>
      </w:pPr>
      <w:r>
        <w:rPr/>
        <w:pict>
          <v:line style="position:absolute;mso-position-horizontal-relative:page;mso-position-vertical-relative:paragraph;z-index:1192;mso-wrap-distance-left:0;mso-wrap-distance-right:0" from="51pt,9.2395pt" to="195pt,9.2395pt" stroked="true" strokeweight=".481pt" strokecolor="#000000">
            <v:stroke dashstyle="solid"/>
            <w10:wrap type="topAndBottom"/>
          </v:line>
        </w:pict>
      </w:r>
    </w:p>
    <w:p>
      <w:pPr>
        <w:spacing w:line="275" w:lineRule="exact" w:before="22"/>
        <w:ind w:left="100" w:right="0"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line="275" w:lineRule="exact" w:before="0"/>
        <w:ind w:left="100"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自然月</w:t>
      </w:r>
      <w:r>
        <w:rPr>
          <w:sz w:val="18"/>
        </w:rPr>
        <w:t>指从每月的 1 号开始到该月的最后一天为止的期间为一个自然月。</w:t>
      </w:r>
    </w:p>
    <w:p>
      <w:pPr>
        <w:spacing w:after="0" w:line="275" w:lineRule="exact"/>
        <w:jc w:val="left"/>
        <w:rPr>
          <w:sz w:val="18"/>
        </w:rPr>
        <w:sectPr>
          <w:type w:val="continuous"/>
          <w:pgSz w:w="11910" w:h="16840"/>
          <w:pgMar w:top="540" w:bottom="280" w:left="920" w:right="800"/>
        </w:sectPr>
      </w:pPr>
    </w:p>
    <w:tbl>
      <w:tblPr>
        <w:tblW w:w="0" w:type="auto"/>
        <w:jc w:val="left"/>
        <w:tblInd w:w="2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4399"/>
      </w:tblGrid>
      <w:tr>
        <w:trPr>
          <w:trHeight w:val="817" w:hRule="atLeast"/>
        </w:trPr>
        <w:tc>
          <w:tcPr>
            <w:tcW w:w="2388" w:type="dxa"/>
            <w:tcBorders>
              <w:right w:val="nil"/>
            </w:tcBorders>
          </w:tcPr>
          <w:p>
            <w:pPr>
              <w:pStyle w:val="TableParagraph"/>
              <w:spacing w:line="236" w:lineRule="exact"/>
              <w:ind w:left="107"/>
              <w:rPr>
                <w:sz w:val="21"/>
              </w:rPr>
            </w:pPr>
            <w:r>
              <w:rPr>
                <w:sz w:val="21"/>
              </w:rPr>
              <w:t>15、轻度脑损伤</w:t>
            </w:r>
          </w:p>
          <w:p>
            <w:pPr>
              <w:pStyle w:val="TableParagraph"/>
              <w:spacing w:line="272" w:lineRule="exact"/>
              <w:ind w:left="107"/>
              <w:rPr>
                <w:sz w:val="21"/>
              </w:rPr>
            </w:pPr>
            <w:r>
              <w:rPr>
                <w:sz w:val="21"/>
              </w:rPr>
              <w:t>17、轻度颅脑手术</w:t>
            </w:r>
          </w:p>
          <w:p>
            <w:pPr>
              <w:pStyle w:val="TableParagraph"/>
              <w:spacing w:line="274" w:lineRule="exact"/>
              <w:ind w:left="107"/>
              <w:rPr>
                <w:sz w:val="21"/>
              </w:rPr>
            </w:pPr>
            <w:r>
              <w:rPr>
                <w:sz w:val="21"/>
              </w:rPr>
              <w:t>19、早期运动神经元病</w:t>
            </w:r>
          </w:p>
        </w:tc>
        <w:tc>
          <w:tcPr>
            <w:tcW w:w="4399" w:type="dxa"/>
            <w:tcBorders>
              <w:left w:val="nil"/>
            </w:tcBorders>
          </w:tcPr>
          <w:p>
            <w:pPr>
              <w:pStyle w:val="TableParagraph"/>
              <w:spacing w:line="236" w:lineRule="exact"/>
              <w:ind w:left="184"/>
              <w:rPr>
                <w:sz w:val="21"/>
              </w:rPr>
            </w:pPr>
            <w:r>
              <w:rPr>
                <w:sz w:val="21"/>
              </w:rPr>
              <w:t>16、脑垂体瘤、脑囊肿、脑动脉瘤及脑血管瘤</w:t>
            </w:r>
          </w:p>
          <w:p>
            <w:pPr>
              <w:pStyle w:val="TableParagraph"/>
              <w:spacing w:line="272" w:lineRule="exact"/>
              <w:ind w:left="184"/>
              <w:rPr>
                <w:sz w:val="21"/>
              </w:rPr>
            </w:pPr>
            <w:r>
              <w:rPr>
                <w:sz w:val="21"/>
              </w:rPr>
              <w:t>18、中度瘫痪</w:t>
            </w:r>
          </w:p>
          <w:p>
            <w:pPr>
              <w:pStyle w:val="TableParagraph"/>
              <w:spacing w:line="274" w:lineRule="exact"/>
              <w:ind w:left="184"/>
              <w:rPr>
                <w:sz w:val="21"/>
              </w:rPr>
            </w:pPr>
            <w:r>
              <w:rPr>
                <w:sz w:val="21"/>
              </w:rPr>
              <w:t>20、中度昏迷</w:t>
            </w:r>
          </w:p>
        </w:tc>
      </w:tr>
    </w:tbl>
    <w:p>
      <w:pPr>
        <w:pStyle w:val="BodyText"/>
        <w:spacing w:before="1"/>
        <w:rPr>
          <w:sz w:val="16"/>
        </w:rPr>
      </w:pPr>
    </w:p>
    <w:p>
      <w:pPr>
        <w:spacing w:after="0"/>
        <w:rPr>
          <w:sz w:val="16"/>
        </w:rPr>
        <w:sectPr>
          <w:pgSz w:w="11910" w:h="16840"/>
          <w:pgMar w:top="1120" w:bottom="280" w:left="1660" w:right="900"/>
        </w:sectPr>
      </w:pPr>
    </w:p>
    <w:p>
      <w:pPr>
        <w:pStyle w:val="Heading2"/>
        <w:spacing w:line="232" w:lineRule="auto"/>
        <w:ind w:left="115" w:firstLine="0"/>
      </w:pPr>
      <w:r>
        <w:rPr/>
        <w:t>我们所保障的重大疾病</w:t>
      </w:r>
    </w:p>
    <w:p>
      <w:pPr>
        <w:pStyle w:val="BodyText"/>
        <w:spacing w:line="273" w:lineRule="auto" w:before="57"/>
        <w:ind w:left="116" w:right="117" w:hanging="1"/>
      </w:pPr>
      <w:r>
        <w:rPr/>
        <w:br w:type="column"/>
      </w:r>
      <w:r>
        <w:rPr>
          <w:spacing w:val="-6"/>
        </w:rPr>
        <w:t>我们提供保障的重大疾病共有 </w:t>
      </w:r>
      <w:r>
        <w:rPr/>
        <w:t>80</w:t>
      </w:r>
      <w:r>
        <w:rPr>
          <w:spacing w:val="-8"/>
        </w:rPr>
        <w:t> 种，名称如下，具体释义见“</w:t>
      </w:r>
      <w:r>
        <w:rPr/>
        <w:t>8</w:t>
      </w:r>
      <w:r>
        <w:rPr>
          <w:spacing w:val="-11"/>
        </w:rPr>
        <w:t> 重大疾病</w:t>
      </w:r>
      <w:r>
        <w:rPr>
          <w:spacing w:val="-27"/>
        </w:rPr>
        <w:t>释义”。</w:t>
      </w:r>
    </w:p>
    <w:p>
      <w:pPr>
        <w:spacing w:after="0" w:line="273" w:lineRule="auto"/>
        <w:sectPr>
          <w:type w:val="continuous"/>
          <w:pgSz w:w="11910" w:h="16840"/>
          <w:pgMar w:top="540" w:bottom="280" w:left="1660" w:right="900"/>
          <w:cols w:num="2" w:equalWidth="0">
            <w:col w:w="2236" w:space="78"/>
            <w:col w:w="7036"/>
          </w:cols>
        </w:sectPr>
      </w:pPr>
    </w:p>
    <w:tbl>
      <w:tblPr>
        <w:tblW w:w="0" w:type="auto"/>
        <w:jc w:val="left"/>
        <w:tblInd w:w="2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3922"/>
      </w:tblGrid>
      <w:tr>
        <w:trPr>
          <w:trHeight w:val="328" w:hRule="atLeast"/>
        </w:trPr>
        <w:tc>
          <w:tcPr>
            <w:tcW w:w="6726" w:type="dxa"/>
            <w:gridSpan w:val="2"/>
          </w:tcPr>
          <w:p>
            <w:pPr>
              <w:pStyle w:val="TableParagraph"/>
              <w:spacing w:line="272" w:lineRule="exact"/>
              <w:ind w:left="107"/>
              <w:rPr>
                <w:b/>
                <w:sz w:val="21"/>
              </w:rPr>
            </w:pPr>
            <w:r>
              <w:rPr>
                <w:b/>
                <w:sz w:val="21"/>
              </w:rPr>
              <w:t>第 1 类：与恶性肿瘤相关的疾病</w:t>
            </w:r>
          </w:p>
        </w:tc>
      </w:tr>
      <w:tr>
        <w:trPr>
          <w:trHeight w:val="467" w:hRule="atLeast"/>
        </w:trPr>
        <w:tc>
          <w:tcPr>
            <w:tcW w:w="2804" w:type="dxa"/>
            <w:tcBorders>
              <w:right w:val="nil"/>
            </w:tcBorders>
          </w:tcPr>
          <w:p>
            <w:pPr>
              <w:pStyle w:val="TableParagraph"/>
              <w:spacing w:before="64"/>
              <w:ind w:left="107"/>
              <w:rPr>
                <w:sz w:val="21"/>
              </w:rPr>
            </w:pPr>
            <w:r>
              <w:rPr>
                <w:sz w:val="21"/>
              </w:rPr>
              <w:t>1、恶性肿瘤</w:t>
            </w:r>
          </w:p>
        </w:tc>
        <w:tc>
          <w:tcPr>
            <w:tcW w:w="3922" w:type="dxa"/>
            <w:tcBorders>
              <w:left w:val="nil"/>
            </w:tcBorders>
          </w:tcPr>
          <w:p>
            <w:pPr>
              <w:pStyle w:val="TableParagraph"/>
              <w:spacing w:before="64"/>
              <w:ind w:left="181"/>
              <w:rPr>
                <w:sz w:val="21"/>
              </w:rPr>
            </w:pPr>
            <w:r>
              <w:rPr>
                <w:sz w:val="21"/>
              </w:rPr>
              <w:t>2、侵蚀性葡萄胎（或称恶性葡萄胎）</w:t>
            </w:r>
          </w:p>
        </w:tc>
      </w:tr>
      <w:tr>
        <w:trPr>
          <w:trHeight w:val="330" w:hRule="atLeast"/>
        </w:trPr>
        <w:tc>
          <w:tcPr>
            <w:tcW w:w="6726" w:type="dxa"/>
            <w:gridSpan w:val="2"/>
          </w:tcPr>
          <w:p>
            <w:pPr>
              <w:pStyle w:val="TableParagraph"/>
              <w:spacing w:line="265" w:lineRule="exact"/>
              <w:ind w:left="107"/>
              <w:rPr>
                <w:b/>
                <w:sz w:val="21"/>
              </w:rPr>
            </w:pPr>
            <w:r>
              <w:rPr>
                <w:b/>
                <w:sz w:val="21"/>
              </w:rPr>
              <w:t>第 2 类：与心脏或脑血管相关的疾病</w:t>
            </w:r>
          </w:p>
        </w:tc>
      </w:tr>
      <w:tr>
        <w:trPr>
          <w:trHeight w:val="2183" w:hRule="atLeast"/>
        </w:trPr>
        <w:tc>
          <w:tcPr>
            <w:tcW w:w="2804" w:type="dxa"/>
            <w:tcBorders>
              <w:right w:val="nil"/>
            </w:tcBorders>
          </w:tcPr>
          <w:p>
            <w:pPr>
              <w:pStyle w:val="TableParagraph"/>
              <w:spacing w:line="262"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p>
            <w:pPr>
              <w:pStyle w:val="TableParagraph"/>
              <w:spacing w:before="37"/>
              <w:ind w:left="107"/>
              <w:rPr>
                <w:sz w:val="21"/>
              </w:rPr>
            </w:pPr>
            <w:r>
              <w:rPr>
                <w:sz w:val="21"/>
              </w:rPr>
              <w:t>12、艾森门格综合征</w:t>
            </w:r>
          </w:p>
          <w:p>
            <w:pPr>
              <w:pStyle w:val="TableParagraph"/>
              <w:spacing w:before="37"/>
              <w:ind w:left="107"/>
              <w:rPr>
                <w:sz w:val="21"/>
              </w:rPr>
            </w:pPr>
            <w:r>
              <w:rPr>
                <w:sz w:val="21"/>
              </w:rPr>
              <w:t>14、严重冠心病</w:t>
            </w:r>
          </w:p>
        </w:tc>
        <w:tc>
          <w:tcPr>
            <w:tcW w:w="3922" w:type="dxa"/>
            <w:tcBorders>
              <w:left w:val="nil"/>
            </w:tcBorders>
          </w:tcPr>
          <w:p>
            <w:pPr>
              <w:pStyle w:val="TableParagraph"/>
              <w:spacing w:line="262" w:lineRule="exact"/>
              <w:ind w:left="181"/>
              <w:rPr>
                <w:sz w:val="21"/>
              </w:rPr>
            </w:pPr>
            <w:r>
              <w:rPr>
                <w:sz w:val="21"/>
              </w:rPr>
              <w:t>4、严重原发性肺动脉高压</w:t>
            </w:r>
          </w:p>
          <w:p>
            <w:pPr>
              <w:pStyle w:val="TableParagraph"/>
              <w:spacing w:before="37"/>
              <w:ind w:left="181"/>
              <w:rPr>
                <w:sz w:val="21"/>
              </w:rPr>
            </w:pPr>
            <w:r>
              <w:rPr>
                <w:sz w:val="21"/>
              </w:rPr>
              <w:t>6、严重的原发性心肌病</w:t>
            </w:r>
          </w:p>
          <w:p>
            <w:pPr>
              <w:pStyle w:val="TableParagraph"/>
              <w:spacing w:line="273" w:lineRule="auto" w:before="37"/>
              <w:ind w:left="496" w:right="38" w:hanging="315"/>
              <w:rPr>
                <w:sz w:val="21"/>
              </w:rPr>
            </w:pPr>
            <w:r>
              <w:rPr>
                <w:sz w:val="21"/>
              </w:rPr>
              <w:t>8、冠状动脉搭桥术（或称冠状动脉旁路移植术）</w:t>
            </w:r>
          </w:p>
          <w:p>
            <w:pPr>
              <w:pStyle w:val="TableParagraph"/>
              <w:spacing w:before="7"/>
              <w:ind w:left="181"/>
              <w:rPr>
                <w:sz w:val="21"/>
              </w:rPr>
            </w:pPr>
            <w:r>
              <w:rPr>
                <w:sz w:val="21"/>
              </w:rPr>
              <w:t>11、严重肺源性心脏病</w:t>
            </w:r>
          </w:p>
          <w:p>
            <w:pPr>
              <w:pStyle w:val="TableParagraph"/>
              <w:spacing w:before="36"/>
              <w:ind w:left="181"/>
              <w:rPr>
                <w:sz w:val="21"/>
              </w:rPr>
            </w:pPr>
            <w:r>
              <w:rPr>
                <w:sz w:val="21"/>
              </w:rPr>
              <w:t>13、严重的Ⅲ度房室传导阻滞</w:t>
            </w:r>
          </w:p>
          <w:p>
            <w:pPr>
              <w:pStyle w:val="TableParagraph"/>
              <w:spacing w:before="36"/>
              <w:ind w:left="181"/>
              <w:rPr>
                <w:sz w:val="21"/>
              </w:rPr>
            </w:pPr>
            <w:r>
              <w:rPr>
                <w:sz w:val="21"/>
              </w:rPr>
              <w:t>15、风湿热导致的心脏瓣膜疾病</w:t>
            </w:r>
          </w:p>
        </w:tc>
      </w:tr>
      <w:tr>
        <w:trPr>
          <w:trHeight w:val="311" w:hRule="atLeast"/>
        </w:trPr>
        <w:tc>
          <w:tcPr>
            <w:tcW w:w="6726" w:type="dxa"/>
            <w:gridSpan w:val="2"/>
          </w:tcPr>
          <w:p>
            <w:pPr>
              <w:pStyle w:val="TableParagraph"/>
              <w:spacing w:line="262" w:lineRule="exact"/>
              <w:ind w:left="107"/>
              <w:rPr>
                <w:b/>
                <w:sz w:val="21"/>
              </w:rPr>
            </w:pPr>
            <w:r>
              <w:rPr>
                <w:b/>
                <w:sz w:val="21"/>
              </w:rPr>
              <w:t>第 3 类：与器官功能严重受损相关的疾病</w:t>
            </w:r>
          </w:p>
        </w:tc>
      </w:tr>
      <w:tr>
        <w:trPr>
          <w:trHeight w:val="4682" w:hRule="atLeast"/>
        </w:trPr>
        <w:tc>
          <w:tcPr>
            <w:tcW w:w="2804" w:type="dxa"/>
            <w:tcBorders>
              <w:right w:val="nil"/>
            </w:tcBorders>
          </w:tcPr>
          <w:p>
            <w:pPr>
              <w:pStyle w:val="TableParagraph"/>
              <w:spacing w:line="265" w:lineRule="exact"/>
              <w:ind w:left="107"/>
              <w:rPr>
                <w:sz w:val="21"/>
              </w:rPr>
            </w:pPr>
            <w:r>
              <w:rPr>
                <w:sz w:val="21"/>
              </w:rPr>
              <w:t>16、重型再生障碍性贫血</w:t>
            </w:r>
          </w:p>
          <w:p>
            <w:pPr>
              <w:pStyle w:val="TableParagraph"/>
              <w:spacing w:before="37"/>
              <w:ind w:left="107"/>
              <w:rPr>
                <w:sz w:val="21"/>
              </w:rPr>
            </w:pPr>
            <w:r>
              <w:rPr>
                <w:sz w:val="21"/>
              </w:rPr>
              <w:t>18、双耳失聪</w:t>
            </w:r>
          </w:p>
          <w:p>
            <w:pPr>
              <w:pStyle w:val="TableParagraph"/>
              <w:spacing w:before="37"/>
              <w:ind w:left="107"/>
              <w:rPr>
                <w:sz w:val="21"/>
              </w:rPr>
            </w:pPr>
            <w:r>
              <w:rPr>
                <w:sz w:val="21"/>
              </w:rPr>
              <w:t>20、双目失明</w:t>
            </w:r>
          </w:p>
          <w:p>
            <w:pPr>
              <w:pStyle w:val="TableParagraph"/>
              <w:spacing w:before="37"/>
              <w:ind w:left="107"/>
              <w:rPr>
                <w:sz w:val="21"/>
              </w:rPr>
            </w:pPr>
            <w:r>
              <w:rPr>
                <w:sz w:val="21"/>
              </w:rPr>
              <w:t>22、语言能力丧失</w:t>
            </w:r>
          </w:p>
          <w:p>
            <w:pPr>
              <w:pStyle w:val="TableParagraph"/>
              <w:spacing w:before="37"/>
              <w:ind w:left="107"/>
              <w:rPr>
                <w:sz w:val="21"/>
              </w:rPr>
            </w:pPr>
            <w:r>
              <w:rPr>
                <w:sz w:val="21"/>
              </w:rPr>
              <w:t>24、严重溃疡性结肠炎</w:t>
            </w:r>
          </w:p>
          <w:p>
            <w:pPr>
              <w:pStyle w:val="TableParagraph"/>
              <w:spacing w:before="37"/>
              <w:ind w:left="107"/>
              <w:rPr>
                <w:sz w:val="21"/>
              </w:rPr>
            </w:pPr>
            <w:r>
              <w:rPr>
                <w:sz w:val="21"/>
              </w:rPr>
              <w:t>26、终末期肺病</w:t>
            </w:r>
          </w:p>
          <w:p>
            <w:pPr>
              <w:pStyle w:val="TableParagraph"/>
              <w:spacing w:before="37"/>
              <w:ind w:left="107"/>
              <w:rPr>
                <w:sz w:val="21"/>
              </w:rPr>
            </w:pPr>
            <w:r>
              <w:rPr>
                <w:sz w:val="21"/>
              </w:rPr>
              <w:t>27、胰腺移植</w:t>
            </w:r>
          </w:p>
          <w:p>
            <w:pPr>
              <w:pStyle w:val="TableParagraph"/>
              <w:spacing w:before="37"/>
              <w:ind w:left="107"/>
              <w:rPr>
                <w:sz w:val="21"/>
              </w:rPr>
            </w:pPr>
            <w:r>
              <w:rPr>
                <w:sz w:val="21"/>
              </w:rPr>
              <w:t>29、严重肾髓质囊性病</w:t>
            </w:r>
          </w:p>
          <w:p>
            <w:pPr>
              <w:pStyle w:val="TableParagraph"/>
              <w:spacing w:before="37"/>
              <w:ind w:left="107"/>
              <w:rPr>
                <w:sz w:val="21"/>
              </w:rPr>
            </w:pPr>
            <w:r>
              <w:rPr>
                <w:sz w:val="21"/>
              </w:rPr>
              <w:t>31、严重自身免疫性肝炎</w:t>
            </w:r>
          </w:p>
          <w:p>
            <w:pPr>
              <w:pStyle w:val="TableParagraph"/>
              <w:spacing w:before="37"/>
              <w:ind w:left="107"/>
              <w:rPr>
                <w:sz w:val="21"/>
              </w:rPr>
            </w:pPr>
            <w:r>
              <w:rPr>
                <w:sz w:val="21"/>
              </w:rPr>
              <w:t>33、肺淋巴管肌瘤病</w:t>
            </w:r>
          </w:p>
          <w:p>
            <w:pPr>
              <w:pStyle w:val="TableParagraph"/>
              <w:spacing w:before="37"/>
              <w:ind w:left="107"/>
              <w:rPr>
                <w:sz w:val="21"/>
              </w:rPr>
            </w:pPr>
            <w:r>
              <w:rPr>
                <w:sz w:val="21"/>
              </w:rPr>
              <w:t>35、慢性复发性胰腺炎</w:t>
            </w:r>
          </w:p>
          <w:p>
            <w:pPr>
              <w:pStyle w:val="TableParagraph"/>
              <w:spacing w:before="37"/>
              <w:ind w:left="107"/>
              <w:rPr>
                <w:sz w:val="21"/>
              </w:rPr>
            </w:pPr>
            <w:r>
              <w:rPr>
                <w:sz w:val="21"/>
              </w:rPr>
              <w:t>37、严重小肠疾病并发症</w:t>
            </w:r>
          </w:p>
          <w:p>
            <w:pPr>
              <w:pStyle w:val="TableParagraph"/>
              <w:spacing w:before="37"/>
              <w:ind w:left="107"/>
              <w:rPr>
                <w:sz w:val="21"/>
              </w:rPr>
            </w:pPr>
            <w:r>
              <w:rPr>
                <w:sz w:val="21"/>
              </w:rPr>
              <w:t>39、严重克隆病</w:t>
            </w:r>
          </w:p>
          <w:p>
            <w:pPr>
              <w:pStyle w:val="TableParagraph"/>
              <w:spacing w:before="37"/>
              <w:ind w:left="107"/>
              <w:rPr>
                <w:sz w:val="21"/>
              </w:rPr>
            </w:pPr>
            <w:r>
              <w:rPr>
                <w:sz w:val="21"/>
              </w:rPr>
              <w:t>41、严重哮喘</w:t>
            </w:r>
          </w:p>
          <w:p>
            <w:pPr>
              <w:pStyle w:val="TableParagraph"/>
              <w:spacing w:before="37"/>
              <w:ind w:left="107"/>
              <w:rPr>
                <w:sz w:val="21"/>
              </w:rPr>
            </w:pPr>
            <w:r>
              <w:rPr>
                <w:sz w:val="21"/>
              </w:rPr>
              <w:t>43、胆道重建手术</w:t>
            </w:r>
          </w:p>
        </w:tc>
        <w:tc>
          <w:tcPr>
            <w:tcW w:w="3922" w:type="dxa"/>
            <w:tcBorders>
              <w:left w:val="nil"/>
            </w:tcBorders>
          </w:tcPr>
          <w:p>
            <w:pPr>
              <w:pStyle w:val="TableParagraph"/>
              <w:spacing w:line="264" w:lineRule="exact"/>
              <w:ind w:left="181"/>
              <w:rPr>
                <w:sz w:val="21"/>
              </w:rPr>
            </w:pPr>
            <w:r>
              <w:rPr>
                <w:sz w:val="21"/>
              </w:rPr>
              <w:t>17</w:t>
            </w:r>
            <w:r>
              <w:rPr>
                <w:spacing w:val="-12"/>
                <w:sz w:val="21"/>
              </w:rPr>
              <w:t>、重大器官移植术或造血干细胞移植术</w:t>
            </w:r>
          </w:p>
          <w:p>
            <w:pPr>
              <w:pStyle w:val="TableParagraph"/>
              <w:spacing w:before="38"/>
              <w:ind w:left="181"/>
              <w:rPr>
                <w:sz w:val="21"/>
              </w:rPr>
            </w:pPr>
            <w:r>
              <w:rPr>
                <w:sz w:val="21"/>
              </w:rPr>
              <w:t>19、慢性肝功能衰竭失代偿期</w:t>
            </w:r>
          </w:p>
          <w:p>
            <w:pPr>
              <w:pStyle w:val="TableParagraph"/>
              <w:spacing w:before="37"/>
              <w:ind w:left="181"/>
              <w:rPr>
                <w:sz w:val="21"/>
              </w:rPr>
            </w:pPr>
            <w:r>
              <w:rPr>
                <w:sz w:val="21"/>
              </w:rPr>
              <w:t>21、系统性红斑狼疮并发肾功能损害</w:t>
            </w:r>
          </w:p>
          <w:p>
            <w:pPr>
              <w:pStyle w:val="TableParagraph"/>
              <w:spacing w:before="37"/>
              <w:ind w:left="181"/>
              <w:rPr>
                <w:sz w:val="21"/>
              </w:rPr>
            </w:pPr>
            <w:r>
              <w:rPr>
                <w:sz w:val="21"/>
              </w:rPr>
              <w:t>23、急性或亚急性重症肝炎</w:t>
            </w:r>
          </w:p>
          <w:p>
            <w:pPr>
              <w:pStyle w:val="TableParagraph"/>
              <w:spacing w:line="273" w:lineRule="auto" w:before="37"/>
              <w:ind w:left="601" w:right="93" w:hanging="421"/>
              <w:rPr>
                <w:sz w:val="21"/>
              </w:rPr>
            </w:pPr>
            <w:r>
              <w:rPr>
                <w:sz w:val="21"/>
              </w:rPr>
              <w:t>25、终末期肾病（或称慢性肾功能衰竭尿毒症期）</w:t>
            </w:r>
          </w:p>
          <w:p>
            <w:pPr>
              <w:pStyle w:val="TableParagraph"/>
              <w:spacing w:before="7"/>
              <w:ind w:left="181"/>
              <w:rPr>
                <w:sz w:val="21"/>
              </w:rPr>
            </w:pPr>
            <w:r>
              <w:rPr>
                <w:sz w:val="21"/>
              </w:rPr>
              <w:t>28、急性坏死性胰腺炎开腹手术</w:t>
            </w:r>
          </w:p>
          <w:p>
            <w:pPr>
              <w:pStyle w:val="TableParagraph"/>
              <w:spacing w:before="36"/>
              <w:ind w:left="181"/>
              <w:rPr>
                <w:sz w:val="21"/>
              </w:rPr>
            </w:pPr>
            <w:r>
              <w:rPr>
                <w:sz w:val="21"/>
              </w:rPr>
              <w:t>30、严重肝豆状核变性（Wilson 病）</w:t>
            </w:r>
          </w:p>
          <w:p>
            <w:pPr>
              <w:pStyle w:val="TableParagraph"/>
              <w:spacing w:before="36"/>
              <w:ind w:left="182"/>
              <w:rPr>
                <w:sz w:val="21"/>
              </w:rPr>
            </w:pPr>
            <w:r>
              <w:rPr>
                <w:sz w:val="21"/>
              </w:rPr>
              <w:t>32、严重弥漫性系统性硬皮病</w:t>
            </w:r>
          </w:p>
          <w:p>
            <w:pPr>
              <w:pStyle w:val="TableParagraph"/>
              <w:spacing w:before="36"/>
              <w:ind w:left="182"/>
              <w:rPr>
                <w:sz w:val="21"/>
              </w:rPr>
            </w:pPr>
            <w:r>
              <w:rPr>
                <w:sz w:val="21"/>
              </w:rPr>
              <w:t>34、肺泡蛋白质沉积症</w:t>
            </w:r>
          </w:p>
          <w:p>
            <w:pPr>
              <w:pStyle w:val="TableParagraph"/>
              <w:spacing w:before="36"/>
              <w:ind w:left="182"/>
              <w:rPr>
                <w:sz w:val="21"/>
              </w:rPr>
            </w:pPr>
            <w:r>
              <w:rPr>
                <w:sz w:val="21"/>
              </w:rPr>
              <w:t>36、特发性慢性肾上腺皮质功能减退</w:t>
            </w:r>
          </w:p>
          <w:p>
            <w:pPr>
              <w:pStyle w:val="TableParagraph"/>
              <w:spacing w:before="36"/>
              <w:ind w:left="182"/>
              <w:rPr>
                <w:sz w:val="21"/>
              </w:rPr>
            </w:pPr>
            <w:r>
              <w:rPr>
                <w:sz w:val="21"/>
              </w:rPr>
              <w:t>38、严重的骨髓增生异常综合征</w:t>
            </w:r>
          </w:p>
          <w:p>
            <w:pPr>
              <w:pStyle w:val="TableParagraph"/>
              <w:spacing w:before="36"/>
              <w:ind w:left="182"/>
              <w:rPr>
                <w:sz w:val="21"/>
              </w:rPr>
            </w:pPr>
            <w:r>
              <w:rPr>
                <w:sz w:val="21"/>
              </w:rPr>
              <w:t>40、骨髓纤维化</w:t>
            </w:r>
          </w:p>
          <w:p>
            <w:pPr>
              <w:pStyle w:val="TableParagraph"/>
              <w:spacing w:before="36"/>
              <w:ind w:left="182"/>
              <w:rPr>
                <w:sz w:val="21"/>
              </w:rPr>
            </w:pPr>
            <w:r>
              <w:rPr>
                <w:sz w:val="21"/>
              </w:rPr>
              <w:t>42、小肠移植</w:t>
            </w:r>
          </w:p>
        </w:tc>
      </w:tr>
      <w:tr>
        <w:trPr>
          <w:trHeight w:val="311" w:hRule="atLeast"/>
        </w:trPr>
        <w:tc>
          <w:tcPr>
            <w:tcW w:w="6726" w:type="dxa"/>
            <w:gridSpan w:val="2"/>
          </w:tcPr>
          <w:p>
            <w:pPr>
              <w:pStyle w:val="TableParagraph"/>
              <w:spacing w:line="262" w:lineRule="exact"/>
              <w:ind w:left="107"/>
              <w:rPr>
                <w:b/>
                <w:sz w:val="21"/>
              </w:rPr>
            </w:pPr>
            <w:r>
              <w:rPr>
                <w:b/>
                <w:sz w:val="21"/>
              </w:rPr>
              <w:t>第 4 类：与神经系统相关的疾病</w:t>
            </w:r>
          </w:p>
        </w:tc>
      </w:tr>
      <w:tr>
        <w:trPr>
          <w:trHeight w:val="3119" w:hRule="atLeast"/>
        </w:trPr>
        <w:tc>
          <w:tcPr>
            <w:tcW w:w="2804" w:type="dxa"/>
            <w:tcBorders>
              <w:right w:val="nil"/>
            </w:tcBorders>
          </w:tcPr>
          <w:p>
            <w:pPr>
              <w:pStyle w:val="TableParagraph"/>
              <w:spacing w:line="262" w:lineRule="exact"/>
              <w:ind w:left="107"/>
              <w:rPr>
                <w:sz w:val="21"/>
              </w:rPr>
            </w:pPr>
            <w:r>
              <w:rPr>
                <w:sz w:val="21"/>
              </w:rPr>
              <w:t>44、良性脑肿瘤</w:t>
            </w:r>
          </w:p>
          <w:p>
            <w:pPr>
              <w:pStyle w:val="TableParagraph"/>
              <w:spacing w:before="37"/>
              <w:ind w:left="107"/>
              <w:rPr>
                <w:sz w:val="21"/>
              </w:rPr>
            </w:pPr>
            <w:r>
              <w:rPr>
                <w:sz w:val="21"/>
              </w:rPr>
              <w:t>46、深度昏迷</w:t>
            </w:r>
          </w:p>
          <w:p>
            <w:pPr>
              <w:pStyle w:val="TableParagraph"/>
              <w:spacing w:before="37"/>
              <w:ind w:left="107"/>
              <w:rPr>
                <w:sz w:val="21"/>
              </w:rPr>
            </w:pPr>
            <w:r>
              <w:rPr>
                <w:sz w:val="21"/>
              </w:rPr>
              <w:t>48、瘫痪</w:t>
            </w:r>
          </w:p>
          <w:p>
            <w:pPr>
              <w:pStyle w:val="TableParagraph"/>
              <w:spacing w:before="37"/>
              <w:ind w:left="107"/>
              <w:rPr>
                <w:sz w:val="21"/>
              </w:rPr>
            </w:pPr>
            <w:r>
              <w:rPr>
                <w:sz w:val="21"/>
              </w:rPr>
              <w:t>50、严重帕金森病</w:t>
            </w:r>
          </w:p>
          <w:p>
            <w:pPr>
              <w:pStyle w:val="TableParagraph"/>
              <w:spacing w:before="37"/>
              <w:ind w:left="107"/>
              <w:rPr>
                <w:sz w:val="21"/>
              </w:rPr>
            </w:pPr>
            <w:r>
              <w:rPr>
                <w:sz w:val="21"/>
              </w:rPr>
              <w:t>52、严重脑损伤</w:t>
            </w:r>
          </w:p>
          <w:p>
            <w:pPr>
              <w:pStyle w:val="TableParagraph"/>
              <w:spacing w:before="37"/>
              <w:ind w:left="107"/>
              <w:rPr>
                <w:sz w:val="21"/>
              </w:rPr>
            </w:pPr>
            <w:r>
              <w:rPr>
                <w:sz w:val="21"/>
              </w:rPr>
              <w:t>54、植物人状态</w:t>
            </w:r>
          </w:p>
          <w:p>
            <w:pPr>
              <w:pStyle w:val="TableParagraph"/>
              <w:spacing w:before="37"/>
              <w:ind w:left="107"/>
              <w:rPr>
                <w:sz w:val="21"/>
              </w:rPr>
            </w:pPr>
            <w:r>
              <w:rPr>
                <w:sz w:val="21"/>
              </w:rPr>
              <w:t>56、开颅手术</w:t>
            </w:r>
          </w:p>
          <w:p>
            <w:pPr>
              <w:pStyle w:val="TableParagraph"/>
              <w:spacing w:before="37"/>
              <w:ind w:left="107"/>
              <w:rPr>
                <w:sz w:val="21"/>
              </w:rPr>
            </w:pPr>
            <w:r>
              <w:rPr>
                <w:sz w:val="21"/>
              </w:rPr>
              <w:t>58、克雅氏病</w:t>
            </w:r>
          </w:p>
          <w:p>
            <w:pPr>
              <w:pStyle w:val="TableParagraph"/>
              <w:spacing w:before="37"/>
              <w:ind w:left="107"/>
              <w:rPr>
                <w:sz w:val="21"/>
              </w:rPr>
            </w:pPr>
            <w:r>
              <w:rPr>
                <w:sz w:val="21"/>
              </w:rPr>
              <w:t>60、进行性多灶性白质脑病</w:t>
            </w:r>
          </w:p>
          <w:p>
            <w:pPr>
              <w:pStyle w:val="TableParagraph"/>
              <w:spacing w:before="37"/>
              <w:ind w:left="107"/>
              <w:rPr>
                <w:sz w:val="21"/>
              </w:rPr>
            </w:pPr>
            <w:r>
              <w:rPr>
                <w:sz w:val="21"/>
              </w:rPr>
              <w:t>62、脊髓小脑变性症</w:t>
            </w:r>
          </w:p>
        </w:tc>
        <w:tc>
          <w:tcPr>
            <w:tcW w:w="3922" w:type="dxa"/>
            <w:tcBorders>
              <w:left w:val="nil"/>
            </w:tcBorders>
          </w:tcPr>
          <w:p>
            <w:pPr>
              <w:pStyle w:val="TableParagraph"/>
              <w:spacing w:line="262" w:lineRule="exact"/>
              <w:ind w:left="181"/>
              <w:rPr>
                <w:sz w:val="21"/>
              </w:rPr>
            </w:pPr>
            <w:r>
              <w:rPr>
                <w:sz w:val="21"/>
              </w:rPr>
              <w:t>45、脑炎后遗症或脑膜炎后遗症</w:t>
            </w:r>
          </w:p>
          <w:p>
            <w:pPr>
              <w:pStyle w:val="TableParagraph"/>
              <w:spacing w:before="37"/>
              <w:ind w:left="181"/>
              <w:rPr>
                <w:sz w:val="21"/>
              </w:rPr>
            </w:pPr>
            <w:r>
              <w:rPr>
                <w:sz w:val="21"/>
              </w:rPr>
              <w:t>47、严重阿尔茨海默病</w:t>
            </w:r>
          </w:p>
          <w:p>
            <w:pPr>
              <w:pStyle w:val="TableParagraph"/>
              <w:spacing w:before="37"/>
              <w:ind w:left="181"/>
              <w:rPr>
                <w:sz w:val="21"/>
              </w:rPr>
            </w:pPr>
            <w:r>
              <w:rPr>
                <w:sz w:val="21"/>
              </w:rPr>
              <w:t>49、严重的多发性硬化</w:t>
            </w:r>
          </w:p>
          <w:p>
            <w:pPr>
              <w:pStyle w:val="TableParagraph"/>
              <w:spacing w:before="37"/>
              <w:ind w:left="181"/>
              <w:rPr>
                <w:sz w:val="21"/>
              </w:rPr>
            </w:pPr>
            <w:r>
              <w:rPr>
                <w:sz w:val="21"/>
              </w:rPr>
              <w:t>51、严重运动神经元病</w:t>
            </w:r>
          </w:p>
          <w:p>
            <w:pPr>
              <w:pStyle w:val="TableParagraph"/>
              <w:spacing w:before="37"/>
              <w:ind w:left="181"/>
              <w:rPr>
                <w:sz w:val="21"/>
              </w:rPr>
            </w:pPr>
            <w:r>
              <w:rPr>
                <w:sz w:val="21"/>
              </w:rPr>
              <w:t>53、非阿尔茨海默病所致严重痴呆</w:t>
            </w:r>
          </w:p>
          <w:p>
            <w:pPr>
              <w:pStyle w:val="TableParagraph"/>
              <w:spacing w:before="37"/>
              <w:ind w:left="181"/>
              <w:rPr>
                <w:sz w:val="21"/>
              </w:rPr>
            </w:pPr>
            <w:r>
              <w:rPr>
                <w:sz w:val="21"/>
              </w:rPr>
              <w:t>55、进行性核上性麻痹</w:t>
            </w:r>
          </w:p>
          <w:p>
            <w:pPr>
              <w:pStyle w:val="TableParagraph"/>
              <w:spacing w:before="37"/>
              <w:ind w:left="181"/>
              <w:rPr>
                <w:sz w:val="21"/>
              </w:rPr>
            </w:pPr>
            <w:r>
              <w:rPr>
                <w:sz w:val="21"/>
              </w:rPr>
              <w:t>57、亚急性硬化性全脑炎</w:t>
            </w:r>
          </w:p>
          <w:p>
            <w:pPr>
              <w:pStyle w:val="TableParagraph"/>
              <w:spacing w:before="37"/>
              <w:ind w:left="181"/>
              <w:rPr>
                <w:sz w:val="21"/>
              </w:rPr>
            </w:pPr>
            <w:r>
              <w:rPr>
                <w:sz w:val="21"/>
              </w:rPr>
              <w:t>59、丧失一眼及一肢</w:t>
            </w:r>
          </w:p>
          <w:p>
            <w:pPr>
              <w:pStyle w:val="TableParagraph"/>
              <w:spacing w:before="37"/>
              <w:ind w:left="181"/>
              <w:rPr>
                <w:sz w:val="21"/>
              </w:rPr>
            </w:pPr>
            <w:r>
              <w:rPr>
                <w:sz w:val="21"/>
              </w:rPr>
              <w:t>61、破裂脑动脉瘤夹闭手术</w:t>
            </w:r>
          </w:p>
        </w:tc>
      </w:tr>
      <w:tr>
        <w:trPr>
          <w:trHeight w:val="311" w:hRule="atLeast"/>
        </w:trPr>
        <w:tc>
          <w:tcPr>
            <w:tcW w:w="6726" w:type="dxa"/>
            <w:gridSpan w:val="2"/>
          </w:tcPr>
          <w:p>
            <w:pPr>
              <w:pStyle w:val="TableParagraph"/>
              <w:spacing w:line="262" w:lineRule="exact"/>
              <w:ind w:left="107"/>
              <w:rPr>
                <w:b/>
                <w:sz w:val="21"/>
              </w:rPr>
            </w:pPr>
            <w:r>
              <w:rPr>
                <w:b/>
                <w:sz w:val="21"/>
              </w:rPr>
              <w:t>第 5 类：其他重大疾病</w:t>
            </w:r>
          </w:p>
        </w:tc>
      </w:tr>
      <w:tr>
        <w:trPr>
          <w:trHeight w:val="614" w:hRule="atLeast"/>
        </w:trPr>
        <w:tc>
          <w:tcPr>
            <w:tcW w:w="2804" w:type="dxa"/>
            <w:tcBorders>
              <w:right w:val="nil"/>
            </w:tcBorders>
          </w:tcPr>
          <w:p>
            <w:pPr>
              <w:pStyle w:val="TableParagraph"/>
              <w:spacing w:line="262" w:lineRule="exact"/>
              <w:ind w:left="107"/>
              <w:rPr>
                <w:sz w:val="21"/>
              </w:rPr>
            </w:pPr>
            <w:r>
              <w:rPr>
                <w:sz w:val="21"/>
              </w:rPr>
              <w:t>63、多个肢体缺失</w:t>
            </w:r>
          </w:p>
          <w:p>
            <w:pPr>
              <w:pStyle w:val="TableParagraph"/>
              <w:spacing w:before="37"/>
              <w:ind w:left="107"/>
              <w:rPr>
                <w:sz w:val="21"/>
              </w:rPr>
            </w:pPr>
            <w:r>
              <w:rPr>
                <w:sz w:val="21"/>
              </w:rPr>
              <w:t>65、严重Ⅲ度烧伤</w:t>
            </w:r>
          </w:p>
        </w:tc>
        <w:tc>
          <w:tcPr>
            <w:tcW w:w="3922" w:type="dxa"/>
            <w:tcBorders>
              <w:left w:val="nil"/>
            </w:tcBorders>
          </w:tcPr>
          <w:p>
            <w:pPr>
              <w:pStyle w:val="TableParagraph"/>
              <w:spacing w:line="262" w:lineRule="exact"/>
              <w:ind w:left="181"/>
              <w:rPr>
                <w:sz w:val="21"/>
              </w:rPr>
            </w:pPr>
            <w:r>
              <w:rPr>
                <w:sz w:val="21"/>
              </w:rPr>
              <w:t>64、严重的 1 型糖尿病</w:t>
            </w:r>
          </w:p>
          <w:p>
            <w:pPr>
              <w:pStyle w:val="TableParagraph"/>
              <w:spacing w:before="37"/>
              <w:ind w:left="181"/>
              <w:rPr>
                <w:sz w:val="21"/>
              </w:rPr>
            </w:pPr>
            <w:r>
              <w:rPr>
                <w:sz w:val="21"/>
              </w:rPr>
              <w:t>66、严重类风湿性关节炎</w:t>
            </w:r>
          </w:p>
        </w:tc>
      </w:tr>
    </w:tbl>
    <w:p>
      <w:pPr>
        <w:spacing w:after="0"/>
        <w:rPr>
          <w:sz w:val="21"/>
        </w:rPr>
        <w:sectPr>
          <w:type w:val="continuous"/>
          <w:pgSz w:w="11910" w:h="16840"/>
          <w:pgMar w:top="540" w:bottom="280" w:left="1660" w:right="9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471"/>
        <w:gridCol w:w="6901"/>
      </w:tblGrid>
      <w:tr>
        <w:trPr>
          <w:trHeight w:val="3121" w:hRule="atLeast"/>
        </w:trPr>
        <w:tc>
          <w:tcPr>
            <w:tcW w:w="710" w:type="dxa"/>
          </w:tcPr>
          <w:p>
            <w:pPr>
              <w:pStyle w:val="TableParagraph"/>
              <w:ind w:left="0"/>
              <w:rPr>
                <w:rFonts w:ascii="Times New Roman"/>
                <w:sz w:val="18"/>
              </w:rPr>
            </w:pPr>
          </w:p>
        </w:tc>
        <w:tc>
          <w:tcPr>
            <w:tcW w:w="2471" w:type="dxa"/>
            <w:tcBorders>
              <w:right w:val="single" w:sz="4" w:space="0" w:color="000000"/>
            </w:tcBorders>
          </w:tcPr>
          <w:p>
            <w:pPr>
              <w:pStyle w:val="TableParagraph"/>
              <w:ind w:left="0"/>
              <w:rPr>
                <w:rFonts w:ascii="Times New Roman"/>
                <w:sz w:val="18"/>
              </w:rPr>
            </w:pPr>
          </w:p>
        </w:tc>
        <w:tc>
          <w:tcPr>
            <w:tcW w:w="6901" w:type="dxa"/>
            <w:tcBorders>
              <w:top w:val="single" w:sz="4" w:space="0" w:color="000000"/>
              <w:left w:val="single" w:sz="4" w:space="0" w:color="000000"/>
              <w:bottom w:val="single" w:sz="4" w:space="0" w:color="000000"/>
            </w:tcBorders>
          </w:tcPr>
          <w:p>
            <w:pPr>
              <w:pStyle w:val="TableParagraph"/>
              <w:tabs>
                <w:tab w:pos="2977" w:val="left" w:leader="none"/>
              </w:tabs>
              <w:spacing w:line="259" w:lineRule="exact"/>
              <w:ind w:left="104"/>
              <w:rPr>
                <w:sz w:val="21"/>
              </w:rPr>
            </w:pPr>
            <w:r>
              <w:rPr>
                <w:sz w:val="21"/>
              </w:rPr>
              <w:t>67、</w:t>
            </w:r>
            <w:r>
              <w:rPr>
                <w:spacing w:val="-3"/>
                <w:sz w:val="21"/>
              </w:rPr>
              <w:t>象</w:t>
            </w:r>
            <w:r>
              <w:rPr>
                <w:sz w:val="21"/>
              </w:rPr>
              <w:t>皮病</w:t>
              <w:tab/>
              <w:t>68、经输</w:t>
            </w:r>
            <w:r>
              <w:rPr>
                <w:spacing w:val="2"/>
                <w:sz w:val="21"/>
              </w:rPr>
              <w:t>血</w:t>
            </w:r>
            <w:r>
              <w:rPr>
                <w:sz w:val="21"/>
              </w:rPr>
              <w:t>导致的</w:t>
            </w:r>
            <w:r>
              <w:rPr>
                <w:spacing w:val="2"/>
                <w:sz w:val="21"/>
              </w:rPr>
              <w:t>艾</w:t>
            </w:r>
            <w:r>
              <w:rPr>
                <w:sz w:val="21"/>
              </w:rPr>
              <w:t>滋病</w:t>
            </w:r>
            <w:r>
              <w:rPr>
                <w:spacing w:val="2"/>
                <w:sz w:val="21"/>
              </w:rPr>
              <w:t>病</w:t>
            </w:r>
            <w:r>
              <w:rPr>
                <w:sz w:val="21"/>
              </w:rPr>
              <w:t>毒感染</w:t>
            </w:r>
            <w:r>
              <w:rPr>
                <w:spacing w:val="2"/>
                <w:sz w:val="21"/>
              </w:rPr>
              <w:t>或患</w:t>
            </w:r>
          </w:p>
          <w:p>
            <w:pPr>
              <w:pStyle w:val="TableParagraph"/>
              <w:tabs>
                <w:tab w:pos="3397" w:val="left" w:leader="none"/>
              </w:tabs>
              <w:spacing w:before="37"/>
              <w:ind w:left="104"/>
              <w:rPr>
                <w:sz w:val="21"/>
              </w:rPr>
            </w:pPr>
            <w:r>
              <w:rPr>
                <w:sz w:val="21"/>
              </w:rPr>
              <w:t>69、</w:t>
            </w:r>
            <w:r>
              <w:rPr>
                <w:spacing w:val="-3"/>
                <w:sz w:val="21"/>
              </w:rPr>
              <w:t>严</w:t>
            </w:r>
            <w:r>
              <w:rPr>
                <w:sz w:val="21"/>
              </w:rPr>
              <w:t>重</w:t>
            </w:r>
            <w:r>
              <w:rPr>
                <w:spacing w:val="-3"/>
                <w:sz w:val="21"/>
              </w:rPr>
              <w:t>肌</w:t>
            </w:r>
            <w:r>
              <w:rPr>
                <w:sz w:val="21"/>
              </w:rPr>
              <w:t>营</w:t>
            </w:r>
            <w:r>
              <w:rPr>
                <w:spacing w:val="-3"/>
                <w:sz w:val="21"/>
              </w:rPr>
              <w:t>养</w:t>
            </w:r>
            <w:r>
              <w:rPr>
                <w:sz w:val="21"/>
              </w:rPr>
              <w:t>不</w:t>
            </w:r>
            <w:r>
              <w:rPr>
                <w:spacing w:val="-3"/>
                <w:sz w:val="21"/>
              </w:rPr>
              <w:t>良</w:t>
            </w:r>
            <w:r>
              <w:rPr>
                <w:sz w:val="21"/>
              </w:rPr>
              <w:t>症</w:t>
              <w:tab/>
              <w:t>艾滋病</w:t>
            </w:r>
          </w:p>
          <w:p>
            <w:pPr>
              <w:pStyle w:val="TableParagraph"/>
              <w:tabs>
                <w:tab w:pos="2977" w:val="left" w:leader="none"/>
              </w:tabs>
              <w:spacing w:before="37"/>
              <w:ind w:left="104"/>
              <w:rPr>
                <w:sz w:val="21"/>
              </w:rPr>
            </w:pPr>
            <w:r>
              <w:rPr>
                <w:sz w:val="21"/>
              </w:rPr>
              <w:t>70、</w:t>
            </w:r>
            <w:r>
              <w:rPr>
                <w:spacing w:val="-3"/>
                <w:sz w:val="21"/>
              </w:rPr>
              <w:t>弥</w:t>
            </w:r>
            <w:r>
              <w:rPr>
                <w:sz w:val="21"/>
              </w:rPr>
              <w:t>漫</w:t>
            </w:r>
            <w:r>
              <w:rPr>
                <w:spacing w:val="-3"/>
                <w:sz w:val="21"/>
              </w:rPr>
              <w:t>性</w:t>
            </w:r>
            <w:r>
              <w:rPr>
                <w:sz w:val="21"/>
              </w:rPr>
              <w:t>血</w:t>
            </w:r>
            <w:r>
              <w:rPr>
                <w:spacing w:val="-3"/>
                <w:sz w:val="21"/>
              </w:rPr>
              <w:t>管</w:t>
            </w:r>
            <w:r>
              <w:rPr>
                <w:sz w:val="21"/>
              </w:rPr>
              <w:t>内</w:t>
            </w:r>
            <w:r>
              <w:rPr>
                <w:spacing w:val="-3"/>
                <w:sz w:val="21"/>
              </w:rPr>
              <w:t>凝</w:t>
            </w:r>
            <w:r>
              <w:rPr>
                <w:sz w:val="21"/>
              </w:rPr>
              <w:t>血</w:t>
              <w:tab/>
              <w:t>71、因职</w:t>
            </w:r>
            <w:r>
              <w:rPr>
                <w:spacing w:val="2"/>
                <w:sz w:val="21"/>
              </w:rPr>
              <w:t>业</w:t>
            </w:r>
            <w:r>
              <w:rPr>
                <w:sz w:val="21"/>
              </w:rPr>
              <w:t>关系导</w:t>
            </w:r>
            <w:r>
              <w:rPr>
                <w:spacing w:val="2"/>
                <w:sz w:val="21"/>
              </w:rPr>
              <w:t>致</w:t>
            </w:r>
            <w:r>
              <w:rPr>
                <w:sz w:val="21"/>
              </w:rPr>
              <w:t>的艾</w:t>
            </w:r>
            <w:r>
              <w:rPr>
                <w:spacing w:val="2"/>
                <w:sz w:val="21"/>
              </w:rPr>
              <w:t>滋</w:t>
            </w:r>
            <w:r>
              <w:rPr>
                <w:sz w:val="21"/>
              </w:rPr>
              <w:t>病病毒</w:t>
            </w:r>
            <w:r>
              <w:rPr>
                <w:spacing w:val="2"/>
                <w:sz w:val="21"/>
              </w:rPr>
              <w:t>感</w:t>
            </w:r>
            <w:r>
              <w:rPr>
                <w:sz w:val="21"/>
              </w:rPr>
              <w:t>染</w:t>
            </w:r>
          </w:p>
          <w:p>
            <w:pPr>
              <w:pStyle w:val="TableParagraph"/>
              <w:tabs>
                <w:tab w:pos="3397" w:val="left" w:leader="none"/>
              </w:tabs>
              <w:spacing w:before="37"/>
              <w:ind w:left="104"/>
              <w:rPr>
                <w:sz w:val="21"/>
              </w:rPr>
            </w:pPr>
            <w:r>
              <w:rPr>
                <w:sz w:val="21"/>
              </w:rPr>
              <w:t>72、</w:t>
            </w:r>
            <w:r>
              <w:rPr>
                <w:spacing w:val="-3"/>
                <w:sz w:val="21"/>
              </w:rPr>
              <w:t>嗜</w:t>
            </w:r>
            <w:r>
              <w:rPr>
                <w:sz w:val="21"/>
              </w:rPr>
              <w:t>铬</w:t>
            </w:r>
            <w:r>
              <w:rPr>
                <w:spacing w:val="-3"/>
                <w:sz w:val="21"/>
              </w:rPr>
              <w:t>细</w:t>
            </w:r>
            <w:r>
              <w:rPr>
                <w:sz w:val="21"/>
              </w:rPr>
              <w:t>胞瘤</w:t>
              <w:tab/>
              <w:t>或患</w:t>
            </w:r>
            <w:r>
              <w:rPr>
                <w:spacing w:val="-3"/>
                <w:sz w:val="21"/>
              </w:rPr>
              <w:t>艾</w:t>
            </w:r>
            <w:r>
              <w:rPr>
                <w:sz w:val="21"/>
              </w:rPr>
              <w:t>滋病</w:t>
            </w:r>
          </w:p>
          <w:p>
            <w:pPr>
              <w:pStyle w:val="TableParagraph"/>
              <w:tabs>
                <w:tab w:pos="2977" w:val="left" w:leader="none"/>
                <w:tab w:pos="3397" w:val="left" w:leader="none"/>
              </w:tabs>
              <w:spacing w:line="273" w:lineRule="auto" w:before="37"/>
              <w:ind w:left="507" w:right="276" w:hanging="403"/>
              <w:rPr>
                <w:sz w:val="21"/>
              </w:rPr>
            </w:pPr>
            <w:r>
              <w:rPr>
                <w:sz w:val="21"/>
              </w:rPr>
              <w:t>73</w:t>
            </w:r>
            <w:r>
              <w:rPr>
                <w:spacing w:val="-29"/>
                <w:sz w:val="21"/>
              </w:rPr>
              <w:t>、</w:t>
            </w:r>
            <w:r>
              <w:rPr>
                <w:spacing w:val="-5"/>
                <w:sz w:val="21"/>
              </w:rPr>
              <w:t>严</w:t>
            </w:r>
            <w:r>
              <w:rPr>
                <w:spacing w:val="-8"/>
                <w:sz w:val="21"/>
              </w:rPr>
              <w:t>重</w:t>
            </w:r>
            <w:r>
              <w:rPr>
                <w:spacing w:val="-5"/>
                <w:sz w:val="21"/>
              </w:rPr>
              <w:t>的原发性硬</w:t>
            </w:r>
            <w:r>
              <w:rPr>
                <w:spacing w:val="-8"/>
                <w:sz w:val="21"/>
              </w:rPr>
              <w:t>化</w:t>
            </w:r>
            <w:r>
              <w:rPr>
                <w:spacing w:val="-5"/>
                <w:sz w:val="21"/>
              </w:rPr>
              <w:t>性</w:t>
            </w:r>
            <w:r>
              <w:rPr>
                <w:spacing w:val="-8"/>
                <w:sz w:val="21"/>
              </w:rPr>
              <w:t>胆</w:t>
            </w:r>
            <w:r>
              <w:rPr>
                <w:sz w:val="21"/>
              </w:rPr>
              <w:t>管</w:t>
              <w:tab/>
              <w:t>74、因器</w:t>
            </w:r>
            <w:r>
              <w:rPr>
                <w:spacing w:val="2"/>
                <w:sz w:val="21"/>
              </w:rPr>
              <w:t>官</w:t>
            </w:r>
            <w:r>
              <w:rPr>
                <w:sz w:val="21"/>
              </w:rPr>
              <w:t>移植导</w:t>
            </w:r>
            <w:r>
              <w:rPr>
                <w:spacing w:val="2"/>
                <w:sz w:val="21"/>
              </w:rPr>
              <w:t>致</w:t>
            </w:r>
            <w:r>
              <w:rPr>
                <w:sz w:val="21"/>
              </w:rPr>
              <w:t>的艾</w:t>
            </w:r>
            <w:r>
              <w:rPr>
                <w:spacing w:val="2"/>
                <w:sz w:val="21"/>
              </w:rPr>
              <w:t>滋</w:t>
            </w:r>
            <w:r>
              <w:rPr>
                <w:sz w:val="21"/>
              </w:rPr>
              <w:t>病病毒</w:t>
            </w:r>
            <w:r>
              <w:rPr>
                <w:spacing w:val="2"/>
                <w:sz w:val="21"/>
              </w:rPr>
              <w:t>感</w:t>
            </w:r>
            <w:r>
              <w:rPr>
                <w:sz w:val="21"/>
              </w:rPr>
              <w:t>染 炎</w:t>
              <w:tab/>
              <w:tab/>
              <w:t>或患</w:t>
            </w:r>
            <w:r>
              <w:rPr>
                <w:spacing w:val="-3"/>
                <w:sz w:val="21"/>
              </w:rPr>
              <w:t>艾</w:t>
            </w:r>
            <w:r>
              <w:rPr>
                <w:sz w:val="21"/>
              </w:rPr>
              <w:t>滋病</w:t>
            </w:r>
          </w:p>
          <w:p>
            <w:pPr>
              <w:pStyle w:val="TableParagraph"/>
              <w:tabs>
                <w:tab w:pos="2977" w:val="left" w:leader="none"/>
              </w:tabs>
              <w:spacing w:before="7"/>
              <w:ind w:left="104"/>
              <w:rPr>
                <w:sz w:val="21"/>
              </w:rPr>
            </w:pPr>
            <w:r>
              <w:rPr>
                <w:sz w:val="21"/>
              </w:rPr>
              <w:t>75、</w:t>
            </w:r>
            <w:r>
              <w:rPr>
                <w:spacing w:val="-3"/>
                <w:sz w:val="21"/>
              </w:rPr>
              <w:t>严</w:t>
            </w:r>
            <w:r>
              <w:rPr>
                <w:sz w:val="21"/>
              </w:rPr>
              <w:t>重</w:t>
            </w:r>
            <w:r>
              <w:rPr>
                <w:spacing w:val="-3"/>
                <w:sz w:val="21"/>
              </w:rPr>
              <w:t>面</w:t>
            </w:r>
            <w:r>
              <w:rPr>
                <w:sz w:val="21"/>
              </w:rPr>
              <w:t>部</w:t>
            </w:r>
            <w:r>
              <w:rPr>
                <w:spacing w:val="-3"/>
                <w:sz w:val="21"/>
              </w:rPr>
              <w:t>烧</w:t>
            </w:r>
            <w:r>
              <w:rPr>
                <w:sz w:val="21"/>
              </w:rPr>
              <w:t>伤</w:t>
              <w:tab/>
              <w:t>76、</w:t>
            </w:r>
            <w:r>
              <w:rPr>
                <w:spacing w:val="-3"/>
                <w:sz w:val="21"/>
              </w:rPr>
              <w:t>严</w:t>
            </w:r>
            <w:r>
              <w:rPr>
                <w:sz w:val="21"/>
              </w:rPr>
              <w:t>重</w:t>
            </w:r>
            <w:r>
              <w:rPr>
                <w:spacing w:val="-3"/>
                <w:sz w:val="21"/>
              </w:rPr>
              <w:t>瑞</w:t>
            </w:r>
            <w:r>
              <w:rPr>
                <w:sz w:val="21"/>
              </w:rPr>
              <w:t>氏</w:t>
            </w:r>
            <w:r>
              <w:rPr>
                <w:spacing w:val="-3"/>
                <w:sz w:val="21"/>
              </w:rPr>
              <w:t>综</w:t>
            </w:r>
            <w:r>
              <w:rPr>
                <w:sz w:val="21"/>
              </w:rPr>
              <w:t>合</w:t>
            </w:r>
            <w:r>
              <w:rPr>
                <w:spacing w:val="-3"/>
                <w:sz w:val="21"/>
              </w:rPr>
              <w:t>症</w:t>
            </w:r>
            <w:r>
              <w:rPr>
                <w:sz w:val="21"/>
              </w:rPr>
              <w:t>（Reye</w:t>
            </w:r>
            <w:r>
              <w:rPr>
                <w:spacing w:val="-26"/>
                <w:sz w:val="21"/>
              </w:rPr>
              <w:t> </w:t>
            </w:r>
            <w:r>
              <w:rPr>
                <w:sz w:val="21"/>
              </w:rPr>
              <w:t>综</w:t>
            </w:r>
            <w:r>
              <w:rPr>
                <w:spacing w:val="-3"/>
                <w:sz w:val="21"/>
              </w:rPr>
              <w:t>合</w:t>
            </w:r>
            <w:r>
              <w:rPr>
                <w:sz w:val="21"/>
              </w:rPr>
              <w:t>征</w:t>
            </w:r>
            <w:r>
              <w:rPr>
                <w:spacing w:val="-3"/>
                <w:sz w:val="21"/>
              </w:rPr>
              <w:t>，也</w:t>
            </w:r>
          </w:p>
          <w:p>
            <w:pPr>
              <w:pStyle w:val="TableParagraph"/>
              <w:tabs>
                <w:tab w:pos="3397" w:val="left" w:leader="none"/>
              </w:tabs>
              <w:spacing w:before="36"/>
              <w:ind w:left="104"/>
              <w:rPr>
                <w:sz w:val="21"/>
              </w:rPr>
            </w:pPr>
            <w:r>
              <w:rPr>
                <w:sz w:val="21"/>
              </w:rPr>
              <w:t>77、</w:t>
            </w:r>
            <w:r>
              <w:rPr>
                <w:spacing w:val="-3"/>
                <w:sz w:val="21"/>
              </w:rPr>
              <w:t>成</w:t>
            </w:r>
            <w:r>
              <w:rPr>
                <w:sz w:val="21"/>
              </w:rPr>
              <w:t>骨</w:t>
            </w:r>
            <w:r>
              <w:rPr>
                <w:spacing w:val="-3"/>
                <w:sz w:val="21"/>
              </w:rPr>
              <w:t>不</w:t>
            </w:r>
            <w:r>
              <w:rPr>
                <w:sz w:val="21"/>
              </w:rPr>
              <w:t>全</w:t>
            </w:r>
            <w:r>
              <w:rPr>
                <w:spacing w:val="-3"/>
                <w:sz w:val="21"/>
              </w:rPr>
              <w:t>症</w:t>
            </w:r>
            <w:r>
              <w:rPr>
                <w:sz w:val="21"/>
              </w:rPr>
              <w:t>第</w:t>
            </w:r>
            <w:r>
              <w:rPr>
                <w:spacing w:val="-3"/>
                <w:sz w:val="21"/>
              </w:rPr>
              <w:t>三</w:t>
            </w:r>
            <w:r>
              <w:rPr>
                <w:sz w:val="21"/>
              </w:rPr>
              <w:t>型</w:t>
              <w:tab/>
              <w:t>称赖</w:t>
            </w:r>
            <w:r>
              <w:rPr>
                <w:spacing w:val="-3"/>
                <w:sz w:val="21"/>
              </w:rPr>
              <w:t>氏</w:t>
            </w:r>
            <w:r>
              <w:rPr>
                <w:sz w:val="21"/>
              </w:rPr>
              <w:t>综</w:t>
            </w:r>
            <w:r>
              <w:rPr>
                <w:spacing w:val="-3"/>
                <w:sz w:val="21"/>
              </w:rPr>
              <w:t>合</w:t>
            </w:r>
            <w:r>
              <w:rPr>
                <w:sz w:val="21"/>
              </w:rPr>
              <w:t>征</w:t>
            </w:r>
            <w:r>
              <w:rPr>
                <w:spacing w:val="-3"/>
                <w:sz w:val="21"/>
              </w:rPr>
              <w:t>、</w:t>
            </w:r>
            <w:r>
              <w:rPr>
                <w:sz w:val="21"/>
              </w:rPr>
              <w:t>雷</w:t>
            </w:r>
            <w:r>
              <w:rPr>
                <w:spacing w:val="-3"/>
                <w:sz w:val="21"/>
              </w:rPr>
              <w:t>氏</w:t>
            </w:r>
            <w:r>
              <w:rPr>
                <w:sz w:val="21"/>
              </w:rPr>
              <w:t>综</w:t>
            </w:r>
            <w:r>
              <w:rPr>
                <w:spacing w:val="-3"/>
                <w:sz w:val="21"/>
              </w:rPr>
              <w:t>合</w:t>
            </w:r>
            <w:r>
              <w:rPr>
                <w:sz w:val="21"/>
              </w:rPr>
              <w:t>征）</w:t>
            </w:r>
          </w:p>
          <w:p>
            <w:pPr>
              <w:pStyle w:val="TableParagraph"/>
              <w:tabs>
                <w:tab w:pos="2977" w:val="left" w:leader="none"/>
              </w:tabs>
              <w:spacing w:before="36"/>
              <w:ind w:left="104"/>
              <w:rPr>
                <w:sz w:val="21"/>
              </w:rPr>
            </w:pPr>
            <w:r>
              <w:rPr>
                <w:sz w:val="21"/>
              </w:rPr>
              <w:t>78、</w:t>
            </w:r>
            <w:r>
              <w:rPr>
                <w:spacing w:val="-3"/>
                <w:sz w:val="21"/>
              </w:rPr>
              <w:t>多</w:t>
            </w:r>
            <w:r>
              <w:rPr>
                <w:sz w:val="21"/>
              </w:rPr>
              <w:t>处</w:t>
            </w:r>
            <w:r>
              <w:rPr>
                <w:spacing w:val="-3"/>
                <w:sz w:val="21"/>
              </w:rPr>
              <w:t>臂</w:t>
            </w:r>
            <w:r>
              <w:rPr>
                <w:sz w:val="21"/>
              </w:rPr>
              <w:t>丛</w:t>
            </w:r>
            <w:r>
              <w:rPr>
                <w:spacing w:val="-3"/>
                <w:sz w:val="21"/>
              </w:rPr>
              <w:t>神</w:t>
            </w:r>
            <w:r>
              <w:rPr>
                <w:sz w:val="21"/>
              </w:rPr>
              <w:t>经</w:t>
            </w:r>
            <w:r>
              <w:rPr>
                <w:spacing w:val="-3"/>
                <w:sz w:val="21"/>
              </w:rPr>
              <w:t>根</w:t>
            </w:r>
            <w:r>
              <w:rPr>
                <w:sz w:val="21"/>
              </w:rPr>
              <w:t>性</w:t>
            </w:r>
            <w:r>
              <w:rPr>
                <w:spacing w:val="-3"/>
                <w:sz w:val="21"/>
              </w:rPr>
              <w:t>撕</w:t>
            </w:r>
            <w:r>
              <w:rPr>
                <w:sz w:val="21"/>
              </w:rPr>
              <w:t>脱</w:t>
              <w:tab/>
              <w:t>79、</w:t>
            </w:r>
            <w:r>
              <w:rPr>
                <w:spacing w:val="-3"/>
                <w:sz w:val="21"/>
              </w:rPr>
              <w:t>原</w:t>
            </w:r>
            <w:r>
              <w:rPr>
                <w:sz w:val="21"/>
              </w:rPr>
              <w:t>发</w:t>
            </w:r>
            <w:r>
              <w:rPr>
                <w:spacing w:val="-3"/>
                <w:sz w:val="21"/>
              </w:rPr>
              <w:t>性</w:t>
            </w:r>
            <w:r>
              <w:rPr>
                <w:sz w:val="21"/>
              </w:rPr>
              <w:t>脊</w:t>
            </w:r>
            <w:r>
              <w:rPr>
                <w:spacing w:val="-3"/>
                <w:sz w:val="21"/>
              </w:rPr>
              <w:t>柱</w:t>
            </w:r>
            <w:r>
              <w:rPr>
                <w:sz w:val="21"/>
              </w:rPr>
              <w:t>侧</w:t>
            </w:r>
            <w:r>
              <w:rPr>
                <w:spacing w:val="-3"/>
                <w:sz w:val="21"/>
              </w:rPr>
              <w:t>弯</w:t>
            </w:r>
            <w:r>
              <w:rPr>
                <w:sz w:val="21"/>
              </w:rPr>
              <w:t>的</w:t>
            </w:r>
            <w:r>
              <w:rPr>
                <w:spacing w:val="-3"/>
                <w:sz w:val="21"/>
              </w:rPr>
              <w:t>矫</w:t>
            </w:r>
            <w:r>
              <w:rPr>
                <w:sz w:val="21"/>
              </w:rPr>
              <w:t>正手术</w:t>
            </w:r>
          </w:p>
          <w:p>
            <w:pPr>
              <w:pStyle w:val="TableParagraph"/>
              <w:spacing w:before="36"/>
              <w:ind w:left="104"/>
              <w:rPr>
                <w:sz w:val="21"/>
              </w:rPr>
            </w:pPr>
            <w:r>
              <w:rPr>
                <w:sz w:val="21"/>
              </w:rPr>
              <w:t>80、溶血性链球菌引起的坏疽</w:t>
            </w:r>
          </w:p>
        </w:tc>
      </w:tr>
      <w:tr>
        <w:trPr>
          <w:trHeight w:val="1051" w:hRule="atLeast"/>
        </w:trPr>
        <w:tc>
          <w:tcPr>
            <w:tcW w:w="710" w:type="dxa"/>
          </w:tcPr>
          <w:p>
            <w:pPr>
              <w:pStyle w:val="TableParagraph"/>
              <w:spacing w:before="3"/>
              <w:ind w:left="0"/>
              <w:rPr>
                <w:sz w:val="20"/>
              </w:rPr>
            </w:pPr>
          </w:p>
          <w:p>
            <w:pPr>
              <w:pStyle w:val="TableParagraph"/>
              <w:ind w:left="0" w:right="172"/>
              <w:jc w:val="right"/>
              <w:rPr>
                <w:b/>
                <w:sz w:val="21"/>
              </w:rPr>
            </w:pPr>
            <w:r>
              <w:rPr>
                <w:b/>
                <w:sz w:val="21"/>
              </w:rPr>
              <w:t>1.2</w:t>
            </w:r>
          </w:p>
        </w:tc>
        <w:tc>
          <w:tcPr>
            <w:tcW w:w="2471" w:type="dxa"/>
          </w:tcPr>
          <w:p>
            <w:pPr>
              <w:pStyle w:val="TableParagraph"/>
              <w:spacing w:before="3"/>
              <w:ind w:left="0"/>
              <w:rPr>
                <w:sz w:val="20"/>
              </w:rPr>
            </w:pPr>
          </w:p>
          <w:p>
            <w:pPr>
              <w:pStyle w:val="TableParagraph"/>
              <w:ind w:left="154"/>
              <w:rPr>
                <w:b/>
                <w:sz w:val="21"/>
              </w:rPr>
            </w:pPr>
            <w:r>
              <w:rPr>
                <w:b/>
                <w:sz w:val="21"/>
              </w:rPr>
              <w:t>保险期间</w:t>
            </w:r>
          </w:p>
        </w:tc>
        <w:tc>
          <w:tcPr>
            <w:tcW w:w="6901" w:type="dxa"/>
            <w:tcBorders>
              <w:top w:val="single" w:sz="4" w:space="0" w:color="000000"/>
            </w:tcBorders>
          </w:tcPr>
          <w:p>
            <w:pPr>
              <w:pStyle w:val="TableParagraph"/>
              <w:spacing w:before="3"/>
              <w:ind w:left="0"/>
              <w:rPr>
                <w:sz w:val="20"/>
              </w:rPr>
            </w:pPr>
          </w:p>
          <w:p>
            <w:pPr>
              <w:pStyle w:val="TableParagraph"/>
              <w:spacing w:line="273" w:lineRule="auto"/>
              <w:ind w:left="-4" w:right="104"/>
              <w:rPr>
                <w:sz w:val="21"/>
              </w:rPr>
            </w:pPr>
            <w:r>
              <w:rPr>
                <w:sz w:val="21"/>
              </w:rPr>
              <w:t>本附加险合同的保险期间为终身，自本附加险合同生效时起至本附加险合同约定终止时止。</w:t>
            </w:r>
          </w:p>
        </w:tc>
      </w:tr>
      <w:tr>
        <w:trPr>
          <w:trHeight w:val="824" w:hRule="atLeast"/>
        </w:trPr>
        <w:tc>
          <w:tcPr>
            <w:tcW w:w="710" w:type="dxa"/>
            <w:tcBorders>
              <w:bottom w:val="single" w:sz="8" w:space="0" w:color="000000"/>
            </w:tcBorders>
          </w:tcPr>
          <w:p>
            <w:pPr>
              <w:pStyle w:val="TableParagraph"/>
              <w:spacing w:before="151"/>
              <w:ind w:left="0" w:right="151"/>
              <w:jc w:val="right"/>
              <w:rPr>
                <w:rFonts w:ascii="Arial" w:hAnsi="Arial"/>
                <w:b/>
                <w:sz w:val="40"/>
              </w:rPr>
            </w:pPr>
            <w:r>
              <w:rPr>
                <w:rFonts w:ascii="Arial" w:hAnsi="Arial"/>
                <w:b/>
                <w:w w:val="119"/>
                <w:sz w:val="40"/>
              </w:rPr>
              <w:t></w:t>
            </w:r>
          </w:p>
        </w:tc>
        <w:tc>
          <w:tcPr>
            <w:tcW w:w="9372" w:type="dxa"/>
            <w:gridSpan w:val="2"/>
            <w:tcBorders>
              <w:bottom w:val="single" w:sz="8" w:space="0" w:color="000000"/>
            </w:tcBorders>
          </w:tcPr>
          <w:p>
            <w:pPr>
              <w:pStyle w:val="TableParagraph"/>
              <w:spacing w:line="305" w:lineRule="exact" w:before="150"/>
              <w:ind w:left="154"/>
              <w:rPr>
                <w:b/>
                <w:sz w:val="24"/>
              </w:rPr>
            </w:pPr>
            <w:r>
              <w:rPr>
                <w:b/>
                <w:w w:val="95"/>
                <w:sz w:val="24"/>
              </w:rPr>
              <w:t>我们不保什么</w:t>
            </w:r>
          </w:p>
          <w:p>
            <w:pPr>
              <w:pStyle w:val="TableParagraph"/>
              <w:spacing w:line="305" w:lineRule="exact"/>
              <w:ind w:left="154"/>
              <w:rPr>
                <w:sz w:val="24"/>
              </w:rPr>
            </w:pPr>
            <w:r>
              <w:rPr>
                <w:sz w:val="24"/>
              </w:rPr>
              <w:t>这部分讲的是我们不承担保险责任的情况。</w:t>
            </w:r>
          </w:p>
        </w:tc>
      </w:tr>
      <w:tr>
        <w:trPr>
          <w:trHeight w:val="5518" w:hRule="atLeast"/>
        </w:trPr>
        <w:tc>
          <w:tcPr>
            <w:tcW w:w="710" w:type="dxa"/>
            <w:tcBorders>
              <w:top w:val="single" w:sz="8" w:space="0" w:color="000000"/>
            </w:tcBorders>
          </w:tcPr>
          <w:p>
            <w:pPr>
              <w:pStyle w:val="TableParagraph"/>
              <w:spacing w:before="9"/>
              <w:ind w:left="0"/>
              <w:rPr>
                <w:sz w:val="18"/>
              </w:rPr>
            </w:pPr>
          </w:p>
          <w:p>
            <w:pPr>
              <w:pStyle w:val="TableParagraph"/>
              <w:spacing w:before="1"/>
              <w:ind w:left="0" w:right="172"/>
              <w:jc w:val="right"/>
              <w:rPr>
                <w:b/>
                <w:sz w:val="21"/>
              </w:rPr>
            </w:pPr>
            <w:r>
              <w:rPr>
                <w:b/>
                <w:sz w:val="21"/>
              </w:rPr>
              <w:t>2.1</w:t>
            </w:r>
          </w:p>
        </w:tc>
        <w:tc>
          <w:tcPr>
            <w:tcW w:w="2471" w:type="dxa"/>
            <w:tcBorders>
              <w:top w:val="single" w:sz="8" w:space="0" w:color="000000"/>
            </w:tcBorders>
          </w:tcPr>
          <w:p>
            <w:pPr>
              <w:pStyle w:val="TableParagraph"/>
              <w:spacing w:before="9"/>
              <w:ind w:left="0"/>
              <w:rPr>
                <w:sz w:val="18"/>
              </w:rPr>
            </w:pPr>
          </w:p>
          <w:p>
            <w:pPr>
              <w:pStyle w:val="TableParagraph"/>
              <w:spacing w:before="1"/>
              <w:ind w:left="154"/>
              <w:rPr>
                <w:b/>
                <w:sz w:val="21"/>
              </w:rPr>
            </w:pPr>
            <w:r>
              <w:rPr>
                <w:b/>
                <w:sz w:val="21"/>
              </w:rPr>
              <w:t>责任免除</w:t>
            </w:r>
          </w:p>
        </w:tc>
        <w:tc>
          <w:tcPr>
            <w:tcW w:w="6901" w:type="dxa"/>
            <w:tcBorders>
              <w:top w:val="single" w:sz="8" w:space="0" w:color="000000"/>
            </w:tcBorders>
          </w:tcPr>
          <w:p>
            <w:pPr>
              <w:pStyle w:val="TableParagraph"/>
              <w:spacing w:before="9"/>
              <w:ind w:left="0"/>
              <w:rPr>
                <w:sz w:val="18"/>
              </w:rPr>
            </w:pPr>
          </w:p>
          <w:p>
            <w:pPr>
              <w:pStyle w:val="TableParagraph"/>
              <w:spacing w:line="273" w:lineRule="auto" w:before="1"/>
              <w:ind w:left="-4" w:right="103"/>
              <w:rPr>
                <w:sz w:val="21"/>
              </w:rPr>
            </w:pPr>
            <w:r>
              <w:rPr>
                <w:sz w:val="21"/>
                <w:shd w:fill="DADADA" w:color="auto" w:val="clear"/>
              </w:rPr>
              <w:t>因下列情形之一导致被保险人发生“特定轻度重疾”或初次发生“重大疾病”的，我们不承担给付保险金的责任：</w:t>
            </w:r>
          </w:p>
          <w:p>
            <w:pPr>
              <w:pStyle w:val="TableParagraph"/>
              <w:spacing w:before="8"/>
              <w:ind w:left="-4"/>
              <w:rPr>
                <w:sz w:val="21"/>
              </w:rPr>
            </w:pPr>
            <w:r>
              <w:rPr>
                <w:sz w:val="21"/>
                <w:shd w:fill="DADADA" w:color="auto" w:val="clear"/>
              </w:rPr>
              <w:t>（1）投保人对被保险人的故意杀害、故意伤害；</w:t>
            </w:r>
          </w:p>
          <w:p>
            <w:pPr>
              <w:pStyle w:val="TableParagraph"/>
              <w:spacing w:before="37"/>
              <w:ind w:left="-4"/>
              <w:rPr>
                <w:sz w:val="21"/>
              </w:rPr>
            </w:pPr>
            <w:r>
              <w:rPr>
                <w:sz w:val="21"/>
                <w:shd w:fill="DADADA" w:color="auto" w:val="clear"/>
              </w:rPr>
              <w:t>（2）被保险人故意自伤、故意犯罪或者抗拒依法采取的刑事强制措施；</w:t>
            </w:r>
          </w:p>
          <w:p>
            <w:pPr>
              <w:pStyle w:val="TableParagraph"/>
              <w:spacing w:before="37"/>
              <w:ind w:left="-4"/>
              <w:rPr>
                <w:sz w:val="21"/>
              </w:rPr>
            </w:pPr>
            <w:r>
              <w:rPr>
                <w:sz w:val="21"/>
              </w:rPr>
              <w:t>（3）被保险人主动吸食或注射</w:t>
            </w:r>
            <w:r>
              <w:rPr>
                <w:rFonts w:ascii="黑体" w:eastAsia="黑体" w:hint="eastAsia"/>
                <w:b/>
                <w:sz w:val="21"/>
              </w:rPr>
              <w:t>毒品 </w:t>
            </w:r>
            <w:hyperlink w:history="true" w:anchor="_bookmark8">
              <w:r>
                <w:rPr>
                  <w:rFonts w:ascii="黑体" w:eastAsia="黑体" w:hint="eastAsia"/>
                  <w:b/>
                  <w:position w:val="11"/>
                  <w:sz w:val="11"/>
                </w:rPr>
                <w:t>9</w:t>
              </w:r>
            </w:hyperlink>
            <w:r>
              <w:rPr>
                <w:sz w:val="21"/>
              </w:rPr>
              <w:t>；</w:t>
            </w:r>
          </w:p>
          <w:p>
            <w:pPr>
              <w:pStyle w:val="TableParagraph"/>
              <w:spacing w:before="37"/>
              <w:ind w:left="-4"/>
              <w:rPr>
                <w:sz w:val="21"/>
              </w:rPr>
            </w:pPr>
            <w:r>
              <w:rPr>
                <w:sz w:val="21"/>
              </w:rPr>
              <w:t>（4）被保险人</w:t>
            </w:r>
            <w:r>
              <w:rPr>
                <w:rFonts w:ascii="黑体" w:eastAsia="黑体" w:hint="eastAsia"/>
                <w:b/>
                <w:sz w:val="21"/>
              </w:rPr>
              <w:t>酒后驾驶 </w:t>
            </w:r>
            <w:hyperlink w:history="true" w:anchor="_bookmark9">
              <w:r>
                <w:rPr>
                  <w:rFonts w:ascii="黑体" w:eastAsia="黑体" w:hint="eastAsia"/>
                  <w:b/>
                  <w:position w:val="11"/>
                  <w:sz w:val="11"/>
                </w:rPr>
                <w:t>10</w:t>
              </w:r>
            </w:hyperlink>
            <w:r>
              <w:rPr>
                <w:rFonts w:ascii="黑体" w:eastAsia="黑体" w:hint="eastAsia"/>
                <w:b/>
                <w:sz w:val="21"/>
              </w:rPr>
              <w:t>机动车 </w:t>
            </w:r>
            <w:hyperlink w:history="true" w:anchor="_bookmark10">
              <w:r>
                <w:rPr>
                  <w:rFonts w:ascii="黑体" w:eastAsia="黑体" w:hint="eastAsia"/>
                  <w:b/>
                  <w:position w:val="11"/>
                  <w:sz w:val="11"/>
                </w:rPr>
                <w:t>11</w:t>
              </w:r>
            </w:hyperlink>
            <w:r>
              <w:rPr>
                <w:sz w:val="21"/>
              </w:rPr>
              <w:t>；</w:t>
            </w:r>
          </w:p>
          <w:p>
            <w:pPr>
              <w:pStyle w:val="TableParagraph"/>
              <w:spacing w:line="273" w:lineRule="auto" w:before="37"/>
              <w:ind w:left="500" w:right="-15" w:hanging="504"/>
              <w:rPr>
                <w:sz w:val="21"/>
              </w:rPr>
            </w:pPr>
            <w:r>
              <w:rPr>
                <w:spacing w:val="-13"/>
                <w:sz w:val="21"/>
              </w:rPr>
              <w:t>（5）</w:t>
            </w:r>
            <w:r>
              <w:rPr>
                <w:spacing w:val="-3"/>
                <w:sz w:val="21"/>
              </w:rPr>
              <w:t>被保险人</w:t>
            </w:r>
            <w:r>
              <w:rPr>
                <w:rFonts w:ascii="黑体" w:eastAsia="黑体" w:hint="eastAsia"/>
                <w:b/>
                <w:spacing w:val="-3"/>
                <w:sz w:val="21"/>
              </w:rPr>
              <w:t>感染艾滋病病毒或患艾滋病 </w:t>
            </w:r>
            <w:hyperlink w:history="true" w:anchor="_bookmark11">
              <w:r>
                <w:rPr>
                  <w:rFonts w:ascii="黑体" w:eastAsia="黑体" w:hint="eastAsia"/>
                  <w:b/>
                  <w:spacing w:val="-11"/>
                  <w:position w:val="11"/>
                  <w:sz w:val="11"/>
                </w:rPr>
                <w:t>12</w:t>
              </w:r>
            </w:hyperlink>
            <w:r>
              <w:rPr>
                <w:spacing w:val="-11"/>
                <w:sz w:val="21"/>
              </w:rPr>
              <w:t>（</w:t>
            </w:r>
            <w:r>
              <w:rPr>
                <w:spacing w:val="-8"/>
                <w:sz w:val="21"/>
              </w:rPr>
              <w:t>不包括经输血、因职业关系、</w:t>
            </w:r>
            <w:r>
              <w:rPr>
                <w:spacing w:val="-3"/>
                <w:w w:val="100"/>
                <w:sz w:val="21"/>
              </w:rPr>
              <w:t>器官移植导致的艾滋病病毒感染或患艾滋病</w:t>
            </w:r>
            <w:r>
              <w:rPr>
                <w:spacing w:val="-108"/>
                <w:w w:val="100"/>
                <w:sz w:val="21"/>
              </w:rPr>
              <w:t>）</w:t>
            </w:r>
            <w:r>
              <w:rPr>
                <w:w w:val="100"/>
                <w:sz w:val="21"/>
              </w:rPr>
              <w:t>；</w:t>
            </w:r>
          </w:p>
          <w:p>
            <w:pPr>
              <w:pStyle w:val="TableParagraph"/>
              <w:spacing w:before="8"/>
              <w:ind w:left="-4"/>
              <w:rPr>
                <w:sz w:val="21"/>
              </w:rPr>
            </w:pPr>
            <w:r>
              <w:rPr>
                <w:sz w:val="21"/>
                <w:shd w:fill="DADADA" w:color="auto" w:val="clear"/>
              </w:rPr>
              <w:t>（6）战争、军事冲突、暴乱或武装叛乱；</w:t>
            </w:r>
          </w:p>
          <w:p>
            <w:pPr>
              <w:pStyle w:val="TableParagraph"/>
              <w:spacing w:before="37"/>
              <w:ind w:left="-4"/>
              <w:rPr>
                <w:sz w:val="21"/>
              </w:rPr>
            </w:pPr>
            <w:r>
              <w:rPr>
                <w:sz w:val="21"/>
                <w:shd w:fill="DADADA" w:color="auto" w:val="clear"/>
              </w:rPr>
              <w:t>（7）核爆炸、核辐射或核污染；</w:t>
            </w:r>
          </w:p>
          <w:p>
            <w:pPr>
              <w:pStyle w:val="TableParagraph"/>
              <w:spacing w:line="273" w:lineRule="auto" w:before="37"/>
              <w:ind w:left="462" w:right="100" w:hanging="466"/>
              <w:jc w:val="both"/>
              <w:rPr>
                <w:sz w:val="21"/>
              </w:rPr>
            </w:pPr>
            <w:r>
              <w:rPr>
                <w:w w:val="100"/>
                <w:sz w:val="21"/>
              </w:rPr>
              <w:t>（8</w:t>
            </w:r>
            <w:r>
              <w:rPr>
                <w:spacing w:val="-56"/>
                <w:w w:val="100"/>
                <w:sz w:val="21"/>
              </w:rPr>
              <w:t>）</w:t>
            </w:r>
            <w:r>
              <w:rPr>
                <w:rFonts w:ascii="黑体" w:eastAsia="黑体" w:hint="eastAsia"/>
                <w:b/>
                <w:w w:val="100"/>
                <w:sz w:val="21"/>
              </w:rPr>
              <w:t>遗传性疾病</w:t>
            </w:r>
            <w:r>
              <w:rPr>
                <w:rFonts w:ascii="黑体" w:eastAsia="黑体" w:hint="eastAsia"/>
                <w:b/>
                <w:sz w:val="21"/>
              </w:rPr>
              <w:t> </w:t>
            </w:r>
            <w:hyperlink w:history="true" w:anchor="_bookmark12">
              <w:r>
                <w:rPr>
                  <w:rFonts w:ascii="黑体" w:eastAsia="黑体" w:hint="eastAsia"/>
                  <w:b/>
                  <w:spacing w:val="1"/>
                  <w:w w:val="99"/>
                  <w:position w:val="11"/>
                  <w:sz w:val="11"/>
                </w:rPr>
                <w:t>1</w:t>
              </w:r>
              <w:r>
                <w:rPr>
                  <w:rFonts w:ascii="黑体" w:eastAsia="黑体" w:hint="eastAsia"/>
                  <w:b/>
                  <w:spacing w:val="-51"/>
                  <w:w w:val="99"/>
                  <w:position w:val="11"/>
                  <w:sz w:val="11"/>
                </w:rPr>
                <w:t>3</w:t>
              </w:r>
            </w:hyperlink>
            <w:r>
              <w:rPr>
                <w:w w:val="100"/>
                <w:sz w:val="21"/>
              </w:rPr>
              <w:t>（</w:t>
            </w:r>
            <w:r>
              <w:rPr>
                <w:spacing w:val="-11"/>
                <w:w w:val="100"/>
                <w:sz w:val="21"/>
              </w:rPr>
              <w:t>不包括严重肾髓质囊性病、严重肝豆状核变性</w:t>
            </w:r>
            <w:r>
              <w:rPr>
                <w:spacing w:val="-1"/>
                <w:w w:val="100"/>
                <w:sz w:val="21"/>
              </w:rPr>
              <w:t>（</w:t>
            </w:r>
            <w:r>
              <w:rPr>
                <w:w w:val="100"/>
                <w:sz w:val="21"/>
              </w:rPr>
              <w:t>W</w:t>
            </w:r>
            <w:r>
              <w:rPr>
                <w:spacing w:val="-3"/>
                <w:w w:val="100"/>
                <w:sz w:val="21"/>
              </w:rPr>
              <w:t>i</w:t>
            </w:r>
            <w:r>
              <w:rPr>
                <w:w w:val="100"/>
                <w:sz w:val="21"/>
              </w:rPr>
              <w:t>ls</w:t>
            </w:r>
            <w:r>
              <w:rPr>
                <w:spacing w:val="-3"/>
                <w:w w:val="100"/>
                <w:sz w:val="21"/>
              </w:rPr>
              <w:t>o</w:t>
            </w:r>
            <w:r>
              <w:rPr>
                <w:w w:val="100"/>
                <w:sz w:val="21"/>
              </w:rPr>
              <w:t>n病</w:t>
            </w:r>
            <w:r>
              <w:rPr>
                <w:spacing w:val="-104"/>
                <w:w w:val="100"/>
                <w:sz w:val="21"/>
              </w:rPr>
              <w:t>）</w:t>
            </w:r>
            <w:r>
              <w:rPr>
                <w:spacing w:val="-3"/>
                <w:w w:val="100"/>
                <w:sz w:val="21"/>
              </w:rPr>
              <w:t>、艾森门格综合征及成骨不全症第三型</w:t>
            </w:r>
            <w:r>
              <w:rPr>
                <w:spacing w:val="-104"/>
                <w:w w:val="100"/>
                <w:sz w:val="21"/>
              </w:rPr>
              <w:t>）</w:t>
            </w:r>
            <w:r>
              <w:rPr>
                <w:spacing w:val="-3"/>
                <w:w w:val="100"/>
                <w:sz w:val="21"/>
              </w:rPr>
              <w:t>，</w:t>
            </w:r>
            <w:r>
              <w:rPr>
                <w:rFonts w:ascii="黑体" w:eastAsia="黑体" w:hint="eastAsia"/>
                <w:b/>
                <w:w w:val="100"/>
                <w:sz w:val="21"/>
                <w:shd w:fill="DADADA" w:color="auto" w:val="clear"/>
              </w:rPr>
              <w:t>先天性畸形、变形或染</w:t>
            </w:r>
            <w:r>
              <w:rPr>
                <w:rFonts w:ascii="黑体" w:eastAsia="黑体" w:hint="eastAsia"/>
                <w:b/>
                <w:spacing w:val="-8"/>
                <w:sz w:val="21"/>
              </w:rPr>
              <w:t>色体异常 </w:t>
            </w:r>
            <w:hyperlink w:history="true" w:anchor="_bookmark13">
              <w:r>
                <w:rPr>
                  <w:rFonts w:ascii="黑体" w:eastAsia="黑体" w:hint="eastAsia"/>
                  <w:b/>
                  <w:position w:val="11"/>
                  <w:sz w:val="11"/>
                </w:rPr>
                <w:t>14</w:t>
              </w:r>
            </w:hyperlink>
            <w:r>
              <w:rPr>
                <w:sz w:val="21"/>
              </w:rPr>
              <w:t>。</w:t>
            </w:r>
          </w:p>
          <w:p>
            <w:pPr>
              <w:pStyle w:val="TableParagraph"/>
              <w:spacing w:line="273" w:lineRule="auto" w:before="4"/>
              <w:ind w:left="-4" w:right="106"/>
              <w:rPr>
                <w:sz w:val="21"/>
              </w:rPr>
            </w:pPr>
            <w:r>
              <w:rPr>
                <w:spacing w:val="-3"/>
                <w:sz w:val="21"/>
                <w:shd w:fill="DADADA" w:color="auto" w:val="clear"/>
              </w:rPr>
              <w:t>发生上述第</w:t>
            </w:r>
            <w:r>
              <w:rPr>
                <w:spacing w:val="-4"/>
                <w:sz w:val="21"/>
                <w:shd w:fill="DADADA" w:color="auto" w:val="clear"/>
              </w:rPr>
              <w:t>（1）</w:t>
            </w:r>
            <w:r>
              <w:rPr>
                <w:spacing w:val="-5"/>
                <w:sz w:val="21"/>
                <w:shd w:fill="DADADA" w:color="auto" w:val="clear"/>
              </w:rPr>
              <w:t>项情形导致被保险人初次发生“重大疾病”的，本附加险</w:t>
            </w:r>
            <w:r>
              <w:rPr>
                <w:spacing w:val="-205"/>
                <w:sz w:val="21"/>
                <w:shd w:fill="DADADA" w:color="auto" w:val="clear"/>
              </w:rPr>
              <w:t>合</w:t>
            </w:r>
            <w:r>
              <w:rPr>
                <w:spacing w:val="-3"/>
                <w:sz w:val="21"/>
                <w:shd w:fill="DADADA" w:color="auto" w:val="clear"/>
              </w:rPr>
              <w:t>同终止，我们向被保险人退还本附加险合同的现金价值。</w:t>
            </w:r>
          </w:p>
          <w:p>
            <w:pPr>
              <w:pStyle w:val="TableParagraph"/>
              <w:spacing w:line="312" w:lineRule="exact" w:before="3"/>
              <w:ind w:left="-4" w:right="104"/>
              <w:rPr>
                <w:sz w:val="21"/>
              </w:rPr>
            </w:pPr>
            <w:r>
              <w:rPr>
                <w:sz w:val="21"/>
                <w:shd w:fill="DADADA" w:color="auto" w:val="clear"/>
              </w:rPr>
              <w:t>发生上述其他情形导致被保险人初次发生“重大疾病”的，本附加险合同</w:t>
            </w:r>
            <w:r>
              <w:rPr>
                <w:spacing w:val="-211"/>
                <w:sz w:val="21"/>
                <w:shd w:fill="DADADA" w:color="auto" w:val="clear"/>
              </w:rPr>
              <w:t>终</w:t>
            </w:r>
            <w:r>
              <w:rPr>
                <w:spacing w:val="-3"/>
                <w:sz w:val="21"/>
                <w:shd w:fill="DADADA" w:color="auto" w:val="clear"/>
              </w:rPr>
              <w:t>止，我们向您退还本附加险合同的现金价值。</w:t>
            </w:r>
          </w:p>
        </w:tc>
      </w:tr>
    </w:tbl>
    <w:p>
      <w:pPr>
        <w:pStyle w:val="BodyText"/>
        <w:rPr>
          <w:sz w:val="17"/>
        </w:rPr>
      </w:pPr>
      <w:r>
        <w:rPr/>
        <w:pict>
          <v:line style="position:absolute;mso-position-horizontal-relative:page;mso-position-vertical-relative:paragraph;z-index:1216;mso-wrap-distance-left:0;mso-wrap-distance-right:0" from="51pt,13.355pt" to="195pt,13.355pt" stroked="true" strokeweight=".48pt" strokecolor="#000000">
            <v:stroke dashstyle="solid"/>
            <w10:wrap type="topAndBottom"/>
          </v:line>
        </w:pict>
      </w:r>
      <w:r>
        <w:rPr/>
        <w:pict>
          <v:line style="position:absolute;mso-position-horizontal-relative:page;mso-position-vertical-relative:page;z-index:-67600" from="541.080505pt,56.639984pt" to="541.080505pt,213.719984pt" stroked="true" strokeweight=".481pt" strokecolor="#000000">
            <v:stroke dashstyle="solid"/>
            <w10:wrap type="none"/>
          </v:line>
        </w:pict>
      </w:r>
      <w:r>
        <w:rPr/>
        <w:pict>
          <v:shape style="position:absolute;margin-left:204.480011pt;margin-top:385.079956pt;width:201.85pt;height:44.9pt;mso-position-horizontal-relative:page;mso-position-vertical-relative:page;z-index:-67576" coordorigin="4090,7702" coordsize="4037,898" path="m7495,8014l4090,8014,4090,8287,7495,8287,7495,8014m7675,7702l4090,7702,4090,7975,7675,7975,7675,7702m8126,8326l4090,8326,4090,8599,8126,8599,8126,8326e" filled="true" fillcolor="#dadada" stroked="false">
            <v:path arrowok="t"/>
            <v:fill type="solid"/>
            <w10:wrap type="none"/>
          </v:shape>
        </w:pict>
      </w:r>
      <w:r>
        <w:rPr/>
        <w:pict>
          <v:rect style="position:absolute;margin-left:204.479996pt;margin-top:478.679993pt;width:85.32pt;height:13.68pt;mso-position-horizontal-relative:page;mso-position-vertical-relative:page;z-index:-67552" filled="true" fillcolor="#dadada" stroked="false">
            <v:fill type="solid"/>
            <w10:wrap type="none"/>
          </v:rect>
        </w:pict>
      </w:r>
      <w:r>
        <w:rPr/>
        <w:pict>
          <v:rect style="position:absolute;margin-left:227.759995pt;margin-top:509.879974pt;width:61.56pt;height:13.68pt;mso-position-horizontal-relative:page;mso-position-vertical-relative:page;z-index:-67528" filled="true" fillcolor="#dadada" stroked="false">
            <v:fill type="solid"/>
            <w10:wrap type="none"/>
          </v:rect>
        </w:pict>
      </w:r>
    </w:p>
    <w:p>
      <w:pPr>
        <w:spacing w:line="256" w:lineRule="auto" w:before="25"/>
        <w:ind w:left="399" w:right="217" w:hanging="18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2"/>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9"/>
        <w:ind w:left="399" w:right="215" w:hanging="18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酒后驾驶</w:t>
      </w:r>
      <w:r>
        <w:rPr>
          <w:spacing w:val="-4"/>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2" w:lineRule="exact" w:before="0"/>
        <w:ind w:left="220"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400" w:right="218" w:hanging="181"/>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w:t>
      </w:r>
    </w:p>
    <w:p>
      <w:pPr>
        <w:spacing w:line="285" w:lineRule="auto" w:before="12"/>
        <w:ind w:left="431" w:right="15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7" w:lineRule="exact" w:before="0"/>
        <w:ind w:left="220" w:right="0"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30" w:lineRule="exact" w:before="22"/>
        <w:ind w:left="399" w:right="0" w:firstLine="0"/>
        <w:jc w:val="left"/>
        <w:rPr>
          <w:sz w:val="18"/>
        </w:rPr>
      </w:pPr>
      <w:r>
        <w:rPr>
          <w:sz w:val="18"/>
        </w:rPr>
        <w:t>直传递的特征。</w:t>
      </w:r>
    </w:p>
    <w:p>
      <w:pPr>
        <w:spacing w:line="280" w:lineRule="exact" w:before="37"/>
        <w:ind w:left="400" w:right="215" w:hanging="18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pacing w:val="-2"/>
          <w:sz w:val="18"/>
        </w:rPr>
        <w:t>先天性畸形、变形或染色体异常</w:t>
      </w:r>
      <w:r>
        <w:rPr>
          <w:spacing w:val="-4"/>
          <w:sz w:val="18"/>
        </w:rPr>
        <w:t>指被保险人出生时就具有的畸形、变形或染色体异常。先天性畸形、变形和染色体异常依照</w:t>
      </w:r>
      <w:r>
        <w:rPr>
          <w:spacing w:val="-5"/>
          <w:sz w:val="18"/>
        </w:rPr>
        <w:t>世界卫生组织《疾病和有关健康问题的国际统计分类》</w:t>
      </w:r>
      <w:r>
        <w:rPr>
          <w:sz w:val="18"/>
        </w:rPr>
        <w:t>（ICD-10）确定。</w:t>
      </w:r>
    </w:p>
    <w:p>
      <w:pPr>
        <w:spacing w:after="0" w:line="280" w:lineRule="exact"/>
        <w:jc w:val="left"/>
        <w:rPr>
          <w:sz w:val="18"/>
        </w:rPr>
        <w:sectPr>
          <w:pgSz w:w="11910" w:h="16840"/>
          <w:pgMar w:top="112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370"/>
        <w:gridCol w:w="7000"/>
      </w:tblGrid>
      <w:tr>
        <w:trPr>
          <w:trHeight w:val="1028" w:hRule="atLeast"/>
        </w:trPr>
        <w:tc>
          <w:tcPr>
            <w:tcW w:w="710" w:type="dxa"/>
          </w:tcPr>
          <w:p>
            <w:pPr>
              <w:pStyle w:val="TableParagraph"/>
              <w:spacing w:line="202" w:lineRule="exact"/>
              <w:ind w:left="0" w:right="172"/>
              <w:jc w:val="right"/>
              <w:rPr>
                <w:b/>
                <w:sz w:val="21"/>
              </w:rPr>
            </w:pPr>
            <w:r>
              <w:rPr>
                <w:b/>
                <w:sz w:val="21"/>
              </w:rPr>
              <w:t>2.2</w:t>
            </w:r>
          </w:p>
        </w:tc>
        <w:tc>
          <w:tcPr>
            <w:tcW w:w="2370" w:type="dxa"/>
          </w:tcPr>
          <w:p>
            <w:pPr>
              <w:pStyle w:val="TableParagraph"/>
              <w:spacing w:line="202" w:lineRule="exact"/>
              <w:ind w:left="154"/>
              <w:rPr>
                <w:b/>
                <w:sz w:val="21"/>
              </w:rPr>
            </w:pPr>
            <w:r>
              <w:rPr>
                <w:b/>
                <w:sz w:val="21"/>
              </w:rPr>
              <w:t>其他免责条款</w:t>
            </w:r>
          </w:p>
        </w:tc>
        <w:tc>
          <w:tcPr>
            <w:tcW w:w="7000" w:type="dxa"/>
          </w:tcPr>
          <w:p>
            <w:pPr>
              <w:pStyle w:val="TableParagraph"/>
              <w:spacing w:line="202" w:lineRule="exact"/>
              <w:rPr>
                <w:sz w:val="21"/>
              </w:rPr>
            </w:pPr>
            <w:r>
              <w:rPr>
                <w:sz w:val="21"/>
              </w:rPr>
              <w:t>除“2.1</w:t>
            </w:r>
            <w:r>
              <w:rPr>
                <w:spacing w:val="-5"/>
                <w:sz w:val="21"/>
              </w:rPr>
              <w:t> 责任免除”外，本附加险合同中还有一些免除保险人责任的条款，</w:t>
            </w:r>
          </w:p>
          <w:p>
            <w:pPr>
              <w:pStyle w:val="TableParagraph"/>
              <w:spacing w:line="273" w:lineRule="auto" w:before="37"/>
              <w:ind w:right="105" w:hanging="1"/>
              <w:rPr>
                <w:sz w:val="21"/>
              </w:rPr>
            </w:pPr>
            <w:r>
              <w:rPr>
                <w:sz w:val="21"/>
              </w:rPr>
              <w:t>详见“1.1</w:t>
            </w:r>
            <w:r>
              <w:rPr>
                <w:spacing w:val="-37"/>
                <w:sz w:val="21"/>
              </w:rPr>
              <w:t> 保险责任”、</w:t>
            </w:r>
            <w:r>
              <w:rPr>
                <w:sz w:val="21"/>
              </w:rPr>
              <w:t>“5.1</w:t>
            </w:r>
            <w:r>
              <w:rPr>
                <w:spacing w:val="-36"/>
                <w:sz w:val="21"/>
              </w:rPr>
              <w:t> 犹豫期”、“</w:t>
            </w:r>
            <w:r>
              <w:rPr>
                <w:sz w:val="21"/>
              </w:rPr>
              <w:t>7</w:t>
            </w:r>
            <w:r>
              <w:rPr>
                <w:spacing w:val="-25"/>
                <w:sz w:val="21"/>
              </w:rPr>
              <w:t> 特定轻度重疾释义”、</w:t>
            </w:r>
            <w:r>
              <w:rPr>
                <w:sz w:val="21"/>
              </w:rPr>
              <w:t>“8</w:t>
            </w:r>
            <w:r>
              <w:rPr>
                <w:spacing w:val="-9"/>
                <w:sz w:val="21"/>
              </w:rPr>
              <w:t> 重大疾</w:t>
            </w:r>
            <w:r>
              <w:rPr>
                <w:spacing w:val="-31"/>
                <w:sz w:val="21"/>
              </w:rPr>
              <w:t>病释义”、“脚注 </w:t>
            </w:r>
            <w:r>
              <w:rPr>
                <w:sz w:val="21"/>
              </w:rPr>
              <w:t>1</w:t>
            </w:r>
            <w:r>
              <w:rPr>
                <w:spacing w:val="-8"/>
                <w:sz w:val="21"/>
              </w:rPr>
              <w:t> 医院”中背景突出显示的内容。</w:t>
            </w:r>
          </w:p>
        </w:tc>
      </w:tr>
      <w:tr>
        <w:trPr>
          <w:trHeight w:val="948" w:hRule="atLeast"/>
        </w:trPr>
        <w:tc>
          <w:tcPr>
            <w:tcW w:w="710" w:type="dxa"/>
            <w:tcBorders>
              <w:bottom w:val="single" w:sz="8" w:space="0" w:color="000000"/>
            </w:tcBorders>
          </w:tcPr>
          <w:p>
            <w:pPr>
              <w:pStyle w:val="TableParagraph"/>
              <w:spacing w:before="147"/>
              <w:ind w:left="0" w:right="151"/>
              <w:jc w:val="right"/>
              <w:rPr>
                <w:rFonts w:ascii="Arial" w:hAnsi="Arial"/>
                <w:b/>
                <w:sz w:val="40"/>
              </w:rPr>
            </w:pPr>
            <w:r>
              <w:rPr>
                <w:rFonts w:ascii="Arial" w:hAnsi="Arial"/>
                <w:b/>
                <w:w w:val="119"/>
                <w:sz w:val="40"/>
              </w:rPr>
              <w:t></w:t>
            </w:r>
          </w:p>
        </w:tc>
        <w:tc>
          <w:tcPr>
            <w:tcW w:w="9370" w:type="dxa"/>
            <w:gridSpan w:val="2"/>
            <w:tcBorders>
              <w:bottom w:val="single" w:sz="8" w:space="0" w:color="000000"/>
            </w:tcBorders>
          </w:tcPr>
          <w:p>
            <w:pPr>
              <w:pStyle w:val="TableParagraph"/>
              <w:spacing w:before="146"/>
              <w:ind w:left="154"/>
              <w:rPr>
                <w:b/>
                <w:sz w:val="24"/>
              </w:rPr>
            </w:pPr>
            <w:r>
              <w:rPr>
                <w:b/>
                <w:w w:val="95"/>
                <w:sz w:val="24"/>
              </w:rPr>
              <w:t>如何支付保险费</w:t>
            </w:r>
          </w:p>
          <w:p>
            <w:pPr>
              <w:pStyle w:val="TableParagraph"/>
              <w:spacing w:before="106"/>
              <w:ind w:left="154"/>
              <w:rPr>
                <w:sz w:val="24"/>
              </w:rPr>
            </w:pPr>
            <w:r>
              <w:rPr>
                <w:sz w:val="24"/>
              </w:rPr>
              <w:t>这部分讲的是您应当按时交纳保险费，如果不及时交费可能会导致合同效力中止。</w:t>
            </w:r>
          </w:p>
        </w:tc>
      </w:tr>
      <w:tr>
        <w:trPr>
          <w:trHeight w:val="1656" w:hRule="atLeast"/>
        </w:trPr>
        <w:tc>
          <w:tcPr>
            <w:tcW w:w="710" w:type="dxa"/>
            <w:tcBorders>
              <w:top w:val="single" w:sz="8" w:space="0" w:color="000000"/>
            </w:tcBorders>
          </w:tcPr>
          <w:p>
            <w:pPr>
              <w:pStyle w:val="TableParagraph"/>
              <w:spacing w:before="9"/>
              <w:ind w:left="0"/>
              <w:rPr>
                <w:sz w:val="18"/>
              </w:rPr>
            </w:pPr>
          </w:p>
          <w:p>
            <w:pPr>
              <w:pStyle w:val="TableParagraph"/>
              <w:ind w:left="0" w:right="172"/>
              <w:jc w:val="right"/>
              <w:rPr>
                <w:b/>
                <w:sz w:val="21"/>
              </w:rPr>
            </w:pPr>
            <w:r>
              <w:rPr>
                <w:b/>
                <w:sz w:val="21"/>
              </w:rPr>
              <w:t>3.1</w:t>
            </w:r>
          </w:p>
        </w:tc>
        <w:tc>
          <w:tcPr>
            <w:tcW w:w="2370" w:type="dxa"/>
            <w:tcBorders>
              <w:top w:val="single" w:sz="8" w:space="0" w:color="000000"/>
            </w:tcBorders>
          </w:tcPr>
          <w:p>
            <w:pPr>
              <w:pStyle w:val="TableParagraph"/>
              <w:spacing w:before="9"/>
              <w:ind w:left="0"/>
              <w:rPr>
                <w:sz w:val="18"/>
              </w:rPr>
            </w:pPr>
          </w:p>
          <w:p>
            <w:pPr>
              <w:pStyle w:val="TableParagraph"/>
              <w:ind w:left="154"/>
              <w:rPr>
                <w:b/>
                <w:sz w:val="21"/>
              </w:rPr>
            </w:pPr>
            <w:r>
              <w:rPr>
                <w:b/>
                <w:sz w:val="21"/>
              </w:rPr>
              <w:t>保险费的支付</w:t>
            </w:r>
          </w:p>
        </w:tc>
        <w:tc>
          <w:tcPr>
            <w:tcW w:w="7000" w:type="dxa"/>
            <w:tcBorders>
              <w:top w:val="single" w:sz="8" w:space="0" w:color="000000"/>
            </w:tcBorders>
          </w:tcPr>
          <w:p>
            <w:pPr>
              <w:pStyle w:val="TableParagraph"/>
              <w:spacing w:before="9"/>
              <w:ind w:left="0"/>
              <w:rPr>
                <w:sz w:val="18"/>
              </w:rPr>
            </w:pPr>
          </w:p>
          <w:p>
            <w:pPr>
              <w:pStyle w:val="TableParagraph"/>
              <w:spacing w:line="273" w:lineRule="auto"/>
              <w:ind w:right="98"/>
              <w:rPr>
                <w:sz w:val="21"/>
              </w:rPr>
            </w:pPr>
            <w:r>
              <w:rPr>
                <w:spacing w:val="-3"/>
                <w:sz w:val="21"/>
              </w:rPr>
              <w:t>本附加险合同的交费方式和交费期间由您和我们约定并在保险单上载明。</w:t>
            </w:r>
            <w:r>
              <w:rPr>
                <w:spacing w:val="-12"/>
                <w:sz w:val="21"/>
              </w:rPr>
              <w:t>分期支付保险费的，在支付首期保险费后，您应当在</w:t>
            </w:r>
            <w:r>
              <w:rPr>
                <w:rFonts w:ascii="黑体" w:eastAsia="黑体" w:hint="eastAsia"/>
                <w:b/>
                <w:spacing w:val="-2"/>
                <w:sz w:val="21"/>
              </w:rPr>
              <w:t>保险费约定支付日 </w:t>
            </w:r>
            <w:hyperlink w:history="true" w:anchor="_bookmark14">
              <w:r>
                <w:rPr>
                  <w:rFonts w:ascii="黑体" w:eastAsia="黑体" w:hint="eastAsia"/>
                  <w:b/>
                  <w:position w:val="11"/>
                  <w:sz w:val="11"/>
                </w:rPr>
                <w:t>15</w:t>
              </w:r>
            </w:hyperlink>
            <w:r>
              <w:rPr>
                <w:sz w:val="21"/>
              </w:rPr>
              <w:t>支</w:t>
            </w:r>
            <w:r>
              <w:rPr>
                <w:spacing w:val="-3"/>
                <w:sz w:val="21"/>
              </w:rPr>
              <w:t>付其余各期的保险费。</w:t>
            </w:r>
          </w:p>
          <w:p>
            <w:pPr>
              <w:pStyle w:val="TableParagraph"/>
              <w:spacing w:before="7"/>
              <w:rPr>
                <w:sz w:val="21"/>
              </w:rPr>
            </w:pPr>
            <w:r>
              <w:rPr>
                <w:sz w:val="21"/>
              </w:rPr>
              <w:t>本附加险合同的保险费必须随主险合同保险费一同支付，不能单独支付。</w:t>
            </w:r>
          </w:p>
        </w:tc>
      </w:tr>
      <w:tr>
        <w:trPr>
          <w:trHeight w:val="2155" w:hRule="atLeast"/>
        </w:trPr>
        <w:tc>
          <w:tcPr>
            <w:tcW w:w="710" w:type="dxa"/>
          </w:tcPr>
          <w:p>
            <w:pPr>
              <w:pStyle w:val="TableParagraph"/>
              <w:spacing w:before="119"/>
              <w:ind w:left="0" w:right="172"/>
              <w:jc w:val="right"/>
              <w:rPr>
                <w:b/>
                <w:sz w:val="21"/>
              </w:rPr>
            </w:pPr>
            <w:r>
              <w:rPr>
                <w:b/>
                <w:sz w:val="21"/>
              </w:rPr>
              <w:t>3.2</w:t>
            </w:r>
          </w:p>
        </w:tc>
        <w:tc>
          <w:tcPr>
            <w:tcW w:w="2370" w:type="dxa"/>
          </w:tcPr>
          <w:p>
            <w:pPr>
              <w:pStyle w:val="TableParagraph"/>
              <w:spacing w:before="119"/>
              <w:ind w:left="154"/>
              <w:rPr>
                <w:b/>
                <w:sz w:val="21"/>
              </w:rPr>
            </w:pPr>
            <w:r>
              <w:rPr>
                <w:b/>
                <w:sz w:val="21"/>
              </w:rPr>
              <w:t>宽限期</w:t>
            </w:r>
          </w:p>
        </w:tc>
        <w:tc>
          <w:tcPr>
            <w:tcW w:w="7000" w:type="dxa"/>
          </w:tcPr>
          <w:p>
            <w:pPr>
              <w:pStyle w:val="TableParagraph"/>
              <w:spacing w:line="273" w:lineRule="auto" w:before="119"/>
              <w:ind w:right="101"/>
              <w:jc w:val="both"/>
              <w:rPr>
                <w:sz w:val="21"/>
              </w:rPr>
            </w:pPr>
            <w:r>
              <w:rPr>
                <w:sz w:val="21"/>
              </w:rPr>
              <w:t>分期支付保险费的，在支付首期保险费后，除本附加险合同另有约定外， </w:t>
            </w:r>
            <w:r>
              <w:rPr>
                <w:spacing w:val="-8"/>
                <w:sz w:val="21"/>
              </w:rPr>
              <w:t>如果您到期未支付保险费，自保险费约定支付日的次日零时起 </w:t>
            </w:r>
            <w:r>
              <w:rPr>
                <w:sz w:val="21"/>
              </w:rPr>
              <w:t>60</w:t>
            </w:r>
            <w:r>
              <w:rPr>
                <w:spacing w:val="-10"/>
                <w:sz w:val="21"/>
              </w:rPr>
              <w:t> 日为宽限期。宽限期内发生的保险事故，我们仍会承担保险责任，但在给付保险金</w:t>
            </w:r>
            <w:r>
              <w:rPr>
                <w:spacing w:val="-5"/>
                <w:sz w:val="21"/>
              </w:rPr>
              <w:t>时会扣减您欠交的保险费。</w:t>
            </w:r>
          </w:p>
          <w:p>
            <w:pPr>
              <w:pStyle w:val="TableParagraph"/>
              <w:spacing w:line="273" w:lineRule="auto" w:before="7"/>
              <w:ind w:right="102"/>
              <w:jc w:val="both"/>
              <w:rPr>
                <w:sz w:val="21"/>
              </w:rPr>
            </w:pPr>
            <w:r>
              <w:rPr>
                <w:sz w:val="21"/>
              </w:rPr>
              <w:t>如果您宽限期结束之后仍未支付保险费，则本附加险合同自宽限期满的次日零时起效力中止。</w:t>
            </w:r>
          </w:p>
        </w:tc>
      </w:tr>
      <w:tr>
        <w:trPr>
          <w:trHeight w:val="2469" w:hRule="atLeast"/>
        </w:trPr>
        <w:tc>
          <w:tcPr>
            <w:tcW w:w="710" w:type="dxa"/>
          </w:tcPr>
          <w:p>
            <w:pPr>
              <w:pStyle w:val="TableParagraph"/>
              <w:spacing w:before="119"/>
              <w:ind w:left="0" w:right="172"/>
              <w:jc w:val="right"/>
              <w:rPr>
                <w:b/>
                <w:sz w:val="21"/>
              </w:rPr>
            </w:pPr>
            <w:r>
              <w:rPr>
                <w:b/>
                <w:sz w:val="21"/>
              </w:rPr>
              <w:t>3.3</w:t>
            </w:r>
          </w:p>
        </w:tc>
        <w:tc>
          <w:tcPr>
            <w:tcW w:w="2370" w:type="dxa"/>
          </w:tcPr>
          <w:p>
            <w:pPr>
              <w:pStyle w:val="TableParagraph"/>
              <w:spacing w:before="119"/>
              <w:ind w:left="154"/>
              <w:rPr>
                <w:b/>
                <w:sz w:val="21"/>
              </w:rPr>
            </w:pPr>
            <w:r>
              <w:rPr>
                <w:b/>
                <w:sz w:val="21"/>
              </w:rPr>
              <w:t>效力中止与恢复</w:t>
            </w:r>
          </w:p>
        </w:tc>
        <w:tc>
          <w:tcPr>
            <w:tcW w:w="7000" w:type="dxa"/>
          </w:tcPr>
          <w:p>
            <w:pPr>
              <w:pStyle w:val="TableParagraph"/>
              <w:spacing w:before="119"/>
              <w:rPr>
                <w:sz w:val="21"/>
              </w:rPr>
            </w:pPr>
            <w:r>
              <w:rPr>
                <w:sz w:val="21"/>
              </w:rPr>
              <w:t>在本附加险合同效力中止期间，我们不承担保险责任。</w:t>
            </w:r>
          </w:p>
          <w:p>
            <w:pPr>
              <w:pStyle w:val="TableParagraph"/>
              <w:spacing w:line="273" w:lineRule="auto" w:before="36"/>
              <w:ind w:right="50"/>
              <w:rPr>
                <w:sz w:val="21"/>
              </w:rPr>
            </w:pPr>
            <w:r>
              <w:rPr>
                <w:sz w:val="21"/>
              </w:rPr>
              <w:t>本附加险合同效力中止后 2 年内，您可以申请恢复合同效力。经您与我们协商并达成协议，自您补交保险费之日起，合同效力恢复。</w:t>
            </w:r>
          </w:p>
          <w:p>
            <w:pPr>
              <w:pStyle w:val="TableParagraph"/>
              <w:spacing w:before="7"/>
              <w:rPr>
                <w:sz w:val="21"/>
              </w:rPr>
            </w:pPr>
            <w:r>
              <w:rPr>
                <w:sz w:val="21"/>
              </w:rPr>
              <w:t>主险合同效力中止期间，本附加险合同不得单独申请复效。</w:t>
            </w:r>
          </w:p>
          <w:p>
            <w:pPr>
              <w:pStyle w:val="TableParagraph"/>
              <w:spacing w:line="273" w:lineRule="auto" w:before="37"/>
              <w:ind w:right="102"/>
              <w:jc w:val="both"/>
              <w:rPr>
                <w:sz w:val="21"/>
              </w:rPr>
            </w:pPr>
            <w:r>
              <w:rPr>
                <w:spacing w:val="-3"/>
                <w:sz w:val="21"/>
              </w:rPr>
              <w:t>自本附加险合同效力中止之日起满 </w:t>
            </w:r>
            <w:r>
              <w:rPr>
                <w:sz w:val="21"/>
              </w:rPr>
              <w:t>2</w:t>
            </w:r>
            <w:r>
              <w:rPr>
                <w:spacing w:val="-3"/>
                <w:sz w:val="21"/>
              </w:rPr>
              <w:t> 年您和我们未达成协议的，我们有权</w:t>
            </w:r>
            <w:r>
              <w:rPr>
                <w:sz w:val="21"/>
              </w:rPr>
              <w:t>解除合同。我们解除合同的，向您退还合同效力中止时本附加险合同的现</w:t>
            </w:r>
            <w:r>
              <w:rPr>
                <w:spacing w:val="-1"/>
                <w:sz w:val="21"/>
              </w:rPr>
              <w:t>金价值。</w:t>
            </w:r>
          </w:p>
        </w:tc>
      </w:tr>
      <w:tr>
        <w:trPr>
          <w:trHeight w:val="1131" w:hRule="atLeast"/>
        </w:trPr>
        <w:tc>
          <w:tcPr>
            <w:tcW w:w="710" w:type="dxa"/>
            <w:tcBorders>
              <w:bottom w:val="single" w:sz="8" w:space="0" w:color="000000"/>
            </w:tcBorders>
          </w:tcPr>
          <w:p>
            <w:pPr>
              <w:pStyle w:val="TableParagraph"/>
              <w:spacing w:before="148"/>
              <w:ind w:left="0" w:right="151"/>
              <w:jc w:val="right"/>
              <w:rPr>
                <w:rFonts w:ascii="Arial" w:hAnsi="Arial"/>
                <w:b/>
                <w:sz w:val="40"/>
              </w:rPr>
            </w:pPr>
            <w:r>
              <w:rPr>
                <w:rFonts w:ascii="Arial" w:hAnsi="Arial"/>
                <w:b/>
                <w:w w:val="119"/>
                <w:sz w:val="40"/>
              </w:rPr>
              <w:t></w:t>
            </w:r>
          </w:p>
        </w:tc>
        <w:tc>
          <w:tcPr>
            <w:tcW w:w="9370" w:type="dxa"/>
            <w:gridSpan w:val="2"/>
            <w:tcBorders>
              <w:bottom w:val="single" w:sz="8" w:space="0" w:color="000000"/>
            </w:tcBorders>
          </w:tcPr>
          <w:p>
            <w:pPr>
              <w:pStyle w:val="TableParagraph"/>
              <w:spacing w:before="147"/>
              <w:ind w:left="154"/>
              <w:rPr>
                <w:b/>
                <w:sz w:val="24"/>
              </w:rPr>
            </w:pPr>
            <w:r>
              <w:rPr>
                <w:b/>
                <w:w w:val="95"/>
                <w:sz w:val="24"/>
              </w:rPr>
              <w:t>如何领取保险金</w:t>
            </w:r>
          </w:p>
          <w:p>
            <w:pPr>
              <w:pStyle w:val="TableParagraph"/>
              <w:spacing w:before="134"/>
              <w:ind w:left="154"/>
              <w:rPr>
                <w:sz w:val="24"/>
              </w:rPr>
            </w:pPr>
            <w:r>
              <w:rPr>
                <w:sz w:val="24"/>
              </w:rPr>
              <w:t>这部分讲的是发生重大疾病或特定轻度重疾后受益人如何领取保险金。</w:t>
            </w:r>
          </w:p>
        </w:tc>
      </w:tr>
      <w:tr>
        <w:trPr>
          <w:trHeight w:val="1031" w:hRule="atLeast"/>
        </w:trPr>
        <w:tc>
          <w:tcPr>
            <w:tcW w:w="710" w:type="dxa"/>
            <w:tcBorders>
              <w:top w:val="single" w:sz="8" w:space="0" w:color="000000"/>
            </w:tcBorders>
          </w:tcPr>
          <w:p>
            <w:pPr>
              <w:pStyle w:val="TableParagraph"/>
              <w:spacing w:before="6"/>
              <w:ind w:left="0"/>
              <w:rPr>
                <w:sz w:val="18"/>
              </w:rPr>
            </w:pPr>
          </w:p>
          <w:p>
            <w:pPr>
              <w:pStyle w:val="TableParagraph"/>
              <w:spacing w:before="1"/>
              <w:ind w:left="0" w:right="172"/>
              <w:jc w:val="right"/>
              <w:rPr>
                <w:b/>
                <w:sz w:val="21"/>
              </w:rPr>
            </w:pPr>
            <w:r>
              <w:rPr>
                <w:b/>
                <w:sz w:val="21"/>
              </w:rPr>
              <w:t>4.1</w:t>
            </w:r>
          </w:p>
        </w:tc>
        <w:tc>
          <w:tcPr>
            <w:tcW w:w="2370" w:type="dxa"/>
            <w:tcBorders>
              <w:top w:val="single" w:sz="8" w:space="0" w:color="000000"/>
            </w:tcBorders>
          </w:tcPr>
          <w:p>
            <w:pPr>
              <w:pStyle w:val="TableParagraph"/>
              <w:spacing w:before="6"/>
              <w:ind w:left="0"/>
              <w:rPr>
                <w:sz w:val="18"/>
              </w:rPr>
            </w:pPr>
          </w:p>
          <w:p>
            <w:pPr>
              <w:pStyle w:val="TableParagraph"/>
              <w:spacing w:before="1"/>
              <w:ind w:left="154"/>
              <w:rPr>
                <w:b/>
                <w:sz w:val="21"/>
              </w:rPr>
            </w:pPr>
            <w:r>
              <w:rPr>
                <w:b/>
                <w:sz w:val="21"/>
              </w:rPr>
              <w:t>受益人</w:t>
            </w:r>
          </w:p>
        </w:tc>
        <w:tc>
          <w:tcPr>
            <w:tcW w:w="7000" w:type="dxa"/>
            <w:tcBorders>
              <w:top w:val="single" w:sz="8" w:space="0" w:color="000000"/>
            </w:tcBorders>
          </w:tcPr>
          <w:p>
            <w:pPr>
              <w:pStyle w:val="TableParagraph"/>
              <w:spacing w:before="6"/>
              <w:ind w:left="0"/>
              <w:rPr>
                <w:sz w:val="18"/>
              </w:rPr>
            </w:pPr>
          </w:p>
          <w:p>
            <w:pPr>
              <w:pStyle w:val="TableParagraph"/>
              <w:spacing w:line="273" w:lineRule="auto" w:before="1"/>
              <w:ind w:right="102"/>
              <w:rPr>
                <w:sz w:val="21"/>
              </w:rPr>
            </w:pPr>
            <w:r>
              <w:rPr>
                <w:sz w:val="21"/>
              </w:rPr>
              <w:t>除另有指定外，重大疾病保险金及特定轻度重疾保险金受益人为被保险人本人。</w:t>
            </w:r>
          </w:p>
        </w:tc>
      </w:tr>
      <w:tr>
        <w:trPr>
          <w:trHeight w:val="586" w:hRule="atLeast"/>
        </w:trPr>
        <w:tc>
          <w:tcPr>
            <w:tcW w:w="710" w:type="dxa"/>
          </w:tcPr>
          <w:p>
            <w:pPr>
              <w:pStyle w:val="TableParagraph"/>
              <w:spacing w:before="120"/>
              <w:ind w:left="0" w:right="172"/>
              <w:jc w:val="right"/>
              <w:rPr>
                <w:b/>
                <w:sz w:val="21"/>
              </w:rPr>
            </w:pPr>
            <w:r>
              <w:rPr>
                <w:b/>
                <w:sz w:val="21"/>
              </w:rPr>
              <w:t>4.2</w:t>
            </w:r>
          </w:p>
        </w:tc>
        <w:tc>
          <w:tcPr>
            <w:tcW w:w="2370" w:type="dxa"/>
          </w:tcPr>
          <w:p>
            <w:pPr>
              <w:pStyle w:val="TableParagraph"/>
              <w:spacing w:before="120"/>
              <w:ind w:left="154"/>
              <w:rPr>
                <w:b/>
                <w:sz w:val="21"/>
              </w:rPr>
            </w:pPr>
            <w:r>
              <w:rPr>
                <w:b/>
                <w:sz w:val="21"/>
              </w:rPr>
              <w:t>保险金申请</w:t>
            </w:r>
          </w:p>
        </w:tc>
        <w:tc>
          <w:tcPr>
            <w:tcW w:w="7000" w:type="dxa"/>
          </w:tcPr>
          <w:p>
            <w:pPr>
              <w:pStyle w:val="TableParagraph"/>
              <w:spacing w:before="120"/>
              <w:rPr>
                <w:sz w:val="21"/>
              </w:rPr>
            </w:pPr>
            <w:r>
              <w:rPr>
                <w:sz w:val="21"/>
              </w:rPr>
              <w:t>在申请保险金时，请按照下列方式办理：</w:t>
            </w:r>
          </w:p>
        </w:tc>
      </w:tr>
      <w:tr>
        <w:trPr>
          <w:trHeight w:val="1661" w:hRule="atLeast"/>
        </w:trPr>
        <w:tc>
          <w:tcPr>
            <w:tcW w:w="710" w:type="dxa"/>
          </w:tcPr>
          <w:p>
            <w:pPr>
              <w:pStyle w:val="TableParagraph"/>
              <w:ind w:left="0"/>
              <w:rPr>
                <w:rFonts w:ascii="Times New Roman"/>
                <w:sz w:val="20"/>
              </w:rPr>
            </w:pPr>
          </w:p>
        </w:tc>
        <w:tc>
          <w:tcPr>
            <w:tcW w:w="2370" w:type="dxa"/>
          </w:tcPr>
          <w:p>
            <w:pPr>
              <w:pStyle w:val="TableParagraph"/>
              <w:spacing w:line="232" w:lineRule="auto" w:before="103"/>
              <w:ind w:left="154" w:right="94"/>
              <w:jc w:val="both"/>
              <w:rPr>
                <w:rFonts w:ascii="等线" w:eastAsia="等线" w:hint="eastAsia"/>
                <w:b/>
                <w:sz w:val="24"/>
              </w:rPr>
            </w:pPr>
            <w:r>
              <w:rPr>
                <w:rFonts w:ascii="等线" w:eastAsia="等线" w:hint="eastAsia"/>
                <w:b/>
                <w:sz w:val="24"/>
              </w:rPr>
              <w:t>特定轻度重疾保险金和重大疾病保险金申请</w:t>
            </w:r>
          </w:p>
        </w:tc>
        <w:tc>
          <w:tcPr>
            <w:tcW w:w="7000" w:type="dxa"/>
          </w:tcPr>
          <w:p>
            <w:pPr>
              <w:pStyle w:val="TableParagraph"/>
              <w:spacing w:before="129"/>
              <w:rPr>
                <w:sz w:val="21"/>
              </w:rPr>
            </w:pPr>
            <w:r>
              <w:rPr>
                <w:sz w:val="21"/>
              </w:rPr>
              <w:t>由受益人填写保险金给付申请书，并提供下列证明和资料：</w:t>
            </w:r>
          </w:p>
          <w:p>
            <w:pPr>
              <w:pStyle w:val="TableParagraph"/>
              <w:spacing w:before="36"/>
              <w:rPr>
                <w:sz w:val="21"/>
              </w:rPr>
            </w:pPr>
            <w:r>
              <w:rPr>
                <w:sz w:val="21"/>
              </w:rPr>
              <w:t>（1）保险合同；</w:t>
            </w:r>
          </w:p>
          <w:p>
            <w:pPr>
              <w:pStyle w:val="TableParagraph"/>
              <w:spacing w:before="36"/>
              <w:rPr>
                <w:sz w:val="21"/>
              </w:rPr>
            </w:pPr>
            <w:r>
              <w:rPr>
                <w:sz w:val="21"/>
              </w:rPr>
              <w:t>（2）受益人的</w:t>
            </w:r>
            <w:r>
              <w:rPr>
                <w:rFonts w:ascii="黑体" w:eastAsia="黑体" w:hint="eastAsia"/>
                <w:b/>
                <w:sz w:val="21"/>
              </w:rPr>
              <w:t>有效身份证件 </w:t>
            </w:r>
            <w:hyperlink w:history="true" w:anchor="_bookmark15">
              <w:r>
                <w:rPr>
                  <w:rFonts w:ascii="黑体" w:eastAsia="黑体" w:hint="eastAsia"/>
                  <w:b/>
                  <w:position w:val="11"/>
                  <w:sz w:val="11"/>
                </w:rPr>
                <w:t>16</w:t>
              </w:r>
            </w:hyperlink>
            <w:r>
              <w:rPr>
                <w:sz w:val="21"/>
              </w:rPr>
              <w:t>；</w:t>
            </w:r>
          </w:p>
          <w:p>
            <w:pPr>
              <w:pStyle w:val="TableParagraph"/>
              <w:spacing w:line="310" w:lineRule="atLeast" w:before="1"/>
              <w:ind w:left="637" w:right="46" w:hanging="524"/>
              <w:rPr>
                <w:sz w:val="21"/>
              </w:rPr>
            </w:pPr>
            <w:r>
              <w:rPr>
                <w:sz w:val="21"/>
              </w:rPr>
              <w:t>（3）医院出具的附有病理显微镜检查、血液检验及其他科学方法检验报告的疾病诊断证明书；</w:t>
            </w:r>
          </w:p>
        </w:tc>
      </w:tr>
    </w:tbl>
    <w:p>
      <w:pPr>
        <w:pStyle w:val="BodyText"/>
        <w:spacing w:before="2"/>
        <w:rPr>
          <w:sz w:val="19"/>
        </w:rPr>
      </w:pPr>
      <w:r>
        <w:rPr/>
        <w:pict>
          <v:line style="position:absolute;mso-position-horizontal-relative:page;mso-position-vertical-relative:paragraph;z-index:1336;mso-wrap-distance-left:0;mso-wrap-distance-right:0" from="51pt,14.765759pt" to="195pt,14.765759pt" stroked="true" strokeweight=".48pt" strokecolor="#000000">
            <v:stroke dashstyle="solid"/>
            <w10:wrap type="topAndBottom"/>
          </v:line>
        </w:pict>
      </w:r>
    </w:p>
    <w:p>
      <w:pPr>
        <w:spacing w:line="256" w:lineRule="auto" w:before="25"/>
        <w:ind w:left="400" w:right="218" w:hanging="18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line="280" w:lineRule="exact" w:before="19"/>
        <w:ind w:left="399" w:right="131" w:hanging="18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有效身份证件</w:t>
      </w:r>
      <w:r>
        <w:rPr>
          <w:sz w:val="18"/>
        </w:rPr>
        <w:t>指政府有权机关颁发的能够证明其合法真实身份的证件或文件等，如居民身份证、按规定可使用的有效护照、营业执照等。</w:t>
      </w:r>
    </w:p>
    <w:p>
      <w:pPr>
        <w:spacing w:after="0" w:line="280" w:lineRule="exact"/>
        <w:jc w:val="left"/>
        <w:rPr>
          <w:sz w:val="18"/>
        </w:rPr>
        <w:sectPr>
          <w:pgSz w:w="11910" w:h="16840"/>
          <w:pgMar w:top="14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371"/>
        <w:gridCol w:w="7005"/>
      </w:tblGrid>
      <w:tr>
        <w:trPr>
          <w:trHeight w:val="1028" w:hRule="atLeast"/>
        </w:trPr>
        <w:tc>
          <w:tcPr>
            <w:tcW w:w="710" w:type="dxa"/>
          </w:tcPr>
          <w:p>
            <w:pPr>
              <w:pStyle w:val="TableParagraph"/>
              <w:ind w:left="0"/>
              <w:rPr>
                <w:rFonts w:ascii="Times New Roman"/>
                <w:sz w:val="20"/>
              </w:rPr>
            </w:pPr>
          </w:p>
        </w:tc>
        <w:tc>
          <w:tcPr>
            <w:tcW w:w="2371" w:type="dxa"/>
          </w:tcPr>
          <w:p>
            <w:pPr>
              <w:pStyle w:val="TableParagraph"/>
              <w:ind w:left="0"/>
              <w:rPr>
                <w:rFonts w:ascii="Times New Roman"/>
                <w:sz w:val="20"/>
              </w:rPr>
            </w:pPr>
          </w:p>
        </w:tc>
        <w:tc>
          <w:tcPr>
            <w:tcW w:w="7005" w:type="dxa"/>
          </w:tcPr>
          <w:p>
            <w:pPr>
              <w:pStyle w:val="TableParagraph"/>
              <w:spacing w:line="211" w:lineRule="exact"/>
              <w:ind w:left="96"/>
              <w:rPr>
                <w:sz w:val="21"/>
              </w:rPr>
            </w:pPr>
            <w:r>
              <w:rPr>
                <w:sz w:val="21"/>
              </w:rPr>
              <w:t>（4）与确认保险事故的性质、原因等有关的其他证明和资料。</w:t>
            </w:r>
          </w:p>
          <w:p>
            <w:pPr>
              <w:pStyle w:val="TableParagraph"/>
              <w:spacing w:line="273" w:lineRule="auto" w:before="37"/>
              <w:ind w:left="96" w:right="108"/>
              <w:rPr>
                <w:sz w:val="21"/>
              </w:rPr>
            </w:pPr>
            <w:r>
              <w:rPr>
                <w:sz w:val="21"/>
              </w:rPr>
              <w:t>以上证明和资料不完整的，我们将一次性通知受益人补充提供有关证明和资料。</w:t>
            </w:r>
          </w:p>
        </w:tc>
      </w:tr>
      <w:tr>
        <w:trPr>
          <w:trHeight w:val="3746" w:hRule="atLeast"/>
        </w:trPr>
        <w:tc>
          <w:tcPr>
            <w:tcW w:w="710" w:type="dxa"/>
          </w:tcPr>
          <w:p>
            <w:pPr>
              <w:pStyle w:val="TableParagraph"/>
              <w:spacing w:before="129"/>
              <w:ind w:left="0" w:right="172"/>
              <w:jc w:val="right"/>
              <w:rPr>
                <w:b/>
                <w:sz w:val="21"/>
              </w:rPr>
            </w:pPr>
            <w:r>
              <w:rPr>
                <w:b/>
                <w:sz w:val="21"/>
              </w:rPr>
              <w:t>4.3</w:t>
            </w:r>
          </w:p>
        </w:tc>
        <w:tc>
          <w:tcPr>
            <w:tcW w:w="2371" w:type="dxa"/>
          </w:tcPr>
          <w:p>
            <w:pPr>
              <w:pStyle w:val="TableParagraph"/>
              <w:spacing w:before="129"/>
              <w:ind w:left="154"/>
              <w:rPr>
                <w:b/>
                <w:sz w:val="21"/>
              </w:rPr>
            </w:pPr>
            <w:r>
              <w:rPr>
                <w:b/>
                <w:sz w:val="21"/>
              </w:rPr>
              <w:t>保险金的给付</w:t>
            </w:r>
          </w:p>
        </w:tc>
        <w:tc>
          <w:tcPr>
            <w:tcW w:w="7005" w:type="dxa"/>
          </w:tcPr>
          <w:p>
            <w:pPr>
              <w:pStyle w:val="TableParagraph"/>
              <w:spacing w:before="129"/>
              <w:ind w:left="96"/>
              <w:rPr>
                <w:sz w:val="21"/>
              </w:rPr>
            </w:pPr>
            <w:r>
              <w:rPr>
                <w:sz w:val="21"/>
              </w:rPr>
              <w:t>我们在收到保险金给付申请书及上述有关证明和资料后，将在 5 日内作出</w:t>
            </w:r>
          </w:p>
          <w:p>
            <w:pPr>
              <w:pStyle w:val="TableParagraph"/>
              <w:spacing w:before="36"/>
              <w:ind w:left="96"/>
              <w:rPr>
                <w:sz w:val="21"/>
              </w:rPr>
            </w:pPr>
            <w:r>
              <w:rPr>
                <w:sz w:val="21"/>
              </w:rPr>
              <w:t>核定；情形复杂的，在 30 日内作出核定。</w:t>
            </w:r>
          </w:p>
          <w:p>
            <w:pPr>
              <w:pStyle w:val="TableParagraph"/>
              <w:spacing w:line="273" w:lineRule="auto" w:before="36"/>
              <w:ind w:left="96" w:right="108"/>
              <w:jc w:val="both"/>
              <w:rPr>
                <w:sz w:val="21"/>
              </w:rPr>
            </w:pPr>
            <w:r>
              <w:rPr>
                <w:spacing w:val="-7"/>
                <w:sz w:val="21"/>
              </w:rPr>
              <w:t>对属于保险责任的，我们在与受益人达成给付保险金的协议后 </w:t>
            </w:r>
            <w:r>
              <w:rPr>
                <w:sz w:val="21"/>
              </w:rPr>
              <w:t>10</w:t>
            </w:r>
            <w:r>
              <w:rPr>
                <w:spacing w:val="-15"/>
                <w:sz w:val="21"/>
              </w:rPr>
              <w:t> 日内，履</w:t>
            </w:r>
            <w:r>
              <w:rPr>
                <w:sz w:val="21"/>
              </w:rPr>
              <w:t>行给付保险金义务；若我们在收到保险金给付申请书及上述有关证明和资</w:t>
            </w:r>
            <w:r>
              <w:rPr>
                <w:spacing w:val="-8"/>
                <w:sz w:val="21"/>
              </w:rPr>
              <w:t>料后第 </w:t>
            </w:r>
            <w:r>
              <w:rPr>
                <w:sz w:val="21"/>
              </w:rPr>
              <w:t>30</w:t>
            </w:r>
            <w:r>
              <w:rPr>
                <w:spacing w:val="-8"/>
                <w:sz w:val="21"/>
              </w:rPr>
              <w:t> 日仍未作出核定，除支付保险金外，我们将从第 </w:t>
            </w:r>
            <w:r>
              <w:rPr>
                <w:sz w:val="21"/>
              </w:rPr>
              <w:t>31</w:t>
            </w:r>
            <w:r>
              <w:rPr>
                <w:spacing w:val="-8"/>
                <w:sz w:val="21"/>
              </w:rPr>
              <w:t> 日起按超过</w:t>
            </w:r>
            <w:r>
              <w:rPr>
                <w:sz w:val="21"/>
              </w:rPr>
              <w:t>天数赔偿受益人因此受到的利息损失。利息按照我们公示的利率按单利计算，且保证该利率不低于中国人民银行公布的同期金融机构人民币活期存款基准利率。若我们要求投保人、被保险人或者受益人补充提供有关证明</w:t>
            </w:r>
            <w:r>
              <w:rPr>
                <w:spacing w:val="-7"/>
                <w:sz w:val="21"/>
              </w:rPr>
              <w:t>和资料的，则上述的 </w:t>
            </w:r>
            <w:r>
              <w:rPr>
                <w:sz w:val="21"/>
              </w:rPr>
              <w:t>30</w:t>
            </w:r>
            <w:r>
              <w:rPr>
                <w:spacing w:val="-8"/>
                <w:sz w:val="21"/>
              </w:rPr>
              <w:t> 日不包括补充提供有关证明和资料的期间。</w:t>
            </w:r>
          </w:p>
          <w:p>
            <w:pPr>
              <w:pStyle w:val="TableParagraph"/>
              <w:spacing w:line="273" w:lineRule="auto" w:before="7"/>
              <w:ind w:left="96" w:right="107"/>
              <w:jc w:val="both"/>
              <w:rPr>
                <w:sz w:val="21"/>
              </w:rPr>
            </w:pPr>
            <w:r>
              <w:rPr>
                <w:spacing w:val="-3"/>
                <w:sz w:val="21"/>
              </w:rPr>
              <w:t>对不属于保险责任的，我们自作出核定之日起 </w:t>
            </w:r>
            <w:r>
              <w:rPr>
                <w:sz w:val="21"/>
              </w:rPr>
              <w:t>3</w:t>
            </w:r>
            <w:r>
              <w:rPr>
                <w:spacing w:val="-3"/>
                <w:sz w:val="21"/>
              </w:rPr>
              <w:t> 日内向受益人发出拒绝给付保险金通知书并说明理由。</w:t>
            </w:r>
          </w:p>
        </w:tc>
      </w:tr>
      <w:tr>
        <w:trPr>
          <w:trHeight w:val="1159" w:hRule="atLeast"/>
        </w:trPr>
        <w:tc>
          <w:tcPr>
            <w:tcW w:w="710" w:type="dxa"/>
            <w:tcBorders>
              <w:bottom w:val="single" w:sz="8" w:space="0" w:color="000000"/>
            </w:tcBorders>
          </w:tcPr>
          <w:p>
            <w:pPr>
              <w:pStyle w:val="TableParagraph"/>
              <w:spacing w:before="184"/>
              <w:ind w:left="0" w:right="151"/>
              <w:jc w:val="right"/>
              <w:rPr>
                <w:rFonts w:ascii="Arial" w:hAnsi="Arial"/>
                <w:b/>
                <w:sz w:val="40"/>
              </w:rPr>
            </w:pPr>
            <w:r>
              <w:rPr>
                <w:rFonts w:ascii="Arial" w:hAnsi="Arial"/>
                <w:b/>
                <w:w w:val="119"/>
                <w:sz w:val="40"/>
              </w:rPr>
              <w:t></w:t>
            </w:r>
          </w:p>
        </w:tc>
        <w:tc>
          <w:tcPr>
            <w:tcW w:w="9376" w:type="dxa"/>
            <w:gridSpan w:val="2"/>
            <w:tcBorders>
              <w:bottom w:val="single" w:sz="8" w:space="0" w:color="000000"/>
            </w:tcBorders>
          </w:tcPr>
          <w:p>
            <w:pPr>
              <w:pStyle w:val="TableParagraph"/>
              <w:spacing w:before="183"/>
              <w:ind w:left="154"/>
              <w:rPr>
                <w:b/>
                <w:sz w:val="24"/>
              </w:rPr>
            </w:pPr>
            <w:r>
              <w:rPr>
                <w:b/>
                <w:sz w:val="24"/>
              </w:rPr>
              <w:t>如何退保</w:t>
            </w:r>
          </w:p>
          <w:p>
            <w:pPr>
              <w:pStyle w:val="TableParagraph"/>
              <w:spacing w:before="134"/>
              <w:ind w:left="154" w:right="-15"/>
              <w:rPr>
                <w:sz w:val="24"/>
              </w:rPr>
            </w:pPr>
            <w:r>
              <w:rPr>
                <w:spacing w:val="-8"/>
                <w:sz w:val="24"/>
              </w:rPr>
              <w:t>这部分讲的是您可以随时申请退保，在犹豫期内退保没有损失，犹豫期后退保会有损失。</w:t>
            </w:r>
          </w:p>
        </w:tc>
      </w:tr>
      <w:tr>
        <w:trPr>
          <w:trHeight w:val="2620" w:hRule="atLeast"/>
        </w:trPr>
        <w:tc>
          <w:tcPr>
            <w:tcW w:w="710" w:type="dxa"/>
            <w:tcBorders>
              <w:top w:val="single" w:sz="8" w:space="0" w:color="000000"/>
            </w:tcBorders>
          </w:tcPr>
          <w:p>
            <w:pPr>
              <w:pStyle w:val="TableParagraph"/>
              <w:spacing w:before="4"/>
              <w:ind w:left="0"/>
              <w:rPr>
                <w:sz w:val="19"/>
              </w:rPr>
            </w:pPr>
          </w:p>
          <w:p>
            <w:pPr>
              <w:pStyle w:val="TableParagraph"/>
              <w:spacing w:before="1"/>
              <w:ind w:left="0" w:right="172"/>
              <w:jc w:val="right"/>
              <w:rPr>
                <w:b/>
                <w:sz w:val="21"/>
              </w:rPr>
            </w:pPr>
            <w:r>
              <w:rPr>
                <w:b/>
                <w:sz w:val="21"/>
              </w:rPr>
              <w:t>5.1</w:t>
            </w:r>
          </w:p>
        </w:tc>
        <w:tc>
          <w:tcPr>
            <w:tcW w:w="2371" w:type="dxa"/>
            <w:tcBorders>
              <w:top w:val="single" w:sz="8" w:space="0" w:color="000000"/>
            </w:tcBorders>
          </w:tcPr>
          <w:p>
            <w:pPr>
              <w:pStyle w:val="TableParagraph"/>
              <w:spacing w:before="4"/>
              <w:ind w:left="0"/>
              <w:rPr>
                <w:sz w:val="19"/>
              </w:rPr>
            </w:pPr>
          </w:p>
          <w:p>
            <w:pPr>
              <w:pStyle w:val="TableParagraph"/>
              <w:spacing w:before="1"/>
              <w:ind w:left="154"/>
              <w:rPr>
                <w:b/>
                <w:sz w:val="21"/>
              </w:rPr>
            </w:pPr>
            <w:r>
              <w:rPr>
                <w:b/>
                <w:sz w:val="21"/>
              </w:rPr>
              <w:t>犹豫期</w:t>
            </w:r>
          </w:p>
        </w:tc>
        <w:tc>
          <w:tcPr>
            <w:tcW w:w="7005" w:type="dxa"/>
            <w:tcBorders>
              <w:top w:val="single" w:sz="8" w:space="0" w:color="000000"/>
            </w:tcBorders>
          </w:tcPr>
          <w:p>
            <w:pPr>
              <w:pStyle w:val="TableParagraph"/>
              <w:spacing w:before="4"/>
              <w:ind w:left="0"/>
              <w:rPr>
                <w:sz w:val="19"/>
              </w:rPr>
            </w:pPr>
          </w:p>
          <w:p>
            <w:pPr>
              <w:pStyle w:val="TableParagraph"/>
              <w:spacing w:line="273" w:lineRule="auto" w:before="1"/>
              <w:ind w:left="96" w:right="108"/>
              <w:rPr>
                <w:sz w:val="21"/>
              </w:rPr>
            </w:pPr>
            <w:r>
              <w:rPr>
                <w:spacing w:val="-7"/>
                <w:sz w:val="21"/>
              </w:rPr>
              <w:t>自您签收本附加险合同次日起，有 </w:t>
            </w:r>
            <w:r>
              <w:rPr>
                <w:sz w:val="21"/>
              </w:rPr>
              <w:t>20</w:t>
            </w:r>
            <w:r>
              <w:rPr>
                <w:spacing w:val="-9"/>
                <w:sz w:val="21"/>
              </w:rPr>
              <w:t> 日的犹豫期。在此期间请您认真审视</w:t>
            </w:r>
            <w:r>
              <w:rPr>
                <w:spacing w:val="-3"/>
                <w:sz w:val="21"/>
              </w:rPr>
              <w:t>本附加险合同，如果您认为本附加险合同与您的需求不相符，您可以在此期间提出解除本附加险合同，我们将无息退还您所支付的全部保险费。  解除本附加险合同时，您需要填写申请书，并提供您的保险合同及有效身</w:t>
            </w:r>
          </w:p>
          <w:p>
            <w:pPr>
              <w:pStyle w:val="TableParagraph"/>
              <w:spacing w:line="273" w:lineRule="auto" w:before="8"/>
              <w:ind w:left="96" w:right="1"/>
              <w:rPr>
                <w:sz w:val="21"/>
              </w:rPr>
            </w:pPr>
            <w:r>
              <w:rPr>
                <w:spacing w:val="-5"/>
                <w:sz w:val="21"/>
              </w:rPr>
              <w:t>份证件。自我们收到您解除合同的书面申请时起，本附加险合同即被解除， </w:t>
            </w:r>
            <w:r>
              <w:rPr>
                <w:spacing w:val="-4"/>
                <w:sz w:val="21"/>
                <w:shd w:fill="DADADA" w:color="auto" w:val="clear"/>
              </w:rPr>
              <w:t>合同解除前发生的保险事故我们不承担保险责任。</w:t>
            </w:r>
          </w:p>
          <w:p>
            <w:pPr>
              <w:pStyle w:val="TableParagraph"/>
              <w:spacing w:before="8"/>
              <w:ind w:left="96"/>
              <w:rPr>
                <w:sz w:val="21"/>
              </w:rPr>
            </w:pPr>
            <w:r>
              <w:rPr>
                <w:spacing w:val="-6"/>
                <w:sz w:val="21"/>
              </w:rPr>
              <w:t>若您申请解除本附加险合同，主险合同必须与本附加险合同同时申请解除。</w:t>
            </w:r>
          </w:p>
        </w:tc>
      </w:tr>
      <w:tr>
        <w:trPr>
          <w:trHeight w:val="3120" w:hRule="atLeast"/>
        </w:trPr>
        <w:tc>
          <w:tcPr>
            <w:tcW w:w="710" w:type="dxa"/>
          </w:tcPr>
          <w:p>
            <w:pPr>
              <w:pStyle w:val="TableParagraph"/>
              <w:spacing w:before="156"/>
              <w:ind w:left="0" w:right="172"/>
              <w:jc w:val="right"/>
              <w:rPr>
                <w:b/>
                <w:sz w:val="21"/>
              </w:rPr>
            </w:pPr>
            <w:r>
              <w:rPr>
                <w:b/>
                <w:sz w:val="21"/>
              </w:rPr>
              <w:t>5.2</w:t>
            </w:r>
          </w:p>
        </w:tc>
        <w:tc>
          <w:tcPr>
            <w:tcW w:w="2371" w:type="dxa"/>
          </w:tcPr>
          <w:p>
            <w:pPr>
              <w:pStyle w:val="TableParagraph"/>
              <w:spacing w:line="273" w:lineRule="auto" w:before="156"/>
              <w:ind w:left="154" w:right="92"/>
              <w:rPr>
                <w:b/>
                <w:sz w:val="21"/>
              </w:rPr>
            </w:pPr>
            <w:r>
              <w:rPr>
                <w:b/>
                <w:sz w:val="21"/>
              </w:rPr>
              <w:t>您解除合同的手续及风险</w:t>
            </w:r>
          </w:p>
        </w:tc>
        <w:tc>
          <w:tcPr>
            <w:tcW w:w="7005" w:type="dxa"/>
          </w:tcPr>
          <w:p>
            <w:pPr>
              <w:pStyle w:val="TableParagraph"/>
              <w:spacing w:line="273" w:lineRule="auto" w:before="156"/>
              <w:ind w:left="96" w:right="108"/>
              <w:rPr>
                <w:sz w:val="21"/>
              </w:rPr>
            </w:pPr>
            <w:r>
              <w:rPr>
                <w:sz w:val="21"/>
              </w:rPr>
              <w:t>您在犹豫期后可以申请解除本附加险合同，请填写解除合同申请书并向我们提供下列资料：</w:t>
            </w:r>
          </w:p>
          <w:p>
            <w:pPr>
              <w:pStyle w:val="TableParagraph"/>
              <w:spacing w:before="8"/>
              <w:ind w:left="96"/>
              <w:rPr>
                <w:sz w:val="21"/>
              </w:rPr>
            </w:pPr>
            <w:r>
              <w:rPr>
                <w:sz w:val="21"/>
              </w:rPr>
              <w:t>（1）保险合同；</w:t>
            </w:r>
          </w:p>
          <w:p>
            <w:pPr>
              <w:pStyle w:val="TableParagraph"/>
              <w:spacing w:before="37"/>
              <w:ind w:left="96"/>
              <w:rPr>
                <w:sz w:val="21"/>
              </w:rPr>
            </w:pPr>
            <w:r>
              <w:rPr>
                <w:sz w:val="21"/>
              </w:rPr>
              <w:t>（2）您的有效身份证件。</w:t>
            </w:r>
          </w:p>
          <w:p>
            <w:pPr>
              <w:pStyle w:val="TableParagraph"/>
              <w:spacing w:line="273" w:lineRule="auto" w:before="37"/>
              <w:ind w:left="96" w:right="107"/>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8"/>
              <w:ind w:left="96" w:right="1"/>
              <w:rPr>
                <w:sz w:val="21"/>
              </w:rPr>
            </w:pPr>
            <w:r>
              <w:rPr>
                <w:spacing w:val="-6"/>
                <w:sz w:val="21"/>
              </w:rPr>
              <w:t>若您申请解除本附加险合同，主险合同必须与本附加险合同同时申请解除。</w:t>
            </w:r>
            <w:r>
              <w:rPr>
                <w:spacing w:val="-4"/>
                <w:sz w:val="21"/>
              </w:rPr>
              <w:t>您在犹豫期后解除合同会遭受一定损失。</w:t>
            </w:r>
          </w:p>
          <w:p>
            <w:pPr>
              <w:pStyle w:val="TableParagraph"/>
              <w:spacing w:before="7"/>
              <w:ind w:left="96"/>
              <w:rPr>
                <w:sz w:val="21"/>
              </w:rPr>
            </w:pPr>
            <w:r>
              <w:rPr>
                <w:sz w:val="21"/>
              </w:rPr>
              <w:t>解除合同后，您会失去原有的保障。</w:t>
            </w:r>
          </w:p>
        </w:tc>
      </w:tr>
      <w:tr>
        <w:trPr>
          <w:trHeight w:val="1131" w:hRule="atLeast"/>
        </w:trPr>
        <w:tc>
          <w:tcPr>
            <w:tcW w:w="710" w:type="dxa"/>
            <w:tcBorders>
              <w:bottom w:val="single" w:sz="8" w:space="0" w:color="000000"/>
            </w:tcBorders>
          </w:tcPr>
          <w:p>
            <w:pPr>
              <w:pStyle w:val="TableParagraph"/>
              <w:spacing w:before="157"/>
              <w:ind w:left="0" w:right="151"/>
              <w:jc w:val="right"/>
              <w:rPr>
                <w:rFonts w:ascii="Arial" w:hAnsi="Arial"/>
                <w:b/>
                <w:sz w:val="40"/>
              </w:rPr>
            </w:pPr>
            <w:r>
              <w:rPr>
                <w:rFonts w:ascii="Arial" w:hAnsi="Arial"/>
                <w:b/>
                <w:w w:val="119"/>
                <w:sz w:val="40"/>
              </w:rPr>
              <w:t></w:t>
            </w:r>
          </w:p>
        </w:tc>
        <w:tc>
          <w:tcPr>
            <w:tcW w:w="9376" w:type="dxa"/>
            <w:gridSpan w:val="2"/>
            <w:tcBorders>
              <w:bottom w:val="single" w:sz="8" w:space="0" w:color="000000"/>
            </w:tcBorders>
          </w:tcPr>
          <w:p>
            <w:pPr>
              <w:pStyle w:val="TableParagraph"/>
              <w:spacing w:before="156"/>
              <w:ind w:left="154"/>
              <w:rPr>
                <w:b/>
                <w:sz w:val="24"/>
              </w:rPr>
            </w:pPr>
            <w:r>
              <w:rPr>
                <w:b/>
                <w:sz w:val="24"/>
              </w:rPr>
              <w:t>其他权益</w:t>
            </w:r>
          </w:p>
          <w:p>
            <w:pPr>
              <w:pStyle w:val="TableParagraph"/>
              <w:spacing w:before="135"/>
              <w:ind w:left="154"/>
              <w:rPr>
                <w:sz w:val="24"/>
              </w:rPr>
            </w:pPr>
            <w:r>
              <w:rPr>
                <w:sz w:val="24"/>
              </w:rPr>
              <w:t>这部分讲的是您所拥有的其他相关权益。</w:t>
            </w:r>
          </w:p>
        </w:tc>
      </w:tr>
      <w:tr>
        <w:trPr>
          <w:trHeight w:val="1461" w:hRule="atLeast"/>
        </w:trPr>
        <w:tc>
          <w:tcPr>
            <w:tcW w:w="710" w:type="dxa"/>
            <w:tcBorders>
              <w:top w:val="single" w:sz="8" w:space="0" w:color="000000"/>
            </w:tcBorders>
          </w:tcPr>
          <w:p>
            <w:pPr>
              <w:pStyle w:val="TableParagraph"/>
              <w:spacing w:before="2"/>
              <w:ind w:left="0"/>
              <w:rPr>
                <w:sz w:val="19"/>
              </w:rPr>
            </w:pPr>
          </w:p>
          <w:p>
            <w:pPr>
              <w:pStyle w:val="TableParagraph"/>
              <w:ind w:left="0" w:right="172"/>
              <w:jc w:val="right"/>
              <w:rPr>
                <w:b/>
                <w:sz w:val="21"/>
              </w:rPr>
            </w:pPr>
            <w:r>
              <w:rPr>
                <w:b/>
                <w:sz w:val="21"/>
              </w:rPr>
              <w:t>6.1</w:t>
            </w:r>
          </w:p>
        </w:tc>
        <w:tc>
          <w:tcPr>
            <w:tcW w:w="2371" w:type="dxa"/>
            <w:tcBorders>
              <w:top w:val="single" w:sz="8" w:space="0" w:color="000000"/>
            </w:tcBorders>
          </w:tcPr>
          <w:p>
            <w:pPr>
              <w:pStyle w:val="TableParagraph"/>
              <w:spacing w:before="2"/>
              <w:ind w:left="0"/>
              <w:rPr>
                <w:sz w:val="19"/>
              </w:rPr>
            </w:pPr>
          </w:p>
          <w:p>
            <w:pPr>
              <w:pStyle w:val="TableParagraph"/>
              <w:ind w:left="154"/>
              <w:rPr>
                <w:b/>
                <w:sz w:val="21"/>
              </w:rPr>
            </w:pPr>
            <w:r>
              <w:rPr>
                <w:b/>
                <w:sz w:val="21"/>
              </w:rPr>
              <w:t>现金价值</w:t>
            </w:r>
          </w:p>
        </w:tc>
        <w:tc>
          <w:tcPr>
            <w:tcW w:w="7005" w:type="dxa"/>
            <w:tcBorders>
              <w:top w:val="single" w:sz="8" w:space="0" w:color="000000"/>
            </w:tcBorders>
          </w:tcPr>
          <w:p>
            <w:pPr>
              <w:pStyle w:val="TableParagraph"/>
              <w:spacing w:before="2"/>
              <w:ind w:left="0"/>
              <w:rPr>
                <w:sz w:val="19"/>
              </w:rPr>
            </w:pPr>
          </w:p>
          <w:p>
            <w:pPr>
              <w:pStyle w:val="TableParagraph"/>
              <w:spacing w:line="273" w:lineRule="auto"/>
              <w:ind w:left="96" w:right="108"/>
              <w:rPr>
                <w:sz w:val="21"/>
              </w:rPr>
            </w:pPr>
            <w:r>
              <w:rPr>
                <w:sz w:val="21"/>
              </w:rPr>
              <w:t>指保险单所具有的价值。通常体现为解除合同时，由本公司退还的那部分金额。</w:t>
            </w:r>
          </w:p>
          <w:p>
            <w:pPr>
              <w:pStyle w:val="TableParagraph"/>
              <w:spacing w:line="312" w:lineRule="exact" w:before="3"/>
              <w:ind w:left="96" w:right="108"/>
              <w:rPr>
                <w:sz w:val="21"/>
              </w:rPr>
            </w:pPr>
            <w:r>
              <w:rPr>
                <w:sz w:val="21"/>
              </w:rPr>
              <w:t>本附加险合同保单年度末的现金价值会在保险单上载明。保单年度内的现金价值，您可以向我们咨询。</w:t>
            </w:r>
          </w:p>
        </w:tc>
      </w:tr>
    </w:tbl>
    <w:p>
      <w:pPr>
        <w:spacing w:after="0" w:line="312"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031"/>
        <w:gridCol w:w="7340"/>
      </w:tblGrid>
      <w:tr>
        <w:trPr>
          <w:trHeight w:val="7254" w:hRule="atLeast"/>
        </w:trPr>
        <w:tc>
          <w:tcPr>
            <w:tcW w:w="710" w:type="dxa"/>
          </w:tcPr>
          <w:p>
            <w:pPr>
              <w:pStyle w:val="TableParagraph"/>
              <w:spacing w:line="211" w:lineRule="exact"/>
              <w:ind w:left="197" w:right="154"/>
              <w:jc w:val="center"/>
              <w:rPr>
                <w:b/>
                <w:sz w:val="21"/>
              </w:rPr>
            </w:pPr>
            <w:r>
              <w:rPr>
                <w:b/>
                <w:sz w:val="21"/>
              </w:rPr>
              <w:t>6.2</w:t>
            </w:r>
          </w:p>
        </w:tc>
        <w:tc>
          <w:tcPr>
            <w:tcW w:w="2031" w:type="dxa"/>
          </w:tcPr>
          <w:p>
            <w:pPr>
              <w:pStyle w:val="TableParagraph"/>
              <w:spacing w:line="211" w:lineRule="exact"/>
              <w:ind w:left="154"/>
              <w:rPr>
                <w:b/>
                <w:sz w:val="21"/>
              </w:rPr>
            </w:pPr>
            <w:r>
              <w:rPr>
                <w:b/>
                <w:sz w:val="21"/>
              </w:rPr>
              <w:t>减额交清</w:t>
            </w:r>
          </w:p>
        </w:tc>
        <w:tc>
          <w:tcPr>
            <w:tcW w:w="7340" w:type="dxa"/>
          </w:tcPr>
          <w:p>
            <w:pPr>
              <w:pStyle w:val="TableParagraph"/>
              <w:spacing w:line="211" w:lineRule="exact"/>
              <w:ind w:left="436"/>
              <w:rPr>
                <w:sz w:val="21"/>
              </w:rPr>
            </w:pPr>
            <w:r>
              <w:rPr>
                <w:sz w:val="21"/>
              </w:rPr>
              <w:t>当您无法继续交费时，可用现金价值作为一次交清的保险费，基本保险金</w:t>
            </w:r>
          </w:p>
          <w:p>
            <w:pPr>
              <w:pStyle w:val="TableParagraph"/>
              <w:spacing w:before="37"/>
              <w:ind w:left="436"/>
              <w:rPr>
                <w:sz w:val="21"/>
              </w:rPr>
            </w:pPr>
            <w:r>
              <w:rPr>
                <w:sz w:val="21"/>
              </w:rPr>
              <w:t>额将减少，合同继续有效。</w:t>
            </w:r>
          </w:p>
          <w:p>
            <w:pPr>
              <w:pStyle w:val="TableParagraph"/>
              <w:spacing w:line="273" w:lineRule="auto" w:before="37"/>
              <w:ind w:left="436" w:right="103"/>
              <w:jc w:val="both"/>
              <w:rPr>
                <w:sz w:val="21"/>
              </w:rPr>
            </w:pPr>
            <w:r>
              <w:rPr>
                <w:sz w:val="21"/>
              </w:rPr>
              <w:t>本附加险合同必须随主险合同一起办理减额交清，不能单独办理，且本附加险合同减额交清后的基本保险金额须满足下述减额交清的规则。</w:t>
            </w:r>
          </w:p>
          <w:p>
            <w:pPr>
              <w:pStyle w:val="TableParagraph"/>
              <w:spacing w:line="273" w:lineRule="auto" w:before="8"/>
              <w:ind w:left="436" w:right="99"/>
              <w:jc w:val="both"/>
              <w:rPr>
                <w:sz w:val="21"/>
              </w:rPr>
            </w:pPr>
            <w:r>
              <w:rPr>
                <w:sz w:val="21"/>
              </w:rPr>
              <w:t>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6">
              <w:r>
                <w:rPr>
                  <w:rFonts w:ascii="黑体" w:eastAsia="黑体" w:hint="eastAsia"/>
                  <w:b/>
                  <w:position w:val="11"/>
                  <w:sz w:val="11"/>
                </w:rPr>
                <w:t>17</w:t>
              </w:r>
            </w:hyperlink>
            <w:r>
              <w:rPr>
                <w:sz w:val="21"/>
              </w:rPr>
              <w:t>：</w:t>
            </w:r>
          </w:p>
          <w:p>
            <w:pPr>
              <w:pStyle w:val="TableParagraph"/>
              <w:spacing w:line="273" w:lineRule="auto" w:before="4"/>
              <w:ind w:left="436" w:right="103"/>
              <w:jc w:val="both"/>
              <w:rPr>
                <w:sz w:val="21"/>
              </w:rPr>
            </w:pPr>
            <w:r>
              <w:rPr>
                <w:sz w:val="21"/>
              </w:rPr>
              <w:t>如果您与我们签订的保险合同中未附有仅包含恶性肿瘤疾病保障的保险合同，我们将用净保险费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p>
            <w:pPr>
              <w:pStyle w:val="TableParagraph"/>
              <w:spacing w:line="273" w:lineRule="auto" w:before="7"/>
              <w:ind w:left="436" w:right="97"/>
              <w:jc w:val="both"/>
              <w:rPr>
                <w:sz w:val="21"/>
              </w:rPr>
            </w:pPr>
            <w:r>
              <w:rPr>
                <w:sz w:val="21"/>
              </w:rPr>
              <w:t>如果您与我们签订的保险合同中附有仅包含恶性肿瘤疾病保障的保险合同，我们将用净保险费重新计算本附加险合同的基本保险金额。若重新计算的本附加险合同的基本保险金额不低于主险合同减额交清后的基本保险金额，本附加险合同减额交清后的基本保险金额与主险合同减额交清后的基本保险金额之比需与二者减额交清前的基本保险金额之比相同，对于不满足该要求的部分，我们将对应的净保险费退还给您；若重新计算的本附加险合同的基本保险金额低于主险合同减额交清后的基本保险金额，则减额交清后的基本保险金额按照重新计算的本附加险合同的基本保险金额确定。</w:t>
            </w:r>
          </w:p>
          <w:p>
            <w:pPr>
              <w:pStyle w:val="TableParagraph"/>
              <w:spacing w:line="273" w:lineRule="auto" w:before="7"/>
              <w:ind w:left="436" w:right="103"/>
              <w:jc w:val="both"/>
              <w:rPr>
                <w:sz w:val="21"/>
              </w:rPr>
            </w:pPr>
            <w:r>
              <w:rPr>
                <w:sz w:val="21"/>
              </w:rPr>
              <w:t>减额交清后，本附加险合同的基本保险金额会相应减少，您不需要再支付保险费，本附加险合同继续有效。</w:t>
            </w:r>
          </w:p>
        </w:tc>
      </w:tr>
      <w:tr>
        <w:trPr>
          <w:trHeight w:val="1285" w:hRule="atLeast"/>
        </w:trPr>
        <w:tc>
          <w:tcPr>
            <w:tcW w:w="710" w:type="dxa"/>
            <w:tcBorders>
              <w:bottom w:val="single" w:sz="8" w:space="0" w:color="000000"/>
            </w:tcBorders>
          </w:tcPr>
          <w:p>
            <w:pPr>
              <w:pStyle w:val="TableParagraph"/>
              <w:spacing w:before="143"/>
              <w:ind w:left="45"/>
              <w:jc w:val="center"/>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before="142"/>
              <w:ind w:left="154"/>
              <w:rPr>
                <w:b/>
                <w:sz w:val="24"/>
              </w:rPr>
            </w:pPr>
            <w:r>
              <w:rPr>
                <w:b/>
                <w:w w:val="95"/>
                <w:sz w:val="24"/>
              </w:rPr>
              <w:t>特定轻度重疾释义</w:t>
            </w:r>
          </w:p>
          <w:p>
            <w:pPr>
              <w:pStyle w:val="TableParagraph"/>
              <w:spacing w:line="244" w:lineRule="auto" w:before="137"/>
              <w:ind w:left="154" w:right="62"/>
              <w:rPr>
                <w:sz w:val="24"/>
              </w:rPr>
            </w:pPr>
            <w:r>
              <w:rPr>
                <w:sz w:val="24"/>
              </w:rPr>
              <w:t>这部分讲的是我们提供保障的 20 种特定轻度重疾的定义，其中包含一些免责条款，请您特别留意。</w:t>
            </w:r>
          </w:p>
        </w:tc>
      </w:tr>
      <w:tr>
        <w:trPr>
          <w:trHeight w:val="648" w:hRule="atLeast"/>
        </w:trPr>
        <w:tc>
          <w:tcPr>
            <w:tcW w:w="710" w:type="dxa"/>
            <w:tcBorders>
              <w:top w:val="single" w:sz="8" w:space="0" w:color="000000"/>
            </w:tcBorders>
          </w:tcPr>
          <w:p>
            <w:pPr>
              <w:pStyle w:val="TableParagraph"/>
              <w:ind w:left="0"/>
              <w:rPr>
                <w:rFonts w:ascii="Times New Roman"/>
                <w:sz w:val="20"/>
              </w:rPr>
            </w:pPr>
          </w:p>
        </w:tc>
        <w:tc>
          <w:tcPr>
            <w:tcW w:w="2031" w:type="dxa"/>
            <w:tcBorders>
              <w:top w:val="single" w:sz="8" w:space="0" w:color="000000"/>
            </w:tcBorders>
          </w:tcPr>
          <w:p>
            <w:pPr>
              <w:pStyle w:val="TableParagraph"/>
              <w:spacing w:before="12"/>
              <w:ind w:left="0"/>
              <w:rPr>
                <w:sz w:val="14"/>
              </w:rPr>
            </w:pPr>
          </w:p>
          <w:p>
            <w:pPr>
              <w:pStyle w:val="TableParagraph"/>
              <w:ind w:left="154"/>
              <w:rPr>
                <w:b/>
                <w:sz w:val="21"/>
              </w:rPr>
            </w:pPr>
            <w:r>
              <w:rPr>
                <w:b/>
                <w:sz w:val="21"/>
              </w:rPr>
              <w:t>第 1 类：</w:t>
            </w:r>
          </w:p>
        </w:tc>
        <w:tc>
          <w:tcPr>
            <w:tcW w:w="7340" w:type="dxa"/>
            <w:tcBorders>
              <w:top w:val="single" w:sz="8" w:space="0" w:color="000000"/>
            </w:tcBorders>
          </w:tcPr>
          <w:p>
            <w:pPr>
              <w:pStyle w:val="TableParagraph"/>
              <w:spacing w:before="12"/>
              <w:ind w:left="0"/>
              <w:rPr>
                <w:sz w:val="14"/>
              </w:rPr>
            </w:pPr>
          </w:p>
          <w:p>
            <w:pPr>
              <w:pStyle w:val="TableParagraph"/>
              <w:ind w:left="436"/>
              <w:rPr>
                <w:b/>
                <w:sz w:val="21"/>
              </w:rPr>
            </w:pPr>
            <w:r>
              <w:rPr>
                <w:b/>
                <w:sz w:val="21"/>
              </w:rPr>
              <w:t>与恶性肿瘤相关的疾病</w:t>
            </w:r>
          </w:p>
        </w:tc>
      </w:tr>
      <w:tr>
        <w:trPr>
          <w:trHeight w:val="1516" w:hRule="atLeast"/>
        </w:trPr>
        <w:tc>
          <w:tcPr>
            <w:tcW w:w="710" w:type="dxa"/>
          </w:tcPr>
          <w:p>
            <w:pPr>
              <w:pStyle w:val="TableParagraph"/>
              <w:spacing w:before="114"/>
              <w:ind w:left="43"/>
              <w:jc w:val="center"/>
              <w:rPr>
                <w:b/>
                <w:sz w:val="21"/>
              </w:rPr>
            </w:pPr>
            <w:r>
              <w:rPr>
                <w:b/>
                <w:w w:val="99"/>
                <w:sz w:val="21"/>
              </w:rPr>
              <w:t>1</w:t>
            </w:r>
          </w:p>
        </w:tc>
        <w:tc>
          <w:tcPr>
            <w:tcW w:w="2031" w:type="dxa"/>
          </w:tcPr>
          <w:p>
            <w:pPr>
              <w:pStyle w:val="TableParagraph"/>
              <w:spacing w:before="111"/>
              <w:ind w:left="154"/>
              <w:rPr>
                <w:rFonts w:ascii="等线" w:eastAsia="等线" w:hint="eastAsia"/>
                <w:b/>
                <w:sz w:val="24"/>
              </w:rPr>
            </w:pPr>
            <w:r>
              <w:rPr>
                <w:rFonts w:ascii="等线" w:eastAsia="等线" w:hint="eastAsia"/>
                <w:b/>
                <w:sz w:val="24"/>
              </w:rPr>
              <w:t>早期恶性病变</w:t>
            </w:r>
          </w:p>
        </w:tc>
        <w:tc>
          <w:tcPr>
            <w:tcW w:w="7340" w:type="dxa"/>
          </w:tcPr>
          <w:p>
            <w:pPr>
              <w:pStyle w:val="TableParagraph"/>
              <w:spacing w:before="114"/>
              <w:ind w:left="436" w:right="-15"/>
              <w:rPr>
                <w:sz w:val="21"/>
              </w:rPr>
            </w:pPr>
            <w:r>
              <w:rPr>
                <w:spacing w:val="-5"/>
                <w:sz w:val="21"/>
              </w:rPr>
              <w:t>指经组织病理学检查被明确诊断为下列恶性病变，并且接受了相应的治疗。</w:t>
            </w:r>
          </w:p>
          <w:p>
            <w:pPr>
              <w:pStyle w:val="TableParagraph"/>
              <w:spacing w:before="37"/>
              <w:ind w:left="436"/>
              <w:rPr>
                <w:sz w:val="21"/>
              </w:rPr>
            </w:pPr>
            <w:r>
              <w:rPr>
                <w:sz w:val="21"/>
              </w:rPr>
              <w:t>（1）相当于 Binet 分期方案 A 期程度的慢性淋巴细胞白血病；</w:t>
            </w:r>
          </w:p>
          <w:p>
            <w:pPr>
              <w:pStyle w:val="TableParagraph"/>
              <w:spacing w:before="36"/>
              <w:ind w:left="436"/>
              <w:rPr>
                <w:sz w:val="21"/>
              </w:rPr>
            </w:pPr>
            <w:r>
              <w:rPr>
                <w:sz w:val="21"/>
              </w:rPr>
              <w:t>（2）相当于 Ann Arbor 分期方案 I 期程度的何杰金氏病；</w:t>
            </w:r>
          </w:p>
          <w:p>
            <w:pPr>
              <w:pStyle w:val="TableParagraph"/>
              <w:spacing w:before="36"/>
              <w:ind w:left="436"/>
              <w:rPr>
                <w:sz w:val="21"/>
              </w:rPr>
            </w:pPr>
            <w:r>
              <w:rPr>
                <w:position w:val="1"/>
                <w:sz w:val="21"/>
              </w:rPr>
              <w:t>（3）TNM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220" w:hRule="atLeast"/>
        </w:trPr>
        <w:tc>
          <w:tcPr>
            <w:tcW w:w="710" w:type="dxa"/>
          </w:tcPr>
          <w:p>
            <w:pPr>
              <w:pStyle w:val="TableParagraph"/>
              <w:spacing w:before="128"/>
              <w:ind w:left="43"/>
              <w:jc w:val="center"/>
              <w:rPr>
                <w:b/>
                <w:sz w:val="21"/>
              </w:rPr>
            </w:pPr>
            <w:r>
              <w:rPr>
                <w:b/>
                <w:w w:val="99"/>
                <w:sz w:val="21"/>
              </w:rPr>
              <w:t>2</w:t>
            </w:r>
          </w:p>
        </w:tc>
        <w:tc>
          <w:tcPr>
            <w:tcW w:w="2031" w:type="dxa"/>
          </w:tcPr>
          <w:p>
            <w:pPr>
              <w:pStyle w:val="TableParagraph"/>
              <w:spacing w:before="126"/>
              <w:ind w:left="154"/>
              <w:rPr>
                <w:rFonts w:ascii="等线" w:eastAsia="等线" w:hint="eastAsia"/>
                <w:b/>
                <w:sz w:val="24"/>
              </w:rPr>
            </w:pPr>
            <w:r>
              <w:rPr>
                <w:rFonts w:ascii="等线" w:eastAsia="等线" w:hint="eastAsia"/>
                <w:b/>
                <w:sz w:val="24"/>
              </w:rPr>
              <w:t>原位癌</w:t>
            </w:r>
          </w:p>
        </w:tc>
        <w:tc>
          <w:tcPr>
            <w:tcW w:w="7340" w:type="dxa"/>
          </w:tcPr>
          <w:p>
            <w:pPr>
              <w:pStyle w:val="TableParagraph"/>
              <w:spacing w:before="128"/>
              <w:ind w:left="436"/>
              <w:rPr>
                <w:sz w:val="21"/>
              </w:rPr>
            </w:pPr>
            <w:r>
              <w:rPr>
                <w:sz w:val="21"/>
              </w:rPr>
              <w:t>指恶性肿瘤细胞未穿透基底膜的原位无浸润的恶性肿瘤。</w:t>
            </w:r>
          </w:p>
          <w:p>
            <w:pPr>
              <w:pStyle w:val="TableParagraph"/>
              <w:spacing w:line="273" w:lineRule="auto" w:before="37"/>
              <w:ind w:left="436" w:right="103"/>
              <w:rPr>
                <w:sz w:val="21"/>
              </w:rPr>
            </w:pPr>
            <w:r>
              <w:rPr>
                <w:sz w:val="21"/>
                <w:shd w:fill="DADADA" w:color="auto" w:val="clear"/>
              </w:rPr>
              <w:t>诊断需以固定组织标本的病理组织学检查结果为依据，任何组织涂片和穿刺活检结果均不能作为诊断依据。</w:t>
            </w:r>
          </w:p>
        </w:tc>
      </w:tr>
      <w:tr>
        <w:trPr>
          <w:trHeight w:val="1220" w:hRule="atLeast"/>
        </w:trPr>
        <w:tc>
          <w:tcPr>
            <w:tcW w:w="710" w:type="dxa"/>
          </w:tcPr>
          <w:p>
            <w:pPr>
              <w:pStyle w:val="TableParagraph"/>
              <w:spacing w:before="129"/>
              <w:ind w:left="43"/>
              <w:jc w:val="center"/>
              <w:rPr>
                <w:b/>
                <w:sz w:val="21"/>
              </w:rPr>
            </w:pPr>
            <w:r>
              <w:rPr>
                <w:b/>
                <w:w w:val="99"/>
                <w:sz w:val="21"/>
              </w:rPr>
              <w:t>3</w:t>
            </w:r>
          </w:p>
        </w:tc>
        <w:tc>
          <w:tcPr>
            <w:tcW w:w="2031" w:type="dxa"/>
          </w:tcPr>
          <w:p>
            <w:pPr>
              <w:pStyle w:val="TableParagraph"/>
              <w:spacing w:before="127"/>
              <w:ind w:left="154"/>
              <w:rPr>
                <w:rFonts w:ascii="等线" w:eastAsia="等线" w:hint="eastAsia"/>
                <w:b/>
                <w:sz w:val="24"/>
              </w:rPr>
            </w:pPr>
            <w:r>
              <w:rPr>
                <w:rFonts w:ascii="等线" w:eastAsia="等线" w:hint="eastAsia"/>
                <w:b/>
                <w:sz w:val="24"/>
              </w:rPr>
              <w:t>皮肤癌</w:t>
            </w:r>
          </w:p>
        </w:tc>
        <w:tc>
          <w:tcPr>
            <w:tcW w:w="7340" w:type="dxa"/>
          </w:tcPr>
          <w:p>
            <w:pPr>
              <w:pStyle w:val="TableParagraph"/>
              <w:spacing w:line="273" w:lineRule="auto" w:before="129"/>
              <w:ind w:left="436" w:right="103"/>
              <w:rPr>
                <w:sz w:val="21"/>
              </w:rPr>
            </w:pPr>
            <w:r>
              <w:rPr>
                <w:sz w:val="21"/>
              </w:rPr>
              <w:t>指皮肤表皮发生的恶性肿瘤。皮肤癌的诊断必须由专科医生诊断并且经病理学检查结果确诊。</w:t>
            </w:r>
          </w:p>
          <w:p>
            <w:pPr>
              <w:pStyle w:val="TableParagraph"/>
              <w:spacing w:before="7"/>
              <w:ind w:left="436"/>
              <w:rPr>
                <w:sz w:val="21"/>
              </w:rPr>
            </w:pPr>
            <w:r>
              <w:rPr>
                <w:sz w:val="21"/>
                <w:shd w:fill="DADADA" w:color="auto" w:val="clear"/>
              </w:rPr>
              <w:t>恶性黑色素瘤及已发生转移的皮肤癌不在保障范围内。</w:t>
            </w:r>
          </w:p>
        </w:tc>
      </w:tr>
      <w:tr>
        <w:trPr>
          <w:trHeight w:val="427" w:hRule="atLeast"/>
        </w:trPr>
        <w:tc>
          <w:tcPr>
            <w:tcW w:w="710" w:type="dxa"/>
          </w:tcPr>
          <w:p>
            <w:pPr>
              <w:pStyle w:val="TableParagraph"/>
              <w:ind w:left="0"/>
              <w:rPr>
                <w:rFonts w:ascii="Times New Roman"/>
                <w:sz w:val="20"/>
              </w:rPr>
            </w:pPr>
          </w:p>
        </w:tc>
        <w:tc>
          <w:tcPr>
            <w:tcW w:w="2031" w:type="dxa"/>
          </w:tcPr>
          <w:p>
            <w:pPr>
              <w:pStyle w:val="TableParagraph"/>
              <w:spacing w:line="255" w:lineRule="exact" w:before="152"/>
              <w:ind w:left="154"/>
              <w:rPr>
                <w:b/>
                <w:sz w:val="21"/>
              </w:rPr>
            </w:pPr>
            <w:r>
              <w:rPr>
                <w:b/>
                <w:sz w:val="21"/>
              </w:rPr>
              <w:t>第 2 类：</w:t>
            </w:r>
          </w:p>
        </w:tc>
        <w:tc>
          <w:tcPr>
            <w:tcW w:w="7340" w:type="dxa"/>
          </w:tcPr>
          <w:p>
            <w:pPr>
              <w:pStyle w:val="TableParagraph"/>
              <w:spacing w:before="128"/>
              <w:ind w:left="436"/>
              <w:rPr>
                <w:b/>
                <w:sz w:val="21"/>
              </w:rPr>
            </w:pPr>
            <w:r>
              <w:rPr>
                <w:b/>
                <w:sz w:val="21"/>
              </w:rPr>
              <w:t>与心脏或脑血管相关的疾病</w:t>
            </w:r>
          </w:p>
        </w:tc>
      </w:tr>
    </w:tbl>
    <w:p>
      <w:pPr>
        <w:pStyle w:val="BodyText"/>
        <w:rPr>
          <w:sz w:val="20"/>
        </w:rPr>
      </w:pPr>
    </w:p>
    <w:p>
      <w:pPr>
        <w:pStyle w:val="BodyText"/>
        <w:spacing w:before="8"/>
        <w:rPr>
          <w:sz w:val="18"/>
        </w:rPr>
      </w:pPr>
      <w:r>
        <w:rPr/>
        <w:pict>
          <v:line style="position:absolute;mso-position-horizontal-relative:page;mso-position-vertical-relative:paragraph;z-index:1360;mso-wrap-distance-left:0;mso-wrap-distance-right:0" from="51pt,14.394062pt" to="195pt,14.394062pt" stroked="true" strokeweight=".48pt" strokecolor="#000000">
            <v:stroke dashstyle="solid"/>
            <w10:wrap type="topAndBottom"/>
          </v:line>
        </w:pict>
      </w:r>
    </w:p>
    <w:p>
      <w:pPr>
        <w:spacing w:before="25"/>
        <w:ind w:left="220"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160" w:bottom="280" w:left="80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204"/>
      </w:tblGrid>
      <w:tr>
        <w:trPr>
          <w:trHeight w:val="687" w:hRule="atLeast"/>
        </w:trPr>
        <w:tc>
          <w:tcPr>
            <w:tcW w:w="602" w:type="dxa"/>
          </w:tcPr>
          <w:p>
            <w:pPr>
              <w:pStyle w:val="TableParagraph"/>
              <w:spacing w:line="211" w:lineRule="exact"/>
              <w:ind w:left="9"/>
              <w:jc w:val="center"/>
              <w:rPr>
                <w:b/>
                <w:sz w:val="21"/>
              </w:rPr>
            </w:pPr>
            <w:r>
              <w:rPr>
                <w:b/>
                <w:w w:val="99"/>
                <w:sz w:val="21"/>
              </w:rPr>
              <w:t>4</w:t>
            </w:r>
          </w:p>
        </w:tc>
        <w:tc>
          <w:tcPr>
            <w:tcW w:w="2407" w:type="dxa"/>
          </w:tcPr>
          <w:p>
            <w:pPr>
              <w:pStyle w:val="TableParagraph"/>
              <w:spacing w:line="261" w:lineRule="exact"/>
              <w:ind w:left="190"/>
              <w:rPr>
                <w:rFonts w:ascii="等线" w:eastAsia="等线" w:hint="eastAsia"/>
                <w:b/>
                <w:sz w:val="24"/>
              </w:rPr>
            </w:pPr>
            <w:r>
              <w:rPr>
                <w:rFonts w:ascii="等线" w:eastAsia="等线" w:hint="eastAsia"/>
                <w:b/>
                <w:sz w:val="24"/>
              </w:rPr>
              <w:t>心脏瓣膜介入手术</w:t>
            </w:r>
          </w:p>
        </w:tc>
        <w:tc>
          <w:tcPr>
            <w:tcW w:w="7204" w:type="dxa"/>
          </w:tcPr>
          <w:p>
            <w:pPr>
              <w:pStyle w:val="TableParagraph"/>
              <w:spacing w:line="211" w:lineRule="exact"/>
              <w:rPr>
                <w:sz w:val="21"/>
              </w:rPr>
            </w:pPr>
            <w:r>
              <w:rPr>
                <w:sz w:val="21"/>
              </w:rPr>
              <w:t>为了治疗心脏瓣膜疾病，实际实施了经皮经导管介入手术进行的心脏瓣膜</w:t>
            </w:r>
          </w:p>
          <w:p>
            <w:pPr>
              <w:pStyle w:val="TableParagraph"/>
              <w:spacing w:before="37"/>
              <w:rPr>
                <w:sz w:val="21"/>
              </w:rPr>
            </w:pPr>
            <w:r>
              <w:rPr>
                <w:sz w:val="21"/>
              </w:rPr>
              <w:t>置换或修复手术。</w:t>
            </w:r>
          </w:p>
        </w:tc>
      </w:tr>
      <w:tr>
        <w:trPr>
          <w:trHeight w:val="852" w:hRule="atLeast"/>
        </w:trPr>
        <w:tc>
          <w:tcPr>
            <w:tcW w:w="602" w:type="dxa"/>
          </w:tcPr>
          <w:p>
            <w:pPr>
              <w:pStyle w:val="TableParagraph"/>
              <w:spacing w:before="100"/>
              <w:ind w:left="9"/>
              <w:jc w:val="center"/>
              <w:rPr>
                <w:b/>
                <w:sz w:val="21"/>
              </w:rPr>
            </w:pPr>
            <w:r>
              <w:rPr>
                <w:b/>
                <w:w w:val="99"/>
                <w:sz w:val="21"/>
              </w:rPr>
              <w:t>5</w:t>
            </w:r>
          </w:p>
        </w:tc>
        <w:tc>
          <w:tcPr>
            <w:tcW w:w="2407" w:type="dxa"/>
          </w:tcPr>
          <w:p>
            <w:pPr>
              <w:pStyle w:val="TableParagraph"/>
              <w:spacing w:before="98"/>
              <w:ind w:left="190"/>
              <w:rPr>
                <w:rFonts w:ascii="等线" w:eastAsia="等线" w:hint="eastAsia"/>
                <w:b/>
                <w:sz w:val="24"/>
              </w:rPr>
            </w:pPr>
            <w:r>
              <w:rPr>
                <w:rFonts w:ascii="等线" w:eastAsia="等线" w:hint="eastAsia"/>
                <w:b/>
                <w:sz w:val="24"/>
              </w:rPr>
              <w:t>主动脉内手术</w:t>
            </w:r>
          </w:p>
        </w:tc>
        <w:tc>
          <w:tcPr>
            <w:tcW w:w="7204" w:type="dxa"/>
          </w:tcPr>
          <w:p>
            <w:pPr>
              <w:pStyle w:val="TableParagraph"/>
              <w:spacing w:before="100"/>
              <w:rPr>
                <w:sz w:val="21"/>
              </w:rPr>
            </w:pPr>
            <w:r>
              <w:rPr>
                <w:sz w:val="21"/>
              </w:rPr>
              <w:t>为了治疗主动脉疾病实际实施了经皮经导管进行的动脉内手术。</w:t>
            </w:r>
          </w:p>
          <w:p>
            <w:pPr>
              <w:pStyle w:val="TableParagraph"/>
              <w:spacing w:before="36"/>
              <w:rPr>
                <w:sz w:val="21"/>
              </w:rPr>
            </w:pPr>
            <w:r>
              <w:rPr>
                <w:sz w:val="21"/>
              </w:rPr>
              <w:t>主动脉指胸主动脉和腹主动脉，</w:t>
            </w:r>
            <w:r>
              <w:rPr>
                <w:sz w:val="21"/>
                <w:shd w:fill="DADADA" w:color="auto" w:val="clear"/>
              </w:rPr>
              <w:t>不包括胸主动脉和腹主动脉的分支血管。</w:t>
            </w:r>
          </w:p>
        </w:tc>
      </w:tr>
      <w:tr>
        <w:trPr>
          <w:trHeight w:val="850" w:hRule="atLeast"/>
        </w:trPr>
        <w:tc>
          <w:tcPr>
            <w:tcW w:w="602" w:type="dxa"/>
          </w:tcPr>
          <w:p>
            <w:pPr>
              <w:pStyle w:val="TableParagraph"/>
              <w:spacing w:before="100"/>
              <w:ind w:left="9"/>
              <w:jc w:val="center"/>
              <w:rPr>
                <w:b/>
                <w:sz w:val="21"/>
              </w:rPr>
            </w:pPr>
            <w:r>
              <w:rPr>
                <w:b/>
                <w:w w:val="99"/>
                <w:sz w:val="21"/>
              </w:rPr>
              <w:t>6</w:t>
            </w:r>
          </w:p>
        </w:tc>
        <w:tc>
          <w:tcPr>
            <w:tcW w:w="2407" w:type="dxa"/>
          </w:tcPr>
          <w:p>
            <w:pPr>
              <w:pStyle w:val="TableParagraph"/>
              <w:spacing w:before="98"/>
              <w:ind w:left="190"/>
              <w:rPr>
                <w:rFonts w:ascii="等线" w:eastAsia="等线" w:hint="eastAsia"/>
                <w:b/>
                <w:sz w:val="24"/>
              </w:rPr>
            </w:pPr>
            <w:r>
              <w:rPr>
                <w:rFonts w:ascii="等线" w:eastAsia="等线" w:hint="eastAsia"/>
                <w:b/>
                <w:sz w:val="24"/>
              </w:rPr>
              <w:t>心包膜切除术</w:t>
            </w:r>
          </w:p>
        </w:tc>
        <w:tc>
          <w:tcPr>
            <w:tcW w:w="7204" w:type="dxa"/>
          </w:tcPr>
          <w:p>
            <w:pPr>
              <w:pStyle w:val="TableParagraph"/>
              <w:spacing w:line="273" w:lineRule="auto" w:before="100"/>
              <w:ind w:right="306"/>
              <w:rPr>
                <w:sz w:val="21"/>
              </w:rPr>
            </w:pPr>
            <w:r>
              <w:rPr>
                <w:sz w:val="21"/>
              </w:rPr>
              <w:t>因心包膜疾病导致已经接受心包膜切除术。手术必须由专科医生认为是医学上必须的情况下进行。</w:t>
            </w:r>
          </w:p>
        </w:tc>
      </w:tr>
      <w:tr>
        <w:trPr>
          <w:trHeight w:val="2098" w:hRule="atLeast"/>
        </w:trPr>
        <w:tc>
          <w:tcPr>
            <w:tcW w:w="602" w:type="dxa"/>
          </w:tcPr>
          <w:p>
            <w:pPr>
              <w:pStyle w:val="TableParagraph"/>
              <w:spacing w:before="99"/>
              <w:ind w:left="9"/>
              <w:jc w:val="center"/>
              <w:rPr>
                <w:b/>
                <w:sz w:val="21"/>
              </w:rPr>
            </w:pPr>
            <w:r>
              <w:rPr>
                <w:b/>
                <w:w w:val="99"/>
                <w:sz w:val="21"/>
              </w:rPr>
              <w:t>7</w:t>
            </w:r>
          </w:p>
        </w:tc>
        <w:tc>
          <w:tcPr>
            <w:tcW w:w="2407" w:type="dxa"/>
          </w:tcPr>
          <w:p>
            <w:pPr>
              <w:pStyle w:val="TableParagraph"/>
              <w:spacing w:line="235" w:lineRule="auto" w:before="103"/>
              <w:ind w:left="190" w:right="96"/>
              <w:rPr>
                <w:rFonts w:ascii="等线" w:eastAsia="等线" w:hint="eastAsia"/>
                <w:b/>
                <w:sz w:val="24"/>
              </w:rPr>
            </w:pPr>
            <w:r>
              <w:rPr>
                <w:rFonts w:ascii="等线" w:eastAsia="等线" w:hint="eastAsia"/>
                <w:b/>
                <w:sz w:val="24"/>
              </w:rPr>
              <w:t>颈动脉血管成形术或内膜切除术</w:t>
            </w:r>
          </w:p>
        </w:tc>
        <w:tc>
          <w:tcPr>
            <w:tcW w:w="7204" w:type="dxa"/>
          </w:tcPr>
          <w:p>
            <w:pPr>
              <w:pStyle w:val="TableParagraph"/>
              <w:spacing w:line="273" w:lineRule="auto" w:before="99"/>
              <w:ind w:right="199"/>
              <w:rPr>
                <w:sz w:val="21"/>
              </w:rPr>
            </w:pPr>
            <w:r>
              <w:rPr>
                <w:spacing w:val="-6"/>
                <w:sz w:val="21"/>
              </w:rPr>
              <w:t>指为治疗颈动脉狭窄性疾病，已经实施了颈动脉血管成形术或内膜切除术。须由颈动脉造影检查证实一条或以上颈动脉超过管径 </w:t>
            </w:r>
            <w:r>
              <w:rPr>
                <w:sz w:val="21"/>
              </w:rPr>
              <w:t>50</w:t>
            </w:r>
            <w:r>
              <w:rPr>
                <w:spacing w:val="-12"/>
                <w:sz w:val="21"/>
              </w:rPr>
              <w:t>%或以上的狭窄。此</w:t>
            </w:r>
            <w:r>
              <w:rPr>
                <w:spacing w:val="-6"/>
                <w:sz w:val="21"/>
              </w:rPr>
              <w:t>病症须由专科医生明确诊断，同时必须已经实施了以下手术之一：</w:t>
            </w:r>
          </w:p>
          <w:p>
            <w:pPr>
              <w:pStyle w:val="TableParagraph"/>
              <w:spacing w:before="7"/>
              <w:rPr>
                <w:sz w:val="21"/>
              </w:rPr>
            </w:pPr>
            <w:r>
              <w:rPr>
                <w:sz w:val="21"/>
              </w:rPr>
              <w:t>（1）颈动脉内膜切除术；</w:t>
            </w:r>
          </w:p>
          <w:p>
            <w:pPr>
              <w:pStyle w:val="TableParagraph"/>
              <w:spacing w:line="273" w:lineRule="auto" w:before="37"/>
              <w:ind w:left="623" w:right="260" w:hanging="526"/>
              <w:rPr>
                <w:sz w:val="21"/>
              </w:rPr>
            </w:pPr>
            <w:r>
              <w:rPr>
                <w:sz w:val="21"/>
              </w:rPr>
              <w:t>（2）血管介入手术，例如血管成形术及／或进行植入支架或动脉粥样瘤清除手术。</w:t>
            </w:r>
          </w:p>
        </w:tc>
      </w:tr>
      <w:tr>
        <w:trPr>
          <w:trHeight w:val="3346" w:hRule="atLeast"/>
        </w:trPr>
        <w:tc>
          <w:tcPr>
            <w:tcW w:w="602" w:type="dxa"/>
          </w:tcPr>
          <w:p>
            <w:pPr>
              <w:pStyle w:val="TableParagraph"/>
              <w:spacing w:before="100"/>
              <w:ind w:left="9"/>
              <w:jc w:val="center"/>
              <w:rPr>
                <w:b/>
                <w:sz w:val="21"/>
              </w:rPr>
            </w:pPr>
            <w:r>
              <w:rPr>
                <w:b/>
                <w:w w:val="99"/>
                <w:sz w:val="21"/>
              </w:rPr>
              <w:t>8</w:t>
            </w:r>
          </w:p>
        </w:tc>
        <w:tc>
          <w:tcPr>
            <w:tcW w:w="2407" w:type="dxa"/>
          </w:tcPr>
          <w:p>
            <w:pPr>
              <w:pStyle w:val="TableParagraph"/>
              <w:spacing w:before="98"/>
              <w:ind w:left="190"/>
              <w:rPr>
                <w:rFonts w:ascii="等线" w:eastAsia="等线" w:hint="eastAsia"/>
                <w:b/>
                <w:sz w:val="24"/>
              </w:rPr>
            </w:pPr>
            <w:r>
              <w:rPr>
                <w:rFonts w:ascii="等线" w:eastAsia="等线" w:hint="eastAsia"/>
                <w:b/>
                <w:sz w:val="24"/>
              </w:rPr>
              <w:t>早期原发性心ft病</w:t>
            </w:r>
          </w:p>
        </w:tc>
        <w:tc>
          <w:tcPr>
            <w:tcW w:w="7204" w:type="dxa"/>
          </w:tcPr>
          <w:p>
            <w:pPr>
              <w:pStyle w:val="TableParagraph"/>
              <w:spacing w:line="273" w:lineRule="auto" w:before="100"/>
              <w:ind w:right="306"/>
              <w:rPr>
                <w:sz w:val="21"/>
              </w:rPr>
            </w:pPr>
            <w:r>
              <w:rPr>
                <w:sz w:val="21"/>
              </w:rPr>
              <w:t>被诊断为原发性心肌病，并符合下列所有条件，但未达到本附加险合同所指重大疾病“严重原发性心肌病”的标准：</w:t>
            </w:r>
          </w:p>
          <w:p>
            <w:pPr>
              <w:pStyle w:val="TableParagraph"/>
              <w:spacing w:line="273" w:lineRule="auto" w:before="7"/>
              <w:ind w:left="623" w:right="262" w:hanging="526"/>
              <w:rPr>
                <w:sz w:val="21"/>
              </w:rPr>
            </w:pPr>
            <w:r>
              <w:rPr>
                <w:sz w:val="21"/>
              </w:rPr>
              <w:t>（1）导致心室功能受损，其受损程度达到美国纽约心脏病学会心功能状态分级Ⅲ级，或其同等级别；</w:t>
            </w:r>
          </w:p>
          <w:p>
            <w:pPr>
              <w:pStyle w:val="TableParagraph"/>
              <w:spacing w:before="7"/>
              <w:rPr>
                <w:sz w:val="21"/>
              </w:rPr>
            </w:pPr>
            <w:r>
              <w:rPr>
                <w:sz w:val="21"/>
              </w:rPr>
              <w:t>（2）左室射血分数 LVEF &lt;35%；</w:t>
            </w:r>
          </w:p>
          <w:p>
            <w:pPr>
              <w:pStyle w:val="TableParagraph"/>
              <w:spacing w:line="273" w:lineRule="auto" w:before="36"/>
              <w:ind w:left="623" w:right="253" w:hanging="526"/>
              <w:rPr>
                <w:sz w:val="21"/>
              </w:rPr>
            </w:pPr>
            <w:r>
              <w:rPr>
                <w:sz w:val="21"/>
              </w:rPr>
              <w:t>（3）原发性心肌病的诊断必须由医院专科医生确认，并提供心脏超声检查结果报告。</w:t>
            </w:r>
          </w:p>
          <w:p>
            <w:pPr>
              <w:pStyle w:val="TableParagraph"/>
              <w:spacing w:line="273" w:lineRule="auto" w:before="7"/>
              <w:ind w:right="306"/>
              <w:rPr>
                <w:sz w:val="21"/>
              </w:rPr>
            </w:pPr>
            <w:r>
              <w:rPr>
                <w:sz w:val="21"/>
              </w:rPr>
              <w:t>本保障范围内的心肌病仅包括扩张型心肌病、肥厚型心肌病及限制型心肌病。</w:t>
            </w:r>
          </w:p>
          <w:p>
            <w:pPr>
              <w:pStyle w:val="TableParagraph"/>
              <w:spacing w:before="8"/>
              <w:rPr>
                <w:sz w:val="21"/>
              </w:rPr>
            </w:pPr>
            <w:r>
              <w:rPr>
                <w:sz w:val="21"/>
                <w:shd w:fill="DADADA" w:color="auto" w:val="clear"/>
              </w:rPr>
              <w:t>继发于全身性疾病或其他器官系统疾病造成的心肌病变不在保障范围内。</w:t>
            </w:r>
          </w:p>
        </w:tc>
      </w:tr>
      <w:tr>
        <w:trPr>
          <w:trHeight w:val="1474" w:hRule="atLeast"/>
        </w:trPr>
        <w:tc>
          <w:tcPr>
            <w:tcW w:w="602" w:type="dxa"/>
          </w:tcPr>
          <w:p>
            <w:pPr>
              <w:pStyle w:val="TableParagraph"/>
              <w:spacing w:before="99"/>
              <w:ind w:left="9"/>
              <w:jc w:val="center"/>
              <w:rPr>
                <w:b/>
                <w:sz w:val="21"/>
              </w:rPr>
            </w:pPr>
            <w:r>
              <w:rPr>
                <w:b/>
                <w:w w:val="99"/>
                <w:sz w:val="21"/>
              </w:rPr>
              <w:t>9</w:t>
            </w:r>
          </w:p>
        </w:tc>
        <w:tc>
          <w:tcPr>
            <w:tcW w:w="2407" w:type="dxa"/>
          </w:tcPr>
          <w:p>
            <w:pPr>
              <w:pStyle w:val="TableParagraph"/>
              <w:spacing w:before="97"/>
              <w:ind w:left="190"/>
              <w:rPr>
                <w:rFonts w:ascii="等线" w:eastAsia="等线" w:hint="eastAsia"/>
                <w:b/>
                <w:sz w:val="24"/>
              </w:rPr>
            </w:pPr>
            <w:r>
              <w:rPr>
                <w:rFonts w:ascii="等线" w:eastAsia="等线" w:hint="eastAsia"/>
                <w:b/>
                <w:sz w:val="24"/>
              </w:rPr>
              <w:t>心脏起搏器植入</w:t>
            </w:r>
          </w:p>
        </w:tc>
        <w:tc>
          <w:tcPr>
            <w:tcW w:w="7204" w:type="dxa"/>
          </w:tcPr>
          <w:p>
            <w:pPr>
              <w:pStyle w:val="TableParagraph"/>
              <w:spacing w:line="273" w:lineRule="auto" w:before="99"/>
              <w:ind w:right="306"/>
              <w:jc w:val="both"/>
              <w:rPr>
                <w:sz w:val="21"/>
              </w:rPr>
            </w:pPr>
            <w:r>
              <w:rPr>
                <w:sz w:val="21"/>
              </w:rPr>
              <w:t>指因严重心律失常而确实已经实施植入永久性心脏起搏器的手术。理赔时须提供完整病历资料及手术记录，诊断及治疗均须专科医生认为是医疗必须的情况下进行。由于心脏再同步化治疗而实施的植入心脏起博器包括在本项保障范围内。</w:t>
            </w:r>
          </w:p>
        </w:tc>
      </w:tr>
      <w:tr>
        <w:trPr>
          <w:trHeight w:val="540" w:hRule="atLeast"/>
        </w:trPr>
        <w:tc>
          <w:tcPr>
            <w:tcW w:w="602" w:type="dxa"/>
          </w:tcPr>
          <w:p>
            <w:pPr>
              <w:pStyle w:val="TableParagraph"/>
              <w:ind w:left="0"/>
              <w:rPr>
                <w:rFonts w:ascii="Times New Roman"/>
                <w:sz w:val="20"/>
              </w:rPr>
            </w:pPr>
          </w:p>
        </w:tc>
        <w:tc>
          <w:tcPr>
            <w:tcW w:w="2407" w:type="dxa"/>
          </w:tcPr>
          <w:p>
            <w:pPr>
              <w:pStyle w:val="TableParagraph"/>
              <w:spacing w:before="100"/>
              <w:ind w:left="190"/>
              <w:rPr>
                <w:b/>
                <w:sz w:val="21"/>
              </w:rPr>
            </w:pPr>
            <w:r>
              <w:rPr>
                <w:b/>
                <w:sz w:val="21"/>
              </w:rPr>
              <w:t>第 3 类：</w:t>
            </w:r>
          </w:p>
        </w:tc>
        <w:tc>
          <w:tcPr>
            <w:tcW w:w="7204" w:type="dxa"/>
          </w:tcPr>
          <w:p>
            <w:pPr>
              <w:pStyle w:val="TableParagraph"/>
              <w:spacing w:before="100"/>
              <w:rPr>
                <w:b/>
                <w:sz w:val="21"/>
              </w:rPr>
            </w:pPr>
            <w:r>
              <w:rPr>
                <w:b/>
                <w:sz w:val="21"/>
              </w:rPr>
              <w:t>与器官功能严重受损相关的疾病</w:t>
            </w:r>
          </w:p>
        </w:tc>
      </w:tr>
      <w:tr>
        <w:trPr>
          <w:trHeight w:val="1474" w:hRule="atLeast"/>
        </w:trPr>
        <w:tc>
          <w:tcPr>
            <w:tcW w:w="602" w:type="dxa"/>
          </w:tcPr>
          <w:p>
            <w:pPr>
              <w:pStyle w:val="TableParagraph"/>
              <w:spacing w:before="100"/>
              <w:ind w:left="179" w:right="170"/>
              <w:jc w:val="center"/>
              <w:rPr>
                <w:b/>
                <w:sz w:val="21"/>
              </w:rPr>
            </w:pPr>
            <w:r>
              <w:rPr>
                <w:b/>
                <w:sz w:val="21"/>
              </w:rPr>
              <w:t>10</w:t>
            </w:r>
          </w:p>
        </w:tc>
        <w:tc>
          <w:tcPr>
            <w:tcW w:w="2407" w:type="dxa"/>
          </w:tcPr>
          <w:p>
            <w:pPr>
              <w:pStyle w:val="TableParagraph"/>
              <w:spacing w:before="98"/>
              <w:ind w:left="190"/>
              <w:rPr>
                <w:rFonts w:ascii="等线" w:eastAsia="等线" w:hint="eastAsia"/>
                <w:b/>
                <w:sz w:val="24"/>
              </w:rPr>
            </w:pPr>
            <w:r>
              <w:rPr>
                <w:rFonts w:ascii="等线" w:eastAsia="等线" w:hint="eastAsia"/>
                <w:b/>
                <w:sz w:val="24"/>
              </w:rPr>
              <w:t>听力严重受损</w:t>
            </w:r>
          </w:p>
        </w:tc>
        <w:tc>
          <w:tcPr>
            <w:tcW w:w="7204" w:type="dxa"/>
          </w:tcPr>
          <w:p>
            <w:pPr>
              <w:pStyle w:val="TableParagraph"/>
              <w:spacing w:before="100"/>
              <w:rPr>
                <w:sz w:val="21"/>
              </w:rPr>
            </w:pPr>
            <w:r>
              <w:rPr>
                <w:sz w:val="21"/>
              </w:rPr>
              <w:t>指因疾病或意外伤害导致双耳听力永久不可逆性丧失，在 500 赫兹、1000</w:t>
            </w:r>
          </w:p>
          <w:p>
            <w:pPr>
              <w:pStyle w:val="TableParagraph"/>
              <w:spacing w:line="273" w:lineRule="auto" w:before="36"/>
              <w:ind w:right="204"/>
              <w:rPr>
                <w:sz w:val="21"/>
              </w:rPr>
            </w:pPr>
            <w:r>
              <w:rPr>
                <w:spacing w:val="-13"/>
                <w:sz w:val="21"/>
              </w:rPr>
              <w:t>赫兹和 </w:t>
            </w:r>
            <w:r>
              <w:rPr>
                <w:sz w:val="21"/>
              </w:rPr>
              <w:t>2000</w:t>
            </w:r>
            <w:r>
              <w:rPr>
                <w:spacing w:val="-12"/>
                <w:sz w:val="21"/>
              </w:rPr>
              <w:t> 赫兹语音频率下，平均听阈大于 </w:t>
            </w:r>
            <w:r>
              <w:rPr>
                <w:sz w:val="21"/>
              </w:rPr>
              <w:t>70</w:t>
            </w:r>
            <w:r>
              <w:rPr>
                <w:spacing w:val="-10"/>
                <w:sz w:val="21"/>
              </w:rPr>
              <w:t> 分贝，且经纯音听力测试、</w:t>
            </w:r>
            <w:r>
              <w:rPr>
                <w:sz w:val="21"/>
              </w:rPr>
              <w:t>声导抗检测或听觉诱发电位检测等证实。但未达到本附加险合同所指重大</w:t>
            </w:r>
            <w:r>
              <w:rPr>
                <w:spacing w:val="-3"/>
                <w:sz w:val="21"/>
              </w:rPr>
              <w:t>疾病“双耳失聪”的标准。</w:t>
            </w:r>
          </w:p>
        </w:tc>
      </w:tr>
      <w:tr>
        <w:trPr>
          <w:trHeight w:val="850" w:hRule="atLeast"/>
        </w:trPr>
        <w:tc>
          <w:tcPr>
            <w:tcW w:w="602" w:type="dxa"/>
          </w:tcPr>
          <w:p>
            <w:pPr>
              <w:pStyle w:val="TableParagraph"/>
              <w:spacing w:before="99"/>
              <w:ind w:left="179" w:right="170"/>
              <w:jc w:val="center"/>
              <w:rPr>
                <w:b/>
                <w:sz w:val="21"/>
              </w:rPr>
            </w:pPr>
            <w:r>
              <w:rPr>
                <w:b/>
                <w:sz w:val="21"/>
              </w:rPr>
              <w:t>11</w:t>
            </w:r>
          </w:p>
        </w:tc>
        <w:tc>
          <w:tcPr>
            <w:tcW w:w="2407" w:type="dxa"/>
          </w:tcPr>
          <w:p>
            <w:pPr>
              <w:pStyle w:val="TableParagraph"/>
              <w:spacing w:before="97"/>
              <w:ind w:left="190"/>
              <w:rPr>
                <w:rFonts w:ascii="等线" w:eastAsia="等线" w:hint="eastAsia"/>
                <w:b/>
                <w:sz w:val="24"/>
              </w:rPr>
            </w:pPr>
            <w:r>
              <w:rPr>
                <w:rFonts w:ascii="等线" w:eastAsia="等线" w:hint="eastAsia"/>
                <w:b/>
                <w:sz w:val="24"/>
              </w:rPr>
              <w:t>单个肢体缺失</w:t>
            </w:r>
          </w:p>
        </w:tc>
        <w:tc>
          <w:tcPr>
            <w:tcW w:w="7204" w:type="dxa"/>
          </w:tcPr>
          <w:p>
            <w:pPr>
              <w:pStyle w:val="TableParagraph"/>
              <w:spacing w:line="273" w:lineRule="auto" w:before="99"/>
              <w:ind w:right="146"/>
              <w:rPr>
                <w:sz w:val="21"/>
              </w:rPr>
            </w:pPr>
            <w:r>
              <w:rPr>
                <w:sz w:val="21"/>
              </w:rPr>
              <w:t>指因疾病或意外伤害导致仅一个肢体自腕关节或踝关节近端（靠近躯干端） 以上完全性断离。</w:t>
            </w:r>
          </w:p>
        </w:tc>
      </w:tr>
      <w:tr>
        <w:trPr>
          <w:trHeight w:val="1162" w:hRule="atLeast"/>
        </w:trPr>
        <w:tc>
          <w:tcPr>
            <w:tcW w:w="602" w:type="dxa"/>
          </w:tcPr>
          <w:p>
            <w:pPr>
              <w:pStyle w:val="TableParagraph"/>
              <w:spacing w:before="100"/>
              <w:ind w:left="179" w:right="170"/>
              <w:jc w:val="center"/>
              <w:rPr>
                <w:b/>
                <w:sz w:val="21"/>
              </w:rPr>
            </w:pPr>
            <w:r>
              <w:rPr>
                <w:b/>
                <w:sz w:val="21"/>
              </w:rPr>
              <w:t>12</w:t>
            </w:r>
          </w:p>
        </w:tc>
        <w:tc>
          <w:tcPr>
            <w:tcW w:w="2407" w:type="dxa"/>
          </w:tcPr>
          <w:p>
            <w:pPr>
              <w:pStyle w:val="TableParagraph"/>
              <w:spacing w:before="98"/>
              <w:ind w:left="190"/>
              <w:rPr>
                <w:rFonts w:ascii="等线" w:eastAsia="等线" w:hint="eastAsia"/>
                <w:b/>
                <w:sz w:val="24"/>
              </w:rPr>
            </w:pPr>
            <w:r>
              <w:rPr>
                <w:rFonts w:ascii="等线" w:eastAsia="等线" w:hint="eastAsia"/>
                <w:b/>
                <w:sz w:val="24"/>
              </w:rPr>
              <w:t>肝叶切除</w:t>
            </w:r>
          </w:p>
        </w:tc>
        <w:tc>
          <w:tcPr>
            <w:tcW w:w="7204" w:type="dxa"/>
          </w:tcPr>
          <w:p>
            <w:pPr>
              <w:pStyle w:val="TableParagraph"/>
              <w:spacing w:line="273" w:lineRule="auto" w:before="100"/>
              <w:ind w:right="306"/>
              <w:rPr>
                <w:sz w:val="21"/>
              </w:rPr>
            </w:pPr>
            <w:r>
              <w:rPr>
                <w:sz w:val="21"/>
              </w:rPr>
              <w:t>指因疾病或意外导致肝脏左叶或肝脏右叶的整叶切除。诊断及治疗均须医院专科医生认为是医疗必须的情况下进行。</w:t>
            </w:r>
          </w:p>
          <w:p>
            <w:pPr>
              <w:pStyle w:val="TableParagraph"/>
              <w:spacing w:before="7"/>
              <w:rPr>
                <w:sz w:val="21"/>
              </w:rPr>
            </w:pPr>
            <w:r>
              <w:rPr>
                <w:sz w:val="21"/>
                <w:shd w:fill="DADADA" w:color="auto" w:val="clear"/>
              </w:rPr>
              <w:t>因酗酒、药物滥用、捐赠肝脏而实施的肝叶切除均不在保障范围内。</w:t>
            </w:r>
          </w:p>
        </w:tc>
      </w:tr>
      <w:tr>
        <w:trPr>
          <w:trHeight w:val="998" w:hRule="atLeast"/>
        </w:trPr>
        <w:tc>
          <w:tcPr>
            <w:tcW w:w="602" w:type="dxa"/>
          </w:tcPr>
          <w:p>
            <w:pPr>
              <w:pStyle w:val="TableParagraph"/>
              <w:spacing w:before="99"/>
              <w:ind w:left="179" w:right="170"/>
              <w:jc w:val="center"/>
              <w:rPr>
                <w:b/>
                <w:sz w:val="21"/>
              </w:rPr>
            </w:pPr>
            <w:r>
              <w:rPr>
                <w:b/>
                <w:sz w:val="21"/>
              </w:rPr>
              <w:t>13</w:t>
            </w:r>
          </w:p>
        </w:tc>
        <w:tc>
          <w:tcPr>
            <w:tcW w:w="2407" w:type="dxa"/>
          </w:tcPr>
          <w:p>
            <w:pPr>
              <w:pStyle w:val="TableParagraph"/>
              <w:spacing w:line="235" w:lineRule="auto" w:before="103"/>
              <w:ind w:left="190" w:right="96"/>
              <w:rPr>
                <w:rFonts w:ascii="等线" w:eastAsia="等线" w:hint="eastAsia"/>
                <w:b/>
                <w:sz w:val="24"/>
              </w:rPr>
            </w:pPr>
            <w:r>
              <w:rPr>
                <w:rFonts w:ascii="等线" w:eastAsia="等线" w:hint="eastAsia"/>
                <w:b/>
                <w:sz w:val="24"/>
              </w:rPr>
              <w:t>非严重型再生障碍性贫血</w:t>
            </w:r>
          </w:p>
        </w:tc>
        <w:tc>
          <w:tcPr>
            <w:tcW w:w="7204" w:type="dxa"/>
          </w:tcPr>
          <w:p>
            <w:pPr>
              <w:pStyle w:val="TableParagraph"/>
              <w:spacing w:line="310" w:lineRule="atLeast" w:before="64"/>
              <w:ind w:right="306"/>
              <w:jc w:val="both"/>
              <w:rPr>
                <w:sz w:val="21"/>
              </w:rPr>
            </w:pPr>
            <w:r>
              <w:rPr>
                <w:sz w:val="21"/>
              </w:rPr>
              <w:t>指因急性可逆性的骨髓造血功能衰竭而导致贫血、中性粒细胞减少和血小板减少，但未达到本附加险合同所指重大疾病“重型再生障碍性贫血”的标准，须骨髓穿刺检查或骨髓活检结果支持诊断且病历资料显示接受了下</w:t>
            </w:r>
          </w:p>
        </w:tc>
      </w:tr>
    </w:tbl>
    <w:p>
      <w:pPr>
        <w:spacing w:after="0" w:line="310" w:lineRule="atLeast"/>
        <w:jc w:val="both"/>
        <w:rPr>
          <w:sz w:val="21"/>
        </w:rPr>
        <w:sectPr>
          <w:pgSz w:w="11910" w:h="16840"/>
          <w:pgMar w:top="1160" w:bottom="280" w:left="8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29"/>
        <w:gridCol w:w="7181"/>
      </w:tblGrid>
      <w:tr>
        <w:trPr>
          <w:trHeight w:val="1340" w:hRule="atLeast"/>
        </w:trPr>
        <w:tc>
          <w:tcPr>
            <w:tcW w:w="602" w:type="dxa"/>
          </w:tcPr>
          <w:p>
            <w:pPr>
              <w:pStyle w:val="TableParagraph"/>
              <w:ind w:left="0"/>
              <w:rPr>
                <w:rFonts w:ascii="Times New Roman"/>
                <w:sz w:val="20"/>
              </w:rPr>
            </w:pPr>
          </w:p>
        </w:tc>
        <w:tc>
          <w:tcPr>
            <w:tcW w:w="2429" w:type="dxa"/>
          </w:tcPr>
          <w:p>
            <w:pPr>
              <w:pStyle w:val="TableParagraph"/>
              <w:ind w:left="0"/>
              <w:rPr>
                <w:rFonts w:ascii="Times New Roman"/>
                <w:sz w:val="20"/>
              </w:rPr>
            </w:pPr>
          </w:p>
        </w:tc>
        <w:tc>
          <w:tcPr>
            <w:tcW w:w="7181" w:type="dxa"/>
          </w:tcPr>
          <w:p>
            <w:pPr>
              <w:pStyle w:val="TableParagraph"/>
              <w:spacing w:line="211" w:lineRule="exact"/>
              <w:ind w:left="75"/>
              <w:rPr>
                <w:sz w:val="21"/>
              </w:rPr>
            </w:pPr>
            <w:r>
              <w:rPr>
                <w:sz w:val="21"/>
              </w:rPr>
              <w:t>列任一治疗：</w:t>
            </w:r>
          </w:p>
          <w:p>
            <w:pPr>
              <w:pStyle w:val="TableParagraph"/>
              <w:spacing w:before="37"/>
              <w:ind w:left="75"/>
              <w:rPr>
                <w:sz w:val="21"/>
              </w:rPr>
            </w:pPr>
            <w:r>
              <w:rPr>
                <w:sz w:val="21"/>
              </w:rPr>
              <w:t>（1）骨髓刺激疗法至少 1 个月；</w:t>
            </w:r>
          </w:p>
          <w:p>
            <w:pPr>
              <w:pStyle w:val="TableParagraph"/>
              <w:spacing w:before="37"/>
              <w:ind w:left="75"/>
              <w:rPr>
                <w:sz w:val="21"/>
              </w:rPr>
            </w:pPr>
            <w:r>
              <w:rPr>
                <w:sz w:val="21"/>
              </w:rPr>
              <w:t>（2）免疫抑制剂治疗至少 1 个月；</w:t>
            </w:r>
          </w:p>
          <w:p>
            <w:pPr>
              <w:pStyle w:val="TableParagraph"/>
              <w:spacing w:before="37"/>
              <w:ind w:left="75"/>
              <w:rPr>
                <w:sz w:val="21"/>
              </w:rPr>
            </w:pPr>
            <w:r>
              <w:rPr>
                <w:sz w:val="21"/>
              </w:rPr>
              <w:t>（3）接受了骨髓移植。</w:t>
            </w:r>
          </w:p>
        </w:tc>
      </w:tr>
      <w:tr>
        <w:trPr>
          <w:trHeight w:val="2467" w:hRule="atLeast"/>
        </w:trPr>
        <w:tc>
          <w:tcPr>
            <w:tcW w:w="602" w:type="dxa"/>
          </w:tcPr>
          <w:p>
            <w:pPr>
              <w:pStyle w:val="TableParagraph"/>
              <w:spacing w:before="129"/>
              <w:ind w:left="179" w:right="170"/>
              <w:jc w:val="center"/>
              <w:rPr>
                <w:b/>
                <w:sz w:val="21"/>
              </w:rPr>
            </w:pPr>
            <w:r>
              <w:rPr>
                <w:b/>
                <w:sz w:val="21"/>
              </w:rPr>
              <w:t>14</w:t>
            </w:r>
          </w:p>
        </w:tc>
        <w:tc>
          <w:tcPr>
            <w:tcW w:w="2429" w:type="dxa"/>
          </w:tcPr>
          <w:p>
            <w:pPr>
              <w:pStyle w:val="TableParagraph"/>
              <w:spacing w:before="127"/>
              <w:ind w:left="190"/>
              <w:rPr>
                <w:rFonts w:ascii="等线" w:eastAsia="等线" w:hint="eastAsia"/>
                <w:b/>
                <w:sz w:val="24"/>
              </w:rPr>
            </w:pPr>
            <w:r>
              <w:rPr>
                <w:rFonts w:ascii="等线" w:eastAsia="等线" w:hint="eastAsia"/>
                <w:b/>
                <w:sz w:val="24"/>
              </w:rPr>
              <w:t>视力严重受损</w:t>
            </w:r>
          </w:p>
        </w:tc>
        <w:tc>
          <w:tcPr>
            <w:tcW w:w="7181" w:type="dxa"/>
          </w:tcPr>
          <w:p>
            <w:pPr>
              <w:pStyle w:val="TableParagraph"/>
              <w:spacing w:line="273" w:lineRule="auto" w:before="129"/>
              <w:ind w:left="75" w:right="198"/>
              <w:rPr>
                <w:sz w:val="21"/>
              </w:rPr>
            </w:pPr>
            <w:r>
              <w:rPr>
                <w:sz w:val="21"/>
              </w:rPr>
              <w:t>指被保险人因疾病或意外伤害导致双目视力永久不可逆性丧失，但未达到</w:t>
            </w:r>
            <w:r>
              <w:rPr>
                <w:spacing w:val="-6"/>
                <w:sz w:val="21"/>
              </w:rPr>
              <w:t>本附加险合同所指重大疾病“双目失明”的标准，但须满足下列全部条件：</w:t>
            </w:r>
          </w:p>
          <w:p>
            <w:pPr>
              <w:pStyle w:val="TableParagraph"/>
              <w:spacing w:line="273" w:lineRule="auto" w:before="7"/>
              <w:ind w:left="601" w:right="308" w:hanging="526"/>
              <w:rPr>
                <w:sz w:val="21"/>
              </w:rPr>
            </w:pPr>
            <w:r>
              <w:rPr>
                <w:sz w:val="21"/>
              </w:rPr>
              <w:t>（1）</w:t>
            </w:r>
            <w:r>
              <w:rPr>
                <w:spacing w:val="-4"/>
                <w:sz w:val="21"/>
              </w:rPr>
              <w:t>双眼中较好眼矫正视力低于 </w:t>
            </w:r>
            <w:r>
              <w:rPr>
                <w:sz w:val="21"/>
              </w:rPr>
              <w:t>0.1（</w:t>
            </w:r>
            <w:r>
              <w:rPr>
                <w:spacing w:val="-3"/>
                <w:sz w:val="21"/>
              </w:rPr>
              <w:t>采用国际标准视力表，如果使用其</w:t>
            </w:r>
            <w:r>
              <w:rPr>
                <w:spacing w:val="-3"/>
                <w:w w:val="100"/>
                <w:sz w:val="21"/>
              </w:rPr>
              <w:t>它视力表应进行换算</w:t>
            </w:r>
            <w:r>
              <w:rPr>
                <w:spacing w:val="-106"/>
                <w:w w:val="100"/>
                <w:sz w:val="21"/>
              </w:rPr>
              <w:t>）</w:t>
            </w:r>
            <w:r>
              <w:rPr>
                <w:w w:val="100"/>
                <w:sz w:val="21"/>
              </w:rPr>
              <w:t>；</w:t>
            </w:r>
          </w:p>
          <w:p>
            <w:pPr>
              <w:pStyle w:val="TableParagraph"/>
              <w:spacing w:before="7"/>
              <w:ind w:left="75"/>
              <w:rPr>
                <w:sz w:val="21"/>
              </w:rPr>
            </w:pPr>
            <w:r>
              <w:rPr>
                <w:sz w:val="21"/>
              </w:rPr>
              <w:t>（2）双眼中较好眼视野半径小于 20 度。</w:t>
            </w:r>
          </w:p>
          <w:p>
            <w:pPr>
              <w:pStyle w:val="TableParagraph"/>
              <w:spacing w:line="273" w:lineRule="auto" w:before="36"/>
              <w:ind w:left="75" w:right="305"/>
              <w:rPr>
                <w:sz w:val="21"/>
              </w:rPr>
            </w:pPr>
            <w:r>
              <w:rPr>
                <w:sz w:val="21"/>
              </w:rPr>
              <w:t>此病症须由专科医生明确诊断。申请理赔时须提供理赔当时的视力丧失诊断及检查证据。</w:t>
            </w:r>
          </w:p>
        </w:tc>
      </w:tr>
      <w:tr>
        <w:trPr>
          <w:trHeight w:val="614" w:hRule="atLeast"/>
        </w:trPr>
        <w:tc>
          <w:tcPr>
            <w:tcW w:w="602" w:type="dxa"/>
          </w:tcPr>
          <w:p>
            <w:pPr>
              <w:pStyle w:val="TableParagraph"/>
              <w:ind w:left="0"/>
              <w:rPr>
                <w:rFonts w:ascii="Times New Roman"/>
                <w:sz w:val="20"/>
              </w:rPr>
            </w:pPr>
          </w:p>
        </w:tc>
        <w:tc>
          <w:tcPr>
            <w:tcW w:w="2429" w:type="dxa"/>
          </w:tcPr>
          <w:p>
            <w:pPr>
              <w:pStyle w:val="TableParagraph"/>
              <w:spacing w:before="117"/>
              <w:ind w:left="190"/>
              <w:rPr>
                <w:b/>
                <w:sz w:val="24"/>
              </w:rPr>
            </w:pPr>
            <w:r>
              <w:rPr>
                <w:b/>
                <w:sz w:val="24"/>
              </w:rPr>
              <w:t>第 4 类：</w:t>
            </w:r>
          </w:p>
        </w:tc>
        <w:tc>
          <w:tcPr>
            <w:tcW w:w="7181" w:type="dxa"/>
          </w:tcPr>
          <w:p>
            <w:pPr>
              <w:pStyle w:val="TableParagraph"/>
              <w:spacing w:before="128"/>
              <w:ind w:left="75"/>
              <w:rPr>
                <w:b/>
                <w:sz w:val="21"/>
              </w:rPr>
            </w:pPr>
            <w:r>
              <w:rPr>
                <w:b/>
                <w:sz w:val="21"/>
              </w:rPr>
              <w:t>与神经系统相关的疾病</w:t>
            </w:r>
          </w:p>
        </w:tc>
      </w:tr>
      <w:tr>
        <w:trPr>
          <w:trHeight w:val="2457" w:hRule="atLeast"/>
        </w:trPr>
        <w:tc>
          <w:tcPr>
            <w:tcW w:w="602" w:type="dxa"/>
          </w:tcPr>
          <w:p>
            <w:pPr>
              <w:pStyle w:val="TableParagraph"/>
              <w:spacing w:before="119"/>
              <w:ind w:left="179" w:right="170"/>
              <w:jc w:val="center"/>
              <w:rPr>
                <w:b/>
                <w:sz w:val="21"/>
              </w:rPr>
            </w:pPr>
            <w:r>
              <w:rPr>
                <w:b/>
                <w:sz w:val="21"/>
              </w:rPr>
              <w:t>15</w:t>
            </w:r>
          </w:p>
        </w:tc>
        <w:tc>
          <w:tcPr>
            <w:tcW w:w="2429" w:type="dxa"/>
          </w:tcPr>
          <w:p>
            <w:pPr>
              <w:pStyle w:val="TableParagraph"/>
              <w:spacing w:before="116"/>
              <w:ind w:left="190"/>
              <w:rPr>
                <w:rFonts w:ascii="等线" w:eastAsia="等线" w:hint="eastAsia"/>
                <w:b/>
                <w:sz w:val="24"/>
              </w:rPr>
            </w:pPr>
            <w:r>
              <w:rPr>
                <w:rFonts w:ascii="等线" w:eastAsia="等线" w:hint="eastAsia"/>
                <w:b/>
                <w:sz w:val="24"/>
              </w:rPr>
              <w:t>轻度脑损伤</w:t>
            </w:r>
          </w:p>
        </w:tc>
        <w:tc>
          <w:tcPr>
            <w:tcW w:w="7181" w:type="dxa"/>
          </w:tcPr>
          <w:p>
            <w:pPr>
              <w:pStyle w:val="TableParagraph"/>
              <w:spacing w:line="273" w:lineRule="auto" w:before="119"/>
              <w:ind w:left="75" w:right="305"/>
              <w:jc w:val="both"/>
              <w:rPr>
                <w:sz w:val="21"/>
              </w:rPr>
            </w:pPr>
            <w:r>
              <w:rPr>
                <w:sz w:val="21"/>
              </w:rPr>
              <w:t>指因头部遭受机械性外力伤害，引起脑重要部位损伤，并且由头颅断层扫</w:t>
            </w:r>
            <w:r>
              <w:rPr>
                <w:spacing w:val="-5"/>
                <w:w w:val="100"/>
                <w:sz w:val="21"/>
              </w:rPr>
              <w:t>描</w:t>
            </w:r>
            <w:r>
              <w:rPr>
                <w:w w:val="100"/>
                <w:sz w:val="21"/>
              </w:rPr>
              <w:t>（C</w:t>
            </w:r>
            <w:r>
              <w:rPr>
                <w:spacing w:val="-3"/>
                <w:w w:val="100"/>
                <w:sz w:val="21"/>
              </w:rPr>
              <w:t>T</w:t>
            </w:r>
            <w:r>
              <w:rPr>
                <w:spacing w:val="-106"/>
                <w:w w:val="100"/>
                <w:sz w:val="21"/>
              </w:rPr>
              <w:t>）</w:t>
            </w:r>
            <w:r>
              <w:rPr>
                <w:spacing w:val="-4"/>
                <w:w w:val="100"/>
                <w:sz w:val="21"/>
              </w:rPr>
              <w:t>、核磁共振检查</w:t>
            </w:r>
            <w:r>
              <w:rPr>
                <w:spacing w:val="-3"/>
                <w:w w:val="100"/>
                <w:sz w:val="21"/>
              </w:rPr>
              <w:t>（</w:t>
            </w:r>
            <w:r>
              <w:rPr>
                <w:w w:val="100"/>
                <w:sz w:val="21"/>
              </w:rPr>
              <w:t>MRI</w:t>
            </w:r>
            <w:r>
              <w:rPr>
                <w:spacing w:val="-8"/>
                <w:w w:val="100"/>
                <w:sz w:val="21"/>
              </w:rPr>
              <w:t>）</w:t>
            </w:r>
            <w:r>
              <w:rPr>
                <w:spacing w:val="-4"/>
                <w:w w:val="100"/>
                <w:sz w:val="21"/>
              </w:rPr>
              <w:t>或正电子发射断层扫描</w:t>
            </w:r>
            <w:r>
              <w:rPr>
                <w:spacing w:val="-1"/>
                <w:w w:val="100"/>
                <w:sz w:val="21"/>
              </w:rPr>
              <w:t>（</w:t>
            </w:r>
            <w:r>
              <w:rPr>
                <w:w w:val="100"/>
                <w:sz w:val="21"/>
              </w:rPr>
              <w:t>P</w:t>
            </w:r>
            <w:r>
              <w:rPr>
                <w:spacing w:val="-3"/>
                <w:w w:val="100"/>
                <w:sz w:val="21"/>
              </w:rPr>
              <w:t>E</w:t>
            </w:r>
            <w:r>
              <w:rPr>
                <w:w w:val="100"/>
                <w:sz w:val="21"/>
              </w:rPr>
              <w:t>T</w:t>
            </w:r>
            <w:r>
              <w:rPr>
                <w:spacing w:val="-8"/>
                <w:w w:val="100"/>
                <w:sz w:val="21"/>
              </w:rPr>
              <w:t>）</w:t>
            </w:r>
            <w:r>
              <w:rPr>
                <w:spacing w:val="-3"/>
                <w:w w:val="100"/>
                <w:sz w:val="21"/>
              </w:rPr>
              <w:t>等影像学检</w:t>
            </w:r>
            <w:r>
              <w:rPr>
                <w:sz w:val="21"/>
              </w:rPr>
              <w:t>查证实。头部外伤导致神经系统功能障碍，虽然未达到本附加险合同所指</w:t>
            </w:r>
            <w:r>
              <w:rPr>
                <w:spacing w:val="-3"/>
                <w:sz w:val="21"/>
              </w:rPr>
              <w:t>重大疾病“严重脑损伤”的给付标准，但须满足下列条件之一：</w:t>
            </w:r>
          </w:p>
          <w:p>
            <w:pPr>
              <w:pStyle w:val="TableParagraph"/>
              <w:spacing w:before="7"/>
              <w:ind w:left="75"/>
              <w:rPr>
                <w:sz w:val="21"/>
              </w:rPr>
            </w:pPr>
            <w:r>
              <w:rPr>
                <w:w w:val="100"/>
                <w:sz w:val="21"/>
              </w:rPr>
              <w:t>（1</w:t>
            </w:r>
            <w:r>
              <w:rPr>
                <w:spacing w:val="-3"/>
                <w:w w:val="100"/>
                <w:sz w:val="21"/>
              </w:rPr>
              <w:t>）已接受全麻下颅骨切开颅内血肿清除术（颅骨钻孔术除外</w:t>
            </w:r>
            <w:r>
              <w:rPr>
                <w:spacing w:val="-106"/>
                <w:w w:val="100"/>
                <w:sz w:val="21"/>
              </w:rPr>
              <w:t>）</w:t>
            </w:r>
            <w:r>
              <w:rPr>
                <w:w w:val="100"/>
                <w:sz w:val="21"/>
              </w:rPr>
              <w:t>；</w:t>
            </w:r>
          </w:p>
          <w:p>
            <w:pPr>
              <w:pStyle w:val="TableParagraph"/>
              <w:spacing w:line="273" w:lineRule="auto" w:before="36"/>
              <w:ind w:left="601" w:right="157" w:hanging="526"/>
              <w:rPr>
                <w:sz w:val="21"/>
              </w:rPr>
            </w:pPr>
            <w:r>
              <w:rPr>
                <w:sz w:val="21"/>
              </w:rPr>
              <w:t>（2）在遭受头外伤 180 日后，仍遗留一肢或一肢以上肢体机能部分丧失， 其肢体肌力为Ⅲ级或Ⅲ级以下的。</w:t>
            </w:r>
          </w:p>
        </w:tc>
      </w:tr>
      <w:tr>
        <w:trPr>
          <w:trHeight w:val="1832" w:hRule="atLeast"/>
        </w:trPr>
        <w:tc>
          <w:tcPr>
            <w:tcW w:w="602" w:type="dxa"/>
          </w:tcPr>
          <w:p>
            <w:pPr>
              <w:pStyle w:val="TableParagraph"/>
              <w:spacing w:before="128"/>
              <w:ind w:left="179" w:right="170"/>
              <w:jc w:val="center"/>
              <w:rPr>
                <w:b/>
                <w:sz w:val="21"/>
              </w:rPr>
            </w:pPr>
            <w:r>
              <w:rPr>
                <w:b/>
                <w:sz w:val="21"/>
              </w:rPr>
              <w:t>16</w:t>
            </w:r>
          </w:p>
        </w:tc>
        <w:tc>
          <w:tcPr>
            <w:tcW w:w="2429" w:type="dxa"/>
          </w:tcPr>
          <w:p>
            <w:pPr>
              <w:pStyle w:val="TableParagraph"/>
              <w:spacing w:line="235" w:lineRule="auto" w:before="132"/>
              <w:ind w:left="190" w:right="73"/>
              <w:jc w:val="both"/>
              <w:rPr>
                <w:rFonts w:ascii="等线" w:eastAsia="等线" w:hint="eastAsia"/>
                <w:b/>
                <w:sz w:val="24"/>
              </w:rPr>
            </w:pPr>
            <w:r>
              <w:rPr>
                <w:rFonts w:ascii="等线" w:eastAsia="等线" w:hint="eastAsia"/>
                <w:b/>
                <w:sz w:val="24"/>
              </w:rPr>
              <w:t>脑垂体瘤、脑囊肿、脑动脉瘤及脑血管瘤</w:t>
            </w:r>
          </w:p>
        </w:tc>
        <w:tc>
          <w:tcPr>
            <w:tcW w:w="7181" w:type="dxa"/>
          </w:tcPr>
          <w:p>
            <w:pPr>
              <w:pStyle w:val="TableParagraph"/>
              <w:spacing w:line="273" w:lineRule="auto" w:before="128"/>
              <w:ind w:left="75" w:right="300"/>
              <w:rPr>
                <w:sz w:val="21"/>
              </w:rPr>
            </w:pPr>
            <w:r>
              <w:rPr>
                <w:spacing w:val="-1"/>
                <w:w w:val="100"/>
                <w:sz w:val="21"/>
              </w:rPr>
              <w:t>指经头颅断层扫描</w:t>
            </w:r>
            <w:r>
              <w:rPr>
                <w:spacing w:val="1"/>
                <w:w w:val="100"/>
                <w:sz w:val="21"/>
              </w:rPr>
              <w:t>（</w:t>
            </w:r>
            <w:r>
              <w:rPr>
                <w:spacing w:val="-3"/>
                <w:w w:val="100"/>
                <w:sz w:val="21"/>
              </w:rPr>
              <w:t>C</w:t>
            </w:r>
            <w:r>
              <w:rPr>
                <w:spacing w:val="1"/>
                <w:w w:val="100"/>
                <w:sz w:val="21"/>
              </w:rPr>
              <w:t>T</w:t>
            </w:r>
            <w:r>
              <w:rPr>
                <w:spacing w:val="-104"/>
                <w:w w:val="100"/>
                <w:sz w:val="21"/>
              </w:rPr>
              <w:t>）</w:t>
            </w:r>
            <w:r>
              <w:rPr>
                <w:spacing w:val="-1"/>
                <w:w w:val="100"/>
                <w:sz w:val="21"/>
              </w:rPr>
              <w:t>、核磁共振检查</w:t>
            </w:r>
            <w:r>
              <w:rPr>
                <w:w w:val="100"/>
                <w:sz w:val="21"/>
              </w:rPr>
              <w:t>（MR</w:t>
            </w:r>
            <w:r>
              <w:rPr>
                <w:spacing w:val="1"/>
                <w:w w:val="100"/>
                <w:sz w:val="21"/>
              </w:rPr>
              <w:t>I</w:t>
            </w:r>
            <w:r>
              <w:rPr>
                <w:w w:val="100"/>
                <w:sz w:val="21"/>
              </w:rPr>
              <w:t>）或其他影像学检查被确诊</w:t>
            </w:r>
            <w:r>
              <w:rPr>
                <w:spacing w:val="-3"/>
                <w:sz w:val="21"/>
              </w:rPr>
              <w:t>为下列病变，并实际接受了开颅手术或放射治疗。</w:t>
            </w:r>
          </w:p>
          <w:p>
            <w:pPr>
              <w:pStyle w:val="TableParagraph"/>
              <w:spacing w:before="7"/>
              <w:ind w:left="75"/>
              <w:rPr>
                <w:sz w:val="21"/>
              </w:rPr>
            </w:pPr>
            <w:r>
              <w:rPr>
                <w:sz w:val="21"/>
              </w:rPr>
              <w:t>（1）脑垂体瘤；</w:t>
            </w:r>
          </w:p>
          <w:p>
            <w:pPr>
              <w:pStyle w:val="TableParagraph"/>
              <w:spacing w:before="36"/>
              <w:ind w:left="75"/>
              <w:rPr>
                <w:sz w:val="21"/>
              </w:rPr>
            </w:pPr>
            <w:r>
              <w:rPr>
                <w:sz w:val="21"/>
              </w:rPr>
              <w:t>（2）脑囊肿；</w:t>
            </w:r>
          </w:p>
          <w:p>
            <w:pPr>
              <w:pStyle w:val="TableParagraph"/>
              <w:spacing w:before="36"/>
              <w:ind w:left="75"/>
              <w:rPr>
                <w:sz w:val="21"/>
              </w:rPr>
            </w:pPr>
            <w:r>
              <w:rPr>
                <w:sz w:val="21"/>
              </w:rPr>
              <w:t>（3）脑动脉瘤、脑血管瘤。</w:t>
            </w:r>
          </w:p>
        </w:tc>
      </w:tr>
      <w:tr>
        <w:trPr>
          <w:trHeight w:val="908" w:hRule="atLeast"/>
        </w:trPr>
        <w:tc>
          <w:tcPr>
            <w:tcW w:w="602" w:type="dxa"/>
          </w:tcPr>
          <w:p>
            <w:pPr>
              <w:pStyle w:val="TableParagraph"/>
              <w:spacing w:before="117"/>
              <w:ind w:left="179" w:right="170"/>
              <w:jc w:val="center"/>
              <w:rPr>
                <w:b/>
                <w:sz w:val="21"/>
              </w:rPr>
            </w:pPr>
            <w:r>
              <w:rPr>
                <w:b/>
                <w:sz w:val="21"/>
              </w:rPr>
              <w:t>17</w:t>
            </w:r>
          </w:p>
        </w:tc>
        <w:tc>
          <w:tcPr>
            <w:tcW w:w="2429" w:type="dxa"/>
          </w:tcPr>
          <w:p>
            <w:pPr>
              <w:pStyle w:val="TableParagraph"/>
              <w:spacing w:before="103"/>
              <w:ind w:left="190"/>
              <w:rPr>
                <w:rFonts w:ascii="等线" w:eastAsia="等线" w:hint="eastAsia"/>
                <w:b/>
                <w:sz w:val="24"/>
              </w:rPr>
            </w:pPr>
            <w:r>
              <w:rPr>
                <w:rFonts w:ascii="等线" w:eastAsia="等线" w:hint="eastAsia"/>
                <w:b/>
                <w:sz w:val="24"/>
              </w:rPr>
              <w:t>轻度颅脑手术</w:t>
            </w:r>
          </w:p>
        </w:tc>
        <w:tc>
          <w:tcPr>
            <w:tcW w:w="7181" w:type="dxa"/>
          </w:tcPr>
          <w:p>
            <w:pPr>
              <w:pStyle w:val="TableParagraph"/>
              <w:spacing w:line="273" w:lineRule="auto" w:before="139"/>
              <w:ind w:left="75" w:right="798"/>
              <w:rPr>
                <w:sz w:val="21"/>
              </w:rPr>
            </w:pPr>
            <w:r>
              <w:rPr>
                <w:sz w:val="21"/>
              </w:rPr>
              <w:t>指因疾病或意外已实施全麻下的颅骨钻孔手术或经鼻蝶窦入颅手术。理赔时必须提供由专科医生出具的诊断书及手术证明。</w:t>
            </w:r>
          </w:p>
        </w:tc>
      </w:tr>
      <w:tr>
        <w:trPr>
          <w:trHeight w:val="1533" w:hRule="atLeast"/>
        </w:trPr>
        <w:tc>
          <w:tcPr>
            <w:tcW w:w="602" w:type="dxa"/>
          </w:tcPr>
          <w:p>
            <w:pPr>
              <w:pStyle w:val="TableParagraph"/>
              <w:spacing w:before="118"/>
              <w:ind w:left="179" w:right="170"/>
              <w:jc w:val="center"/>
              <w:rPr>
                <w:b/>
                <w:sz w:val="21"/>
              </w:rPr>
            </w:pPr>
            <w:r>
              <w:rPr>
                <w:b/>
                <w:sz w:val="21"/>
              </w:rPr>
              <w:t>18</w:t>
            </w:r>
          </w:p>
        </w:tc>
        <w:tc>
          <w:tcPr>
            <w:tcW w:w="2429" w:type="dxa"/>
          </w:tcPr>
          <w:p>
            <w:pPr>
              <w:pStyle w:val="TableParagraph"/>
              <w:spacing w:before="104"/>
              <w:ind w:left="190"/>
              <w:rPr>
                <w:rFonts w:ascii="等线" w:eastAsia="等线" w:hint="eastAsia"/>
                <w:b/>
                <w:sz w:val="24"/>
              </w:rPr>
            </w:pPr>
            <w:r>
              <w:rPr>
                <w:rFonts w:ascii="等线" w:eastAsia="等线" w:hint="eastAsia"/>
                <w:b/>
                <w:sz w:val="24"/>
              </w:rPr>
              <w:t>中度瘫痪</w:t>
            </w:r>
          </w:p>
        </w:tc>
        <w:tc>
          <w:tcPr>
            <w:tcW w:w="7181" w:type="dxa"/>
          </w:tcPr>
          <w:p>
            <w:pPr>
              <w:pStyle w:val="TableParagraph"/>
              <w:spacing w:line="273" w:lineRule="auto" w:before="140"/>
              <w:ind w:left="75" w:right="305"/>
              <w:rPr>
                <w:sz w:val="21"/>
              </w:rPr>
            </w:pPr>
            <w:r>
              <w:rPr>
                <w:sz w:val="21"/>
              </w:rPr>
              <w:t>指因疾病或意外伤害导致一肢肢体机能永久完全丧失，但未达到本附加险合同所指重大疾病“瘫痪”的标准。肢体机能永久完全丧失，指疾病确诊</w:t>
            </w:r>
          </w:p>
          <w:p>
            <w:pPr>
              <w:pStyle w:val="TableParagraph"/>
              <w:spacing w:line="273" w:lineRule="auto" w:before="7"/>
              <w:ind w:left="75" w:right="303"/>
              <w:rPr>
                <w:sz w:val="21"/>
              </w:rPr>
            </w:pPr>
            <w:r>
              <w:rPr>
                <w:sz w:val="21"/>
              </w:rPr>
              <w:t>180天后或意外伤害发生180天后，每肢三大关节中的两大关节仍然完全僵硬，或不能随意识活动。</w:t>
            </w:r>
          </w:p>
        </w:tc>
      </w:tr>
      <w:tr>
        <w:trPr>
          <w:trHeight w:val="1531" w:hRule="atLeast"/>
        </w:trPr>
        <w:tc>
          <w:tcPr>
            <w:tcW w:w="602" w:type="dxa"/>
          </w:tcPr>
          <w:p>
            <w:pPr>
              <w:pStyle w:val="TableParagraph"/>
              <w:spacing w:before="138"/>
              <w:ind w:left="179" w:right="170"/>
              <w:jc w:val="center"/>
              <w:rPr>
                <w:b/>
                <w:sz w:val="21"/>
              </w:rPr>
            </w:pPr>
            <w:r>
              <w:rPr>
                <w:b/>
                <w:sz w:val="21"/>
              </w:rPr>
              <w:t>19</w:t>
            </w:r>
          </w:p>
        </w:tc>
        <w:tc>
          <w:tcPr>
            <w:tcW w:w="2429" w:type="dxa"/>
          </w:tcPr>
          <w:p>
            <w:pPr>
              <w:pStyle w:val="TableParagraph"/>
              <w:spacing w:before="102"/>
              <w:ind w:left="190"/>
              <w:rPr>
                <w:rFonts w:ascii="等线" w:eastAsia="等线" w:hint="eastAsia"/>
                <w:b/>
                <w:sz w:val="24"/>
              </w:rPr>
            </w:pPr>
            <w:r>
              <w:rPr>
                <w:rFonts w:ascii="等线" w:eastAsia="等线" w:hint="eastAsia"/>
                <w:b/>
                <w:sz w:val="24"/>
              </w:rPr>
              <w:t>早期运动神经元病</w:t>
            </w:r>
          </w:p>
        </w:tc>
        <w:tc>
          <w:tcPr>
            <w:tcW w:w="7181" w:type="dxa"/>
          </w:tcPr>
          <w:p>
            <w:pPr>
              <w:pStyle w:val="TableParagraph"/>
              <w:spacing w:line="273" w:lineRule="auto" w:before="138"/>
              <w:ind w:left="75" w:right="305"/>
              <w:jc w:val="both"/>
              <w:rPr>
                <w:sz w:val="21"/>
              </w:rPr>
            </w:pPr>
            <w:r>
              <w:rPr>
                <w:sz w:val="21"/>
              </w:rPr>
              <w:t>是一组中枢神经系统运动神经元的进行性变性疾病，包括进行性脊肌萎缩症、进行性延髓麻痹症、原发性侧索硬化症、肌萎缩性侧索硬化症，但未达到本附加险合同所指重大疾病“严重运动神经元病”的标准，须满足自主生活能力完全丧失，无法独立完成六项基本日常生活活动中的两项。</w:t>
            </w:r>
          </w:p>
        </w:tc>
      </w:tr>
      <w:tr>
        <w:trPr>
          <w:trHeight w:val="1661" w:hRule="atLeast"/>
        </w:trPr>
        <w:tc>
          <w:tcPr>
            <w:tcW w:w="602" w:type="dxa"/>
          </w:tcPr>
          <w:p>
            <w:pPr>
              <w:pStyle w:val="TableParagraph"/>
              <w:spacing w:before="138"/>
              <w:ind w:left="179" w:right="170"/>
              <w:jc w:val="center"/>
              <w:rPr>
                <w:b/>
                <w:sz w:val="21"/>
              </w:rPr>
            </w:pPr>
            <w:r>
              <w:rPr>
                <w:b/>
                <w:sz w:val="21"/>
              </w:rPr>
              <w:t>20</w:t>
            </w:r>
          </w:p>
        </w:tc>
        <w:tc>
          <w:tcPr>
            <w:tcW w:w="2429" w:type="dxa"/>
          </w:tcPr>
          <w:p>
            <w:pPr>
              <w:pStyle w:val="TableParagraph"/>
              <w:spacing w:before="102"/>
              <w:ind w:left="190"/>
              <w:rPr>
                <w:rFonts w:ascii="等线" w:eastAsia="等线" w:hint="eastAsia"/>
                <w:b/>
                <w:sz w:val="24"/>
              </w:rPr>
            </w:pPr>
            <w:r>
              <w:rPr>
                <w:rFonts w:ascii="等线" w:eastAsia="等线" w:hint="eastAsia"/>
                <w:b/>
                <w:sz w:val="24"/>
              </w:rPr>
              <w:t>中度昏迷</w:t>
            </w:r>
          </w:p>
        </w:tc>
        <w:tc>
          <w:tcPr>
            <w:tcW w:w="7181" w:type="dxa"/>
          </w:tcPr>
          <w:p>
            <w:pPr>
              <w:pStyle w:val="TableParagraph"/>
              <w:spacing w:line="273" w:lineRule="auto" w:before="138"/>
              <w:ind w:left="75" w:right="198"/>
              <w:rPr>
                <w:sz w:val="21"/>
              </w:rPr>
            </w:pPr>
            <w:r>
              <w:rPr>
                <w:sz w:val="21"/>
              </w:rPr>
              <w:t>指因疾病或意外伤害导致意识丧失,对外界刺激和体内需求均无反应,昏迷</w:t>
            </w:r>
            <w:r>
              <w:rPr>
                <w:spacing w:val="-3"/>
                <w:sz w:val="21"/>
              </w:rPr>
              <w:t>程度按照格拉斯哥昏迷分级</w:t>
            </w:r>
            <w:r>
              <w:rPr>
                <w:sz w:val="21"/>
              </w:rPr>
              <w:t>（Glasgow coma scale）</w:t>
            </w:r>
            <w:r>
              <w:rPr>
                <w:spacing w:val="-2"/>
                <w:sz w:val="21"/>
              </w:rPr>
              <w:t>结果为</w:t>
            </w:r>
            <w:r>
              <w:rPr>
                <w:spacing w:val="-3"/>
                <w:sz w:val="21"/>
              </w:rPr>
              <w:t>5</w:t>
            </w:r>
            <w:r>
              <w:rPr>
                <w:sz w:val="21"/>
              </w:rPr>
              <w:t>分或</w:t>
            </w:r>
            <w:r>
              <w:rPr>
                <w:spacing w:val="-3"/>
                <w:sz w:val="21"/>
              </w:rPr>
              <w:t>5</w:t>
            </w:r>
            <w:r>
              <w:rPr>
                <w:spacing w:val="-2"/>
                <w:sz w:val="21"/>
              </w:rPr>
              <w:t>分以下， 且已经持续使用呼吸机及其他生命维持系统48小时以上。但未达到本附加</w:t>
            </w:r>
            <w:r>
              <w:rPr>
                <w:spacing w:val="-3"/>
                <w:sz w:val="21"/>
              </w:rPr>
              <w:t>险合同所指重大疾病“深度昏迷”的标准。</w:t>
            </w:r>
          </w:p>
          <w:p>
            <w:pPr>
              <w:pStyle w:val="TableParagraph"/>
              <w:spacing w:line="255" w:lineRule="exact" w:before="7"/>
              <w:ind w:left="75"/>
              <w:rPr>
                <w:sz w:val="21"/>
              </w:rPr>
            </w:pPr>
            <w:r>
              <w:rPr>
                <w:sz w:val="21"/>
                <w:shd w:fill="DADADA" w:color="auto" w:val="clear"/>
              </w:rPr>
              <w:t>因酗酒或药物滥用导致的中度昏迷不在保障范围内。</w:t>
            </w:r>
          </w:p>
        </w:tc>
      </w:tr>
    </w:tbl>
    <w:p>
      <w:pPr>
        <w:spacing w:after="0" w:line="255" w:lineRule="exact"/>
        <w:rPr>
          <w:sz w:val="21"/>
        </w:rPr>
        <w:sectPr>
          <w:pgSz w:w="11910" w:h="16840"/>
          <w:pgMar w:top="1160" w:bottom="280" w:left="880" w:right="600"/>
        </w:sectPr>
      </w:pPr>
    </w:p>
    <w:p>
      <w:pPr>
        <w:tabs>
          <w:tab w:pos="975" w:val="left" w:leader="none"/>
        </w:tabs>
        <w:spacing w:line="458" w:lineRule="exact" w:before="39"/>
        <w:ind w:left="311" w:right="0" w:firstLine="0"/>
        <w:jc w:val="left"/>
        <w:rPr>
          <w:b/>
          <w:sz w:val="24"/>
        </w:rPr>
      </w:pPr>
      <w:r>
        <w:rPr>
          <w:rFonts w:ascii="Arial" w:hAnsi="Arial" w:eastAsia="Arial"/>
          <w:b/>
          <w:position w:val="-9"/>
          <w:sz w:val="40"/>
        </w:rPr>
        <w:t></w:t>
        <w:tab/>
      </w:r>
      <w:r>
        <w:rPr>
          <w:b/>
          <w:w w:val="95"/>
          <w:sz w:val="24"/>
        </w:rPr>
        <w:t>重大疾病释义</w:t>
      </w:r>
    </w:p>
    <w:p>
      <w:pPr>
        <w:spacing w:line="242" w:lineRule="auto" w:before="0"/>
        <w:ind w:left="976" w:right="176" w:firstLine="0"/>
        <w:jc w:val="left"/>
        <w:rPr>
          <w:sz w:val="24"/>
        </w:rPr>
      </w:pPr>
      <w:r>
        <w:rPr/>
        <w:pict>
          <v:group style="position:absolute;margin-left:45.599998pt;margin-top:34.535629pt;width:504.05pt;height:1pt;mso-position-horizontal-relative:page;mso-position-vertical-relative:paragraph;z-index:1384;mso-wrap-distance-left:0;mso-wrap-distance-right:0" coordorigin="912,691" coordsize="10081,20">
            <v:line style="position:absolute" from="912,700" to="1668,700" stroked="true" strokeweight=".96pt" strokecolor="#000000">
              <v:stroke dashstyle="solid"/>
            </v:line>
            <v:rect style="position:absolute;left:1668;top:690;width:20;height:20" filled="true" fillcolor="#000000" stroked="false">
              <v:fill type="solid"/>
            </v:rect>
            <v:line style="position:absolute" from="1687,700" to="3979,700" stroked="true" strokeweight=".96pt" strokecolor="#000000">
              <v:stroke dashstyle="solid"/>
            </v:line>
            <v:rect style="position:absolute;left:3979;top:690;width:20;height:20" filled="true" fillcolor="#000000" stroked="false">
              <v:fill type="solid"/>
            </v:rect>
            <v:line style="position:absolute" from="3998,700" to="10992,700" stroked="true" strokeweight=".96pt" strokecolor="#000000">
              <v:stroke dashstyle="solid"/>
            </v:line>
            <w10:wrap type="topAndBottom"/>
          </v:group>
        </w:pict>
      </w:r>
      <w:r>
        <w:rPr>
          <w:sz w:val="24"/>
        </w:rPr>
        <w:t>这部分讲的是我们提供保障的 80 种重大疾病的定义，其中包含一些免责条款，请您特别留意。</w:t>
      </w:r>
    </w:p>
    <w:p>
      <w:pPr>
        <w:pStyle w:val="BodyText"/>
        <w:spacing w:before="2"/>
        <w:rPr>
          <w:sz w:val="20"/>
        </w:rPr>
      </w:pPr>
    </w:p>
    <w:tbl>
      <w:tblPr>
        <w:tblW w:w="0" w:type="auto"/>
        <w:jc w:val="left"/>
        <w:tblInd w:w="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
        <w:gridCol w:w="2422"/>
        <w:gridCol w:w="6958"/>
      </w:tblGrid>
      <w:tr>
        <w:trPr>
          <w:trHeight w:val="415" w:hRule="atLeast"/>
        </w:trPr>
        <w:tc>
          <w:tcPr>
            <w:tcW w:w="373" w:type="dxa"/>
          </w:tcPr>
          <w:p>
            <w:pPr>
              <w:pStyle w:val="TableParagraph"/>
              <w:ind w:left="0"/>
              <w:rPr>
                <w:rFonts w:ascii="Times New Roman"/>
                <w:sz w:val="20"/>
              </w:rPr>
            </w:pPr>
          </w:p>
        </w:tc>
        <w:tc>
          <w:tcPr>
            <w:tcW w:w="2422" w:type="dxa"/>
          </w:tcPr>
          <w:p>
            <w:pPr>
              <w:pStyle w:val="TableParagraph"/>
              <w:spacing w:line="211" w:lineRule="exact"/>
              <w:ind w:left="217"/>
              <w:rPr>
                <w:b/>
                <w:sz w:val="21"/>
              </w:rPr>
            </w:pPr>
            <w:r>
              <w:rPr>
                <w:b/>
                <w:sz w:val="21"/>
              </w:rPr>
              <w:t>第 1 类：</w:t>
            </w:r>
          </w:p>
        </w:tc>
        <w:tc>
          <w:tcPr>
            <w:tcW w:w="6958" w:type="dxa"/>
          </w:tcPr>
          <w:p>
            <w:pPr>
              <w:pStyle w:val="TableParagraph"/>
              <w:spacing w:line="233" w:lineRule="exact"/>
              <w:ind w:left="108"/>
              <w:rPr>
                <w:b/>
                <w:sz w:val="21"/>
              </w:rPr>
            </w:pPr>
            <w:r>
              <w:rPr>
                <w:b/>
                <w:sz w:val="21"/>
              </w:rPr>
              <w:t>与恶性肿瘤相关的疾病</w:t>
            </w:r>
          </w:p>
        </w:tc>
      </w:tr>
      <w:tr>
        <w:trPr>
          <w:trHeight w:val="473" w:hRule="atLeast"/>
        </w:trPr>
        <w:tc>
          <w:tcPr>
            <w:tcW w:w="373" w:type="dxa"/>
          </w:tcPr>
          <w:p>
            <w:pPr>
              <w:pStyle w:val="TableParagraph"/>
              <w:spacing w:before="139"/>
              <w:ind w:left="50"/>
              <w:rPr>
                <w:b/>
                <w:sz w:val="21"/>
              </w:rPr>
            </w:pPr>
            <w:r>
              <w:rPr>
                <w:b/>
                <w:w w:val="99"/>
                <w:sz w:val="21"/>
              </w:rPr>
              <w:t>1</w:t>
            </w:r>
          </w:p>
        </w:tc>
        <w:tc>
          <w:tcPr>
            <w:tcW w:w="2422" w:type="dxa"/>
          </w:tcPr>
          <w:p>
            <w:pPr>
              <w:pStyle w:val="TableParagraph"/>
              <w:spacing w:before="103"/>
              <w:ind w:left="217"/>
              <w:rPr>
                <w:rFonts w:ascii="等线" w:eastAsia="等线" w:hint="eastAsia"/>
                <w:b/>
                <w:sz w:val="24"/>
              </w:rPr>
            </w:pPr>
            <w:r>
              <w:rPr>
                <w:rFonts w:ascii="等线" w:eastAsia="等线" w:hint="eastAsia"/>
                <w:b/>
                <w:sz w:val="24"/>
              </w:rPr>
              <w:t>恶性肿瘤</w:t>
            </w:r>
          </w:p>
        </w:tc>
        <w:tc>
          <w:tcPr>
            <w:tcW w:w="6958" w:type="dxa"/>
          </w:tcPr>
          <w:p>
            <w:pPr>
              <w:pStyle w:val="TableParagraph"/>
              <w:spacing w:before="139"/>
              <w:ind w:left="108"/>
              <w:rPr>
                <w:sz w:val="21"/>
              </w:rPr>
            </w:pPr>
            <w:r>
              <w:rPr>
                <w:sz w:val="21"/>
              </w:rPr>
              <w:t>指恶性细胞不受控制的进行性增长和扩散，浸润和破坏周围正常组织，可</w:t>
            </w:r>
          </w:p>
        </w:tc>
      </w:tr>
      <w:tr>
        <w:trPr>
          <w:trHeight w:val="303"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53" w:lineRule="exact"/>
              <w:ind w:left="108"/>
              <w:rPr>
                <w:sz w:val="21"/>
              </w:rPr>
            </w:pPr>
            <w:r>
              <w:rPr>
                <w:sz w:val="21"/>
              </w:rPr>
              <w:t>以经血管、淋巴管和体腔扩散转移到身体其它部位的疾病。经病理学检查</w:t>
            </w:r>
          </w:p>
        </w:tc>
      </w:tr>
      <w:tr>
        <w:trPr>
          <w:trHeight w:val="312"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sz w:val="21"/>
              </w:rPr>
              <w:t>结果明确诊断，临床诊断属于世界卫生组织《疾病和有关健康问题的国际</w:t>
            </w:r>
          </w:p>
        </w:tc>
      </w:tr>
      <w:tr>
        <w:trPr>
          <w:trHeight w:val="312"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sz w:val="21"/>
              </w:rPr>
              <w:t>统计分类》（ICD-10）的恶性肿瘤范畴。</w:t>
            </w:r>
            <w:r>
              <w:rPr>
                <w:sz w:val="21"/>
                <w:shd w:fill="DADADA" w:color="auto" w:val="clear"/>
              </w:rPr>
              <w:t>下列疾病不在保障范围内：</w:t>
            </w:r>
          </w:p>
        </w:tc>
      </w:tr>
      <w:tr>
        <w:trPr>
          <w:trHeight w:val="312"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sz w:val="21"/>
                <w:shd w:fill="DADADA" w:color="auto" w:val="clear"/>
              </w:rPr>
              <w:t>（1）原位癌；</w:t>
            </w:r>
          </w:p>
        </w:tc>
      </w:tr>
      <w:tr>
        <w:trPr>
          <w:trHeight w:val="311"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sz w:val="21"/>
                <w:shd w:fill="DADADA" w:color="auto" w:val="clear"/>
              </w:rPr>
              <w:t>（2）相当于 Binet 分期方案 A 期程度的慢性淋巴细胞白血病；</w:t>
            </w:r>
          </w:p>
        </w:tc>
      </w:tr>
      <w:tr>
        <w:trPr>
          <w:trHeight w:val="312"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sz w:val="21"/>
                <w:shd w:fill="DADADA" w:color="auto" w:val="clear"/>
              </w:rPr>
              <w:t>（3）相当于 Ann Arbor 分期方案 I 期程度的何杰金氏病；</w:t>
            </w:r>
          </w:p>
        </w:tc>
      </w:tr>
      <w:tr>
        <w:trPr>
          <w:trHeight w:val="311"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rPr>
              <w:t>（不包括恶性黑色素瘤及已发生转移的皮肤癌</w:t>
            </w:r>
            <w:r>
              <w:rPr>
                <w:spacing w:val="-106"/>
                <w:w w:val="100"/>
                <w:sz w:val="21"/>
              </w:rPr>
              <w:t>）</w:t>
            </w:r>
            <w:r>
              <w:rPr>
                <w:w w:val="100"/>
                <w:sz w:val="21"/>
              </w:rPr>
              <w:t>；</w:t>
            </w:r>
          </w:p>
        </w:tc>
      </w:tr>
      <w:tr>
        <w:trPr>
          <w:trHeight w:val="311"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11"/>
              </w:rPr>
              <w:t> </w:t>
            </w:r>
            <w:r>
              <w:rPr>
                <w:position w:val="1"/>
                <w:sz w:val="21"/>
                <w:shd w:fill="DADADA" w:color="auto" w:val="clear"/>
              </w:rPr>
              <w:t>期或更轻分期的前列腺癌；</w:t>
            </w:r>
          </w:p>
        </w:tc>
      </w:tr>
      <w:tr>
        <w:trPr>
          <w:trHeight w:val="261" w:hRule="atLeast"/>
        </w:trPr>
        <w:tc>
          <w:tcPr>
            <w:tcW w:w="373" w:type="dxa"/>
          </w:tcPr>
          <w:p>
            <w:pPr>
              <w:pStyle w:val="TableParagraph"/>
              <w:ind w:left="0"/>
              <w:rPr>
                <w:rFonts w:ascii="Times New Roman"/>
                <w:sz w:val="18"/>
              </w:rPr>
            </w:pPr>
          </w:p>
        </w:tc>
        <w:tc>
          <w:tcPr>
            <w:tcW w:w="2422" w:type="dxa"/>
          </w:tcPr>
          <w:p>
            <w:pPr>
              <w:pStyle w:val="TableParagraph"/>
              <w:ind w:left="0"/>
              <w:rPr>
                <w:rFonts w:ascii="Times New Roman"/>
                <w:sz w:val="18"/>
              </w:rPr>
            </w:pPr>
          </w:p>
        </w:tc>
        <w:tc>
          <w:tcPr>
            <w:tcW w:w="6958" w:type="dxa"/>
          </w:tcPr>
          <w:p>
            <w:pPr>
              <w:pStyle w:val="TableParagraph"/>
              <w:spacing w:line="242" w:lineRule="exact"/>
              <w:ind w:left="108"/>
              <w:rPr>
                <w:sz w:val="21"/>
              </w:rPr>
            </w:pPr>
            <w:r>
              <w:rPr>
                <w:sz w:val="21"/>
                <w:shd w:fill="DADADA" w:color="auto" w:val="clear"/>
              </w:rPr>
              <w:t>（6）感染艾滋病病毒或患艾滋病</w:t>
            </w:r>
            <w:r>
              <w:rPr>
                <w:sz w:val="21"/>
              </w:rPr>
              <w:t>（不包括经输血、因职业关系、器官移植</w:t>
            </w:r>
          </w:p>
        </w:tc>
      </w:tr>
      <w:tr>
        <w:trPr>
          <w:trHeight w:val="493"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before="37"/>
              <w:ind w:left="634"/>
              <w:rPr>
                <w:sz w:val="21"/>
              </w:rPr>
            </w:pPr>
            <w:r>
              <w:rPr>
                <w:sz w:val="21"/>
              </w:rPr>
              <w:t>导致的艾滋病病毒感染或患艾滋病）</w:t>
            </w:r>
            <w:r>
              <w:rPr>
                <w:sz w:val="21"/>
                <w:shd w:fill="DADADA" w:color="auto" w:val="clear"/>
              </w:rPr>
              <w:t>期间所患恶性肿瘤</w:t>
            </w:r>
            <w:r>
              <w:rPr>
                <w:sz w:val="21"/>
              </w:rPr>
              <w:t>。</w:t>
            </w:r>
          </w:p>
        </w:tc>
      </w:tr>
      <w:tr>
        <w:trPr>
          <w:trHeight w:val="934" w:hRule="atLeast"/>
        </w:trPr>
        <w:tc>
          <w:tcPr>
            <w:tcW w:w="373" w:type="dxa"/>
          </w:tcPr>
          <w:p>
            <w:pPr>
              <w:pStyle w:val="TableParagraph"/>
              <w:spacing w:before="138"/>
              <w:ind w:left="50"/>
              <w:rPr>
                <w:b/>
                <w:sz w:val="21"/>
              </w:rPr>
            </w:pPr>
            <w:r>
              <w:rPr>
                <w:b/>
                <w:w w:val="99"/>
                <w:sz w:val="21"/>
              </w:rPr>
              <w:t>2</w:t>
            </w:r>
          </w:p>
        </w:tc>
        <w:tc>
          <w:tcPr>
            <w:tcW w:w="2422" w:type="dxa"/>
          </w:tcPr>
          <w:p>
            <w:pPr>
              <w:pStyle w:val="TableParagraph"/>
              <w:spacing w:line="232" w:lineRule="auto" w:before="112"/>
              <w:ind w:left="217" w:right="35"/>
              <w:rPr>
                <w:rFonts w:ascii="等线" w:eastAsia="等线" w:hint="eastAsia"/>
                <w:b/>
                <w:sz w:val="24"/>
              </w:rPr>
            </w:pPr>
            <w:r>
              <w:rPr>
                <w:rFonts w:ascii="等线" w:eastAsia="等线" w:hint="eastAsia"/>
                <w:b/>
                <w:sz w:val="24"/>
              </w:rPr>
              <w:t>侵蚀性葡萄胎（或称恶性葡萄胎）</w:t>
            </w:r>
          </w:p>
        </w:tc>
        <w:tc>
          <w:tcPr>
            <w:tcW w:w="6958" w:type="dxa"/>
          </w:tcPr>
          <w:p>
            <w:pPr>
              <w:pStyle w:val="TableParagraph"/>
              <w:spacing w:line="273" w:lineRule="auto" w:before="138"/>
              <w:ind w:left="108" w:right="49"/>
              <w:rPr>
                <w:sz w:val="21"/>
              </w:rPr>
            </w:pPr>
            <w:r>
              <w:rPr>
                <w:sz w:val="21"/>
              </w:rPr>
              <w:t>指异常增生的绒毛组织浸润性生长浸入子宫肌层或转移至其他器官或组织的葡萄胎，并已经进行化疗或手术治疗的。</w:t>
            </w:r>
          </w:p>
        </w:tc>
      </w:tr>
      <w:tr>
        <w:trPr>
          <w:trHeight w:val="580" w:hRule="atLeast"/>
        </w:trPr>
        <w:tc>
          <w:tcPr>
            <w:tcW w:w="373" w:type="dxa"/>
          </w:tcPr>
          <w:p>
            <w:pPr>
              <w:pStyle w:val="TableParagraph"/>
              <w:ind w:left="0"/>
              <w:rPr>
                <w:rFonts w:ascii="Times New Roman"/>
                <w:sz w:val="20"/>
              </w:rPr>
            </w:pPr>
          </w:p>
        </w:tc>
        <w:tc>
          <w:tcPr>
            <w:tcW w:w="2422" w:type="dxa"/>
          </w:tcPr>
          <w:p>
            <w:pPr>
              <w:pStyle w:val="TableParagraph"/>
              <w:spacing w:before="123"/>
              <w:ind w:left="217"/>
              <w:rPr>
                <w:b/>
                <w:sz w:val="21"/>
              </w:rPr>
            </w:pPr>
            <w:r>
              <w:rPr>
                <w:b/>
                <w:sz w:val="21"/>
              </w:rPr>
              <w:t>第 2 类：</w:t>
            </w:r>
          </w:p>
        </w:tc>
        <w:tc>
          <w:tcPr>
            <w:tcW w:w="6958" w:type="dxa"/>
          </w:tcPr>
          <w:p>
            <w:pPr>
              <w:pStyle w:val="TableParagraph"/>
              <w:spacing w:before="123"/>
              <w:ind w:left="108"/>
              <w:rPr>
                <w:b/>
                <w:sz w:val="21"/>
              </w:rPr>
            </w:pPr>
            <w:r>
              <w:rPr>
                <w:b/>
                <w:sz w:val="21"/>
              </w:rPr>
              <w:t>与心脏或脑血管相关的疾病</w:t>
            </w:r>
          </w:p>
        </w:tc>
      </w:tr>
      <w:tr>
        <w:trPr>
          <w:trHeight w:val="472" w:hRule="atLeast"/>
        </w:trPr>
        <w:tc>
          <w:tcPr>
            <w:tcW w:w="373" w:type="dxa"/>
          </w:tcPr>
          <w:p>
            <w:pPr>
              <w:pStyle w:val="TableParagraph"/>
              <w:spacing w:before="138"/>
              <w:ind w:left="50"/>
              <w:rPr>
                <w:b/>
                <w:sz w:val="21"/>
              </w:rPr>
            </w:pPr>
            <w:r>
              <w:rPr>
                <w:b/>
                <w:w w:val="99"/>
                <w:sz w:val="21"/>
              </w:rPr>
              <w:t>3</w:t>
            </w:r>
          </w:p>
        </w:tc>
        <w:tc>
          <w:tcPr>
            <w:tcW w:w="2422" w:type="dxa"/>
          </w:tcPr>
          <w:p>
            <w:pPr>
              <w:pStyle w:val="TableParagraph"/>
              <w:spacing w:before="102"/>
              <w:ind w:left="217"/>
              <w:rPr>
                <w:rFonts w:ascii="等线" w:eastAsia="等线" w:hint="eastAsia"/>
                <w:b/>
                <w:sz w:val="24"/>
              </w:rPr>
            </w:pPr>
            <w:r>
              <w:rPr>
                <w:rFonts w:ascii="等线" w:eastAsia="等线" w:hint="eastAsia"/>
                <w:b/>
                <w:w w:val="105"/>
                <w:sz w:val="24"/>
              </w:rPr>
              <w:t>急性心ft梗塞</w:t>
            </w:r>
          </w:p>
        </w:tc>
        <w:tc>
          <w:tcPr>
            <w:tcW w:w="6958" w:type="dxa"/>
          </w:tcPr>
          <w:p>
            <w:pPr>
              <w:pStyle w:val="TableParagraph"/>
              <w:spacing w:before="138"/>
              <w:ind w:left="108"/>
              <w:rPr>
                <w:sz w:val="21"/>
              </w:rPr>
            </w:pPr>
            <w:r>
              <w:rPr>
                <w:sz w:val="21"/>
              </w:rPr>
              <w:t>指因冠状动脉阻塞导致的相应区域供血不足造成部分心肌坏死。须满足下</w:t>
            </w:r>
          </w:p>
        </w:tc>
      </w:tr>
      <w:tr>
        <w:trPr>
          <w:trHeight w:val="303"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53" w:lineRule="exact"/>
              <w:ind w:left="108"/>
              <w:rPr>
                <w:sz w:val="21"/>
              </w:rPr>
            </w:pPr>
            <w:r>
              <w:rPr>
                <w:sz w:val="21"/>
              </w:rPr>
              <w:t>列至少三项条件：</w:t>
            </w:r>
          </w:p>
        </w:tc>
      </w:tr>
      <w:tr>
        <w:trPr>
          <w:trHeight w:val="311"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sz w:val="21"/>
              </w:rPr>
              <w:t>（1）典型临床表现，例如急性胸痛等；</w:t>
            </w:r>
          </w:p>
        </w:tc>
      </w:tr>
      <w:tr>
        <w:trPr>
          <w:trHeight w:val="311"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61" w:lineRule="exact"/>
              <w:ind w:left="108"/>
              <w:rPr>
                <w:sz w:val="21"/>
              </w:rPr>
            </w:pPr>
            <w:r>
              <w:rPr>
                <w:sz w:val="21"/>
              </w:rPr>
              <w:t>（2）新近的心电图改变提示急性心肌梗塞；</w:t>
            </w:r>
          </w:p>
        </w:tc>
      </w:tr>
      <w:tr>
        <w:trPr>
          <w:trHeight w:val="261" w:hRule="atLeast"/>
        </w:trPr>
        <w:tc>
          <w:tcPr>
            <w:tcW w:w="373" w:type="dxa"/>
          </w:tcPr>
          <w:p>
            <w:pPr>
              <w:pStyle w:val="TableParagraph"/>
              <w:ind w:left="0"/>
              <w:rPr>
                <w:rFonts w:ascii="Times New Roman"/>
                <w:sz w:val="18"/>
              </w:rPr>
            </w:pPr>
          </w:p>
        </w:tc>
        <w:tc>
          <w:tcPr>
            <w:tcW w:w="2422" w:type="dxa"/>
          </w:tcPr>
          <w:p>
            <w:pPr>
              <w:pStyle w:val="TableParagraph"/>
              <w:ind w:left="0"/>
              <w:rPr>
                <w:rFonts w:ascii="Times New Roman"/>
                <w:sz w:val="18"/>
              </w:rPr>
            </w:pPr>
          </w:p>
        </w:tc>
        <w:tc>
          <w:tcPr>
            <w:tcW w:w="6958" w:type="dxa"/>
          </w:tcPr>
          <w:p>
            <w:pPr>
              <w:pStyle w:val="TableParagraph"/>
              <w:spacing w:line="242" w:lineRule="exact"/>
              <w:ind w:left="108"/>
              <w:rPr>
                <w:sz w:val="21"/>
              </w:rPr>
            </w:pPr>
            <w:r>
              <w:rPr>
                <w:sz w:val="21"/>
              </w:rPr>
              <w:t>（3）心肌酶或肌钙蛋白有诊断意义的升高，或呈符合急性心肌梗塞的动态</w:t>
            </w:r>
          </w:p>
        </w:tc>
      </w:tr>
      <w:tr>
        <w:trPr>
          <w:trHeight w:val="311" w:hRule="atLeast"/>
        </w:trPr>
        <w:tc>
          <w:tcPr>
            <w:tcW w:w="373" w:type="dxa"/>
          </w:tcPr>
          <w:p>
            <w:pPr>
              <w:pStyle w:val="TableParagraph"/>
              <w:ind w:left="0"/>
              <w:rPr>
                <w:rFonts w:ascii="Times New Roman"/>
                <w:sz w:val="20"/>
              </w:rPr>
            </w:pPr>
          </w:p>
        </w:tc>
        <w:tc>
          <w:tcPr>
            <w:tcW w:w="2422" w:type="dxa"/>
          </w:tcPr>
          <w:p>
            <w:pPr>
              <w:pStyle w:val="TableParagraph"/>
              <w:ind w:left="0"/>
              <w:rPr>
                <w:rFonts w:ascii="Times New Roman"/>
                <w:sz w:val="20"/>
              </w:rPr>
            </w:pPr>
          </w:p>
        </w:tc>
        <w:tc>
          <w:tcPr>
            <w:tcW w:w="6958" w:type="dxa"/>
          </w:tcPr>
          <w:p>
            <w:pPr>
              <w:pStyle w:val="TableParagraph"/>
              <w:spacing w:line="255" w:lineRule="exact" w:before="37"/>
              <w:ind w:left="634"/>
              <w:rPr>
                <w:sz w:val="21"/>
              </w:rPr>
            </w:pPr>
            <w:r>
              <w:rPr>
                <w:sz w:val="21"/>
              </w:rPr>
              <w:t>性变化；</w:t>
            </w:r>
          </w:p>
        </w:tc>
      </w:tr>
    </w:tbl>
    <w:p>
      <w:pPr>
        <w:pStyle w:val="BodyText"/>
        <w:spacing w:before="37"/>
        <w:ind w:left="3289"/>
      </w:pPr>
      <w:r>
        <w:rPr/>
        <w:t>（4）发病 90 日后，经检查证实左心室功能降低，如左心室射血分数低于</w:t>
      </w:r>
    </w:p>
    <w:p>
      <w:pPr>
        <w:pStyle w:val="BodyText"/>
        <w:spacing w:before="37"/>
        <w:ind w:left="2675" w:right="4820"/>
        <w:jc w:val="center"/>
      </w:pPr>
      <w:r>
        <w:rPr/>
        <w:t>50%。</w:t>
      </w:r>
    </w:p>
    <w:p>
      <w:pPr>
        <w:pStyle w:val="BodyText"/>
        <w:spacing w:before="7"/>
        <w:rPr>
          <w:sz w:val="24"/>
        </w:rPr>
      </w:pPr>
    </w:p>
    <w:p>
      <w:pPr>
        <w:spacing w:after="0"/>
        <w:rPr>
          <w:sz w:val="24"/>
        </w:rPr>
        <w:sectPr>
          <w:pgSz w:w="11910" w:h="16840"/>
          <w:pgMar w:top="1320" w:bottom="280" w:left="800" w:right="800"/>
        </w:sectPr>
      </w:pPr>
    </w:p>
    <w:p>
      <w:pPr>
        <w:pStyle w:val="Heading2"/>
        <w:numPr>
          <w:ilvl w:val="0"/>
          <w:numId w:val="4"/>
        </w:numPr>
        <w:tabs>
          <w:tab w:pos="975" w:val="left" w:leader="none"/>
          <w:tab w:pos="976" w:val="left" w:leader="none"/>
        </w:tabs>
        <w:spacing w:line="232" w:lineRule="auto" w:before="31" w:after="0"/>
        <w:ind w:left="976" w:right="0" w:hanging="540"/>
        <w:jc w:val="left"/>
        <w:rPr>
          <w:rFonts w:ascii="宋体" w:eastAsia="宋体" w:hint="eastAsia"/>
          <w:sz w:val="21"/>
        </w:rPr>
      </w:pPr>
      <w:r>
        <w:rPr>
          <w:spacing w:val="22"/>
          <w:position w:val="1"/>
        </w:rPr>
        <w:t>严重原发性肺动脉</w:t>
      </w:r>
      <w:r>
        <w:rPr/>
        <w:t>高压</w:t>
      </w:r>
    </w:p>
    <w:p>
      <w:pPr>
        <w:pStyle w:val="BodyText"/>
        <w:spacing w:line="273" w:lineRule="auto" w:before="57"/>
        <w:ind w:left="154" w:right="213"/>
        <w:jc w:val="both"/>
      </w:pPr>
      <w:r>
        <w:rPr/>
        <w:br w:type="column"/>
      </w:r>
      <w:r>
        <w:rPr/>
        <w:t>指不明原因的肺动脉压力持续性增高，进行性发展而导致的慢性疾病，已</w:t>
      </w:r>
      <w:r>
        <w:rPr>
          <w:spacing w:val="-1"/>
        </w:rPr>
        <w:t>经造成</w:t>
      </w:r>
      <w:r>
        <w:rPr>
          <w:rFonts w:ascii="黑体" w:eastAsia="黑体" w:hint="eastAsia"/>
          <w:b/>
          <w:spacing w:val="-3"/>
        </w:rPr>
        <w:t>永久不可逆 </w:t>
      </w:r>
      <w:hyperlink w:history="true" w:anchor="_bookmark17">
        <w:r>
          <w:rPr>
            <w:rFonts w:ascii="黑体" w:eastAsia="黑体" w:hint="eastAsia"/>
            <w:b/>
            <w:position w:val="11"/>
            <w:sz w:val="11"/>
          </w:rPr>
          <w:t>18</w:t>
        </w:r>
      </w:hyperlink>
      <w:r>
        <w:rPr>
          <w:spacing w:val="-12"/>
        </w:rPr>
        <w:t>性的体力活动能力受限，达到美国纽约心脏病学会</w:t>
      </w:r>
      <w:r>
        <w:rPr>
          <w:rFonts w:ascii="黑体" w:eastAsia="黑体" w:hint="eastAsia"/>
          <w:b/>
        </w:rPr>
        <w:t>心功</w:t>
      </w:r>
      <w:r>
        <w:rPr>
          <w:rFonts w:ascii="黑体" w:eastAsia="黑体" w:hint="eastAsia"/>
          <w:b/>
          <w:spacing w:val="-6"/>
        </w:rPr>
        <w:t>能状态分级 </w:t>
      </w:r>
      <w:hyperlink w:history="true" w:anchor="_bookmark18">
        <w:r>
          <w:rPr>
            <w:rFonts w:ascii="黑体" w:eastAsia="黑体" w:hint="eastAsia"/>
            <w:b/>
            <w:position w:val="11"/>
            <w:sz w:val="11"/>
          </w:rPr>
          <w:t>19</w:t>
        </w:r>
      </w:hyperlink>
      <w:r>
        <w:rPr/>
        <w:t>IV</w:t>
      </w:r>
      <w:r>
        <w:rPr>
          <w:spacing w:val="-11"/>
        </w:rPr>
        <w:t> 级，且静息状态下肺动脉平均压超过 </w:t>
      </w:r>
      <w:r>
        <w:rPr/>
        <w:t>30mmHg。</w:t>
      </w:r>
    </w:p>
    <w:p>
      <w:pPr>
        <w:spacing w:after="0" w:line="273" w:lineRule="auto"/>
        <w:jc w:val="both"/>
        <w:sectPr>
          <w:type w:val="continuous"/>
          <w:pgSz w:w="11910" w:h="16840"/>
          <w:pgMar w:top="540" w:bottom="280" w:left="800" w:right="800"/>
          <w:cols w:num="2" w:equalWidth="0">
            <w:col w:w="3096" w:space="40"/>
            <w:col w:w="7174"/>
          </w:cols>
        </w:sectPr>
      </w:pPr>
    </w:p>
    <w:p>
      <w:pPr>
        <w:pStyle w:val="BodyText"/>
        <w:spacing w:before="8"/>
        <w:rPr>
          <w:sz w:val="17"/>
        </w:rPr>
      </w:pPr>
    </w:p>
    <w:p>
      <w:pPr>
        <w:pStyle w:val="ListParagraph"/>
        <w:numPr>
          <w:ilvl w:val="0"/>
          <w:numId w:val="4"/>
        </w:numPr>
        <w:tabs>
          <w:tab w:pos="975" w:val="left" w:leader="none"/>
          <w:tab w:pos="976" w:val="left" w:leader="none"/>
          <w:tab w:pos="3289" w:val="left" w:leader="none"/>
        </w:tabs>
        <w:spacing w:line="254" w:lineRule="auto" w:before="20" w:after="0"/>
        <w:ind w:left="3289" w:right="216" w:hanging="2853"/>
        <w:jc w:val="left"/>
        <w:rPr>
          <w:sz w:val="21"/>
        </w:rPr>
      </w:pPr>
      <w:r>
        <w:rPr>
          <w:rFonts w:ascii="等线" w:eastAsia="等线" w:hint="eastAsia"/>
          <w:b/>
          <w:position w:val="1"/>
          <w:sz w:val="24"/>
        </w:rPr>
        <w:t>心脏瓣膜手术</w:t>
        <w:tab/>
      </w:r>
      <w:r>
        <w:rPr>
          <w:sz w:val="21"/>
        </w:rPr>
        <w:t>指为治疗心脏瓣膜疾病，实际实施了开胸进行的心脏瓣膜置换或修复的手 术。</w:t>
      </w:r>
    </w:p>
    <w:p>
      <w:pPr>
        <w:pStyle w:val="BodyText"/>
        <w:rPr>
          <w:sz w:val="20"/>
        </w:rPr>
      </w:pPr>
    </w:p>
    <w:p>
      <w:pPr>
        <w:pStyle w:val="BodyText"/>
        <w:spacing w:before="2"/>
        <w:rPr>
          <w:sz w:val="26"/>
        </w:rPr>
      </w:pPr>
      <w:r>
        <w:rPr/>
        <w:pict>
          <v:line style="position:absolute;mso-position-horizontal-relative:page;mso-position-vertical-relative:paragraph;z-index:1408;mso-wrap-distance-left:0;mso-wrap-distance-right:0" from="51pt,19.335644pt" to="195pt,19.335644pt" stroked="true" strokeweight=".481pt" strokecolor="#000000">
            <v:stroke dashstyle="solid"/>
            <w10:wrap type="topAndBottom"/>
          </v:line>
        </w:pict>
      </w:r>
    </w:p>
    <w:p>
      <w:pPr>
        <w:spacing w:line="297" w:lineRule="exact" w:before="22"/>
        <w:ind w:left="220" w:right="0"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7" w:lineRule="exact" w:before="0"/>
        <w:ind w:left="220"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心功能状态分级</w:t>
      </w:r>
      <w:r>
        <w:rPr>
          <w:sz w:val="18"/>
        </w:rPr>
        <w:t>指美国纽约心脏病学会心功能状态的分级标准：</w:t>
      </w:r>
    </w:p>
    <w:p>
      <w:pPr>
        <w:spacing w:before="25"/>
        <w:ind w:left="399" w:right="0" w:firstLine="0"/>
        <w:jc w:val="left"/>
        <w:rPr>
          <w:sz w:val="18"/>
        </w:rPr>
      </w:pPr>
      <w:r>
        <w:rPr>
          <w:sz w:val="18"/>
        </w:rPr>
        <w:t>Ⅰ级：体力活动不受限制，日常活动不引起乏力、心悸、呼吸困难或心绞痛等症状；</w:t>
      </w:r>
    </w:p>
    <w:p>
      <w:pPr>
        <w:spacing w:before="42"/>
        <w:ind w:left="399" w:right="0" w:firstLine="0"/>
        <w:jc w:val="left"/>
        <w:rPr>
          <w:sz w:val="18"/>
        </w:rPr>
      </w:pPr>
      <w:r>
        <w:rPr>
          <w:sz w:val="18"/>
        </w:rPr>
        <w:t>Ⅱ级：体力活动轻度受限，休息时无症状，日常活动即可引起乏力、心悸、呼吸困难或心绞痛等症状；</w:t>
      </w:r>
    </w:p>
    <w:p>
      <w:pPr>
        <w:spacing w:line="285" w:lineRule="auto" w:before="44"/>
        <w:ind w:left="399" w:right="3604"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85" w:lineRule="auto"/>
        <w:jc w:val="left"/>
        <w:rPr>
          <w:sz w:val="18"/>
        </w:rPr>
        <w:sectPr>
          <w:type w:val="continuous"/>
          <w:pgSz w:w="11910" w:h="16840"/>
          <w:pgMar w:top="540" w:bottom="280" w:left="800" w:right="800"/>
        </w:sectPr>
      </w:pPr>
    </w:p>
    <w:p>
      <w:pPr>
        <w:pStyle w:val="Heading2"/>
        <w:numPr>
          <w:ilvl w:val="0"/>
          <w:numId w:val="4"/>
        </w:numPr>
        <w:tabs>
          <w:tab w:pos="855" w:val="left" w:leader="none"/>
          <w:tab w:pos="856" w:val="left" w:leader="none"/>
        </w:tabs>
        <w:spacing w:line="235" w:lineRule="auto" w:before="12" w:after="0"/>
        <w:ind w:left="856" w:right="0" w:hanging="540"/>
        <w:jc w:val="left"/>
        <w:rPr>
          <w:rFonts w:ascii="宋体" w:eastAsia="宋体" w:hint="eastAsia"/>
          <w:sz w:val="21"/>
        </w:rPr>
      </w:pPr>
      <w:r>
        <w:rPr>
          <w:spacing w:val="22"/>
          <w:position w:val="1"/>
        </w:rPr>
        <w:t>严重的原发性心</w:t>
      </w:r>
      <w:r>
        <w:rPr>
          <w:spacing w:val="10"/>
          <w:position w:val="1"/>
        </w:rPr>
        <w:t>ft </w:t>
      </w:r>
      <w:r>
        <w:rPr>
          <w:w w:val="105"/>
        </w:rPr>
        <w:t>病</w:t>
      </w:r>
    </w:p>
    <w:p>
      <w:pPr>
        <w:pStyle w:val="BodyText"/>
        <w:spacing w:line="273" w:lineRule="auto" w:before="42"/>
        <w:ind w:left="154" w:right="155"/>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5"/>
          <w:w w:val="100"/>
        </w:rPr>
        <w:t>态分级的标准判定，心功能状态已达Ⅳ级</w:t>
      </w:r>
      <w:r>
        <w:rPr>
          <w:spacing w:val="-106"/>
          <w:w w:val="100"/>
        </w:rPr>
        <w:t>）</w:t>
      </w:r>
      <w:r>
        <w:rPr>
          <w:spacing w:val="-5"/>
          <w:w w:val="100"/>
        </w:rPr>
        <w:t>，且有相关住院医疗记录显示Ⅳ</w:t>
      </w:r>
      <w:r>
        <w:rPr>
          <w:spacing w:val="-7"/>
        </w:rPr>
        <w:t>级心功能衰竭状态已持续至少 </w:t>
      </w:r>
      <w:r>
        <w:rPr/>
        <w:t>180</w:t>
      </w:r>
      <w:r>
        <w:rPr>
          <w:spacing w:val="-8"/>
        </w:rPr>
        <w:t> 日。本病须经专科医生明确诊断。</w:t>
      </w:r>
    </w:p>
    <w:p>
      <w:pPr>
        <w:pStyle w:val="BodyText"/>
        <w:spacing w:before="8"/>
        <w:ind w:left="154"/>
        <w:jc w:val="both"/>
      </w:pPr>
      <w:r>
        <w:rPr>
          <w:shd w:fill="DADADA" w:color="auto" w:val="clear"/>
        </w:rPr>
        <w:t>继发于全身性疾病或其它器官系统疾病造成的心肌病变不在保障范围内。</w:t>
      </w:r>
    </w:p>
    <w:p>
      <w:pPr>
        <w:spacing w:after="0"/>
        <w:jc w:val="both"/>
        <w:sectPr>
          <w:pgSz w:w="11910" w:h="16840"/>
          <w:pgMar w:top="1060" w:bottom="280" w:left="920" w:right="860"/>
          <w:cols w:num="2" w:equalWidth="0">
            <w:col w:w="2976" w:space="40"/>
            <w:col w:w="7114"/>
          </w:cols>
        </w:sectPr>
      </w:pPr>
    </w:p>
    <w:p>
      <w:pPr>
        <w:pStyle w:val="BodyText"/>
        <w:spacing w:before="4"/>
        <w:rPr>
          <w:sz w:val="20"/>
        </w:rPr>
      </w:pPr>
    </w:p>
    <w:p>
      <w:pPr>
        <w:pStyle w:val="ListParagraph"/>
        <w:numPr>
          <w:ilvl w:val="0"/>
          <w:numId w:val="4"/>
        </w:numPr>
        <w:tabs>
          <w:tab w:pos="856" w:val="left" w:leader="none"/>
          <w:tab w:pos="3169" w:val="left" w:leader="none"/>
        </w:tabs>
        <w:spacing w:line="264" w:lineRule="auto" w:before="21" w:after="0"/>
        <w:ind w:left="3169" w:right="153" w:hanging="2853"/>
        <w:jc w:val="both"/>
        <w:rPr>
          <w:sz w:val="21"/>
        </w:rPr>
      </w:pPr>
      <w:r>
        <w:rPr>
          <w:rFonts w:ascii="等线" w:eastAsia="等线" w:hint="eastAsia"/>
          <w:b/>
          <w:position w:val="1"/>
          <w:sz w:val="24"/>
        </w:rPr>
        <w:t>脑中风后遗症</w:t>
        <w:tab/>
      </w:r>
      <w:r>
        <w:rPr>
          <w:sz w:val="21"/>
        </w:rPr>
        <w:t>指因脑血管的突发病变引起脑血管出血、栓塞或梗塞，并导致神经系统永 久性</w:t>
      </w:r>
      <w:r>
        <w:rPr>
          <w:spacing w:val="-3"/>
          <w:sz w:val="21"/>
        </w:rPr>
        <w:t>的</w:t>
      </w:r>
      <w:r>
        <w:rPr>
          <w:sz w:val="21"/>
        </w:rPr>
        <w:t>功</w:t>
      </w:r>
      <w:r>
        <w:rPr>
          <w:spacing w:val="-3"/>
          <w:sz w:val="21"/>
        </w:rPr>
        <w:t>能</w:t>
      </w:r>
      <w:r>
        <w:rPr>
          <w:sz w:val="21"/>
        </w:rPr>
        <w:t>障</w:t>
      </w:r>
      <w:r>
        <w:rPr>
          <w:spacing w:val="-3"/>
          <w:sz w:val="21"/>
        </w:rPr>
        <w:t>碍</w:t>
      </w:r>
      <w:r>
        <w:rPr>
          <w:sz w:val="21"/>
        </w:rPr>
        <w:t>。</w:t>
      </w:r>
      <w:r>
        <w:rPr>
          <w:spacing w:val="-3"/>
          <w:sz w:val="21"/>
        </w:rPr>
        <w:t>神</w:t>
      </w:r>
      <w:r>
        <w:rPr>
          <w:sz w:val="21"/>
        </w:rPr>
        <w:t>经</w:t>
      </w:r>
      <w:r>
        <w:rPr>
          <w:spacing w:val="-3"/>
          <w:sz w:val="21"/>
        </w:rPr>
        <w:t>系</w:t>
      </w:r>
      <w:r>
        <w:rPr>
          <w:sz w:val="21"/>
        </w:rPr>
        <w:t>统永</w:t>
      </w:r>
      <w:r>
        <w:rPr>
          <w:spacing w:val="-3"/>
          <w:sz w:val="21"/>
        </w:rPr>
        <w:t>久</w:t>
      </w:r>
      <w:r>
        <w:rPr>
          <w:sz w:val="21"/>
        </w:rPr>
        <w:t>性</w:t>
      </w:r>
      <w:r>
        <w:rPr>
          <w:spacing w:val="-3"/>
          <w:sz w:val="21"/>
        </w:rPr>
        <w:t>的</w:t>
      </w:r>
      <w:r>
        <w:rPr>
          <w:sz w:val="21"/>
        </w:rPr>
        <w:t>功</w:t>
      </w:r>
      <w:r>
        <w:rPr>
          <w:spacing w:val="-3"/>
          <w:sz w:val="21"/>
        </w:rPr>
        <w:t>能</w:t>
      </w:r>
      <w:r>
        <w:rPr>
          <w:sz w:val="21"/>
        </w:rPr>
        <w:t>障</w:t>
      </w:r>
      <w:r>
        <w:rPr>
          <w:spacing w:val="-3"/>
          <w:sz w:val="21"/>
        </w:rPr>
        <w:t>碍</w:t>
      </w:r>
      <w:r>
        <w:rPr>
          <w:sz w:val="21"/>
        </w:rPr>
        <w:t>，</w:t>
      </w:r>
      <w:r>
        <w:rPr>
          <w:spacing w:val="-3"/>
          <w:sz w:val="21"/>
        </w:rPr>
        <w:t>指</w:t>
      </w:r>
      <w:r>
        <w:rPr>
          <w:sz w:val="21"/>
        </w:rPr>
        <w:t>疾病</w:t>
      </w:r>
      <w:r>
        <w:rPr>
          <w:spacing w:val="-3"/>
          <w:sz w:val="21"/>
        </w:rPr>
        <w:t>确</w:t>
      </w:r>
      <w:r>
        <w:rPr>
          <w:sz w:val="21"/>
        </w:rPr>
        <w:t>诊 180 日</w:t>
      </w:r>
      <w:r>
        <w:rPr>
          <w:spacing w:val="-3"/>
          <w:sz w:val="21"/>
        </w:rPr>
        <w:t>后</w:t>
      </w:r>
      <w:r>
        <w:rPr>
          <w:sz w:val="21"/>
        </w:rPr>
        <w:t>，仍遗留</w:t>
      </w:r>
      <w:r>
        <w:rPr>
          <w:spacing w:val="-3"/>
          <w:sz w:val="21"/>
        </w:rPr>
        <w:t>下</w:t>
      </w:r>
      <w:r>
        <w:rPr>
          <w:sz w:val="21"/>
        </w:rPr>
        <w:t>列</w:t>
      </w:r>
      <w:r>
        <w:rPr>
          <w:spacing w:val="-3"/>
          <w:sz w:val="21"/>
        </w:rPr>
        <w:t>一</w:t>
      </w:r>
      <w:r>
        <w:rPr>
          <w:sz w:val="21"/>
        </w:rPr>
        <w:t>种</w:t>
      </w:r>
      <w:r>
        <w:rPr>
          <w:spacing w:val="-3"/>
          <w:sz w:val="21"/>
        </w:rPr>
        <w:t>或</w:t>
      </w:r>
      <w:r>
        <w:rPr>
          <w:sz w:val="21"/>
        </w:rPr>
        <w:t>一</w:t>
      </w:r>
      <w:r>
        <w:rPr>
          <w:spacing w:val="-3"/>
          <w:sz w:val="21"/>
        </w:rPr>
        <w:t>种</w:t>
      </w:r>
      <w:r>
        <w:rPr>
          <w:sz w:val="21"/>
        </w:rPr>
        <w:t>以</w:t>
      </w:r>
      <w:r>
        <w:rPr>
          <w:spacing w:val="-3"/>
          <w:sz w:val="21"/>
        </w:rPr>
        <w:t>上</w:t>
      </w:r>
      <w:r>
        <w:rPr>
          <w:sz w:val="21"/>
        </w:rPr>
        <w:t>障碍：</w:t>
      </w:r>
    </w:p>
    <w:p>
      <w:pPr>
        <w:spacing w:before="16"/>
        <w:ind w:left="3169" w:right="0" w:firstLine="0"/>
        <w:jc w:val="left"/>
        <w:rPr>
          <w:sz w:val="21"/>
        </w:rPr>
      </w:pPr>
      <w:r>
        <w:rPr>
          <w:sz w:val="21"/>
        </w:rPr>
        <w:t>（1）一肢或一肢以上</w:t>
      </w:r>
      <w:r>
        <w:rPr>
          <w:rFonts w:ascii="黑体" w:eastAsia="黑体" w:hint="eastAsia"/>
          <w:b/>
          <w:sz w:val="21"/>
        </w:rPr>
        <w:t>肢体机能完全丧失 </w:t>
      </w:r>
      <w:hyperlink w:history="true" w:anchor="_bookmark19">
        <w:r>
          <w:rPr>
            <w:rFonts w:ascii="黑体" w:eastAsia="黑体" w:hint="eastAsia"/>
            <w:b/>
            <w:position w:val="11"/>
            <w:sz w:val="11"/>
          </w:rPr>
          <w:t>20</w:t>
        </w:r>
      </w:hyperlink>
      <w:r>
        <w:rPr>
          <w:sz w:val="21"/>
        </w:rPr>
        <w:t>；</w:t>
      </w:r>
    </w:p>
    <w:p>
      <w:pPr>
        <w:spacing w:before="37"/>
        <w:ind w:left="3169" w:right="0" w:firstLine="0"/>
        <w:jc w:val="left"/>
        <w:rPr>
          <w:sz w:val="21"/>
        </w:rPr>
      </w:pPr>
      <w:r>
        <w:rPr>
          <w:sz w:val="21"/>
        </w:rPr>
        <w:t>（2）</w:t>
      </w:r>
      <w:r>
        <w:rPr>
          <w:rFonts w:ascii="黑体" w:eastAsia="黑体" w:hint="eastAsia"/>
          <w:b/>
          <w:sz w:val="21"/>
        </w:rPr>
        <w:t>语言能力或咀嚼吞咽能力完全丧失 </w:t>
      </w:r>
      <w:hyperlink w:history="true" w:anchor="_bookmark20">
        <w:r>
          <w:rPr>
            <w:rFonts w:ascii="黑体" w:eastAsia="黑体" w:hint="eastAsia"/>
            <w:b/>
            <w:position w:val="11"/>
            <w:sz w:val="11"/>
          </w:rPr>
          <w:t>21</w:t>
        </w:r>
      </w:hyperlink>
      <w:r>
        <w:rPr>
          <w:sz w:val="21"/>
        </w:rPr>
        <w:t>；</w:t>
      </w:r>
    </w:p>
    <w:p>
      <w:pPr>
        <w:spacing w:line="273" w:lineRule="auto" w:before="37"/>
        <w:ind w:left="3695" w:right="96"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21">
        <w:r>
          <w:rPr>
            <w:rFonts w:ascii="黑体" w:eastAsia="黑体" w:hint="eastAsia"/>
            <w:b/>
            <w:position w:val="11"/>
            <w:sz w:val="11"/>
          </w:rPr>
          <w:t>22</w:t>
        </w:r>
      </w:hyperlink>
      <w:r>
        <w:rPr>
          <w:sz w:val="21"/>
        </w:rPr>
        <w:t>中的三项或三项以上。</w:t>
      </w:r>
    </w:p>
    <w:p>
      <w:pPr>
        <w:pStyle w:val="BodyText"/>
        <w:spacing w:before="7"/>
        <w:rPr>
          <w:sz w:val="25"/>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3"/>
        <w:gridCol w:w="2434"/>
        <w:gridCol w:w="6945"/>
      </w:tblGrid>
      <w:tr>
        <w:trPr>
          <w:trHeight w:val="282" w:hRule="atLeast"/>
        </w:trPr>
        <w:tc>
          <w:tcPr>
            <w:tcW w:w="373" w:type="dxa"/>
          </w:tcPr>
          <w:p>
            <w:pPr>
              <w:pStyle w:val="TableParagraph"/>
              <w:spacing w:line="231" w:lineRule="exact"/>
              <w:ind w:left="50"/>
              <w:rPr>
                <w:b/>
                <w:sz w:val="21"/>
              </w:rPr>
            </w:pPr>
            <w:r>
              <w:rPr>
                <w:b/>
                <w:w w:val="99"/>
                <w:sz w:val="21"/>
              </w:rPr>
              <w:t>8</w:t>
            </w:r>
          </w:p>
        </w:tc>
        <w:tc>
          <w:tcPr>
            <w:tcW w:w="2434" w:type="dxa"/>
          </w:tcPr>
          <w:p>
            <w:pPr>
              <w:pStyle w:val="TableParagraph"/>
              <w:spacing w:line="248" w:lineRule="exact"/>
              <w:ind w:left="217"/>
              <w:rPr>
                <w:rFonts w:ascii="等线" w:eastAsia="等线" w:hint="eastAsia"/>
                <w:b/>
                <w:sz w:val="24"/>
              </w:rPr>
            </w:pPr>
            <w:r>
              <w:rPr>
                <w:rFonts w:ascii="等线" w:eastAsia="等线" w:hint="eastAsia"/>
                <w:b/>
                <w:sz w:val="24"/>
              </w:rPr>
              <w:t>冠状动脉搭桥术（或</w:t>
            </w:r>
          </w:p>
        </w:tc>
        <w:tc>
          <w:tcPr>
            <w:tcW w:w="6945" w:type="dxa"/>
          </w:tcPr>
          <w:p>
            <w:pPr>
              <w:pStyle w:val="TableParagraph"/>
              <w:spacing w:line="231" w:lineRule="exact"/>
              <w:ind w:left="96"/>
              <w:rPr>
                <w:sz w:val="21"/>
              </w:rPr>
            </w:pPr>
            <w:r>
              <w:rPr>
                <w:sz w:val="21"/>
              </w:rPr>
              <w:t>指为治疗严重的冠心病，实际实施了开胸进行的冠状动脉血管旁路移植的</w:t>
            </w:r>
          </w:p>
        </w:tc>
      </w:tr>
      <w:tr>
        <w:trPr>
          <w:trHeight w:val="318" w:hRule="atLeast"/>
        </w:trPr>
        <w:tc>
          <w:tcPr>
            <w:tcW w:w="373" w:type="dxa"/>
          </w:tcPr>
          <w:p>
            <w:pPr>
              <w:pStyle w:val="TableParagraph"/>
              <w:ind w:left="0"/>
              <w:rPr>
                <w:rFonts w:ascii="Times New Roman"/>
                <w:sz w:val="20"/>
              </w:rPr>
            </w:pPr>
          </w:p>
        </w:tc>
        <w:tc>
          <w:tcPr>
            <w:tcW w:w="2434" w:type="dxa"/>
          </w:tcPr>
          <w:p>
            <w:pPr>
              <w:pStyle w:val="TableParagraph"/>
              <w:spacing w:line="282" w:lineRule="exact"/>
              <w:ind w:left="217"/>
              <w:rPr>
                <w:rFonts w:ascii="等线" w:eastAsia="等线" w:hint="eastAsia"/>
                <w:b/>
                <w:sz w:val="24"/>
              </w:rPr>
            </w:pPr>
            <w:r>
              <w:rPr>
                <w:rFonts w:ascii="等线" w:eastAsia="等线" w:hint="eastAsia"/>
                <w:b/>
                <w:sz w:val="24"/>
              </w:rPr>
              <w:t>称冠状动脉旁路移</w:t>
            </w:r>
          </w:p>
        </w:tc>
        <w:tc>
          <w:tcPr>
            <w:tcW w:w="6945" w:type="dxa"/>
          </w:tcPr>
          <w:p>
            <w:pPr>
              <w:pStyle w:val="TableParagraph"/>
              <w:spacing w:line="260" w:lineRule="exact"/>
              <w:ind w:left="96"/>
              <w:rPr>
                <w:sz w:val="21"/>
              </w:rPr>
            </w:pPr>
            <w:r>
              <w:rPr>
                <w:sz w:val="21"/>
              </w:rPr>
              <w:t>手术。</w:t>
            </w:r>
          </w:p>
        </w:tc>
      </w:tr>
      <w:tr>
        <w:trPr>
          <w:trHeight w:val="319" w:hRule="atLeast"/>
        </w:trPr>
        <w:tc>
          <w:tcPr>
            <w:tcW w:w="373" w:type="dxa"/>
          </w:tcPr>
          <w:p>
            <w:pPr>
              <w:pStyle w:val="TableParagraph"/>
              <w:ind w:left="0"/>
              <w:rPr>
                <w:rFonts w:ascii="Times New Roman"/>
                <w:sz w:val="20"/>
              </w:rPr>
            </w:pPr>
          </w:p>
        </w:tc>
        <w:tc>
          <w:tcPr>
            <w:tcW w:w="2434" w:type="dxa"/>
          </w:tcPr>
          <w:p>
            <w:pPr>
              <w:pStyle w:val="TableParagraph"/>
              <w:spacing w:line="283" w:lineRule="exact"/>
              <w:ind w:left="217"/>
              <w:rPr>
                <w:rFonts w:ascii="等线" w:eastAsia="等线" w:hint="eastAsia"/>
                <w:b/>
                <w:sz w:val="24"/>
              </w:rPr>
            </w:pPr>
            <w:r>
              <w:rPr>
                <w:rFonts w:ascii="等线" w:eastAsia="等线" w:hint="eastAsia"/>
                <w:b/>
                <w:sz w:val="24"/>
              </w:rPr>
              <w:t>植术）</w:t>
            </w:r>
          </w:p>
        </w:tc>
        <w:tc>
          <w:tcPr>
            <w:tcW w:w="6945" w:type="dxa"/>
          </w:tcPr>
          <w:p>
            <w:pPr>
              <w:pStyle w:val="TableParagraph"/>
              <w:spacing w:line="254" w:lineRule="exact"/>
              <w:ind w:left="96"/>
              <w:rPr>
                <w:sz w:val="21"/>
              </w:rPr>
            </w:pPr>
            <w:r>
              <w:rPr>
                <w:sz w:val="21"/>
                <w:shd w:fill="DADADA" w:color="auto" w:val="clear"/>
              </w:rPr>
              <w:t>冠状动脉支架植入术、心导管球囊扩张术、激光射频技术及其它非开胸的</w:t>
            </w:r>
          </w:p>
        </w:tc>
      </w:tr>
      <w:tr>
        <w:trPr>
          <w:trHeight w:val="246" w:hRule="atLeast"/>
        </w:trPr>
        <w:tc>
          <w:tcPr>
            <w:tcW w:w="373" w:type="dxa"/>
          </w:tcPr>
          <w:p>
            <w:pPr>
              <w:pStyle w:val="TableParagraph"/>
              <w:ind w:left="0"/>
              <w:rPr>
                <w:rFonts w:ascii="Times New Roman"/>
                <w:sz w:val="16"/>
              </w:rPr>
            </w:pPr>
          </w:p>
        </w:tc>
        <w:tc>
          <w:tcPr>
            <w:tcW w:w="2434" w:type="dxa"/>
          </w:tcPr>
          <w:p>
            <w:pPr>
              <w:pStyle w:val="TableParagraph"/>
              <w:ind w:left="0"/>
              <w:rPr>
                <w:rFonts w:ascii="Times New Roman"/>
                <w:sz w:val="16"/>
              </w:rPr>
            </w:pPr>
          </w:p>
        </w:tc>
        <w:tc>
          <w:tcPr>
            <w:tcW w:w="6945" w:type="dxa"/>
          </w:tcPr>
          <w:p>
            <w:pPr>
              <w:pStyle w:val="TableParagraph"/>
              <w:spacing w:line="227" w:lineRule="exact"/>
              <w:ind w:left="96"/>
              <w:rPr>
                <w:sz w:val="21"/>
              </w:rPr>
            </w:pPr>
            <w:r>
              <w:rPr>
                <w:sz w:val="21"/>
                <w:shd w:fill="DADADA" w:color="auto" w:val="clear"/>
              </w:rPr>
              <w:t>介入手术、腔镜手术不在保障范围内。</w:t>
            </w:r>
          </w:p>
        </w:tc>
      </w:tr>
    </w:tbl>
    <w:p>
      <w:pPr>
        <w:pStyle w:val="BodyText"/>
        <w:spacing w:before="9"/>
      </w:pPr>
    </w:p>
    <w:p>
      <w:pPr>
        <w:pStyle w:val="ListParagraph"/>
        <w:numPr>
          <w:ilvl w:val="0"/>
          <w:numId w:val="9"/>
        </w:numPr>
        <w:tabs>
          <w:tab w:pos="856" w:val="left" w:leader="none"/>
          <w:tab w:pos="3169" w:val="left" w:leader="none"/>
        </w:tabs>
        <w:spacing w:line="254" w:lineRule="auto" w:before="0" w:after="0"/>
        <w:ind w:left="3169" w:right="156" w:hanging="2853"/>
        <w:jc w:val="both"/>
        <w:rPr>
          <w:sz w:val="21"/>
        </w:rPr>
      </w:pPr>
      <w:r>
        <w:rPr>
          <w:rFonts w:ascii="等线" w:eastAsia="等线" w:hint="eastAsia"/>
          <w:b/>
          <w:position w:val="1"/>
          <w:sz w:val="24"/>
        </w:rPr>
        <w:t>主动脉手术</w:t>
        <w:tab/>
      </w:r>
      <w:r>
        <w:rPr>
          <w:sz w:val="21"/>
        </w:rPr>
        <w:t>指为治疗主动脉疾病，实际实施了开胸或开腹进行的切除、置换、修补病 损主</w:t>
      </w:r>
      <w:r>
        <w:rPr>
          <w:spacing w:val="-3"/>
          <w:sz w:val="21"/>
        </w:rPr>
        <w:t>动</w:t>
      </w:r>
      <w:r>
        <w:rPr>
          <w:sz w:val="21"/>
        </w:rPr>
        <w:t>脉</w:t>
      </w:r>
      <w:r>
        <w:rPr>
          <w:spacing w:val="-3"/>
          <w:sz w:val="21"/>
        </w:rPr>
        <w:t>血</w:t>
      </w:r>
      <w:r>
        <w:rPr>
          <w:sz w:val="21"/>
        </w:rPr>
        <w:t>管</w:t>
      </w:r>
      <w:r>
        <w:rPr>
          <w:spacing w:val="-3"/>
          <w:sz w:val="21"/>
        </w:rPr>
        <w:t>的</w:t>
      </w:r>
      <w:r>
        <w:rPr>
          <w:sz w:val="21"/>
        </w:rPr>
        <w:t>手</w:t>
      </w:r>
      <w:r>
        <w:rPr>
          <w:spacing w:val="-3"/>
          <w:sz w:val="21"/>
        </w:rPr>
        <w:t>术</w:t>
      </w:r>
      <w:r>
        <w:rPr>
          <w:sz w:val="21"/>
        </w:rPr>
        <w:t>。</w:t>
      </w:r>
    </w:p>
    <w:p>
      <w:pPr>
        <w:pStyle w:val="BodyText"/>
        <w:spacing w:line="273" w:lineRule="auto" w:before="24"/>
        <w:ind w:left="3169" w:right="229"/>
      </w:pPr>
      <w:r>
        <w:rPr>
          <w:spacing w:val="-3"/>
        </w:rPr>
        <w:t>主动脉指胸主动脉和腹主动脉，</w:t>
      </w:r>
      <w:r>
        <w:rPr>
          <w:spacing w:val="-3"/>
          <w:shd w:fill="DADADA" w:color="auto" w:val="clear"/>
        </w:rPr>
        <w:t>不包括胸主动脉和腹主动脉的分支血管。</w:t>
      </w:r>
      <w:r>
        <w:rPr>
          <w:spacing w:val="-210"/>
          <w:shd w:fill="DADADA" w:color="auto" w:val="clear"/>
        </w:rPr>
        <w:t>动</w:t>
      </w:r>
      <w:r>
        <w:rPr>
          <w:spacing w:val="-3"/>
          <w:shd w:fill="DADADA" w:color="auto" w:val="clear"/>
        </w:rPr>
        <w:t>脉内血管成形术不在保障范围内。</w:t>
      </w:r>
    </w:p>
    <w:p>
      <w:pPr>
        <w:pStyle w:val="BodyText"/>
        <w:rPr>
          <w:sz w:val="18"/>
        </w:rPr>
      </w:pPr>
    </w:p>
    <w:p>
      <w:pPr>
        <w:spacing w:after="0"/>
        <w:rPr>
          <w:sz w:val="18"/>
        </w:rPr>
        <w:sectPr>
          <w:type w:val="continuous"/>
          <w:pgSz w:w="11910" w:h="16840"/>
          <w:pgMar w:top="540" w:bottom="280" w:left="920" w:right="860"/>
        </w:sectPr>
      </w:pPr>
    </w:p>
    <w:p>
      <w:pPr>
        <w:pStyle w:val="Heading2"/>
        <w:numPr>
          <w:ilvl w:val="0"/>
          <w:numId w:val="9"/>
        </w:numPr>
        <w:tabs>
          <w:tab w:pos="855" w:val="left" w:leader="none"/>
          <w:tab w:pos="856" w:val="left" w:leader="none"/>
        </w:tabs>
        <w:spacing w:line="232" w:lineRule="auto" w:before="31" w:after="0"/>
        <w:ind w:left="856" w:right="0" w:hanging="593"/>
        <w:jc w:val="left"/>
      </w:pPr>
      <w:r>
        <w:rPr>
          <w:spacing w:val="22"/>
          <w:position w:val="1"/>
        </w:rPr>
        <w:t>严重感染性心内膜</w:t>
      </w:r>
      <w:r>
        <w:rPr/>
        <w:t>炎</w:t>
      </w:r>
    </w:p>
    <w:p>
      <w:pPr>
        <w:pStyle w:val="BodyText"/>
        <w:spacing w:line="256" w:lineRule="auto" w:before="57"/>
        <w:ind w:left="154" w:right="156"/>
      </w:pPr>
      <w:r>
        <w:rPr/>
        <w:br w:type="column"/>
      </w:r>
      <w:r>
        <w:rPr/>
        <w:t>指因感染性微生物造成心脏内膜发炎，经由专科医生确诊，并符合下</w:t>
      </w:r>
      <w:r>
        <w:rPr>
          <w:rFonts w:ascii="Times New Roman" w:eastAsia="Times New Roman"/>
          <w:w w:val="110"/>
        </w:rPr>
        <w:t>列</w:t>
      </w:r>
      <w:r>
        <w:rPr>
          <w:spacing w:val="-60"/>
        </w:rPr>
        <w:t>所</w:t>
      </w:r>
      <w:r>
        <w:rPr>
          <w:spacing w:val="-1"/>
        </w:rPr>
        <w:t>有条件:</w:t>
      </w:r>
    </w:p>
    <w:p>
      <w:pPr>
        <w:pStyle w:val="BodyText"/>
        <w:spacing w:before="22"/>
        <w:ind w:left="154"/>
      </w:pPr>
      <w:r>
        <w:rPr/>
        <w:t>（1）以下方法之一血液培养测试结果为阳性，证实存在感染性微生物：</w:t>
      </w:r>
    </w:p>
    <w:p>
      <w:pPr>
        <w:pStyle w:val="BodyText"/>
        <w:tabs>
          <w:tab w:pos="682" w:val="left" w:leader="none"/>
        </w:tabs>
        <w:spacing w:before="37"/>
        <w:ind w:left="260"/>
      </w:pPr>
      <w:r>
        <w:rPr/>
        <w:t>①</w:t>
        <w:tab/>
      </w:r>
      <w:r>
        <w:rPr>
          <w:spacing w:val="-3"/>
        </w:rPr>
        <w:t>微生物：在赘生物或心脏内脓疡经培养或组织检查证实有微生物；</w:t>
      </w:r>
    </w:p>
    <w:p>
      <w:pPr>
        <w:pStyle w:val="BodyText"/>
        <w:tabs>
          <w:tab w:pos="682" w:val="left" w:leader="none"/>
        </w:tabs>
        <w:spacing w:before="37"/>
        <w:ind w:left="260"/>
      </w:pPr>
      <w:r>
        <w:rPr/>
        <w:t>②</w:t>
        <w:tab/>
      </w:r>
      <w:r>
        <w:rPr>
          <w:spacing w:val="-3"/>
        </w:rPr>
        <w:t>病</w:t>
      </w:r>
      <w:r>
        <w:rPr>
          <w:rFonts w:ascii="Times New Roman" w:hAnsi="Times New Roman" w:eastAsia="Times New Roman"/>
          <w:w w:val="110"/>
        </w:rPr>
        <w:t>理</w:t>
      </w:r>
      <w:r>
        <w:rPr>
          <w:spacing w:val="-3"/>
        </w:rPr>
        <w:t>性病灶：组织检查证实赘生物或心脏内脓疡有活动性心内膜炎；</w:t>
      </w:r>
    </w:p>
    <w:p>
      <w:pPr>
        <w:pStyle w:val="BodyText"/>
        <w:tabs>
          <w:tab w:pos="682" w:val="left" w:leader="none"/>
        </w:tabs>
        <w:spacing w:before="21"/>
        <w:ind w:left="259"/>
      </w:pPr>
      <w:r>
        <w:rPr/>
        <w:t>③</w:t>
        <w:tab/>
      </w:r>
      <w:r>
        <w:rPr>
          <w:spacing w:val="-3"/>
        </w:rPr>
        <w:t>分别两次血液培养证实有微生物，且与心内膜炎符合。</w:t>
      </w:r>
    </w:p>
    <w:p>
      <w:pPr>
        <w:pStyle w:val="BodyText"/>
        <w:spacing w:line="273" w:lineRule="auto" w:before="36"/>
        <w:ind w:left="680" w:right="156" w:hanging="526"/>
      </w:pPr>
      <w:r>
        <w:rPr>
          <w:spacing w:val="-6"/>
        </w:rPr>
        <w:t>（2）</w:t>
      </w:r>
      <w:r>
        <w:rPr>
          <w:spacing w:val="-5"/>
        </w:rPr>
        <w:t>出现明显的心功能衰竭</w:t>
      </w:r>
      <w:r>
        <w:rPr>
          <w:spacing w:val="-3"/>
        </w:rPr>
        <w:t>（指按照美国纽约心脏病学会提出的心功能状态分级的标准判定，心功能状态已达Ⅳ级</w:t>
      </w:r>
      <w:r>
        <w:rPr>
          <w:spacing w:val="-106"/>
        </w:rPr>
        <w:t>）</w:t>
      </w:r>
      <w:r>
        <w:rPr/>
        <w:t>。</w:t>
      </w:r>
    </w:p>
    <w:p>
      <w:pPr>
        <w:spacing w:after="0" w:line="273" w:lineRule="auto"/>
        <w:sectPr>
          <w:type w:val="continuous"/>
          <w:pgSz w:w="11910" w:h="16840"/>
          <w:pgMar w:top="540" w:bottom="280" w:left="920" w:right="860"/>
          <w:cols w:num="2" w:equalWidth="0">
            <w:col w:w="2976" w:space="40"/>
            <w:col w:w="7114"/>
          </w:cols>
        </w:sectPr>
      </w:pPr>
    </w:p>
    <w:p>
      <w:pPr>
        <w:pStyle w:val="BodyText"/>
        <w:rPr>
          <w:sz w:val="20"/>
        </w:rPr>
      </w:pPr>
    </w:p>
    <w:p>
      <w:pPr>
        <w:pStyle w:val="BodyText"/>
        <w:rPr>
          <w:sz w:val="20"/>
        </w:rPr>
      </w:pPr>
    </w:p>
    <w:p>
      <w:pPr>
        <w:pStyle w:val="BodyText"/>
        <w:spacing w:before="3"/>
        <w:rPr>
          <w:sz w:val="10"/>
        </w:rPr>
      </w:pPr>
    </w:p>
    <w:p>
      <w:pPr>
        <w:pStyle w:val="BodyText"/>
        <w:spacing w:line="20" w:lineRule="exact"/>
        <w:ind w:left="95"/>
        <w:rPr>
          <w:sz w:val="2"/>
        </w:rPr>
      </w:pPr>
      <w:r>
        <w:rPr>
          <w:rFonts w:ascii="Times New Roman"/>
          <w:spacing w:val="5"/>
          <w:sz w:val="2"/>
        </w:rPr>
        <w:t> </w:t>
      </w:r>
      <w:r>
        <w:rPr>
          <w:spacing w:val="5"/>
          <w:sz w:val="2"/>
        </w:rPr>
        <w:pict>
          <v:group style="width:144pt;height:.5pt;mso-position-horizontal-relative:char;mso-position-vertical-relative:line" coordorigin="0,0" coordsize="2880,10">
            <v:line style="position:absolute" from="0,5" to="2880,5" stroked="true" strokeweight=".48pt" strokecolor="#000000">
              <v:stroke dashstyle="solid"/>
            </v:line>
          </v:group>
        </w:pict>
      </w:r>
      <w:r>
        <w:rPr>
          <w:spacing w:val="5"/>
          <w:sz w:val="2"/>
        </w:rPr>
      </w:r>
    </w:p>
    <w:p>
      <w:pPr>
        <w:spacing w:line="256" w:lineRule="auto" w:before="44"/>
        <w:ind w:left="280" w:right="155" w:hanging="18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肢体机能完全丧失</w:t>
      </w:r>
      <w:r>
        <w:rPr>
          <w:spacing w:val="-4"/>
          <w:sz w:val="18"/>
        </w:rPr>
        <w:t>指肢体的三大关节中的两大关节僵硬，或不能随意识活动。肢体是指包括肩关节的整个上肢或包括髋关节的整个下肢。</w:t>
      </w:r>
    </w:p>
    <w:p>
      <w:pPr>
        <w:spacing w:line="280" w:lineRule="exact" w:before="19"/>
        <w:ind w:left="279" w:right="155" w:hanging="180"/>
        <w:jc w:val="left"/>
        <w:rPr>
          <w:sz w:val="18"/>
        </w:rPr>
      </w:pPr>
      <w:bookmarkStart w:name="_bookmark20" w:id="21"/>
      <w:bookmarkEnd w:id="21"/>
      <w:r>
        <w:rPr/>
      </w:r>
      <w:r>
        <w:rPr>
          <w:rFonts w:ascii="Microsoft JhengHei" w:eastAsia="Microsoft JhengHei" w:hint="eastAsia"/>
          <w:b/>
          <w:position w:val="9"/>
          <w:sz w:val="9"/>
        </w:rPr>
        <w:t>21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12"/>
        <w:ind w:left="311" w:right="158"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7" w:lineRule="exact" w:before="0"/>
        <w:ind w:left="100" w:right="0" w:firstLine="0"/>
        <w:jc w:val="left"/>
        <w:rPr>
          <w:sz w:val="18"/>
        </w:rPr>
      </w:pPr>
      <w:bookmarkStart w:name="_bookmark21" w:id="22"/>
      <w:bookmarkEnd w:id="22"/>
      <w:r>
        <w:rPr/>
      </w:r>
      <w:r>
        <w:rPr>
          <w:rFonts w:ascii="Microsoft JhengHei" w:eastAsia="Microsoft JhengHei" w:hint="eastAsia"/>
          <w:b/>
          <w:position w:val="9"/>
          <w:sz w:val="9"/>
        </w:rPr>
        <w:t>22 </w:t>
      </w:r>
      <w:r>
        <w:rPr>
          <w:rFonts w:ascii="Microsoft JhengHei" w:eastAsia="Microsoft JhengHei" w:hint="eastAsia"/>
          <w:b/>
          <w:sz w:val="18"/>
        </w:rPr>
        <w:t>六项基本日常生活活动：</w:t>
      </w:r>
      <w:r>
        <w:rPr>
          <w:sz w:val="18"/>
        </w:rPr>
        <w:t>六项基本日常生活活动是指：</w:t>
      </w:r>
    </w:p>
    <w:p>
      <w:pPr>
        <w:spacing w:before="22"/>
        <w:ind w:left="280" w:right="0" w:firstLine="0"/>
        <w:jc w:val="left"/>
        <w:rPr>
          <w:sz w:val="18"/>
        </w:rPr>
      </w:pPr>
      <w:r>
        <w:rPr>
          <w:sz w:val="18"/>
        </w:rPr>
        <w:t>（1）穿衣：自己能够穿衣及脱衣；</w:t>
      </w:r>
    </w:p>
    <w:p>
      <w:pPr>
        <w:spacing w:before="44"/>
        <w:ind w:left="279" w:right="0" w:firstLine="0"/>
        <w:jc w:val="left"/>
        <w:rPr>
          <w:sz w:val="18"/>
        </w:rPr>
      </w:pPr>
      <w:r>
        <w:rPr>
          <w:sz w:val="18"/>
        </w:rPr>
        <w:t>（2）移动：自己从一个房间到另一个房间；</w:t>
      </w:r>
    </w:p>
    <w:p>
      <w:pPr>
        <w:spacing w:before="44"/>
        <w:ind w:left="279" w:right="0" w:firstLine="0"/>
        <w:jc w:val="left"/>
        <w:rPr>
          <w:sz w:val="18"/>
        </w:rPr>
      </w:pPr>
      <w:r>
        <w:rPr>
          <w:sz w:val="18"/>
        </w:rPr>
        <w:t>（3）行动：自己上下床或上下轮椅；</w:t>
      </w:r>
    </w:p>
    <w:p>
      <w:pPr>
        <w:spacing w:before="42"/>
        <w:ind w:left="279" w:right="0" w:firstLine="0"/>
        <w:jc w:val="left"/>
        <w:rPr>
          <w:sz w:val="18"/>
        </w:rPr>
      </w:pPr>
      <w:r>
        <w:rPr>
          <w:sz w:val="18"/>
        </w:rPr>
        <w:t>（4）如厕：自己控制进行大小便；</w:t>
      </w:r>
    </w:p>
    <w:p>
      <w:pPr>
        <w:spacing w:before="45"/>
        <w:ind w:left="279" w:right="0" w:firstLine="0"/>
        <w:jc w:val="left"/>
        <w:rPr>
          <w:sz w:val="18"/>
        </w:rPr>
      </w:pPr>
      <w:r>
        <w:rPr>
          <w:sz w:val="18"/>
        </w:rPr>
        <w:t>（5）进食：自己从已准备好的碗或碟中取食物放入口中；</w:t>
      </w:r>
    </w:p>
    <w:p>
      <w:pPr>
        <w:spacing w:before="45"/>
        <w:ind w:left="279" w:right="0" w:firstLine="0"/>
        <w:jc w:val="left"/>
        <w:rPr>
          <w:sz w:val="18"/>
        </w:rPr>
      </w:pPr>
      <w:r>
        <w:rPr>
          <w:sz w:val="18"/>
        </w:rPr>
        <w:t>（6）洗澡：自己进行淋浴或盆浴。</w:t>
      </w:r>
    </w:p>
    <w:p>
      <w:pPr>
        <w:spacing w:after="0"/>
        <w:jc w:val="left"/>
        <w:rPr>
          <w:sz w:val="18"/>
        </w:rPr>
        <w:sectPr>
          <w:type w:val="continuous"/>
          <w:pgSz w:w="11910" w:h="16840"/>
          <w:pgMar w:top="540" w:bottom="280" w:left="92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204"/>
      </w:tblGrid>
      <w:tr>
        <w:trPr>
          <w:trHeight w:val="1038" w:hRule="atLeast"/>
        </w:trPr>
        <w:tc>
          <w:tcPr>
            <w:tcW w:w="602" w:type="dxa"/>
          </w:tcPr>
          <w:p>
            <w:pPr>
              <w:pStyle w:val="TableParagraph"/>
              <w:spacing w:line="231" w:lineRule="exact"/>
              <w:ind w:left="179" w:right="170"/>
              <w:jc w:val="center"/>
              <w:rPr>
                <w:b/>
                <w:sz w:val="21"/>
              </w:rPr>
            </w:pPr>
            <w:r>
              <w:rPr>
                <w:b/>
                <w:sz w:val="21"/>
              </w:rPr>
              <w:t>11</w:t>
            </w:r>
          </w:p>
        </w:tc>
        <w:tc>
          <w:tcPr>
            <w:tcW w:w="2407" w:type="dxa"/>
          </w:tcPr>
          <w:p>
            <w:pPr>
              <w:pStyle w:val="TableParagraph"/>
              <w:spacing w:line="248" w:lineRule="exact"/>
              <w:ind w:left="190"/>
              <w:rPr>
                <w:rFonts w:ascii="等线" w:eastAsia="等线" w:hint="eastAsia"/>
                <w:b/>
                <w:sz w:val="24"/>
              </w:rPr>
            </w:pPr>
            <w:r>
              <w:rPr>
                <w:rFonts w:ascii="等线" w:eastAsia="等线" w:hint="eastAsia"/>
                <w:b/>
                <w:sz w:val="24"/>
              </w:rPr>
              <w:t>严重肺源性心脏病</w:t>
            </w:r>
          </w:p>
        </w:tc>
        <w:tc>
          <w:tcPr>
            <w:tcW w:w="7204" w:type="dxa"/>
          </w:tcPr>
          <w:p>
            <w:pPr>
              <w:pStyle w:val="TableParagraph"/>
              <w:spacing w:line="231" w:lineRule="exact"/>
              <w:rPr>
                <w:sz w:val="21"/>
              </w:rPr>
            </w:pPr>
            <w:r>
              <w:rPr>
                <w:sz w:val="21"/>
              </w:rPr>
              <w:t>指因慢性肺部疾病导致慢性心功能损害造成永久不可逆性的心功能衰竭。</w:t>
            </w:r>
          </w:p>
          <w:p>
            <w:pPr>
              <w:pStyle w:val="TableParagraph"/>
              <w:spacing w:line="273" w:lineRule="auto" w:before="37"/>
              <w:ind w:right="305"/>
              <w:rPr>
                <w:sz w:val="21"/>
              </w:rPr>
            </w:pPr>
            <w:r>
              <w:rPr>
                <w:sz w:val="21"/>
              </w:rPr>
              <w:t>心功能衰竭程度至少达到美国纽约心脏病学会心功能状态分级Ⅳ级。永久不可逆性的体力活动能力受限，不能从事任何体力活动。</w:t>
            </w:r>
          </w:p>
        </w:tc>
      </w:tr>
      <w:tr>
        <w:trPr>
          <w:trHeight w:val="1844" w:hRule="atLeast"/>
        </w:trPr>
        <w:tc>
          <w:tcPr>
            <w:tcW w:w="602" w:type="dxa"/>
          </w:tcPr>
          <w:p>
            <w:pPr>
              <w:pStyle w:val="TableParagraph"/>
              <w:spacing w:before="139"/>
              <w:ind w:left="179" w:right="170"/>
              <w:jc w:val="center"/>
              <w:rPr>
                <w:b/>
                <w:sz w:val="21"/>
              </w:rPr>
            </w:pPr>
            <w:r>
              <w:rPr>
                <w:b/>
                <w:sz w:val="21"/>
              </w:rPr>
              <w:t>12</w:t>
            </w:r>
          </w:p>
        </w:tc>
        <w:tc>
          <w:tcPr>
            <w:tcW w:w="2407" w:type="dxa"/>
          </w:tcPr>
          <w:p>
            <w:pPr>
              <w:pStyle w:val="TableParagraph"/>
              <w:spacing w:before="103"/>
              <w:ind w:left="190"/>
              <w:rPr>
                <w:rFonts w:ascii="等线" w:eastAsia="等线" w:hint="eastAsia"/>
                <w:b/>
                <w:sz w:val="24"/>
              </w:rPr>
            </w:pPr>
            <w:r>
              <w:rPr>
                <w:rFonts w:ascii="等线" w:eastAsia="等线" w:hint="eastAsia"/>
                <w:b/>
                <w:sz w:val="24"/>
              </w:rPr>
              <w:t>艾森门格综合征</w:t>
            </w:r>
          </w:p>
        </w:tc>
        <w:tc>
          <w:tcPr>
            <w:tcW w:w="7204" w:type="dxa"/>
          </w:tcPr>
          <w:p>
            <w:pPr>
              <w:pStyle w:val="TableParagraph"/>
              <w:spacing w:line="273" w:lineRule="auto" w:before="139"/>
              <w:ind w:right="306"/>
              <w:rPr>
                <w:sz w:val="21"/>
              </w:rPr>
            </w:pPr>
            <w:r>
              <w:rPr>
                <w:sz w:val="21"/>
              </w:rPr>
              <w:t>指因心脏病导致的严重肺动脉高血压及右向左分流。诊断必须由专科医生经超声心动图和心导管检查证实及需符合以下所有标准:</w:t>
            </w:r>
          </w:p>
          <w:p>
            <w:pPr>
              <w:pStyle w:val="TableParagraph"/>
              <w:spacing w:before="7"/>
              <w:rPr>
                <w:sz w:val="21"/>
              </w:rPr>
            </w:pPr>
            <w:r>
              <w:rPr>
                <w:sz w:val="21"/>
              </w:rPr>
              <w:t>（1）平均肺动脉压高于 40mmHg；</w:t>
            </w:r>
          </w:p>
          <w:p>
            <w:pPr>
              <w:pStyle w:val="TableParagraph"/>
              <w:spacing w:before="37"/>
              <w:rPr>
                <w:sz w:val="21"/>
              </w:rPr>
            </w:pPr>
            <w:r>
              <w:rPr>
                <w:w w:val="100"/>
                <w:sz w:val="21"/>
              </w:rPr>
              <w:t>（2</w:t>
            </w:r>
            <w:r>
              <w:rPr>
                <w:spacing w:val="-3"/>
                <w:w w:val="100"/>
                <w:sz w:val="21"/>
              </w:rPr>
              <w:t>）肺血管阻力高于</w:t>
            </w:r>
            <w:r>
              <w:rPr>
                <w:spacing w:val="-53"/>
                <w:sz w:val="21"/>
              </w:rPr>
              <w:t> </w:t>
            </w:r>
            <w:r>
              <w:rPr>
                <w:w w:val="100"/>
                <w:sz w:val="21"/>
              </w:rPr>
              <w:t>3</w:t>
            </w:r>
            <w:r>
              <w:rPr>
                <w:spacing w:val="-3"/>
                <w:w w:val="100"/>
                <w:sz w:val="21"/>
              </w:rPr>
              <w:t>mm</w:t>
            </w:r>
            <w:r>
              <w:rPr>
                <w:w w:val="100"/>
                <w:sz w:val="21"/>
              </w:rPr>
              <w:t>/L/mi</w:t>
            </w:r>
            <w:r>
              <w:rPr>
                <w:spacing w:val="-3"/>
                <w:w w:val="100"/>
                <w:sz w:val="21"/>
              </w:rPr>
              <w:t>n</w:t>
            </w:r>
            <w:r>
              <w:rPr>
                <w:w w:val="100"/>
                <w:sz w:val="21"/>
              </w:rPr>
              <w:t>（W</w:t>
            </w:r>
            <w:r>
              <w:rPr>
                <w:spacing w:val="-3"/>
                <w:w w:val="100"/>
                <w:sz w:val="21"/>
              </w:rPr>
              <w:t>o</w:t>
            </w:r>
            <w:r>
              <w:rPr>
                <w:w w:val="100"/>
                <w:sz w:val="21"/>
              </w:rPr>
              <w:t>od</w:t>
            </w:r>
            <w:r>
              <w:rPr>
                <w:spacing w:val="-55"/>
                <w:sz w:val="21"/>
              </w:rPr>
              <w:t> </w:t>
            </w:r>
            <w:r>
              <w:rPr>
                <w:w w:val="100"/>
                <w:sz w:val="21"/>
              </w:rPr>
              <w:t>单位</w:t>
            </w:r>
            <w:r>
              <w:rPr>
                <w:spacing w:val="-109"/>
                <w:w w:val="100"/>
                <w:sz w:val="21"/>
              </w:rPr>
              <w:t>）</w:t>
            </w:r>
            <w:r>
              <w:rPr>
                <w:w w:val="100"/>
                <w:sz w:val="21"/>
              </w:rPr>
              <w:t>；</w:t>
            </w:r>
          </w:p>
          <w:p>
            <w:pPr>
              <w:pStyle w:val="TableParagraph"/>
              <w:spacing w:before="37"/>
              <w:rPr>
                <w:sz w:val="21"/>
              </w:rPr>
            </w:pPr>
            <w:r>
              <w:rPr>
                <w:sz w:val="21"/>
              </w:rPr>
              <w:t>（3）正常肺微血管楔压低于 15mmHg。</w:t>
            </w:r>
          </w:p>
        </w:tc>
      </w:tr>
      <w:tr>
        <w:trPr>
          <w:trHeight w:val="2155" w:hRule="atLeast"/>
        </w:trPr>
        <w:tc>
          <w:tcPr>
            <w:tcW w:w="602" w:type="dxa"/>
          </w:tcPr>
          <w:p>
            <w:pPr>
              <w:pStyle w:val="TableParagraph"/>
              <w:spacing w:before="138"/>
              <w:ind w:left="179" w:right="170"/>
              <w:jc w:val="center"/>
              <w:rPr>
                <w:b/>
                <w:sz w:val="21"/>
              </w:rPr>
            </w:pPr>
            <w:r>
              <w:rPr>
                <w:b/>
                <w:sz w:val="21"/>
              </w:rPr>
              <w:t>13</w:t>
            </w:r>
          </w:p>
        </w:tc>
        <w:tc>
          <w:tcPr>
            <w:tcW w:w="2407" w:type="dxa"/>
          </w:tcPr>
          <w:p>
            <w:pPr>
              <w:pStyle w:val="TableParagraph"/>
              <w:spacing w:line="232" w:lineRule="auto" w:before="112"/>
              <w:ind w:left="190" w:right="96"/>
              <w:rPr>
                <w:rFonts w:ascii="等线" w:hAnsi="等线" w:eastAsia="等线" w:hint="eastAsia"/>
                <w:b/>
                <w:sz w:val="24"/>
              </w:rPr>
            </w:pPr>
            <w:r>
              <w:rPr>
                <w:rFonts w:ascii="等线" w:hAnsi="等线" w:eastAsia="等线" w:hint="eastAsia"/>
                <w:b/>
                <w:sz w:val="24"/>
              </w:rPr>
              <w:t>严重的Ⅲ度房室传导阻滞</w:t>
            </w:r>
          </w:p>
        </w:tc>
        <w:tc>
          <w:tcPr>
            <w:tcW w:w="7204" w:type="dxa"/>
          </w:tcPr>
          <w:p>
            <w:pPr>
              <w:pStyle w:val="TableParagraph"/>
              <w:spacing w:line="273" w:lineRule="auto" w:before="138"/>
              <w:ind w:right="306"/>
              <w:rPr>
                <w:sz w:val="21"/>
              </w:rPr>
            </w:pPr>
            <w:r>
              <w:rPr>
                <w:sz w:val="21"/>
              </w:rPr>
              <w:t>指心房激动在房室交界区、房室束及其分支内发生阻滞，不能正常地传到心室的心脏传导性疾病须满足下列所有条件：</w:t>
            </w:r>
          </w:p>
          <w:p>
            <w:pPr>
              <w:pStyle w:val="TableParagraph"/>
              <w:spacing w:before="7"/>
              <w:rPr>
                <w:sz w:val="21"/>
              </w:rPr>
            </w:pPr>
            <w:r>
              <w:rPr>
                <w:sz w:val="21"/>
              </w:rPr>
              <w:t>（1）心电图显示房室搏动彼此独立，心室率&lt;50 次/分钟；</w:t>
            </w:r>
          </w:p>
          <w:p>
            <w:pPr>
              <w:pStyle w:val="TableParagraph"/>
              <w:spacing w:before="36"/>
              <w:rPr>
                <w:sz w:val="21"/>
              </w:rPr>
            </w:pPr>
            <w:r>
              <w:rPr>
                <w:sz w:val="21"/>
              </w:rPr>
              <w:t>（2）出现阿-斯综合征或心力衰竭的表现；</w:t>
            </w:r>
          </w:p>
          <w:p>
            <w:pPr>
              <w:pStyle w:val="TableParagraph"/>
              <w:spacing w:line="273" w:lineRule="auto" w:before="36"/>
              <w:ind w:left="623" w:right="253" w:hanging="526"/>
              <w:rPr>
                <w:sz w:val="21"/>
              </w:rPr>
            </w:pPr>
            <w:r>
              <w:rPr>
                <w:sz w:val="21"/>
              </w:rPr>
              <w:t>（3）必须持续性依赖心脏起搏器维持心脏正常功能，且已经放置心脏起搏器。</w:t>
            </w:r>
          </w:p>
        </w:tc>
      </w:tr>
      <w:tr>
        <w:trPr>
          <w:trHeight w:val="2780" w:hRule="atLeast"/>
        </w:trPr>
        <w:tc>
          <w:tcPr>
            <w:tcW w:w="602" w:type="dxa"/>
          </w:tcPr>
          <w:p>
            <w:pPr>
              <w:pStyle w:val="TableParagraph"/>
              <w:spacing w:before="138"/>
              <w:ind w:left="179" w:right="170"/>
              <w:jc w:val="center"/>
              <w:rPr>
                <w:b/>
                <w:sz w:val="21"/>
              </w:rPr>
            </w:pPr>
            <w:r>
              <w:rPr>
                <w:b/>
                <w:sz w:val="21"/>
              </w:rPr>
              <w:t>14</w:t>
            </w:r>
          </w:p>
        </w:tc>
        <w:tc>
          <w:tcPr>
            <w:tcW w:w="2407" w:type="dxa"/>
          </w:tcPr>
          <w:p>
            <w:pPr>
              <w:pStyle w:val="TableParagraph"/>
              <w:spacing w:before="102"/>
              <w:ind w:left="190"/>
              <w:rPr>
                <w:rFonts w:ascii="等线" w:eastAsia="等线" w:hint="eastAsia"/>
                <w:b/>
                <w:sz w:val="24"/>
              </w:rPr>
            </w:pPr>
            <w:r>
              <w:rPr>
                <w:rFonts w:ascii="等线" w:eastAsia="等线" w:hint="eastAsia"/>
                <w:b/>
                <w:sz w:val="24"/>
              </w:rPr>
              <w:t>严重冠心病</w:t>
            </w:r>
          </w:p>
        </w:tc>
        <w:tc>
          <w:tcPr>
            <w:tcW w:w="7204" w:type="dxa"/>
          </w:tcPr>
          <w:p>
            <w:pPr>
              <w:pStyle w:val="TableParagraph"/>
              <w:spacing w:line="273" w:lineRule="auto" w:before="138"/>
              <w:ind w:right="306"/>
              <w:rPr>
                <w:sz w:val="21"/>
              </w:rPr>
            </w:pPr>
            <w:r>
              <w:rPr>
                <w:sz w:val="21"/>
              </w:rPr>
              <w:t>指经冠状动脉造影检查明确诊断为主要血管严重狭窄性病变，须满足下列至少一项条件：</w:t>
            </w:r>
          </w:p>
          <w:p>
            <w:pPr>
              <w:pStyle w:val="TableParagraph"/>
              <w:spacing w:line="273" w:lineRule="auto" w:before="7"/>
              <w:ind w:left="623" w:right="253" w:hanging="526"/>
              <w:rPr>
                <w:sz w:val="21"/>
              </w:rPr>
            </w:pPr>
            <w:r>
              <w:rPr>
                <w:sz w:val="21"/>
              </w:rPr>
              <w:t>（1）左冠状动脉主干和右冠状动脉中，一支血管管腔堵塞 75%以上，另一支血管管腔堵塞 60%以上；</w:t>
            </w:r>
          </w:p>
          <w:p>
            <w:pPr>
              <w:pStyle w:val="TableParagraph"/>
              <w:spacing w:line="273" w:lineRule="auto" w:before="7"/>
              <w:ind w:left="623" w:right="199" w:hanging="526"/>
              <w:rPr>
                <w:sz w:val="21"/>
              </w:rPr>
            </w:pPr>
            <w:r>
              <w:rPr>
                <w:spacing w:val="-10"/>
                <w:sz w:val="21"/>
              </w:rPr>
              <w:t>（2）左前降支、左旋支和右冠状动脉中，至少一支血管管腔堵塞 </w:t>
            </w:r>
            <w:r>
              <w:rPr>
                <w:sz w:val="21"/>
              </w:rPr>
              <w:t>75</w:t>
            </w:r>
            <w:r>
              <w:rPr>
                <w:spacing w:val="-2"/>
                <w:sz w:val="21"/>
              </w:rPr>
              <w:t>%以上， </w:t>
            </w:r>
            <w:r>
              <w:rPr>
                <w:spacing w:val="-6"/>
                <w:sz w:val="21"/>
              </w:rPr>
              <w:t>其他两支血管管腔堵塞 </w:t>
            </w:r>
            <w:r>
              <w:rPr>
                <w:spacing w:val="-3"/>
                <w:sz w:val="21"/>
              </w:rPr>
              <w:t>60%以上。</w:t>
            </w:r>
          </w:p>
          <w:p>
            <w:pPr>
              <w:pStyle w:val="TableParagraph"/>
              <w:spacing w:line="273" w:lineRule="auto" w:before="7"/>
              <w:ind w:right="306"/>
              <w:rPr>
                <w:sz w:val="21"/>
              </w:rPr>
            </w:pPr>
            <w:r>
              <w:rPr>
                <w:sz w:val="21"/>
                <w:shd w:fill="DADADA" w:color="auto" w:val="clear"/>
              </w:rPr>
              <w:t>左前降支的分支血管、左旋支的分支血管及右冠状动脉的分支血管的狭窄不作为本保障的衡量指标。</w:t>
            </w:r>
          </w:p>
        </w:tc>
      </w:tr>
      <w:tr>
        <w:trPr>
          <w:trHeight w:val="1542" w:hRule="atLeast"/>
        </w:trPr>
        <w:tc>
          <w:tcPr>
            <w:tcW w:w="602" w:type="dxa"/>
          </w:tcPr>
          <w:p>
            <w:pPr>
              <w:pStyle w:val="TableParagraph"/>
              <w:spacing w:before="139"/>
              <w:ind w:left="179" w:right="170"/>
              <w:jc w:val="center"/>
              <w:rPr>
                <w:b/>
                <w:sz w:val="21"/>
              </w:rPr>
            </w:pPr>
            <w:r>
              <w:rPr>
                <w:b/>
                <w:sz w:val="21"/>
              </w:rPr>
              <w:t>15</w:t>
            </w:r>
          </w:p>
        </w:tc>
        <w:tc>
          <w:tcPr>
            <w:tcW w:w="2407" w:type="dxa"/>
          </w:tcPr>
          <w:p>
            <w:pPr>
              <w:pStyle w:val="TableParagraph"/>
              <w:spacing w:line="232" w:lineRule="auto" w:before="113"/>
              <w:ind w:left="190" w:right="96"/>
              <w:rPr>
                <w:rFonts w:ascii="等线" w:eastAsia="等线" w:hint="eastAsia"/>
                <w:b/>
                <w:sz w:val="24"/>
              </w:rPr>
            </w:pPr>
            <w:r>
              <w:rPr>
                <w:rFonts w:ascii="等线" w:eastAsia="等线" w:hint="eastAsia"/>
                <w:b/>
                <w:sz w:val="24"/>
              </w:rPr>
              <w:t>风湿热导致的心脏瓣膜疾病</w:t>
            </w:r>
          </w:p>
        </w:tc>
        <w:tc>
          <w:tcPr>
            <w:tcW w:w="7204" w:type="dxa"/>
          </w:tcPr>
          <w:p>
            <w:pPr>
              <w:pStyle w:val="TableParagraph"/>
              <w:spacing w:line="273" w:lineRule="auto" w:before="139"/>
              <w:ind w:right="302"/>
              <w:jc w:val="both"/>
              <w:rPr>
                <w:sz w:val="21"/>
              </w:rPr>
            </w:pPr>
            <w:r>
              <w:rPr>
                <w:spacing w:val="-3"/>
                <w:sz w:val="21"/>
              </w:rPr>
              <w:t>指经由专科医生根据已修订的 </w:t>
            </w:r>
            <w:r>
              <w:rPr>
                <w:sz w:val="21"/>
              </w:rPr>
              <w:t>Jones</w:t>
            </w:r>
            <w:r>
              <w:rPr>
                <w:spacing w:val="-3"/>
                <w:sz w:val="21"/>
              </w:rPr>
              <w:t> 标准诊断证实罹患急性风湿热。且因风湿热所导致一个或以上最少轻度心脏瓣膜关闭不全（</w:t>
            </w:r>
            <w:r>
              <w:rPr>
                <w:spacing w:val="5"/>
                <w:sz w:val="21"/>
              </w:rPr>
              <w:t>即返流部份达 </w:t>
            </w:r>
            <w:r>
              <w:rPr>
                <w:sz w:val="21"/>
              </w:rPr>
              <w:t>20% </w:t>
            </w:r>
            <w:r>
              <w:rPr>
                <w:spacing w:val="-1"/>
                <w:sz w:val="21"/>
              </w:rPr>
              <w:t>或以上</w:t>
            </w:r>
            <w:r>
              <w:rPr>
                <w:sz w:val="21"/>
              </w:rPr>
              <w:t>）</w:t>
            </w:r>
            <w:r>
              <w:rPr>
                <w:spacing w:val="-3"/>
                <w:sz w:val="21"/>
              </w:rPr>
              <w:t>或狭窄的心瓣损伤</w:t>
            </w:r>
            <w:r>
              <w:rPr>
                <w:sz w:val="21"/>
              </w:rPr>
              <w:t>（</w:t>
            </w:r>
            <w:r>
              <w:rPr>
                <w:spacing w:val="-3"/>
                <w:sz w:val="21"/>
              </w:rPr>
              <w:t>即心脏瓣面积为正常值的 </w:t>
            </w:r>
            <w:r>
              <w:rPr>
                <w:sz w:val="21"/>
              </w:rPr>
              <w:t>30</w:t>
            </w:r>
            <w:r>
              <w:rPr>
                <w:spacing w:val="-1"/>
                <w:sz w:val="21"/>
              </w:rPr>
              <w:t>%或以下</w:t>
            </w:r>
            <w:r>
              <w:rPr>
                <w:spacing w:val="-106"/>
                <w:sz w:val="21"/>
              </w:rPr>
              <w:t>）</w:t>
            </w:r>
            <w:r>
              <w:rPr>
                <w:spacing w:val="-2"/>
                <w:sz w:val="21"/>
              </w:rPr>
              <w:t>。有关</w:t>
            </w:r>
            <w:r>
              <w:rPr>
                <w:spacing w:val="-3"/>
                <w:sz w:val="21"/>
              </w:rPr>
              <w:t>诊断须由专科医生根据心瓣功能的定量检查证实。</w:t>
            </w:r>
          </w:p>
        </w:tc>
      </w:tr>
      <w:tr>
        <w:trPr>
          <w:trHeight w:val="570" w:hRule="atLeast"/>
        </w:trPr>
        <w:tc>
          <w:tcPr>
            <w:tcW w:w="602" w:type="dxa"/>
          </w:tcPr>
          <w:p>
            <w:pPr>
              <w:pStyle w:val="TableParagraph"/>
              <w:ind w:left="0"/>
              <w:rPr>
                <w:rFonts w:ascii="Times New Roman"/>
                <w:sz w:val="20"/>
              </w:rPr>
            </w:pPr>
          </w:p>
        </w:tc>
        <w:tc>
          <w:tcPr>
            <w:tcW w:w="2407" w:type="dxa"/>
          </w:tcPr>
          <w:p>
            <w:pPr>
              <w:pStyle w:val="TableParagraph"/>
              <w:spacing w:before="128"/>
              <w:ind w:left="190"/>
              <w:rPr>
                <w:b/>
                <w:sz w:val="21"/>
              </w:rPr>
            </w:pPr>
            <w:r>
              <w:rPr>
                <w:b/>
                <w:sz w:val="21"/>
              </w:rPr>
              <w:t>第 3 类：</w:t>
            </w:r>
          </w:p>
        </w:tc>
        <w:tc>
          <w:tcPr>
            <w:tcW w:w="7204" w:type="dxa"/>
          </w:tcPr>
          <w:p>
            <w:pPr>
              <w:pStyle w:val="TableParagraph"/>
              <w:spacing w:before="128"/>
              <w:rPr>
                <w:b/>
                <w:sz w:val="21"/>
              </w:rPr>
            </w:pPr>
            <w:r>
              <w:rPr>
                <w:b/>
                <w:sz w:val="21"/>
              </w:rPr>
              <w:t>与器官功能严重受损相关的疾病</w:t>
            </w:r>
          </w:p>
        </w:tc>
      </w:tr>
      <w:tr>
        <w:trPr>
          <w:trHeight w:val="2454" w:hRule="atLeast"/>
        </w:trPr>
        <w:tc>
          <w:tcPr>
            <w:tcW w:w="602" w:type="dxa"/>
          </w:tcPr>
          <w:p>
            <w:pPr>
              <w:pStyle w:val="TableParagraph"/>
              <w:spacing w:before="124"/>
              <w:ind w:left="179" w:right="170"/>
              <w:jc w:val="center"/>
              <w:rPr>
                <w:b/>
                <w:sz w:val="21"/>
              </w:rPr>
            </w:pPr>
            <w:r>
              <w:rPr>
                <w:b/>
                <w:sz w:val="21"/>
              </w:rPr>
              <w:t>16</w:t>
            </w:r>
          </w:p>
        </w:tc>
        <w:tc>
          <w:tcPr>
            <w:tcW w:w="2407" w:type="dxa"/>
          </w:tcPr>
          <w:p>
            <w:pPr>
              <w:pStyle w:val="TableParagraph"/>
              <w:spacing w:line="235" w:lineRule="auto" w:before="94"/>
              <w:ind w:left="190" w:right="96"/>
              <w:rPr>
                <w:rFonts w:ascii="等线" w:eastAsia="等线" w:hint="eastAsia"/>
                <w:b/>
                <w:sz w:val="24"/>
              </w:rPr>
            </w:pPr>
            <w:r>
              <w:rPr>
                <w:rFonts w:ascii="等线" w:eastAsia="等线" w:hint="eastAsia"/>
                <w:b/>
                <w:sz w:val="24"/>
              </w:rPr>
              <w:t>重型再生障碍性贫血</w:t>
            </w:r>
          </w:p>
        </w:tc>
        <w:tc>
          <w:tcPr>
            <w:tcW w:w="7204" w:type="dxa"/>
          </w:tcPr>
          <w:p>
            <w:pPr>
              <w:pStyle w:val="TableParagraph"/>
              <w:spacing w:line="273" w:lineRule="auto" w:before="124"/>
              <w:ind w:right="306"/>
              <w:rPr>
                <w:sz w:val="21"/>
              </w:rPr>
            </w:pPr>
            <w:r>
              <w:rPr>
                <w:sz w:val="21"/>
              </w:rPr>
              <w:t>指因骨髓造血功能慢性持续性衰竭导致的贫血、中性粒细胞减少及血小板减少。须满足下列全部条件：</w:t>
            </w:r>
          </w:p>
          <w:p>
            <w:pPr>
              <w:pStyle w:val="TableParagraph"/>
              <w:spacing w:before="8"/>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tabs>
                <w:tab w:pos="625" w:val="left" w:leader="none"/>
              </w:tabs>
              <w:spacing w:before="37"/>
              <w:ind w:left="202"/>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625" w:val="left" w:leader="none"/>
              </w:tabs>
              <w:spacing w:before="37"/>
              <w:ind w:left="203"/>
              <w:rPr>
                <w:sz w:val="21"/>
              </w:rPr>
            </w:pPr>
            <w:r>
              <w:rPr>
                <w:sz w:val="21"/>
              </w:rPr>
              <w:t>②</w:t>
              <w:tab/>
            </w:r>
            <w:r>
              <w:rPr>
                <w:spacing w:val="-3"/>
                <w:sz w:val="21"/>
              </w:rPr>
              <w:t>网织红细胞＜</w:t>
            </w:r>
            <w:r>
              <w:rPr>
                <w:spacing w:val="-1"/>
                <w:sz w:val="21"/>
              </w:rPr>
              <w:t>1%；</w:t>
            </w:r>
          </w:p>
          <w:p>
            <w:pPr>
              <w:pStyle w:val="TableParagraph"/>
              <w:tabs>
                <w:tab w:pos="625" w:val="left" w:leader="none"/>
              </w:tabs>
              <w:spacing w:before="37"/>
              <w:ind w:left="203"/>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662" w:hRule="atLeast"/>
        </w:trPr>
        <w:tc>
          <w:tcPr>
            <w:tcW w:w="602" w:type="dxa"/>
          </w:tcPr>
          <w:p>
            <w:pPr>
              <w:pStyle w:val="TableParagraph"/>
              <w:spacing w:before="139"/>
              <w:ind w:left="179" w:right="170"/>
              <w:jc w:val="center"/>
              <w:rPr>
                <w:b/>
                <w:sz w:val="21"/>
              </w:rPr>
            </w:pPr>
            <w:r>
              <w:rPr>
                <w:b/>
                <w:sz w:val="21"/>
              </w:rPr>
              <w:t>17</w:t>
            </w:r>
          </w:p>
        </w:tc>
        <w:tc>
          <w:tcPr>
            <w:tcW w:w="2407" w:type="dxa"/>
          </w:tcPr>
          <w:p>
            <w:pPr>
              <w:pStyle w:val="TableParagraph"/>
              <w:spacing w:line="232" w:lineRule="auto" w:before="113"/>
              <w:ind w:left="190" w:right="96"/>
              <w:rPr>
                <w:rFonts w:ascii="等线" w:eastAsia="等线" w:hint="eastAsia"/>
                <w:b/>
                <w:sz w:val="24"/>
              </w:rPr>
            </w:pPr>
            <w:r>
              <w:rPr>
                <w:rFonts w:ascii="等线" w:eastAsia="等线" w:hint="eastAsia"/>
                <w:b/>
                <w:sz w:val="24"/>
              </w:rPr>
              <w:t>重大器官移植术或造血干细胞移植术</w:t>
            </w:r>
          </w:p>
        </w:tc>
        <w:tc>
          <w:tcPr>
            <w:tcW w:w="7204" w:type="dxa"/>
          </w:tcPr>
          <w:p>
            <w:pPr>
              <w:pStyle w:val="TableParagraph"/>
              <w:spacing w:line="273" w:lineRule="auto" w:before="139"/>
              <w:ind w:right="306"/>
              <w:rPr>
                <w:sz w:val="21"/>
              </w:rPr>
            </w:pPr>
            <w:r>
              <w:rPr>
                <w:sz w:val="21"/>
              </w:rPr>
              <w:t>重大器官移植术，指因相应器官功能衰竭，已经实施了肾脏、肝脏、心脏或肺脏的异体移植手术。</w:t>
            </w:r>
          </w:p>
          <w:p>
            <w:pPr>
              <w:pStyle w:val="TableParagraph"/>
              <w:spacing w:line="312" w:lineRule="exact" w:before="3"/>
              <w:ind w:right="197"/>
              <w:rPr>
                <w:sz w:val="21"/>
              </w:rPr>
            </w:pPr>
            <w:r>
              <w:rPr>
                <w:sz w:val="21"/>
              </w:rPr>
              <w:t>造血干细胞移植术，指因造血功能损害或造血系统恶性肿瘤，已经实施了</w:t>
            </w:r>
            <w:r>
              <w:rPr>
                <w:spacing w:val="-5"/>
                <w:sz w:val="21"/>
              </w:rPr>
              <w:t>造血干细胞</w:t>
            </w:r>
            <w:r>
              <w:rPr>
                <w:sz w:val="21"/>
              </w:rPr>
              <w:t>（</w:t>
            </w:r>
            <w:r>
              <w:rPr>
                <w:spacing w:val="-5"/>
                <w:sz w:val="21"/>
              </w:rPr>
              <w:t>包括骨髓造血干细胞、外周血造血干细胞和脐血造血干细胞</w:t>
            </w:r>
            <w:r>
              <w:rPr>
                <w:sz w:val="21"/>
              </w:rPr>
              <w:t>） </w:t>
            </w:r>
            <w:r>
              <w:rPr>
                <w:spacing w:val="-3"/>
                <w:sz w:val="21"/>
              </w:rPr>
              <w:t>的异体移植手术。</w:t>
            </w:r>
          </w:p>
        </w:tc>
      </w:tr>
    </w:tbl>
    <w:p>
      <w:pPr>
        <w:spacing w:after="0" w:line="312" w:lineRule="exact"/>
        <w:rPr>
          <w:sz w:val="21"/>
        </w:rPr>
        <w:sectPr>
          <w:pgSz w:w="11910" w:h="16840"/>
          <w:pgMar w:top="1140" w:bottom="280" w:left="8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198"/>
      </w:tblGrid>
      <w:tr>
        <w:trPr>
          <w:trHeight w:val="1038" w:hRule="atLeast"/>
        </w:trPr>
        <w:tc>
          <w:tcPr>
            <w:tcW w:w="602" w:type="dxa"/>
          </w:tcPr>
          <w:p>
            <w:pPr>
              <w:pStyle w:val="TableParagraph"/>
              <w:spacing w:line="231" w:lineRule="exact"/>
              <w:ind w:left="179" w:right="170"/>
              <w:jc w:val="center"/>
              <w:rPr>
                <w:b/>
                <w:sz w:val="21"/>
              </w:rPr>
            </w:pPr>
            <w:r>
              <w:rPr>
                <w:b/>
                <w:sz w:val="21"/>
              </w:rPr>
              <w:t>18</w:t>
            </w:r>
          </w:p>
        </w:tc>
        <w:tc>
          <w:tcPr>
            <w:tcW w:w="2407" w:type="dxa"/>
          </w:tcPr>
          <w:p>
            <w:pPr>
              <w:pStyle w:val="TableParagraph"/>
              <w:spacing w:line="248" w:lineRule="exact"/>
              <w:ind w:left="190"/>
              <w:rPr>
                <w:rFonts w:ascii="等线" w:eastAsia="等线" w:hint="eastAsia"/>
                <w:b/>
                <w:sz w:val="24"/>
              </w:rPr>
            </w:pPr>
            <w:r>
              <w:rPr>
                <w:rFonts w:ascii="等线" w:eastAsia="等线" w:hint="eastAsia"/>
                <w:b/>
                <w:sz w:val="24"/>
              </w:rPr>
              <w:t>双耳失聪</w:t>
            </w:r>
          </w:p>
        </w:tc>
        <w:tc>
          <w:tcPr>
            <w:tcW w:w="7198" w:type="dxa"/>
          </w:tcPr>
          <w:p>
            <w:pPr>
              <w:pStyle w:val="TableParagraph"/>
              <w:spacing w:line="231" w:lineRule="exact"/>
              <w:rPr>
                <w:sz w:val="21"/>
              </w:rPr>
            </w:pPr>
            <w:r>
              <w:rPr>
                <w:sz w:val="21"/>
              </w:rPr>
              <w:t>指因疾病或意外伤害导致双耳听力永久不可逆性丧失，在 500 赫兹、1000</w:t>
            </w:r>
          </w:p>
          <w:p>
            <w:pPr>
              <w:pStyle w:val="TableParagraph"/>
              <w:spacing w:line="273" w:lineRule="auto" w:before="37"/>
              <w:ind w:right="198"/>
              <w:rPr>
                <w:sz w:val="21"/>
              </w:rPr>
            </w:pPr>
            <w:r>
              <w:rPr>
                <w:spacing w:val="-13"/>
                <w:sz w:val="21"/>
              </w:rPr>
              <w:t>赫兹和 </w:t>
            </w:r>
            <w:r>
              <w:rPr>
                <w:sz w:val="21"/>
              </w:rPr>
              <w:t>2000</w:t>
            </w:r>
            <w:r>
              <w:rPr>
                <w:spacing w:val="-12"/>
                <w:sz w:val="21"/>
              </w:rPr>
              <w:t> 赫兹语音频率下，平均听阈大于 </w:t>
            </w:r>
            <w:r>
              <w:rPr>
                <w:sz w:val="21"/>
              </w:rPr>
              <w:t>90</w:t>
            </w:r>
            <w:r>
              <w:rPr>
                <w:spacing w:val="-10"/>
                <w:sz w:val="21"/>
              </w:rPr>
              <w:t> 分贝，且经纯音听力测试、</w:t>
            </w:r>
            <w:r>
              <w:rPr>
                <w:spacing w:val="-3"/>
                <w:sz w:val="21"/>
              </w:rPr>
              <w:t>声导抗检测或听觉诱发电位检测等证实。</w:t>
            </w:r>
          </w:p>
        </w:tc>
      </w:tr>
      <w:tr>
        <w:trPr>
          <w:trHeight w:val="2156" w:hRule="atLeast"/>
        </w:trPr>
        <w:tc>
          <w:tcPr>
            <w:tcW w:w="602" w:type="dxa"/>
          </w:tcPr>
          <w:p>
            <w:pPr>
              <w:pStyle w:val="TableParagraph"/>
              <w:spacing w:before="139"/>
              <w:ind w:left="179" w:right="170"/>
              <w:jc w:val="center"/>
              <w:rPr>
                <w:b/>
                <w:sz w:val="21"/>
              </w:rPr>
            </w:pPr>
            <w:r>
              <w:rPr>
                <w:b/>
                <w:sz w:val="21"/>
              </w:rPr>
              <w:t>19</w:t>
            </w:r>
          </w:p>
        </w:tc>
        <w:tc>
          <w:tcPr>
            <w:tcW w:w="2407" w:type="dxa"/>
          </w:tcPr>
          <w:p>
            <w:pPr>
              <w:pStyle w:val="TableParagraph"/>
              <w:spacing w:line="232" w:lineRule="auto" w:before="113"/>
              <w:ind w:left="190" w:right="96"/>
              <w:rPr>
                <w:rFonts w:ascii="等线" w:eastAsia="等线" w:hint="eastAsia"/>
                <w:b/>
                <w:sz w:val="24"/>
              </w:rPr>
            </w:pPr>
            <w:r>
              <w:rPr>
                <w:rFonts w:ascii="等线" w:eastAsia="等线" w:hint="eastAsia"/>
                <w:b/>
                <w:sz w:val="24"/>
              </w:rPr>
              <w:t>慢性肝功能衰竭失代偿期</w:t>
            </w:r>
          </w:p>
        </w:tc>
        <w:tc>
          <w:tcPr>
            <w:tcW w:w="7198" w:type="dxa"/>
          </w:tcPr>
          <w:p>
            <w:pPr>
              <w:pStyle w:val="TableParagraph"/>
              <w:spacing w:before="139"/>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1949"/>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602" w:type="dxa"/>
          </w:tcPr>
          <w:p>
            <w:pPr>
              <w:pStyle w:val="TableParagraph"/>
              <w:spacing w:before="138"/>
              <w:ind w:left="179" w:right="170"/>
              <w:jc w:val="center"/>
              <w:rPr>
                <w:b/>
                <w:sz w:val="21"/>
              </w:rPr>
            </w:pPr>
            <w:r>
              <w:rPr>
                <w:b/>
                <w:sz w:val="21"/>
              </w:rPr>
              <w:t>20</w:t>
            </w:r>
          </w:p>
        </w:tc>
        <w:tc>
          <w:tcPr>
            <w:tcW w:w="2407" w:type="dxa"/>
          </w:tcPr>
          <w:p>
            <w:pPr>
              <w:pStyle w:val="TableParagraph"/>
              <w:spacing w:before="102"/>
              <w:ind w:left="190"/>
              <w:rPr>
                <w:rFonts w:ascii="等线" w:eastAsia="等线" w:hint="eastAsia"/>
                <w:b/>
                <w:sz w:val="24"/>
              </w:rPr>
            </w:pPr>
            <w:r>
              <w:rPr>
                <w:rFonts w:ascii="等线" w:eastAsia="等线" w:hint="eastAsia"/>
                <w:b/>
                <w:sz w:val="24"/>
              </w:rPr>
              <w:t>双目失明</w:t>
            </w:r>
          </w:p>
        </w:tc>
        <w:tc>
          <w:tcPr>
            <w:tcW w:w="7198" w:type="dxa"/>
          </w:tcPr>
          <w:p>
            <w:pPr>
              <w:pStyle w:val="TableParagraph"/>
              <w:spacing w:line="273" w:lineRule="auto" w:before="138"/>
              <w:ind w:right="300"/>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left="623" w:right="300" w:hanging="526"/>
              <w:rPr>
                <w:sz w:val="21"/>
              </w:rPr>
            </w:pPr>
            <w:r>
              <w:rPr>
                <w:spacing w:val="-10"/>
                <w:sz w:val="21"/>
              </w:rPr>
              <w:t>（2）</w:t>
            </w:r>
            <w:r>
              <w:rPr>
                <w:spacing w:val="-6"/>
                <w:sz w:val="21"/>
              </w:rPr>
              <w:t>矫正视力低于 </w:t>
            </w:r>
            <w:r>
              <w:rPr>
                <w:spacing w:val="-7"/>
                <w:sz w:val="21"/>
              </w:rPr>
              <w:t>0.02（</w:t>
            </w:r>
            <w:r>
              <w:rPr>
                <w:spacing w:val="-6"/>
                <w:sz w:val="21"/>
              </w:rPr>
              <w:t>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8835" w:hRule="atLeast"/>
        </w:trPr>
        <w:tc>
          <w:tcPr>
            <w:tcW w:w="602" w:type="dxa"/>
          </w:tcPr>
          <w:p>
            <w:pPr>
              <w:pStyle w:val="TableParagraph"/>
              <w:spacing w:before="138"/>
              <w:ind w:left="179" w:right="170"/>
              <w:jc w:val="center"/>
              <w:rPr>
                <w:b/>
                <w:sz w:val="21"/>
              </w:rPr>
            </w:pPr>
            <w:r>
              <w:rPr>
                <w:b/>
                <w:sz w:val="21"/>
              </w:rPr>
              <w:t>21</w:t>
            </w:r>
          </w:p>
        </w:tc>
        <w:tc>
          <w:tcPr>
            <w:tcW w:w="2407" w:type="dxa"/>
          </w:tcPr>
          <w:p>
            <w:pPr>
              <w:pStyle w:val="TableParagraph"/>
              <w:spacing w:line="235" w:lineRule="auto" w:before="109"/>
              <w:ind w:left="190" w:right="96"/>
              <w:rPr>
                <w:rFonts w:ascii="等线" w:eastAsia="等线" w:hint="eastAsia"/>
                <w:b/>
                <w:sz w:val="24"/>
              </w:rPr>
            </w:pPr>
            <w:r>
              <w:rPr>
                <w:rFonts w:ascii="等线" w:eastAsia="等线" w:hint="eastAsia"/>
                <w:b/>
                <w:sz w:val="24"/>
              </w:rPr>
              <w:t>系统性红斑狼疮并发肾功能损害</w:t>
            </w:r>
          </w:p>
        </w:tc>
        <w:tc>
          <w:tcPr>
            <w:tcW w:w="7198" w:type="dxa"/>
          </w:tcPr>
          <w:p>
            <w:pPr>
              <w:pStyle w:val="TableParagraph"/>
              <w:spacing w:line="273" w:lineRule="auto" w:before="138"/>
              <w:ind w:right="300"/>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jc w:val="both"/>
              <w:rPr>
                <w:sz w:val="21"/>
              </w:rPr>
            </w:pPr>
            <w:r>
              <w:rPr>
                <w:sz w:val="21"/>
              </w:rPr>
              <w:t>（1）临床表现至少具备下列条件中的 4 个：</w:t>
            </w:r>
          </w:p>
          <w:p>
            <w:pPr>
              <w:pStyle w:val="TableParagraph"/>
              <w:tabs>
                <w:tab w:pos="625" w:val="left" w:leader="none"/>
              </w:tabs>
              <w:spacing w:before="37"/>
              <w:ind w:left="202"/>
              <w:rPr>
                <w:sz w:val="21"/>
              </w:rPr>
            </w:pPr>
            <w:r>
              <w:rPr>
                <w:sz w:val="21"/>
              </w:rPr>
              <w:t>①</w:t>
              <w:tab/>
            </w:r>
            <w:r>
              <w:rPr>
                <w:spacing w:val="-3"/>
                <w:sz w:val="21"/>
              </w:rPr>
              <w:t>蝶形红斑或盘形红斑；</w:t>
            </w:r>
          </w:p>
          <w:p>
            <w:pPr>
              <w:pStyle w:val="TableParagraph"/>
              <w:tabs>
                <w:tab w:pos="625" w:val="left" w:leader="none"/>
              </w:tabs>
              <w:spacing w:before="37"/>
              <w:ind w:left="202"/>
              <w:rPr>
                <w:sz w:val="21"/>
              </w:rPr>
            </w:pPr>
            <w:r>
              <w:rPr>
                <w:sz w:val="21"/>
              </w:rPr>
              <w:t>②</w:t>
              <w:tab/>
            </w:r>
            <w:r>
              <w:rPr>
                <w:spacing w:val="-3"/>
                <w:sz w:val="21"/>
              </w:rPr>
              <w:t>光敏感；</w:t>
            </w:r>
          </w:p>
          <w:p>
            <w:pPr>
              <w:pStyle w:val="TableParagraph"/>
              <w:tabs>
                <w:tab w:pos="625" w:val="left" w:leader="none"/>
              </w:tabs>
              <w:spacing w:before="37"/>
              <w:ind w:left="202"/>
              <w:rPr>
                <w:sz w:val="21"/>
              </w:rPr>
            </w:pPr>
            <w:r>
              <w:rPr>
                <w:sz w:val="21"/>
              </w:rPr>
              <w:t>③</w:t>
              <w:tab/>
            </w:r>
            <w:r>
              <w:rPr>
                <w:spacing w:val="-3"/>
                <w:sz w:val="21"/>
              </w:rPr>
              <w:t>口鼻腔黏膜溃疡；</w:t>
            </w:r>
          </w:p>
          <w:p>
            <w:pPr>
              <w:pStyle w:val="TableParagraph"/>
              <w:tabs>
                <w:tab w:pos="625" w:val="left" w:leader="none"/>
              </w:tabs>
              <w:spacing w:before="37"/>
              <w:ind w:left="202"/>
              <w:rPr>
                <w:sz w:val="21"/>
              </w:rPr>
            </w:pPr>
            <w:r>
              <w:rPr>
                <w:sz w:val="21"/>
              </w:rPr>
              <w:t>④</w:t>
              <w:tab/>
            </w:r>
            <w:r>
              <w:rPr>
                <w:spacing w:val="-3"/>
                <w:sz w:val="21"/>
              </w:rPr>
              <w:t>非畸形性关节炎或多关节痛；</w:t>
            </w:r>
          </w:p>
          <w:p>
            <w:pPr>
              <w:pStyle w:val="TableParagraph"/>
              <w:tabs>
                <w:tab w:pos="625" w:val="left" w:leader="none"/>
              </w:tabs>
              <w:spacing w:before="37"/>
              <w:ind w:left="202"/>
              <w:rPr>
                <w:sz w:val="21"/>
              </w:rPr>
            </w:pPr>
            <w:r>
              <w:rPr>
                <w:sz w:val="21"/>
              </w:rPr>
              <w:t>⑤</w:t>
              <w:tab/>
            </w:r>
            <w:r>
              <w:rPr>
                <w:spacing w:val="-3"/>
                <w:sz w:val="21"/>
              </w:rPr>
              <w:t>胸膜炎或心包炎；</w:t>
            </w:r>
          </w:p>
          <w:p>
            <w:pPr>
              <w:pStyle w:val="TableParagraph"/>
              <w:tabs>
                <w:tab w:pos="625" w:val="left" w:leader="none"/>
              </w:tabs>
              <w:spacing w:before="37"/>
              <w:ind w:left="202"/>
              <w:rPr>
                <w:sz w:val="21"/>
              </w:rPr>
            </w:pPr>
            <w:r>
              <w:rPr>
                <w:w w:val="100"/>
                <w:sz w:val="21"/>
              </w:rPr>
              <w:t>⑥</w:t>
            </w:r>
            <w:r>
              <w:rPr>
                <w:sz w:val="21"/>
              </w:rPr>
              <w:tab/>
            </w:r>
            <w:r>
              <w:rPr>
                <w:spacing w:val="-3"/>
                <w:w w:val="100"/>
                <w:sz w:val="21"/>
              </w:rPr>
              <w:t>神经系统损伤（癫痫或精神症状</w:t>
            </w:r>
            <w:r>
              <w:rPr>
                <w:spacing w:val="-106"/>
                <w:w w:val="100"/>
                <w:sz w:val="21"/>
              </w:rPr>
              <w:t>）</w:t>
            </w:r>
            <w:r>
              <w:rPr>
                <w:w w:val="100"/>
                <w:sz w:val="21"/>
              </w:rPr>
              <w:t>；</w:t>
            </w:r>
          </w:p>
          <w:p>
            <w:pPr>
              <w:pStyle w:val="TableParagraph"/>
              <w:tabs>
                <w:tab w:pos="625" w:val="left" w:leader="none"/>
              </w:tabs>
              <w:spacing w:line="273" w:lineRule="auto" w:before="37"/>
              <w:ind w:left="622" w:right="299" w:hanging="420"/>
              <w:rPr>
                <w:sz w:val="21"/>
              </w:rPr>
            </w:pPr>
            <w:r>
              <w:rPr>
                <w:sz w:val="21"/>
              </w:rPr>
              <w:t>⑦</w:t>
              <w:tab/>
              <w:tab/>
            </w:r>
            <w:r>
              <w:rPr>
                <w:spacing w:val="-11"/>
                <w:sz w:val="21"/>
              </w:rPr>
              <w:t>血象异常</w:t>
            </w:r>
            <w:r>
              <w:rPr>
                <w:sz w:val="21"/>
              </w:rPr>
              <w:t>（</w:t>
            </w:r>
            <w:r>
              <w:rPr>
                <w:spacing w:val="-11"/>
                <w:sz w:val="21"/>
              </w:rPr>
              <w:t>白细胞小于 </w:t>
            </w:r>
            <w:r>
              <w:rPr>
                <w:sz w:val="21"/>
              </w:rPr>
              <w:t>4000/μl</w:t>
            </w:r>
            <w:r>
              <w:rPr>
                <w:spacing w:val="-15"/>
                <w:sz w:val="21"/>
              </w:rPr>
              <w:t> 或血小板小于 </w:t>
            </w:r>
            <w:r>
              <w:rPr>
                <w:sz w:val="21"/>
              </w:rPr>
              <w:t>100000/μl</w:t>
            </w:r>
            <w:r>
              <w:rPr>
                <w:spacing w:val="-12"/>
                <w:sz w:val="21"/>
              </w:rPr>
              <w:t> 或溶血性贫血</w:t>
            </w:r>
            <w:r>
              <w:rPr>
                <w:spacing w:val="-109"/>
                <w:sz w:val="21"/>
              </w:rPr>
              <w:t>）</w:t>
            </w:r>
            <w:r>
              <w:rPr>
                <w:sz w:val="21"/>
              </w:rPr>
              <w:t>。</w:t>
            </w:r>
          </w:p>
          <w:p>
            <w:pPr>
              <w:pStyle w:val="TableParagraph"/>
              <w:spacing w:before="8"/>
              <w:jc w:val="both"/>
              <w:rPr>
                <w:sz w:val="21"/>
              </w:rPr>
            </w:pPr>
            <w:r>
              <w:rPr>
                <w:sz w:val="21"/>
              </w:rPr>
              <w:t>（2）检测结果至少具备下列条件中的 2 个：</w:t>
            </w:r>
          </w:p>
          <w:p>
            <w:pPr>
              <w:pStyle w:val="TableParagraph"/>
              <w:tabs>
                <w:tab w:pos="622" w:val="left" w:leader="none"/>
              </w:tabs>
              <w:spacing w:before="37"/>
              <w:ind w:left="202"/>
              <w:rPr>
                <w:sz w:val="21"/>
              </w:rPr>
            </w:pPr>
            <w:r>
              <w:rPr>
                <w:sz w:val="21"/>
              </w:rPr>
              <w:t>①</w:t>
              <w:tab/>
            </w:r>
            <w:r>
              <w:rPr>
                <w:spacing w:val="-25"/>
                <w:sz w:val="21"/>
              </w:rPr>
              <w:t>抗 </w:t>
            </w:r>
            <w:r>
              <w:rPr>
                <w:sz w:val="21"/>
              </w:rPr>
              <w:t>dsDNA</w:t>
            </w:r>
            <w:r>
              <w:rPr>
                <w:spacing w:val="-10"/>
                <w:sz w:val="21"/>
              </w:rPr>
              <w:t> 抗体阳性；</w:t>
            </w:r>
          </w:p>
          <w:p>
            <w:pPr>
              <w:pStyle w:val="TableParagraph"/>
              <w:tabs>
                <w:tab w:pos="622" w:val="left" w:leader="none"/>
              </w:tabs>
              <w:spacing w:before="37"/>
              <w:ind w:left="202"/>
              <w:rPr>
                <w:sz w:val="21"/>
              </w:rPr>
            </w:pPr>
            <w:r>
              <w:rPr>
                <w:sz w:val="21"/>
              </w:rPr>
              <w:t>②</w:t>
              <w:tab/>
            </w:r>
            <w:r>
              <w:rPr>
                <w:spacing w:val="-25"/>
                <w:sz w:val="21"/>
              </w:rPr>
              <w:t>抗 </w:t>
            </w:r>
            <w:r>
              <w:rPr>
                <w:sz w:val="21"/>
              </w:rPr>
              <w:t>Sm</w:t>
            </w:r>
            <w:r>
              <w:rPr>
                <w:spacing w:val="-12"/>
                <w:sz w:val="21"/>
              </w:rPr>
              <w:t> 抗体阳性；</w:t>
            </w:r>
          </w:p>
          <w:p>
            <w:pPr>
              <w:pStyle w:val="TableParagraph"/>
              <w:tabs>
                <w:tab w:pos="625" w:val="left" w:leader="none"/>
              </w:tabs>
              <w:spacing w:before="37"/>
              <w:ind w:left="203"/>
              <w:rPr>
                <w:sz w:val="21"/>
              </w:rPr>
            </w:pPr>
            <w:r>
              <w:rPr>
                <w:sz w:val="21"/>
              </w:rPr>
              <w:t>③</w:t>
              <w:tab/>
            </w:r>
            <w:r>
              <w:rPr>
                <w:spacing w:val="-3"/>
                <w:sz w:val="21"/>
              </w:rPr>
              <w:t>抗核抗体阳性；</w:t>
            </w:r>
          </w:p>
          <w:p>
            <w:pPr>
              <w:pStyle w:val="TableParagraph"/>
              <w:tabs>
                <w:tab w:pos="625" w:val="left" w:leader="none"/>
              </w:tabs>
              <w:spacing w:before="37"/>
              <w:ind w:left="203"/>
              <w:rPr>
                <w:sz w:val="21"/>
              </w:rPr>
            </w:pPr>
            <w:r>
              <w:rPr>
                <w:sz w:val="21"/>
              </w:rPr>
              <w:t>④</w:t>
              <w:tab/>
            </w:r>
            <w:r>
              <w:rPr>
                <w:spacing w:val="-3"/>
                <w:sz w:val="21"/>
              </w:rPr>
              <w:t>皮肤狼疮带试验</w:t>
            </w:r>
            <w:r>
              <w:rPr>
                <w:sz w:val="21"/>
              </w:rPr>
              <w:t>（</w:t>
            </w:r>
            <w:r>
              <w:rPr>
                <w:spacing w:val="-3"/>
                <w:sz w:val="21"/>
              </w:rPr>
              <w:t>非病损部位）或肾活检阳性；</w:t>
            </w:r>
          </w:p>
          <w:p>
            <w:pPr>
              <w:pStyle w:val="TableParagraph"/>
              <w:tabs>
                <w:tab w:pos="625" w:val="left" w:leader="none"/>
              </w:tabs>
              <w:spacing w:before="37"/>
              <w:ind w:left="203"/>
              <w:rPr>
                <w:sz w:val="21"/>
              </w:rPr>
            </w:pPr>
            <w:r>
              <w:rPr>
                <w:sz w:val="21"/>
              </w:rPr>
              <w:t>⑤</w:t>
              <w:tab/>
              <w:t>C3</w:t>
            </w:r>
            <w:r>
              <w:rPr>
                <w:spacing w:val="-10"/>
                <w:sz w:val="21"/>
              </w:rPr>
              <w:t> 低于正常值。</w:t>
            </w:r>
          </w:p>
          <w:p>
            <w:pPr>
              <w:pStyle w:val="TableParagraph"/>
              <w:spacing w:before="37"/>
              <w:jc w:val="both"/>
              <w:rPr>
                <w:sz w:val="21"/>
              </w:rPr>
            </w:pPr>
            <w:r>
              <w:rPr>
                <w:w w:val="100"/>
                <w:sz w:val="21"/>
              </w:rPr>
              <w:t>（3</w:t>
            </w:r>
            <w:r>
              <w:rPr>
                <w:spacing w:val="-3"/>
                <w:w w:val="100"/>
                <w:sz w:val="21"/>
              </w:rPr>
              <w:t>）狼疮肾炎致使肾功能减退（</w:t>
            </w:r>
            <w:r>
              <w:rPr>
                <w:spacing w:val="-2"/>
                <w:w w:val="100"/>
                <w:sz w:val="21"/>
              </w:rPr>
              <w:t>或损害</w:t>
            </w:r>
            <w:r>
              <w:rPr>
                <w:spacing w:val="-108"/>
                <w:w w:val="100"/>
                <w:sz w:val="21"/>
              </w:rPr>
              <w:t>）</w:t>
            </w:r>
            <w:r>
              <w:rPr>
                <w:spacing w:val="-3"/>
                <w:w w:val="100"/>
                <w:sz w:val="21"/>
              </w:rPr>
              <w:t>，且符合以下条件之一：</w:t>
            </w:r>
          </w:p>
          <w:p>
            <w:pPr>
              <w:pStyle w:val="TableParagraph"/>
              <w:tabs>
                <w:tab w:pos="625" w:val="left" w:leader="none"/>
              </w:tabs>
              <w:spacing w:line="273" w:lineRule="auto" w:before="37"/>
              <w:ind w:left="623" w:right="301" w:hanging="420"/>
              <w:rPr>
                <w:sz w:val="21"/>
              </w:rPr>
            </w:pPr>
            <w:r>
              <w:rPr>
                <w:sz w:val="21"/>
              </w:rPr>
              <w:t>①</w:t>
              <w:tab/>
              <w:tab/>
            </w:r>
            <w:r>
              <w:rPr>
                <w:spacing w:val="-3"/>
                <w:sz w:val="21"/>
              </w:rPr>
              <w:t>系统性红斑狼疮造成肾脏功能损害，尿蛋白</w:t>
            </w:r>
            <w:r>
              <w:rPr>
                <w:sz w:val="21"/>
              </w:rPr>
              <w:t>＞2g/24</w:t>
            </w:r>
            <w:r>
              <w:rPr>
                <w:spacing w:val="-3"/>
                <w:sz w:val="21"/>
              </w:rPr>
              <w:t> 小时且持续性蛋</w:t>
            </w:r>
            <w:r>
              <w:rPr>
                <w:spacing w:val="-1"/>
                <w:sz w:val="21"/>
              </w:rPr>
              <w:t>白尿＞+++；</w:t>
            </w:r>
          </w:p>
          <w:p>
            <w:pPr>
              <w:pStyle w:val="TableParagraph"/>
              <w:tabs>
                <w:tab w:pos="625" w:val="left" w:leader="none"/>
              </w:tabs>
              <w:spacing w:line="273" w:lineRule="auto" w:before="7"/>
              <w:ind w:right="1527" w:firstLine="105"/>
              <w:rPr>
                <w:sz w:val="21"/>
              </w:rPr>
            </w:pPr>
            <w:r>
              <w:rPr>
                <w:sz w:val="21"/>
              </w:rPr>
              <w:t>②</w:t>
              <w:tab/>
            </w:r>
            <w:r>
              <w:rPr>
                <w:spacing w:val="-11"/>
                <w:sz w:val="21"/>
              </w:rPr>
              <w:t>符合下列 </w:t>
            </w:r>
            <w:r>
              <w:rPr>
                <w:sz w:val="21"/>
              </w:rPr>
              <w:t>WHO</w:t>
            </w:r>
            <w:r>
              <w:rPr>
                <w:spacing w:val="-8"/>
                <w:sz w:val="21"/>
              </w:rPr>
              <w:t> 诊断标准定义的Ⅲ型至Ⅴ型狼疮性肾炎。</w:t>
            </w:r>
            <w:r>
              <w:rPr>
                <w:spacing w:val="-3"/>
                <w:sz w:val="21"/>
              </w:rPr>
              <w:t>世界卫生组织</w:t>
            </w:r>
            <w:r>
              <w:rPr>
                <w:spacing w:val="-1"/>
                <w:sz w:val="21"/>
              </w:rPr>
              <w:t>（WHO）</w:t>
            </w:r>
            <w:r>
              <w:rPr>
                <w:spacing w:val="-3"/>
                <w:sz w:val="21"/>
              </w:rPr>
              <w:t>狼疮性肾炎分型：</w:t>
            </w:r>
          </w:p>
          <w:p>
            <w:pPr>
              <w:pStyle w:val="TableParagraph"/>
              <w:spacing w:before="7"/>
              <w:jc w:val="both"/>
              <w:rPr>
                <w:sz w:val="21"/>
              </w:rPr>
            </w:pPr>
            <w:r>
              <w:rPr>
                <w:sz w:val="21"/>
              </w:rPr>
              <w:t>Ⅰ型（微小病变型）  镜下阴性，尿液正常；</w:t>
            </w:r>
          </w:p>
          <w:p>
            <w:pPr>
              <w:pStyle w:val="TableParagraph"/>
              <w:spacing w:before="37"/>
              <w:jc w:val="both"/>
              <w:rPr>
                <w:sz w:val="21"/>
              </w:rPr>
            </w:pPr>
            <w:r>
              <w:rPr>
                <w:sz w:val="21"/>
              </w:rPr>
              <w:t>Ⅱ型（系膜病变型）  中度蛋白尿，偶有尿沉渣改变；</w:t>
            </w:r>
          </w:p>
          <w:p>
            <w:pPr>
              <w:pStyle w:val="TableParagraph"/>
              <w:spacing w:before="37"/>
              <w:jc w:val="both"/>
              <w:rPr>
                <w:sz w:val="21"/>
              </w:rPr>
            </w:pPr>
            <w:r>
              <w:rPr>
                <w:sz w:val="21"/>
              </w:rPr>
              <w:t>Ⅲ型（局灶及节段增生型）  蛋白尿，尿沉渣改变；</w:t>
            </w:r>
          </w:p>
          <w:p>
            <w:pPr>
              <w:pStyle w:val="TableParagraph"/>
              <w:spacing w:before="37"/>
              <w:jc w:val="both"/>
              <w:rPr>
                <w:sz w:val="21"/>
              </w:rPr>
            </w:pPr>
            <w:r>
              <w:rPr>
                <w:sz w:val="21"/>
              </w:rPr>
              <w:t>Ⅳ型（弥漫增生型）  急性肾炎伴有尿沉渣改变及/或肾病综合征；</w:t>
            </w:r>
          </w:p>
          <w:p>
            <w:pPr>
              <w:pStyle w:val="TableParagraph"/>
              <w:spacing w:line="255" w:lineRule="exact" w:before="37"/>
              <w:jc w:val="both"/>
              <w:rPr>
                <w:sz w:val="21"/>
              </w:rPr>
            </w:pPr>
            <w:r>
              <w:rPr>
                <w:sz w:val="21"/>
              </w:rPr>
              <w:t>Ⅴ型（膜型）  肾病综合征或重度蛋白尿。</w:t>
            </w:r>
          </w:p>
        </w:tc>
      </w:tr>
    </w:tbl>
    <w:p>
      <w:pPr>
        <w:spacing w:after="0" w:line="255" w:lineRule="exact"/>
        <w:jc w:val="both"/>
        <w:rPr>
          <w:sz w:val="21"/>
        </w:rPr>
        <w:sectPr>
          <w:pgSz w:w="11910" w:h="16840"/>
          <w:pgMar w:top="1140" w:bottom="280" w:left="8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124"/>
      </w:tblGrid>
      <w:tr>
        <w:trPr>
          <w:trHeight w:val="1009" w:hRule="atLeast"/>
        </w:trPr>
        <w:tc>
          <w:tcPr>
            <w:tcW w:w="602" w:type="dxa"/>
          </w:tcPr>
          <w:p>
            <w:pPr>
              <w:pStyle w:val="TableParagraph"/>
              <w:spacing w:line="231" w:lineRule="exact"/>
              <w:ind w:left="179" w:right="170"/>
              <w:jc w:val="center"/>
              <w:rPr>
                <w:b/>
                <w:sz w:val="21"/>
              </w:rPr>
            </w:pPr>
            <w:r>
              <w:rPr>
                <w:b/>
                <w:sz w:val="21"/>
              </w:rPr>
              <w:t>22</w:t>
            </w:r>
          </w:p>
        </w:tc>
        <w:tc>
          <w:tcPr>
            <w:tcW w:w="2407" w:type="dxa"/>
          </w:tcPr>
          <w:p>
            <w:pPr>
              <w:pStyle w:val="TableParagraph"/>
              <w:spacing w:line="248" w:lineRule="exact"/>
              <w:ind w:left="190"/>
              <w:rPr>
                <w:rFonts w:ascii="等线" w:eastAsia="等线" w:hint="eastAsia"/>
                <w:b/>
                <w:sz w:val="24"/>
              </w:rPr>
            </w:pPr>
            <w:r>
              <w:rPr>
                <w:rFonts w:ascii="等线" w:eastAsia="等线" w:hint="eastAsia"/>
                <w:b/>
                <w:sz w:val="24"/>
              </w:rPr>
              <w:t>语言能力丧失</w:t>
            </w:r>
          </w:p>
        </w:tc>
        <w:tc>
          <w:tcPr>
            <w:tcW w:w="7124" w:type="dxa"/>
          </w:tcPr>
          <w:p>
            <w:pPr>
              <w:pStyle w:val="TableParagraph"/>
              <w:spacing w:line="231" w:lineRule="exact"/>
              <w:rPr>
                <w:sz w:val="21"/>
              </w:rPr>
            </w:pPr>
            <w:r>
              <w:rPr>
                <w:spacing w:val="-11"/>
                <w:sz w:val="21"/>
              </w:rPr>
              <w:t>指因疾病或意外伤害导致完全丧失语言能力，经过积极治疗至少 </w:t>
            </w:r>
            <w:r>
              <w:rPr>
                <w:sz w:val="21"/>
              </w:rPr>
              <w:t>12</w:t>
            </w:r>
            <w:r>
              <w:rPr>
                <w:spacing w:val="-53"/>
                <w:sz w:val="21"/>
              </w:rPr>
              <w:t> 个月</w:t>
            </w:r>
            <w:r>
              <w:rPr>
                <w:sz w:val="21"/>
              </w:rPr>
              <w:t>（声</w:t>
            </w:r>
          </w:p>
          <w:p>
            <w:pPr>
              <w:pStyle w:val="TableParagraph"/>
              <w:spacing w:line="273" w:lineRule="auto" w:before="37"/>
              <w:ind w:right="1245"/>
              <w:rPr>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spacing w:val="-3"/>
                <w:sz w:val="21"/>
                <w:shd w:fill="DADADA" w:color="auto" w:val="clear"/>
              </w:rPr>
              <w:t>精神心理因素所致的语言能力丧失不在保障范围内。</w:t>
            </w:r>
          </w:p>
        </w:tc>
      </w:tr>
      <w:tr>
        <w:trPr>
          <w:trHeight w:val="2099" w:hRule="atLeast"/>
        </w:trPr>
        <w:tc>
          <w:tcPr>
            <w:tcW w:w="602" w:type="dxa"/>
          </w:tcPr>
          <w:p>
            <w:pPr>
              <w:pStyle w:val="TableParagraph"/>
              <w:spacing w:before="110"/>
              <w:ind w:left="179" w:right="170"/>
              <w:jc w:val="center"/>
              <w:rPr>
                <w:b/>
                <w:sz w:val="21"/>
              </w:rPr>
            </w:pPr>
            <w:r>
              <w:rPr>
                <w:b/>
                <w:sz w:val="21"/>
              </w:rPr>
              <w:t>23</w:t>
            </w:r>
          </w:p>
        </w:tc>
        <w:tc>
          <w:tcPr>
            <w:tcW w:w="2407" w:type="dxa"/>
          </w:tcPr>
          <w:p>
            <w:pPr>
              <w:pStyle w:val="TableParagraph"/>
              <w:spacing w:line="232" w:lineRule="auto" w:before="84"/>
              <w:ind w:left="190" w:right="96"/>
              <w:rPr>
                <w:rFonts w:ascii="等线" w:eastAsia="等线" w:hint="eastAsia"/>
                <w:b/>
                <w:sz w:val="24"/>
              </w:rPr>
            </w:pPr>
            <w:r>
              <w:rPr>
                <w:rFonts w:ascii="等线" w:eastAsia="等线" w:hint="eastAsia"/>
                <w:b/>
                <w:sz w:val="24"/>
              </w:rPr>
              <w:t>急性或亚急性重症肝炎</w:t>
            </w:r>
          </w:p>
        </w:tc>
        <w:tc>
          <w:tcPr>
            <w:tcW w:w="7124" w:type="dxa"/>
          </w:tcPr>
          <w:p>
            <w:pPr>
              <w:pStyle w:val="TableParagraph"/>
              <w:spacing w:line="273" w:lineRule="auto" w:before="110"/>
              <w:ind w:right="226"/>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1474" w:hRule="atLeast"/>
        </w:trPr>
        <w:tc>
          <w:tcPr>
            <w:tcW w:w="602" w:type="dxa"/>
          </w:tcPr>
          <w:p>
            <w:pPr>
              <w:pStyle w:val="TableParagraph"/>
              <w:spacing w:before="111"/>
              <w:ind w:left="179" w:right="170"/>
              <w:jc w:val="center"/>
              <w:rPr>
                <w:b/>
                <w:sz w:val="21"/>
              </w:rPr>
            </w:pPr>
            <w:r>
              <w:rPr>
                <w:b/>
                <w:sz w:val="21"/>
              </w:rPr>
              <w:t>24</w:t>
            </w:r>
          </w:p>
        </w:tc>
        <w:tc>
          <w:tcPr>
            <w:tcW w:w="2407" w:type="dxa"/>
          </w:tcPr>
          <w:p>
            <w:pPr>
              <w:pStyle w:val="TableParagraph"/>
              <w:spacing w:before="75"/>
              <w:ind w:left="190"/>
              <w:rPr>
                <w:rFonts w:ascii="等线" w:eastAsia="等线" w:hint="eastAsia"/>
                <w:b/>
                <w:sz w:val="24"/>
              </w:rPr>
            </w:pPr>
            <w:r>
              <w:rPr>
                <w:rFonts w:ascii="等线" w:eastAsia="等线" w:hint="eastAsia"/>
                <w:b/>
                <w:sz w:val="24"/>
              </w:rPr>
              <w:t>严重溃疡性结肠炎</w:t>
            </w:r>
          </w:p>
        </w:tc>
        <w:tc>
          <w:tcPr>
            <w:tcW w:w="7124" w:type="dxa"/>
          </w:tcPr>
          <w:p>
            <w:pPr>
              <w:pStyle w:val="TableParagraph"/>
              <w:spacing w:line="273" w:lineRule="auto" w:before="111"/>
              <w:ind w:right="226"/>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185" w:hRule="atLeast"/>
        </w:trPr>
        <w:tc>
          <w:tcPr>
            <w:tcW w:w="602" w:type="dxa"/>
          </w:tcPr>
          <w:p>
            <w:pPr>
              <w:pStyle w:val="TableParagraph"/>
              <w:spacing w:before="109"/>
              <w:ind w:left="179" w:right="170"/>
              <w:jc w:val="center"/>
              <w:rPr>
                <w:b/>
                <w:sz w:val="21"/>
              </w:rPr>
            </w:pPr>
            <w:r>
              <w:rPr>
                <w:b/>
                <w:sz w:val="21"/>
              </w:rPr>
              <w:t>25</w:t>
            </w:r>
          </w:p>
        </w:tc>
        <w:tc>
          <w:tcPr>
            <w:tcW w:w="2407" w:type="dxa"/>
          </w:tcPr>
          <w:p>
            <w:pPr>
              <w:pStyle w:val="TableParagraph"/>
              <w:spacing w:line="232" w:lineRule="auto" w:before="83"/>
              <w:ind w:left="190" w:right="96"/>
              <w:jc w:val="both"/>
              <w:rPr>
                <w:rFonts w:ascii="等线" w:eastAsia="等线" w:hint="eastAsia"/>
                <w:b/>
                <w:sz w:val="24"/>
              </w:rPr>
            </w:pPr>
            <w:r>
              <w:rPr>
                <w:rFonts w:ascii="等线" w:eastAsia="等线" w:hint="eastAsia"/>
                <w:b/>
                <w:spacing w:val="-14"/>
                <w:sz w:val="24"/>
              </w:rPr>
              <w:t>终末期肾病</w:t>
            </w:r>
            <w:r>
              <w:rPr>
                <w:rFonts w:ascii="等线" w:eastAsia="等线" w:hint="eastAsia"/>
                <w:b/>
                <w:sz w:val="24"/>
              </w:rPr>
              <w:t>（或称慢</w:t>
            </w:r>
            <w:r>
              <w:rPr>
                <w:rFonts w:ascii="等线" w:eastAsia="等线" w:hint="eastAsia"/>
                <w:b/>
                <w:spacing w:val="22"/>
                <w:sz w:val="24"/>
              </w:rPr>
              <w:t>性肾功能衰竭尿毒</w:t>
            </w:r>
            <w:r>
              <w:rPr>
                <w:rFonts w:ascii="等线" w:eastAsia="等线" w:hint="eastAsia"/>
                <w:b/>
                <w:sz w:val="24"/>
              </w:rPr>
              <w:t>症期）</w:t>
            </w:r>
          </w:p>
        </w:tc>
        <w:tc>
          <w:tcPr>
            <w:tcW w:w="7124" w:type="dxa"/>
          </w:tcPr>
          <w:p>
            <w:pPr>
              <w:pStyle w:val="TableParagraph"/>
              <w:spacing w:before="109"/>
              <w:rPr>
                <w:sz w:val="21"/>
              </w:rPr>
            </w:pPr>
            <w:r>
              <w:rPr>
                <w:sz w:val="21"/>
              </w:rPr>
              <w:t>指双肾功能慢性不可逆性衰竭，达到尿毒症期，经诊断后已经进行了至少</w:t>
            </w:r>
          </w:p>
          <w:p>
            <w:pPr>
              <w:pStyle w:val="TableParagraph"/>
              <w:spacing w:before="36"/>
              <w:rPr>
                <w:sz w:val="21"/>
              </w:rPr>
            </w:pPr>
            <w:r>
              <w:rPr>
                <w:sz w:val="21"/>
              </w:rPr>
              <w:t>90 日的规律性透析治疗或实施了肾脏移植手术。</w:t>
            </w:r>
          </w:p>
        </w:tc>
      </w:tr>
      <w:tr>
        <w:trPr>
          <w:trHeight w:val="1780" w:hRule="atLeast"/>
        </w:trPr>
        <w:tc>
          <w:tcPr>
            <w:tcW w:w="602" w:type="dxa"/>
          </w:tcPr>
          <w:p>
            <w:pPr>
              <w:pStyle w:val="TableParagraph"/>
              <w:spacing w:before="104"/>
              <w:ind w:left="179" w:right="170"/>
              <w:jc w:val="center"/>
              <w:rPr>
                <w:b/>
                <w:sz w:val="21"/>
              </w:rPr>
            </w:pPr>
            <w:r>
              <w:rPr>
                <w:b/>
                <w:sz w:val="21"/>
              </w:rPr>
              <w:t>26</w:t>
            </w:r>
          </w:p>
        </w:tc>
        <w:tc>
          <w:tcPr>
            <w:tcW w:w="2407" w:type="dxa"/>
          </w:tcPr>
          <w:p>
            <w:pPr>
              <w:pStyle w:val="TableParagraph"/>
              <w:spacing w:before="68"/>
              <w:ind w:left="190"/>
              <w:rPr>
                <w:rFonts w:ascii="等线" w:eastAsia="等线" w:hint="eastAsia"/>
                <w:b/>
                <w:sz w:val="24"/>
              </w:rPr>
            </w:pPr>
            <w:r>
              <w:rPr>
                <w:rFonts w:ascii="等线" w:eastAsia="等线" w:hint="eastAsia"/>
                <w:b/>
                <w:sz w:val="24"/>
              </w:rPr>
              <w:t>终末期肺病</w:t>
            </w:r>
          </w:p>
        </w:tc>
        <w:tc>
          <w:tcPr>
            <w:tcW w:w="7124" w:type="dxa"/>
          </w:tcPr>
          <w:p>
            <w:pPr>
              <w:pStyle w:val="TableParagraph"/>
              <w:spacing w:line="273" w:lineRule="auto" w:before="104"/>
              <w:ind w:right="299"/>
              <w:rPr>
                <w:sz w:val="21"/>
              </w:rPr>
            </w:pPr>
            <w:r>
              <w:rPr>
                <w:sz w:val="21"/>
              </w:rPr>
              <w:t>指经专科医生明确诊断，且被保险人已出现慢性呼吸功能衰竭，其诊断标准必须满足下列所有条件：</w:t>
            </w:r>
          </w:p>
          <w:p>
            <w:pPr>
              <w:pStyle w:val="TableParagraph"/>
              <w:spacing w:before="7"/>
              <w:rPr>
                <w:sz w:val="21"/>
              </w:rPr>
            </w:pPr>
            <w:r>
              <w:rPr>
                <w:sz w:val="21"/>
              </w:rPr>
              <w:t>（1）肺功能测试其 FEV1 持续低于 1 升；</w:t>
            </w:r>
          </w:p>
          <w:p>
            <w:pPr>
              <w:pStyle w:val="TableParagraph"/>
              <w:spacing w:before="37"/>
              <w:rPr>
                <w:sz w:val="21"/>
              </w:rPr>
            </w:pPr>
            <w:r>
              <w:rPr>
                <w:sz w:val="21"/>
              </w:rPr>
              <w:t>（2）动脉血气分析氧分压低于 55mmHg；</w:t>
            </w:r>
          </w:p>
          <w:p>
            <w:pPr>
              <w:pStyle w:val="TableParagraph"/>
              <w:spacing w:before="37"/>
              <w:rPr>
                <w:sz w:val="21"/>
              </w:rPr>
            </w:pPr>
            <w:r>
              <w:rPr>
                <w:sz w:val="21"/>
              </w:rPr>
              <w:t>（3）病人缺氧必须进行输氧治疗。</w:t>
            </w:r>
          </w:p>
        </w:tc>
      </w:tr>
      <w:tr>
        <w:trPr>
          <w:trHeight w:val="1162" w:hRule="atLeast"/>
        </w:trPr>
        <w:tc>
          <w:tcPr>
            <w:tcW w:w="602" w:type="dxa"/>
          </w:tcPr>
          <w:p>
            <w:pPr>
              <w:pStyle w:val="TableParagraph"/>
              <w:spacing w:before="109"/>
              <w:ind w:left="179" w:right="170"/>
              <w:jc w:val="center"/>
              <w:rPr>
                <w:b/>
                <w:sz w:val="21"/>
              </w:rPr>
            </w:pPr>
            <w:r>
              <w:rPr>
                <w:b/>
                <w:sz w:val="21"/>
              </w:rPr>
              <w:t>27</w:t>
            </w:r>
          </w:p>
        </w:tc>
        <w:tc>
          <w:tcPr>
            <w:tcW w:w="2407" w:type="dxa"/>
          </w:tcPr>
          <w:p>
            <w:pPr>
              <w:pStyle w:val="TableParagraph"/>
              <w:spacing w:before="73"/>
              <w:ind w:left="190"/>
              <w:rPr>
                <w:rFonts w:ascii="等线" w:eastAsia="等线" w:hint="eastAsia"/>
                <w:b/>
                <w:sz w:val="24"/>
              </w:rPr>
            </w:pPr>
            <w:r>
              <w:rPr>
                <w:rFonts w:ascii="等线" w:eastAsia="等线" w:hint="eastAsia"/>
                <w:b/>
                <w:sz w:val="24"/>
              </w:rPr>
              <w:t>胰腺移植</w:t>
            </w:r>
          </w:p>
        </w:tc>
        <w:tc>
          <w:tcPr>
            <w:tcW w:w="7124" w:type="dxa"/>
          </w:tcPr>
          <w:p>
            <w:pPr>
              <w:pStyle w:val="TableParagraph"/>
              <w:spacing w:line="273" w:lineRule="auto" w:before="109"/>
              <w:ind w:right="226"/>
              <w:rPr>
                <w:sz w:val="21"/>
              </w:rPr>
            </w:pPr>
            <w:r>
              <w:rPr>
                <w:sz w:val="21"/>
              </w:rPr>
              <w:t>指因胰腺功能衰竭，已经实施了在全身麻醉下进行的胰腺的异体器官移植手术。</w:t>
            </w:r>
          </w:p>
          <w:p>
            <w:pPr>
              <w:pStyle w:val="TableParagraph"/>
              <w:spacing w:before="7"/>
              <w:rPr>
                <w:sz w:val="21"/>
              </w:rPr>
            </w:pPr>
            <w:r>
              <w:rPr>
                <w:sz w:val="21"/>
                <w:shd w:fill="DADADA" w:color="auto" w:val="clear"/>
              </w:rPr>
              <w:t>单纯胰岛移植、部分胰腺组织或细胞的移植不在保障范围内。</w:t>
            </w:r>
          </w:p>
        </w:tc>
      </w:tr>
      <w:tr>
        <w:trPr>
          <w:trHeight w:val="1474" w:hRule="atLeast"/>
        </w:trPr>
        <w:tc>
          <w:tcPr>
            <w:tcW w:w="602" w:type="dxa"/>
          </w:tcPr>
          <w:p>
            <w:pPr>
              <w:pStyle w:val="TableParagraph"/>
              <w:spacing w:before="110"/>
              <w:ind w:left="179" w:right="170"/>
              <w:jc w:val="center"/>
              <w:rPr>
                <w:b/>
                <w:sz w:val="21"/>
              </w:rPr>
            </w:pPr>
            <w:r>
              <w:rPr>
                <w:b/>
                <w:sz w:val="21"/>
              </w:rPr>
              <w:t>28</w:t>
            </w:r>
          </w:p>
        </w:tc>
        <w:tc>
          <w:tcPr>
            <w:tcW w:w="2407" w:type="dxa"/>
          </w:tcPr>
          <w:p>
            <w:pPr>
              <w:pStyle w:val="TableParagraph"/>
              <w:spacing w:line="232" w:lineRule="auto" w:before="84"/>
              <w:ind w:left="190" w:right="96"/>
              <w:rPr>
                <w:rFonts w:ascii="等线" w:eastAsia="等线" w:hint="eastAsia"/>
                <w:b/>
                <w:sz w:val="24"/>
              </w:rPr>
            </w:pPr>
            <w:r>
              <w:rPr>
                <w:rFonts w:ascii="等线" w:eastAsia="等线" w:hint="eastAsia"/>
                <w:b/>
                <w:sz w:val="24"/>
              </w:rPr>
              <w:t>急性坏死性胰腺炎开腹手术</w:t>
            </w:r>
          </w:p>
        </w:tc>
        <w:tc>
          <w:tcPr>
            <w:tcW w:w="7124" w:type="dxa"/>
          </w:tcPr>
          <w:p>
            <w:pPr>
              <w:pStyle w:val="TableParagraph"/>
              <w:spacing w:line="273" w:lineRule="auto" w:before="110"/>
              <w:ind w:right="226"/>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7"/>
              <w:ind w:right="226"/>
              <w:rPr>
                <w:sz w:val="21"/>
              </w:rPr>
            </w:pPr>
            <w:r>
              <w:rPr>
                <w:sz w:val="21"/>
                <w:shd w:fill="DADADA" w:color="auto" w:val="clear"/>
              </w:rPr>
              <w:t>因酗酒或饮酒过量所致的急性坏死性胰腺炎以及腹腔镜手术不在保障范围内。</w:t>
            </w:r>
          </w:p>
        </w:tc>
      </w:tr>
      <w:tr>
        <w:trPr>
          <w:trHeight w:val="1474" w:hRule="atLeast"/>
        </w:trPr>
        <w:tc>
          <w:tcPr>
            <w:tcW w:w="602" w:type="dxa"/>
          </w:tcPr>
          <w:p>
            <w:pPr>
              <w:pStyle w:val="TableParagraph"/>
              <w:spacing w:before="109"/>
              <w:ind w:left="179" w:right="170"/>
              <w:jc w:val="center"/>
              <w:rPr>
                <w:b/>
                <w:sz w:val="21"/>
              </w:rPr>
            </w:pPr>
            <w:r>
              <w:rPr>
                <w:b/>
                <w:sz w:val="21"/>
              </w:rPr>
              <w:t>29</w:t>
            </w:r>
          </w:p>
        </w:tc>
        <w:tc>
          <w:tcPr>
            <w:tcW w:w="2407" w:type="dxa"/>
          </w:tcPr>
          <w:p>
            <w:pPr>
              <w:pStyle w:val="TableParagraph"/>
              <w:spacing w:before="73"/>
              <w:ind w:left="190"/>
              <w:rPr>
                <w:rFonts w:ascii="等线" w:eastAsia="等线" w:hint="eastAsia"/>
                <w:b/>
                <w:sz w:val="24"/>
              </w:rPr>
            </w:pPr>
            <w:r>
              <w:rPr>
                <w:rFonts w:ascii="等线" w:eastAsia="等线" w:hint="eastAsia"/>
                <w:b/>
                <w:sz w:val="24"/>
              </w:rPr>
              <w:t>严重肾髓质囊性病</w:t>
            </w:r>
          </w:p>
        </w:tc>
        <w:tc>
          <w:tcPr>
            <w:tcW w:w="7124" w:type="dxa"/>
          </w:tcPr>
          <w:p>
            <w:pPr>
              <w:pStyle w:val="TableParagraph"/>
              <w:spacing w:before="109"/>
              <w:rPr>
                <w:sz w:val="21"/>
              </w:rPr>
            </w:pPr>
            <w:r>
              <w:rPr>
                <w:sz w:val="21"/>
              </w:rPr>
              <w:t>指经专科医生明确诊断为肾髓质囊性病，且须同时满足下列条件：</w:t>
            </w:r>
          </w:p>
          <w:p>
            <w:pPr>
              <w:pStyle w:val="TableParagraph"/>
              <w:spacing w:before="36"/>
              <w:rPr>
                <w:sz w:val="21"/>
              </w:rPr>
            </w:pPr>
            <w:r>
              <w:rPr>
                <w:sz w:val="21"/>
              </w:rPr>
              <w:t>（1）肾髓质有囊肿、肾小管萎缩及间质纤维化等病理改变；</w:t>
            </w:r>
          </w:p>
          <w:p>
            <w:pPr>
              <w:pStyle w:val="TableParagraph"/>
              <w:spacing w:before="36"/>
              <w:rPr>
                <w:sz w:val="21"/>
              </w:rPr>
            </w:pPr>
            <w:r>
              <w:rPr>
                <w:sz w:val="21"/>
              </w:rPr>
              <w:t>（2）贫血、多尿及肾功能衰竭等临床表现；</w:t>
            </w:r>
          </w:p>
          <w:p>
            <w:pPr>
              <w:pStyle w:val="TableParagraph"/>
              <w:spacing w:before="36"/>
              <w:rPr>
                <w:sz w:val="21"/>
              </w:rPr>
            </w:pPr>
            <w:r>
              <w:rPr>
                <w:sz w:val="21"/>
              </w:rPr>
              <w:t>（3）诊断须由肾组织活检确定。</w:t>
            </w:r>
          </w:p>
        </w:tc>
      </w:tr>
      <w:tr>
        <w:trPr>
          <w:trHeight w:val="2569" w:hRule="atLeast"/>
        </w:trPr>
        <w:tc>
          <w:tcPr>
            <w:tcW w:w="602" w:type="dxa"/>
          </w:tcPr>
          <w:p>
            <w:pPr>
              <w:pStyle w:val="TableParagraph"/>
              <w:spacing w:before="110"/>
              <w:ind w:left="179" w:right="170"/>
              <w:jc w:val="center"/>
              <w:rPr>
                <w:b/>
                <w:sz w:val="21"/>
              </w:rPr>
            </w:pPr>
            <w:r>
              <w:rPr>
                <w:b/>
                <w:sz w:val="21"/>
              </w:rPr>
              <w:t>30</w:t>
            </w:r>
          </w:p>
        </w:tc>
        <w:tc>
          <w:tcPr>
            <w:tcW w:w="2407" w:type="dxa"/>
          </w:tcPr>
          <w:p>
            <w:pPr>
              <w:pStyle w:val="TableParagraph"/>
              <w:spacing w:line="322" w:lineRule="exact" w:before="75"/>
              <w:ind w:left="190"/>
              <w:rPr>
                <w:rFonts w:ascii="等线" w:eastAsia="等线" w:hint="eastAsia"/>
                <w:b/>
                <w:sz w:val="24"/>
              </w:rPr>
            </w:pPr>
            <w:r>
              <w:rPr>
                <w:rFonts w:ascii="等线" w:eastAsia="等线" w:hint="eastAsia"/>
                <w:b/>
                <w:sz w:val="24"/>
              </w:rPr>
              <w:t>严重肝豆状核变性</w:t>
            </w:r>
          </w:p>
          <w:p>
            <w:pPr>
              <w:pStyle w:val="TableParagraph"/>
              <w:spacing w:line="322" w:lineRule="exact"/>
              <w:ind w:left="190"/>
              <w:rPr>
                <w:rFonts w:ascii="等线" w:eastAsia="等线" w:hint="eastAsia"/>
                <w:b/>
                <w:sz w:val="24"/>
              </w:rPr>
            </w:pPr>
            <w:r>
              <w:rPr>
                <w:rFonts w:ascii="等线" w:eastAsia="等线" w:hint="eastAsia"/>
                <w:b/>
                <w:sz w:val="24"/>
              </w:rPr>
              <w:t>（Wilson 病）</w:t>
            </w:r>
          </w:p>
        </w:tc>
        <w:tc>
          <w:tcPr>
            <w:tcW w:w="7124" w:type="dxa"/>
          </w:tcPr>
          <w:p>
            <w:pPr>
              <w:pStyle w:val="TableParagraph"/>
              <w:spacing w:line="273" w:lineRule="auto" w:before="110"/>
              <w:ind w:right="226"/>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3" w:lineRule="auto" w:before="7"/>
              <w:ind w:left="623" w:right="197" w:hanging="526"/>
              <w:rPr>
                <w:sz w:val="21"/>
              </w:rPr>
            </w:pPr>
            <w:r>
              <w:rPr>
                <w:sz w:val="21"/>
              </w:rPr>
              <w:t>（1）临床表现包括：进行性加剧的肢体震颤，肌强直，吞咽及发音困难， 精神异常；</w:t>
            </w:r>
          </w:p>
          <w:p>
            <w:pPr>
              <w:pStyle w:val="TableParagraph"/>
              <w:spacing w:before="7"/>
              <w:rPr>
                <w:sz w:val="21"/>
              </w:rPr>
            </w:pPr>
            <w:r>
              <w:rPr>
                <w:sz w:val="21"/>
              </w:rPr>
              <w:t>（2）</w:t>
            </w:r>
            <w:r>
              <w:rPr>
                <w:spacing w:val="-3"/>
                <w:sz w:val="21"/>
              </w:rPr>
              <w:t>角膜色素环</w:t>
            </w:r>
            <w:r>
              <w:rPr>
                <w:sz w:val="21"/>
              </w:rPr>
              <w:t>（K-F</w:t>
            </w:r>
            <w:r>
              <w:rPr>
                <w:spacing w:val="-25"/>
                <w:sz w:val="21"/>
              </w:rPr>
              <w:t> 环</w:t>
            </w:r>
            <w:r>
              <w:rPr>
                <w:spacing w:val="-106"/>
                <w:sz w:val="21"/>
              </w:rPr>
              <w:t>）；</w:t>
            </w:r>
          </w:p>
          <w:p>
            <w:pPr>
              <w:pStyle w:val="TableParagraph"/>
              <w:spacing w:before="36"/>
              <w:rPr>
                <w:sz w:val="21"/>
              </w:rPr>
            </w:pPr>
            <w:r>
              <w:rPr>
                <w:sz w:val="21"/>
              </w:rPr>
              <w:t>（3）血清铜和血清铜蓝蛋白降低，尿铜增加；</w:t>
            </w:r>
          </w:p>
          <w:p>
            <w:pPr>
              <w:pStyle w:val="TableParagraph"/>
              <w:spacing w:before="36"/>
              <w:rPr>
                <w:sz w:val="21"/>
              </w:rPr>
            </w:pPr>
            <w:r>
              <w:rPr>
                <w:sz w:val="21"/>
              </w:rPr>
              <w:t>（4）食管静脉曲张；</w:t>
            </w:r>
          </w:p>
          <w:p>
            <w:pPr>
              <w:pStyle w:val="TableParagraph"/>
              <w:spacing w:line="255" w:lineRule="exact" w:before="36"/>
              <w:rPr>
                <w:sz w:val="21"/>
              </w:rPr>
            </w:pPr>
            <w:r>
              <w:rPr>
                <w:sz w:val="21"/>
              </w:rPr>
              <w:t>（5）腹水。</w:t>
            </w:r>
          </w:p>
        </w:tc>
      </w:tr>
    </w:tbl>
    <w:p>
      <w:pPr>
        <w:spacing w:after="0" w:line="255" w:lineRule="exact"/>
        <w:rPr>
          <w:sz w:val="21"/>
        </w:rPr>
        <w:sectPr>
          <w:pgSz w:w="11910" w:h="16840"/>
          <w:pgMar w:top="1140" w:bottom="280" w:left="880" w:right="680"/>
        </w:sectPr>
      </w:pPr>
    </w:p>
    <w:p>
      <w:pPr>
        <w:pStyle w:val="Heading2"/>
        <w:numPr>
          <w:ilvl w:val="0"/>
          <w:numId w:val="10"/>
        </w:numPr>
        <w:tabs>
          <w:tab w:pos="695" w:val="left" w:leader="none"/>
          <w:tab w:pos="696" w:val="left" w:leader="none"/>
        </w:tabs>
        <w:spacing w:line="235" w:lineRule="auto" w:before="12" w:after="0"/>
        <w:ind w:left="696" w:right="0" w:hanging="593"/>
        <w:jc w:val="left"/>
      </w:pPr>
      <w:r>
        <w:rPr>
          <w:spacing w:val="22"/>
          <w:position w:val="1"/>
        </w:rPr>
        <w:t>严重自身免疫性肝</w:t>
      </w:r>
      <w:r>
        <w:rPr/>
        <w:t>炎</w:t>
      </w:r>
    </w:p>
    <w:p>
      <w:pPr>
        <w:pStyle w:val="BodyText"/>
        <w:spacing w:line="273" w:lineRule="auto" w:before="42"/>
        <w:ind w:left="103" w:right="116"/>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8"/>
        <w:ind w:left="103"/>
      </w:pPr>
      <w:r>
        <w:rPr/>
        <w:t>（1）高γ球蛋白血症；</w:t>
      </w:r>
    </w:p>
    <w:p>
      <w:pPr>
        <w:pStyle w:val="BodyText"/>
        <w:spacing w:line="273" w:lineRule="auto" w:before="37"/>
        <w:ind w:left="628" w:right="120" w:hanging="526"/>
      </w:pPr>
      <w:r>
        <w:rPr/>
        <w:t>（2）</w:t>
      </w:r>
      <w:r>
        <w:rPr>
          <w:spacing w:val="-4"/>
        </w:rPr>
        <w:t>血液中存在高水平的自身免疫抗体，如 </w:t>
      </w:r>
      <w:r>
        <w:rPr/>
        <w:t>ANA（</w:t>
      </w:r>
      <w:r>
        <w:rPr>
          <w:spacing w:val="-1"/>
        </w:rPr>
        <w:t>抗核抗体</w:t>
      </w:r>
      <w:r>
        <w:rPr>
          <w:spacing w:val="-109"/>
        </w:rPr>
        <w:t>）</w:t>
      </w:r>
      <w:r>
        <w:rPr/>
        <w:t>、SMA（</w:t>
      </w:r>
      <w:r>
        <w:rPr>
          <w:spacing w:val="-3"/>
        </w:rPr>
        <w:t>抗平</w:t>
      </w:r>
      <w:r>
        <w:rPr>
          <w:spacing w:val="-1"/>
        </w:rPr>
        <w:t>滑肌抗体</w:t>
      </w:r>
      <w:r>
        <w:rPr>
          <w:spacing w:val="-108"/>
        </w:rPr>
        <w:t>）</w:t>
      </w:r>
      <w:r>
        <w:rPr>
          <w:spacing w:val="-17"/>
        </w:rPr>
        <w:t>、抗 </w:t>
      </w:r>
      <w:r>
        <w:rPr/>
        <w:t>LKM1</w:t>
      </w:r>
      <w:r>
        <w:rPr>
          <w:spacing w:val="-10"/>
        </w:rPr>
        <w:t> 抗体或抗-</w:t>
      </w:r>
      <w:r>
        <w:rPr/>
        <w:t>SLA/LP</w:t>
      </w:r>
      <w:r>
        <w:rPr>
          <w:spacing w:val="-14"/>
        </w:rPr>
        <w:t> 抗体；</w:t>
      </w:r>
    </w:p>
    <w:p>
      <w:pPr>
        <w:pStyle w:val="BodyText"/>
        <w:spacing w:before="7"/>
        <w:ind w:left="103"/>
        <w:jc w:val="both"/>
      </w:pPr>
      <w:r>
        <w:rPr/>
        <w:t>（3）肝脏活检证实免疫性肝炎；</w:t>
      </w:r>
    </w:p>
    <w:p>
      <w:pPr>
        <w:pStyle w:val="BodyText"/>
        <w:spacing w:before="36"/>
        <w:ind w:left="103"/>
        <w:jc w:val="both"/>
      </w:pPr>
      <w:r>
        <w:rPr/>
        <w:t>（4）临床已经出现腹水、食道静脉曲张和脾肿大等肝硬化表现。</w:t>
      </w:r>
    </w:p>
    <w:p>
      <w:pPr>
        <w:spacing w:after="0"/>
        <w:jc w:val="both"/>
        <w:sectPr>
          <w:pgSz w:w="11910" w:h="16840"/>
          <w:pgMar w:top="1060" w:bottom="280" w:left="1080" w:right="900"/>
          <w:cols w:num="2" w:equalWidth="0">
            <w:col w:w="2816" w:space="91"/>
            <w:col w:w="7023"/>
          </w:cols>
        </w:sectPr>
      </w:pPr>
    </w:p>
    <w:p>
      <w:pPr>
        <w:pStyle w:val="BodyText"/>
        <w:spacing w:before="1"/>
        <w:rPr>
          <w:sz w:val="18"/>
        </w:rPr>
      </w:pPr>
    </w:p>
    <w:p>
      <w:pPr>
        <w:spacing w:after="0"/>
        <w:rPr>
          <w:sz w:val="18"/>
        </w:rPr>
        <w:sectPr>
          <w:type w:val="continuous"/>
          <w:pgSz w:w="11910" w:h="16840"/>
          <w:pgMar w:top="540" w:bottom="280" w:left="1080" w:right="900"/>
        </w:sectPr>
      </w:pPr>
    </w:p>
    <w:p>
      <w:pPr>
        <w:pStyle w:val="Heading2"/>
        <w:numPr>
          <w:ilvl w:val="0"/>
          <w:numId w:val="10"/>
        </w:numPr>
        <w:tabs>
          <w:tab w:pos="695" w:val="left" w:leader="none"/>
          <w:tab w:pos="696" w:val="left" w:leader="none"/>
        </w:tabs>
        <w:spacing w:line="232" w:lineRule="auto" w:before="31" w:after="0"/>
        <w:ind w:left="696" w:right="0" w:hanging="593"/>
        <w:jc w:val="left"/>
      </w:pPr>
      <w:r>
        <w:rPr>
          <w:spacing w:val="22"/>
          <w:position w:val="1"/>
        </w:rPr>
        <w:t>严重弥漫性系统性</w:t>
      </w:r>
      <w:r>
        <w:rPr/>
        <w:t>硬皮病</w:t>
      </w:r>
    </w:p>
    <w:p>
      <w:pPr>
        <w:pStyle w:val="BodyText"/>
        <w:spacing w:line="273" w:lineRule="auto" w:before="57"/>
        <w:ind w:left="103" w:right="110"/>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3"/>
      </w:pPr>
      <w:r>
        <w:rPr/>
        <w:t>（1）肺纤维化，已经出现肺动脉高压、肺心病；</w:t>
      </w:r>
    </w:p>
    <w:p>
      <w:pPr>
        <w:pStyle w:val="BodyText"/>
        <w:spacing w:line="273" w:lineRule="auto" w:before="36"/>
        <w:ind w:left="628" w:right="78" w:hanging="526"/>
      </w:pPr>
      <w:r>
        <w:rPr/>
        <w:t>（2）心脏功能损害，心脏功能衰竭程度达到纽约心脏病学会的心功能分级标准之心功能 IV 级；</w:t>
      </w:r>
    </w:p>
    <w:p>
      <w:pPr>
        <w:pStyle w:val="BodyText"/>
        <w:spacing w:line="273" w:lineRule="auto" w:before="7"/>
        <w:ind w:left="103" w:right="2819"/>
      </w:pPr>
      <w:r>
        <w:rPr/>
        <w:t>（3）肾脏功能损害，已经出现肾功能衰竭。</w:t>
      </w:r>
      <w:r>
        <w:rPr>
          <w:shd w:fill="DADADA" w:color="auto" w:val="clear"/>
        </w:rPr>
        <w:t>下列疾病不在保障范围内：</w:t>
      </w:r>
    </w:p>
    <w:p>
      <w:pPr>
        <w:pStyle w:val="BodyText"/>
        <w:spacing w:before="7"/>
        <w:ind w:left="103"/>
        <w:jc w:val="both"/>
      </w:pPr>
      <w:r>
        <w:rPr>
          <w:shd w:fill="DADADA" w:color="auto" w:val="clear"/>
        </w:rPr>
        <w:t>（1）局限硬皮病；</w:t>
      </w:r>
    </w:p>
    <w:p>
      <w:pPr>
        <w:pStyle w:val="BodyText"/>
        <w:spacing w:before="36"/>
        <w:ind w:left="103"/>
        <w:jc w:val="both"/>
      </w:pPr>
      <w:r>
        <w:rPr>
          <w:shd w:fill="DADADA" w:color="auto" w:val="clear"/>
        </w:rPr>
        <w:t>（2）嗜酸细胞筋膜炎；</w:t>
      </w:r>
    </w:p>
    <w:p>
      <w:pPr>
        <w:pStyle w:val="BodyText"/>
        <w:spacing w:before="36"/>
        <w:ind w:left="103"/>
        <w:jc w:val="both"/>
      </w:pPr>
      <w:r>
        <w:rPr>
          <w:shd w:fill="DADADA" w:color="auto" w:val="clear"/>
        </w:rPr>
        <w:t>（3）CREST 综合征。</w:t>
      </w:r>
    </w:p>
    <w:p>
      <w:pPr>
        <w:spacing w:after="0"/>
        <w:jc w:val="both"/>
        <w:sectPr>
          <w:type w:val="continuous"/>
          <w:pgSz w:w="11910" w:h="16840"/>
          <w:pgMar w:top="540" w:bottom="280" w:left="1080" w:right="900"/>
          <w:cols w:num="2" w:equalWidth="0">
            <w:col w:w="2816" w:space="91"/>
            <w:col w:w="7023"/>
          </w:cols>
        </w:sectPr>
      </w:pPr>
    </w:p>
    <w:p>
      <w:pPr>
        <w:pStyle w:val="BodyText"/>
        <w:spacing w:before="12"/>
        <w:rPr>
          <w:sz w:val="17"/>
        </w:rPr>
      </w:pPr>
    </w:p>
    <w:p>
      <w:pPr>
        <w:pStyle w:val="ListParagraph"/>
        <w:numPr>
          <w:ilvl w:val="0"/>
          <w:numId w:val="10"/>
        </w:numPr>
        <w:tabs>
          <w:tab w:pos="696" w:val="left" w:leader="none"/>
        </w:tabs>
        <w:spacing w:line="254" w:lineRule="auto" w:before="20" w:after="0"/>
        <w:ind w:left="3009" w:right="116" w:hanging="2906"/>
        <w:jc w:val="both"/>
        <w:rPr>
          <w:sz w:val="21"/>
        </w:rPr>
      </w:pPr>
      <w:r>
        <w:rPr>
          <w:rFonts w:ascii="等线" w:eastAsia="等线" w:hint="eastAsia"/>
          <w:b/>
          <w:position w:val="1"/>
          <w:sz w:val="24"/>
        </w:rPr>
        <w:t>肺淋巴管ft</w:t>
      </w:r>
      <w:r>
        <w:rPr>
          <w:rFonts w:ascii="等线" w:eastAsia="等线" w:hint="eastAsia"/>
          <w:b/>
          <w:spacing w:val="2"/>
          <w:position w:val="1"/>
          <w:sz w:val="24"/>
        </w:rPr>
        <w:t>瘤病         </w:t>
      </w:r>
      <w:r>
        <w:rPr>
          <w:sz w:val="21"/>
        </w:rPr>
        <w:t>是一种弥漫性肺部疾病，主要病理改变为肺间质、支气管、血管和淋巴管</w:t>
      </w:r>
      <w:r>
        <w:rPr>
          <w:spacing w:val="-3"/>
          <w:sz w:val="21"/>
        </w:rPr>
        <w:t>内出现未成熟的平滑肌异常增生，并须同时满足下列全部条件：</w:t>
      </w:r>
    </w:p>
    <w:p>
      <w:pPr>
        <w:pStyle w:val="BodyText"/>
        <w:spacing w:before="24"/>
        <w:ind w:left="3009"/>
      </w:pPr>
      <w:r>
        <w:rPr/>
        <w:t>（1）经组织病理学诊断；</w:t>
      </w:r>
    </w:p>
    <w:p>
      <w:pPr>
        <w:pStyle w:val="BodyText"/>
        <w:spacing w:before="37"/>
        <w:ind w:left="3009"/>
      </w:pPr>
      <w:r>
        <w:rPr/>
        <w:t>（2）CT 显示双肺弥漫性囊性改变；</w:t>
      </w:r>
    </w:p>
    <w:p>
      <w:pPr>
        <w:pStyle w:val="BodyText"/>
        <w:spacing w:before="37"/>
        <w:ind w:left="3010"/>
      </w:pPr>
      <w:r>
        <w:rPr/>
        <w:t>（3）血气提示低氧血症。</w:t>
      </w:r>
    </w:p>
    <w:p>
      <w:pPr>
        <w:pStyle w:val="BodyText"/>
        <w:spacing w:before="6"/>
        <w:rPr>
          <w:sz w:val="19"/>
        </w:rPr>
      </w:pPr>
    </w:p>
    <w:p>
      <w:pPr>
        <w:pStyle w:val="ListParagraph"/>
        <w:numPr>
          <w:ilvl w:val="0"/>
          <w:numId w:val="10"/>
        </w:numPr>
        <w:tabs>
          <w:tab w:pos="696" w:val="left" w:leader="none"/>
        </w:tabs>
        <w:spacing w:line="264" w:lineRule="auto" w:before="0" w:after="0"/>
        <w:ind w:left="3009" w:right="113" w:hanging="2906"/>
        <w:jc w:val="both"/>
        <w:rPr>
          <w:sz w:val="21"/>
        </w:rPr>
      </w:pPr>
      <w:r>
        <w:rPr>
          <w:rFonts w:ascii="等线" w:eastAsia="等线" w:hint="eastAsia"/>
          <w:b/>
          <w:spacing w:val="0"/>
          <w:position w:val="1"/>
          <w:sz w:val="24"/>
        </w:rPr>
        <w:t>肺泡蛋白质沉积症    </w:t>
      </w:r>
      <w:r>
        <w:rPr>
          <w:spacing w:val="-4"/>
          <w:sz w:val="21"/>
        </w:rPr>
        <w:t>指肺泡和细支气管腔内充满不可溶性富磷脂蛋白的疾病，胸部 </w:t>
      </w:r>
      <w:r>
        <w:rPr>
          <w:sz w:val="21"/>
        </w:rPr>
        <w:t>X</w:t>
      </w:r>
      <w:r>
        <w:rPr>
          <w:spacing w:val="-4"/>
          <w:sz w:val="21"/>
        </w:rPr>
        <w:t> 线呈双肺</w:t>
      </w:r>
      <w:r>
        <w:rPr>
          <w:spacing w:val="-5"/>
          <w:sz w:val="21"/>
        </w:rPr>
        <w:t>弥漫性肺部磨玻璃影，病理学检查肺泡内充满有过碘酸雪夫</w:t>
      </w:r>
      <w:r>
        <w:rPr>
          <w:spacing w:val="-4"/>
          <w:sz w:val="21"/>
        </w:rPr>
        <w:t>（PAS）</w:t>
      </w:r>
      <w:r>
        <w:rPr>
          <w:spacing w:val="-2"/>
          <w:sz w:val="21"/>
        </w:rPr>
        <w:t>染色阳</w:t>
      </w:r>
      <w:r>
        <w:rPr>
          <w:spacing w:val="-3"/>
          <w:sz w:val="21"/>
        </w:rPr>
        <w:t>性的蛋白样物质，并且接受了肺灌洗治疗。</w:t>
      </w:r>
    </w:p>
    <w:p>
      <w:pPr>
        <w:pStyle w:val="BodyText"/>
        <w:spacing w:before="11"/>
        <w:rPr>
          <w:sz w:val="17"/>
        </w:rPr>
      </w:pPr>
    </w:p>
    <w:p>
      <w:pPr>
        <w:pStyle w:val="ListParagraph"/>
        <w:numPr>
          <w:ilvl w:val="0"/>
          <w:numId w:val="10"/>
        </w:numPr>
        <w:tabs>
          <w:tab w:pos="696" w:val="left" w:leader="none"/>
        </w:tabs>
        <w:spacing w:line="266" w:lineRule="auto" w:before="0" w:after="0"/>
        <w:ind w:left="3009" w:right="116" w:hanging="2906"/>
        <w:jc w:val="both"/>
        <w:rPr>
          <w:sz w:val="21"/>
        </w:rPr>
      </w:pPr>
      <w:r>
        <w:rPr>
          <w:rFonts w:ascii="等线" w:eastAsia="等线" w:hint="eastAsia"/>
          <w:b/>
          <w:spacing w:val="5"/>
          <w:position w:val="1"/>
          <w:sz w:val="24"/>
        </w:rPr>
        <w:t>慢性复发性胰腺炎    </w:t>
      </w:r>
      <w:r>
        <w:rPr>
          <w:sz w:val="21"/>
        </w:rPr>
        <w:t>有腹痛等典型症状的胰腺炎反复发作，导致胰腺进行性破坏、胰腺功能紊</w:t>
      </w:r>
      <w:r>
        <w:rPr>
          <w:spacing w:val="-3"/>
          <w:sz w:val="21"/>
        </w:rPr>
        <w:t>乱致糖尿病、营养不良。</w:t>
      </w:r>
      <w:r>
        <w:rPr>
          <w:sz w:val="21"/>
        </w:rPr>
        <w:t>CT</w:t>
      </w:r>
      <w:r>
        <w:rPr>
          <w:spacing w:val="-3"/>
          <w:sz w:val="21"/>
        </w:rPr>
        <w:t> 检查证实胰腺存在广泛钙化，且必须接受酶替代以及胰岛素替代治疗 </w:t>
      </w:r>
      <w:r>
        <w:rPr>
          <w:sz w:val="21"/>
        </w:rPr>
        <w:t>6</w:t>
      </w:r>
      <w:r>
        <w:rPr>
          <w:spacing w:val="-3"/>
          <w:sz w:val="21"/>
        </w:rPr>
        <w:t> 个月以上、手术或介入治疗。此病症须经专科医</w:t>
      </w:r>
      <w:r>
        <w:rPr>
          <w:spacing w:val="-2"/>
          <w:sz w:val="21"/>
        </w:rPr>
        <w:t>生明确诊断。</w:t>
      </w:r>
    </w:p>
    <w:p>
      <w:pPr>
        <w:pStyle w:val="BodyText"/>
        <w:spacing w:before="14"/>
        <w:ind w:left="3009"/>
      </w:pPr>
      <w:r>
        <w:rPr>
          <w:shd w:fill="DADADA" w:color="auto" w:val="clear"/>
        </w:rPr>
        <w:t>因酗酒或饮酒过量所致的慢性复发性胰腺炎不在保障范围内。</w:t>
      </w:r>
    </w:p>
    <w:p>
      <w:pPr>
        <w:pStyle w:val="BodyText"/>
        <w:spacing w:before="2"/>
        <w:rPr>
          <w:sz w:val="18"/>
        </w:rPr>
      </w:pPr>
    </w:p>
    <w:p>
      <w:pPr>
        <w:spacing w:after="0"/>
        <w:rPr>
          <w:sz w:val="18"/>
        </w:rPr>
        <w:sectPr>
          <w:type w:val="continuous"/>
          <w:pgSz w:w="11910" w:h="16840"/>
          <w:pgMar w:top="540" w:bottom="280" w:left="1080" w:right="900"/>
        </w:sectPr>
      </w:pPr>
    </w:p>
    <w:p>
      <w:pPr>
        <w:pStyle w:val="Heading2"/>
        <w:numPr>
          <w:ilvl w:val="0"/>
          <w:numId w:val="10"/>
        </w:numPr>
        <w:tabs>
          <w:tab w:pos="695" w:val="left" w:leader="none"/>
          <w:tab w:pos="696" w:val="left" w:leader="none"/>
        </w:tabs>
        <w:spacing w:line="232" w:lineRule="auto" w:before="30" w:after="0"/>
        <w:ind w:left="696" w:right="0" w:hanging="593"/>
        <w:jc w:val="left"/>
      </w:pPr>
      <w:r>
        <w:rPr>
          <w:spacing w:val="22"/>
          <w:position w:val="1"/>
        </w:rPr>
        <w:t>特发性慢性肾上腺</w:t>
      </w:r>
      <w:r>
        <w:rPr/>
        <w:t>皮质功能减退</w:t>
      </w:r>
    </w:p>
    <w:p>
      <w:pPr>
        <w:pStyle w:val="BodyText"/>
        <w:spacing w:line="273" w:lineRule="auto" w:before="56"/>
        <w:ind w:left="103" w:right="116"/>
      </w:pPr>
      <w:r>
        <w:rPr/>
        <w:br w:type="column"/>
      </w:r>
      <w:r>
        <w:rPr/>
        <w:t>指原发性自身免疫性肾上腺炎，导致肾上腺萎缩和慢性肾上腺皮质功能减退。必须满足所有以下条件：</w:t>
      </w:r>
    </w:p>
    <w:p>
      <w:pPr>
        <w:pStyle w:val="BodyText"/>
        <w:spacing w:before="7"/>
        <w:ind w:left="103"/>
      </w:pPr>
      <w:r>
        <w:rPr/>
        <w:t>（1）明确诊断，符合所有以下诊断标准：</w:t>
      </w:r>
    </w:p>
    <w:p>
      <w:pPr>
        <w:pStyle w:val="BodyText"/>
        <w:spacing w:before="37"/>
        <w:ind w:left="314"/>
      </w:pPr>
      <w:r>
        <w:rPr/>
        <w:t>① 血浆促肾上腺皮质激素（ACTH）水平测定大于 100pg/ml；</w:t>
      </w:r>
    </w:p>
    <w:p>
      <w:pPr>
        <w:pStyle w:val="BodyText"/>
        <w:spacing w:line="273" w:lineRule="auto" w:before="37"/>
        <w:ind w:left="614" w:right="119" w:hanging="301"/>
        <w:jc w:val="both"/>
      </w:pPr>
      <w:r>
        <w:rPr>
          <w:spacing w:val="-6"/>
        </w:rPr>
        <w:t>② 血浆和尿游离皮质醇及尿 </w:t>
      </w:r>
      <w:r>
        <w:rPr/>
        <w:t>17</w:t>
      </w:r>
      <w:r>
        <w:rPr>
          <w:spacing w:val="-8"/>
        </w:rPr>
        <w:t> 羟皮质类固醇、</w:t>
      </w:r>
      <w:r>
        <w:rPr/>
        <w:t>17</w:t>
      </w:r>
      <w:r>
        <w:rPr>
          <w:spacing w:val="-8"/>
        </w:rPr>
        <w:t> 酮皮质类固醇测定、</w:t>
      </w:r>
      <w:r>
        <w:rPr>
          <w:spacing w:val="-5"/>
        </w:rPr>
        <w:t>血浆肾素活性、血管紧张素Ⅱ和醛固酮测定，显示为原发性肾上腺皮</w:t>
      </w:r>
      <w:r>
        <w:rPr>
          <w:spacing w:val="-2"/>
        </w:rPr>
        <w:t>质功能减退症；</w:t>
      </w:r>
    </w:p>
    <w:p>
      <w:pPr>
        <w:pStyle w:val="BodyText"/>
        <w:spacing w:line="273" w:lineRule="auto" w:before="7"/>
        <w:ind w:left="614" w:right="116" w:hanging="293"/>
        <w:jc w:val="both"/>
      </w:pPr>
      <w:r>
        <w:rPr>
          <w:spacing w:val="-2"/>
        </w:rPr>
        <w:t>③ 促肾上腺皮质激素</w:t>
      </w:r>
      <w:r>
        <w:rPr>
          <w:spacing w:val="-4"/>
        </w:rPr>
        <w:t>（ACTH）</w:t>
      </w:r>
      <w:r>
        <w:rPr>
          <w:spacing w:val="-3"/>
        </w:rPr>
        <w:t>刺激试验显示为原发性肾上腺皮质功能减</w:t>
      </w:r>
      <w:r>
        <w:rPr/>
        <w:t>退症。</w:t>
      </w:r>
    </w:p>
    <w:p>
      <w:pPr>
        <w:pStyle w:val="BodyText"/>
        <w:spacing w:before="7"/>
        <w:ind w:left="103"/>
      </w:pPr>
      <w:r>
        <w:rPr/>
        <w:t>（2）已经采用皮质类固醇替代治疗 180 天以上。</w:t>
      </w:r>
    </w:p>
    <w:p>
      <w:pPr>
        <w:spacing w:after="0"/>
        <w:sectPr>
          <w:type w:val="continuous"/>
          <w:pgSz w:w="11910" w:h="16840"/>
          <w:pgMar w:top="540" w:bottom="280" w:left="1080" w:right="900"/>
          <w:cols w:num="2" w:equalWidth="0">
            <w:col w:w="2816" w:space="91"/>
            <w:col w:w="7023"/>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199"/>
      </w:tblGrid>
      <w:tr>
        <w:trPr>
          <w:trHeight w:val="1330" w:hRule="atLeast"/>
        </w:trPr>
        <w:tc>
          <w:tcPr>
            <w:tcW w:w="602" w:type="dxa"/>
          </w:tcPr>
          <w:p>
            <w:pPr>
              <w:pStyle w:val="TableParagraph"/>
              <w:ind w:left="0"/>
              <w:rPr>
                <w:rFonts w:ascii="Times New Roman"/>
                <w:sz w:val="20"/>
              </w:rPr>
            </w:pPr>
          </w:p>
        </w:tc>
        <w:tc>
          <w:tcPr>
            <w:tcW w:w="2407" w:type="dxa"/>
          </w:tcPr>
          <w:p>
            <w:pPr>
              <w:pStyle w:val="TableParagraph"/>
              <w:ind w:left="0"/>
              <w:rPr>
                <w:rFonts w:ascii="Times New Roman"/>
                <w:sz w:val="20"/>
              </w:rPr>
            </w:pPr>
          </w:p>
        </w:tc>
        <w:tc>
          <w:tcPr>
            <w:tcW w:w="7199" w:type="dxa"/>
          </w:tcPr>
          <w:p>
            <w:pPr>
              <w:pStyle w:val="TableParagraph"/>
              <w:spacing w:line="211" w:lineRule="exact"/>
              <w:rPr>
                <w:sz w:val="21"/>
              </w:rPr>
            </w:pPr>
            <w:r>
              <w:rPr>
                <w:sz w:val="21"/>
                <w:shd w:fill="DADADA" w:color="auto" w:val="clear"/>
              </w:rPr>
              <w:t>本保障仅包括由自身免疫功能紊乱所导致的慢性肾上腺功能不全，其他成</w:t>
            </w:r>
          </w:p>
          <w:p>
            <w:pPr>
              <w:pStyle w:val="TableParagraph"/>
              <w:spacing w:line="273" w:lineRule="auto" w:before="37"/>
              <w:ind w:right="300"/>
              <w:jc w:val="both"/>
              <w:rPr>
                <w:sz w:val="21"/>
              </w:rPr>
            </w:pPr>
            <w:r>
              <w:rPr>
                <w:spacing w:val="-15"/>
                <w:sz w:val="21"/>
                <w:shd w:fill="DADADA" w:color="auto" w:val="clear"/>
              </w:rPr>
              <w:t>因</w:t>
            </w:r>
            <w:r>
              <w:rPr>
                <w:sz w:val="21"/>
                <w:shd w:fill="DADADA" w:color="auto" w:val="clear"/>
              </w:rPr>
              <w:t>（</w:t>
            </w:r>
            <w:r>
              <w:rPr>
                <w:spacing w:val="-6"/>
                <w:sz w:val="21"/>
                <w:shd w:fill="DADADA" w:color="auto" w:val="clear"/>
              </w:rPr>
              <w:t>包括但不限于：肾上腺结核、</w:t>
            </w:r>
            <w:r>
              <w:rPr>
                <w:sz w:val="21"/>
                <w:shd w:fill="DADADA" w:color="auto" w:val="clear"/>
              </w:rPr>
              <w:t>HIV</w:t>
            </w:r>
            <w:r>
              <w:rPr>
                <w:spacing w:val="-9"/>
                <w:sz w:val="21"/>
                <w:shd w:fill="DADADA" w:color="auto" w:val="clear"/>
              </w:rPr>
              <w:t> 感染或艾滋病、感染、肿瘤</w:t>
            </w:r>
            <w:r>
              <w:rPr>
                <w:spacing w:val="-17"/>
                <w:sz w:val="21"/>
                <w:shd w:fill="DADADA" w:color="auto" w:val="clear"/>
              </w:rPr>
              <w:t>）</w:t>
            </w:r>
            <w:r>
              <w:rPr>
                <w:spacing w:val="-2"/>
                <w:sz w:val="21"/>
                <w:shd w:fill="DADADA" w:color="auto" w:val="clear"/>
              </w:rPr>
              <w:t>所致的原发</w:t>
            </w:r>
            <w:r>
              <w:rPr>
                <w:spacing w:val="-16"/>
                <w:sz w:val="21"/>
                <w:shd w:fill="DADADA" w:color="auto" w:val="clear"/>
              </w:rPr>
              <w:t>性肾上腺皮质功能减退和继发性肾上腺皮质功能减退均不在保障范围内。</w:t>
            </w:r>
          </w:p>
        </w:tc>
      </w:tr>
      <w:tr>
        <w:trPr>
          <w:trHeight w:val="1220" w:hRule="atLeast"/>
        </w:trPr>
        <w:tc>
          <w:tcPr>
            <w:tcW w:w="602" w:type="dxa"/>
          </w:tcPr>
          <w:p>
            <w:pPr>
              <w:pStyle w:val="TableParagraph"/>
              <w:spacing w:before="139"/>
              <w:ind w:left="179" w:right="170"/>
              <w:jc w:val="center"/>
              <w:rPr>
                <w:b/>
                <w:sz w:val="21"/>
              </w:rPr>
            </w:pPr>
            <w:r>
              <w:rPr>
                <w:b/>
                <w:sz w:val="21"/>
              </w:rPr>
              <w:t>37</w:t>
            </w:r>
          </w:p>
        </w:tc>
        <w:tc>
          <w:tcPr>
            <w:tcW w:w="2407" w:type="dxa"/>
          </w:tcPr>
          <w:p>
            <w:pPr>
              <w:pStyle w:val="TableParagraph"/>
              <w:spacing w:line="232" w:lineRule="auto" w:before="113"/>
              <w:ind w:left="190" w:right="96"/>
              <w:rPr>
                <w:rFonts w:ascii="等线" w:eastAsia="等线" w:hint="eastAsia"/>
                <w:b/>
                <w:sz w:val="24"/>
              </w:rPr>
            </w:pPr>
            <w:r>
              <w:rPr>
                <w:rFonts w:ascii="等线" w:eastAsia="等线" w:hint="eastAsia"/>
                <w:b/>
                <w:sz w:val="24"/>
              </w:rPr>
              <w:t>严重小肠疾病并发症</w:t>
            </w:r>
          </w:p>
        </w:tc>
        <w:tc>
          <w:tcPr>
            <w:tcW w:w="7199" w:type="dxa"/>
          </w:tcPr>
          <w:p>
            <w:pPr>
              <w:pStyle w:val="TableParagraph"/>
              <w:spacing w:before="139"/>
              <w:rPr>
                <w:sz w:val="21"/>
              </w:rPr>
            </w:pPr>
            <w:r>
              <w:rPr>
                <w:sz w:val="21"/>
              </w:rPr>
              <w:t>指严重肠道疾病或外伤导致小肠损害并发症，满足以下所有条件：</w:t>
            </w:r>
          </w:p>
          <w:p>
            <w:pPr>
              <w:pStyle w:val="TableParagraph"/>
              <w:spacing w:before="36"/>
              <w:rPr>
                <w:sz w:val="21"/>
              </w:rPr>
            </w:pPr>
            <w:r>
              <w:rPr>
                <w:sz w:val="21"/>
              </w:rPr>
              <w:t>（1）切除部分或全部小肠；</w:t>
            </w:r>
          </w:p>
          <w:p>
            <w:pPr>
              <w:pStyle w:val="TableParagraph"/>
              <w:spacing w:before="36"/>
              <w:rPr>
                <w:sz w:val="21"/>
              </w:rPr>
            </w:pPr>
            <w:r>
              <w:rPr>
                <w:sz w:val="21"/>
              </w:rPr>
              <w:t>（2）完全肠外营养支持三个月以上。</w:t>
            </w:r>
          </w:p>
        </w:tc>
      </w:tr>
      <w:tr>
        <w:trPr>
          <w:trHeight w:val="2467" w:hRule="atLeast"/>
        </w:trPr>
        <w:tc>
          <w:tcPr>
            <w:tcW w:w="602" w:type="dxa"/>
          </w:tcPr>
          <w:p>
            <w:pPr>
              <w:pStyle w:val="TableParagraph"/>
              <w:spacing w:before="138"/>
              <w:ind w:left="179" w:right="170"/>
              <w:jc w:val="center"/>
              <w:rPr>
                <w:b/>
                <w:sz w:val="21"/>
              </w:rPr>
            </w:pPr>
            <w:r>
              <w:rPr>
                <w:b/>
                <w:sz w:val="21"/>
              </w:rPr>
              <w:t>38</w:t>
            </w:r>
          </w:p>
        </w:tc>
        <w:tc>
          <w:tcPr>
            <w:tcW w:w="2407" w:type="dxa"/>
          </w:tcPr>
          <w:p>
            <w:pPr>
              <w:pStyle w:val="TableParagraph"/>
              <w:spacing w:line="232" w:lineRule="auto" w:before="112"/>
              <w:ind w:left="190" w:right="96"/>
              <w:rPr>
                <w:rFonts w:ascii="等线" w:eastAsia="等线" w:hint="eastAsia"/>
                <w:b/>
                <w:sz w:val="24"/>
              </w:rPr>
            </w:pPr>
            <w:r>
              <w:rPr>
                <w:rFonts w:ascii="等线" w:eastAsia="等线" w:hint="eastAsia"/>
                <w:b/>
                <w:sz w:val="24"/>
              </w:rPr>
              <w:t>严重的骨髓增生异常综合征</w:t>
            </w:r>
          </w:p>
        </w:tc>
        <w:tc>
          <w:tcPr>
            <w:tcW w:w="7199" w:type="dxa"/>
          </w:tcPr>
          <w:p>
            <w:pPr>
              <w:pStyle w:val="TableParagraph"/>
              <w:spacing w:before="138"/>
              <w:rPr>
                <w:sz w:val="21"/>
              </w:rPr>
            </w:pPr>
            <w:r>
              <w:rPr>
                <w:sz w:val="21"/>
              </w:rPr>
              <w:t>指起源于造血干细胞的一组骨髓克隆增生异常的疾病，符合世界卫生组织</w:t>
            </w:r>
          </w:p>
          <w:p>
            <w:pPr>
              <w:pStyle w:val="TableParagraph"/>
              <w:spacing w:line="273" w:lineRule="auto" w:before="37"/>
              <w:ind w:right="197"/>
              <w:rPr>
                <w:sz w:val="21"/>
              </w:rPr>
            </w:pPr>
            <w:r>
              <w:rPr>
                <w:spacing w:val="1"/>
                <w:w w:val="100"/>
                <w:sz w:val="21"/>
              </w:rPr>
              <w:t>（</w:t>
            </w:r>
            <w:r>
              <w:rPr>
                <w:w w:val="100"/>
                <w:sz w:val="21"/>
              </w:rPr>
              <w:t>WH</w:t>
            </w:r>
            <w:r>
              <w:rPr>
                <w:spacing w:val="1"/>
                <w:w w:val="100"/>
                <w:sz w:val="21"/>
              </w:rPr>
              <w:t>O</w:t>
            </w:r>
            <w:r>
              <w:rPr>
                <w:w w:val="100"/>
                <w:sz w:val="21"/>
              </w:rPr>
              <w:t>）</w:t>
            </w:r>
            <w:r>
              <w:rPr>
                <w:spacing w:val="-1"/>
                <w:w w:val="100"/>
                <w:sz w:val="21"/>
              </w:rPr>
              <w:t>分型方案中的、难治性贫血伴原始细胞增多-</w:t>
            </w:r>
            <w:r>
              <w:rPr>
                <w:spacing w:val="1"/>
                <w:w w:val="100"/>
                <w:sz w:val="21"/>
              </w:rPr>
              <w:t>1（</w:t>
            </w:r>
            <w:r>
              <w:rPr>
                <w:w w:val="100"/>
                <w:sz w:val="21"/>
              </w:rPr>
              <w:t>RA</w:t>
            </w:r>
            <w:r>
              <w:rPr>
                <w:spacing w:val="-3"/>
                <w:w w:val="100"/>
                <w:sz w:val="21"/>
              </w:rPr>
              <w:t>E</w:t>
            </w:r>
            <w:r>
              <w:rPr>
                <w:w w:val="100"/>
                <w:sz w:val="21"/>
              </w:rPr>
              <w:t>B-</w:t>
            </w:r>
            <w:r>
              <w:rPr>
                <w:spacing w:val="1"/>
                <w:w w:val="100"/>
                <w:sz w:val="21"/>
              </w:rPr>
              <w:t>1</w:t>
            </w:r>
            <w:r>
              <w:rPr>
                <w:spacing w:val="-106"/>
                <w:w w:val="100"/>
                <w:sz w:val="21"/>
              </w:rPr>
              <w:t>）</w:t>
            </w:r>
            <w:r>
              <w:rPr>
                <w:w w:val="100"/>
                <w:sz w:val="21"/>
              </w:rPr>
              <w:t>、难治性</w:t>
            </w:r>
            <w:r>
              <w:rPr>
                <w:spacing w:val="-3"/>
                <w:w w:val="100"/>
                <w:sz w:val="21"/>
              </w:rPr>
              <w:t>贫血伴原始细胞增多-</w:t>
            </w:r>
            <w:r>
              <w:rPr>
                <w:spacing w:val="-8"/>
                <w:w w:val="100"/>
                <w:sz w:val="21"/>
              </w:rPr>
              <w:t>2</w:t>
            </w:r>
            <w:r>
              <w:rPr>
                <w:spacing w:val="-3"/>
                <w:w w:val="100"/>
                <w:sz w:val="21"/>
              </w:rPr>
              <w:t>（R</w:t>
            </w:r>
            <w:r>
              <w:rPr>
                <w:w w:val="100"/>
                <w:sz w:val="21"/>
              </w:rPr>
              <w:t>AEB-2</w:t>
            </w:r>
            <w:r>
              <w:rPr>
                <w:spacing w:val="-108"/>
                <w:w w:val="100"/>
                <w:sz w:val="21"/>
              </w:rPr>
              <w:t>）</w:t>
            </w:r>
            <w:r>
              <w:rPr>
                <w:spacing w:val="-8"/>
                <w:w w:val="100"/>
                <w:sz w:val="21"/>
              </w:rPr>
              <w:t>、</w:t>
            </w:r>
            <w:r>
              <w:rPr>
                <w:w w:val="100"/>
                <w:sz w:val="21"/>
              </w:rPr>
              <w:t>M</w:t>
            </w:r>
            <w:r>
              <w:rPr>
                <w:spacing w:val="-3"/>
                <w:w w:val="100"/>
                <w:sz w:val="21"/>
              </w:rPr>
              <w:t>D</w:t>
            </w:r>
            <w:r>
              <w:rPr>
                <w:w w:val="100"/>
                <w:sz w:val="21"/>
              </w:rPr>
              <w:t>S-</w:t>
            </w:r>
            <w:r>
              <w:rPr>
                <w:spacing w:val="-5"/>
                <w:w w:val="100"/>
                <w:sz w:val="21"/>
              </w:rPr>
              <w:t>未分类</w:t>
            </w:r>
            <w:r>
              <w:rPr>
                <w:spacing w:val="-1"/>
                <w:w w:val="100"/>
                <w:sz w:val="21"/>
              </w:rPr>
              <w:t>（</w:t>
            </w:r>
            <w:r>
              <w:rPr>
                <w:w w:val="100"/>
                <w:sz w:val="21"/>
              </w:rPr>
              <w:t>M</w:t>
            </w:r>
            <w:r>
              <w:rPr>
                <w:spacing w:val="-3"/>
                <w:w w:val="100"/>
                <w:sz w:val="21"/>
              </w:rPr>
              <w:t>DS</w:t>
            </w:r>
            <w:r>
              <w:rPr>
                <w:w w:val="100"/>
                <w:sz w:val="21"/>
              </w:rPr>
              <w:t>-U</w:t>
            </w:r>
            <w:r>
              <w:rPr>
                <w:spacing w:val="-106"/>
                <w:w w:val="100"/>
                <w:sz w:val="21"/>
              </w:rPr>
              <w:t>）</w:t>
            </w:r>
            <w:r>
              <w:rPr>
                <w:spacing w:val="-8"/>
                <w:w w:val="100"/>
                <w:sz w:val="21"/>
              </w:rPr>
              <w:t>、</w:t>
            </w:r>
            <w:r>
              <w:rPr>
                <w:spacing w:val="-3"/>
                <w:w w:val="100"/>
                <w:sz w:val="21"/>
              </w:rPr>
              <w:t>M</w:t>
            </w:r>
            <w:r>
              <w:rPr>
                <w:w w:val="100"/>
                <w:sz w:val="21"/>
              </w:rPr>
              <w:t>DS</w:t>
            </w:r>
            <w:r>
              <w:rPr>
                <w:spacing w:val="-55"/>
                <w:sz w:val="21"/>
              </w:rPr>
              <w:t> </w:t>
            </w:r>
            <w:r>
              <w:rPr>
                <w:spacing w:val="-2"/>
                <w:w w:val="100"/>
                <w:sz w:val="21"/>
              </w:rPr>
              <w:t>伴单纯</w:t>
            </w:r>
            <w:r>
              <w:rPr>
                <w:spacing w:val="-53"/>
                <w:sz w:val="21"/>
              </w:rPr>
              <w:t> </w:t>
            </w:r>
            <w:r>
              <w:rPr>
                <w:w w:val="100"/>
                <w:sz w:val="21"/>
              </w:rPr>
              <w:t>5q</w:t>
            </w:r>
            <w:r>
              <w:rPr>
                <w:spacing w:val="-2"/>
                <w:w w:val="100"/>
                <w:sz w:val="21"/>
              </w:rPr>
              <w:t>-，</w:t>
            </w:r>
            <w:r>
              <w:rPr>
                <w:spacing w:val="-3"/>
                <w:sz w:val="21"/>
              </w:rPr>
              <w:t>且需满足下列所有条件：</w:t>
            </w:r>
          </w:p>
          <w:p>
            <w:pPr>
              <w:pStyle w:val="TableParagraph"/>
              <w:spacing w:before="8"/>
              <w:rPr>
                <w:sz w:val="21"/>
              </w:rPr>
            </w:pPr>
            <w:r>
              <w:rPr>
                <w:sz w:val="21"/>
              </w:rPr>
              <w:t>（1）骨髓穿刺或骨髓活检结果支持诊断；</w:t>
            </w:r>
          </w:p>
          <w:p>
            <w:pPr>
              <w:pStyle w:val="TableParagraph"/>
              <w:spacing w:line="273" w:lineRule="auto" w:before="37"/>
              <w:ind w:right="1532"/>
              <w:rPr>
                <w:sz w:val="21"/>
              </w:rPr>
            </w:pPr>
            <w:r>
              <w:rPr>
                <w:sz w:val="21"/>
              </w:rPr>
              <w:t>（2）已持续接受一个月以上的化疗或已接受骨髓移植治疗。此病症须经专科医生明确诊断。</w:t>
            </w:r>
          </w:p>
        </w:tc>
      </w:tr>
      <w:tr>
        <w:trPr>
          <w:trHeight w:val="1220" w:hRule="atLeast"/>
        </w:trPr>
        <w:tc>
          <w:tcPr>
            <w:tcW w:w="602" w:type="dxa"/>
          </w:tcPr>
          <w:p>
            <w:pPr>
              <w:pStyle w:val="TableParagraph"/>
              <w:spacing w:before="138"/>
              <w:ind w:left="179" w:right="170"/>
              <w:jc w:val="center"/>
              <w:rPr>
                <w:b/>
                <w:sz w:val="21"/>
              </w:rPr>
            </w:pPr>
            <w:r>
              <w:rPr>
                <w:b/>
                <w:sz w:val="21"/>
              </w:rPr>
              <w:t>39</w:t>
            </w:r>
          </w:p>
        </w:tc>
        <w:tc>
          <w:tcPr>
            <w:tcW w:w="2407" w:type="dxa"/>
          </w:tcPr>
          <w:p>
            <w:pPr>
              <w:pStyle w:val="TableParagraph"/>
              <w:spacing w:before="102"/>
              <w:ind w:left="190"/>
              <w:rPr>
                <w:rFonts w:ascii="等线" w:eastAsia="等线" w:hint="eastAsia"/>
                <w:b/>
                <w:sz w:val="24"/>
              </w:rPr>
            </w:pPr>
            <w:r>
              <w:rPr>
                <w:rFonts w:ascii="等线" w:eastAsia="等线" w:hint="eastAsia"/>
                <w:b/>
                <w:sz w:val="24"/>
              </w:rPr>
              <w:t>严重克隆病</w:t>
            </w:r>
          </w:p>
        </w:tc>
        <w:tc>
          <w:tcPr>
            <w:tcW w:w="7199" w:type="dxa"/>
          </w:tcPr>
          <w:p>
            <w:pPr>
              <w:pStyle w:val="TableParagraph"/>
              <w:spacing w:line="273" w:lineRule="auto" w:before="138"/>
              <w:ind w:right="301"/>
              <w:jc w:val="both"/>
              <w:rPr>
                <w:sz w:val="21"/>
              </w:rPr>
            </w:pPr>
            <w:r>
              <w:rPr>
                <w:sz w:val="21"/>
              </w:rPr>
              <w:t>指一种慢性肉芽肿性肠炎，具有特征性的克隆病病理组织学变化。诊断必须由病理检查结果证实。被保险人所患的克隆病必须已经造成瘘管形成并伴有肠梗阻或肠穿孔。</w:t>
            </w:r>
          </w:p>
        </w:tc>
      </w:tr>
      <w:tr>
        <w:trPr>
          <w:trHeight w:val="1532" w:hRule="atLeast"/>
        </w:trPr>
        <w:tc>
          <w:tcPr>
            <w:tcW w:w="602" w:type="dxa"/>
          </w:tcPr>
          <w:p>
            <w:pPr>
              <w:pStyle w:val="TableParagraph"/>
              <w:spacing w:before="139"/>
              <w:ind w:left="179" w:right="170"/>
              <w:jc w:val="center"/>
              <w:rPr>
                <w:b/>
                <w:sz w:val="21"/>
              </w:rPr>
            </w:pPr>
            <w:r>
              <w:rPr>
                <w:b/>
                <w:sz w:val="21"/>
              </w:rPr>
              <w:t>40</w:t>
            </w:r>
          </w:p>
        </w:tc>
        <w:tc>
          <w:tcPr>
            <w:tcW w:w="2407" w:type="dxa"/>
          </w:tcPr>
          <w:p>
            <w:pPr>
              <w:pStyle w:val="TableParagraph"/>
              <w:spacing w:before="103"/>
              <w:ind w:left="190"/>
              <w:rPr>
                <w:rFonts w:ascii="等线" w:eastAsia="等线" w:hint="eastAsia"/>
                <w:b/>
                <w:sz w:val="24"/>
              </w:rPr>
            </w:pPr>
            <w:r>
              <w:rPr>
                <w:rFonts w:ascii="等线" w:eastAsia="等线" w:hint="eastAsia"/>
                <w:b/>
                <w:sz w:val="24"/>
              </w:rPr>
              <w:t>骨髓纤维化</w:t>
            </w:r>
          </w:p>
        </w:tc>
        <w:tc>
          <w:tcPr>
            <w:tcW w:w="7199" w:type="dxa"/>
          </w:tcPr>
          <w:p>
            <w:pPr>
              <w:pStyle w:val="TableParagraph"/>
              <w:spacing w:line="273" w:lineRule="auto" w:before="139"/>
              <w:ind w:right="301"/>
              <w:jc w:val="both"/>
              <w:rPr>
                <w:sz w:val="21"/>
              </w:rPr>
            </w:pPr>
            <w:r>
              <w:rPr>
                <w:sz w:val="21"/>
              </w:rPr>
              <w:t>指一种因纤维组织取代正常骨髓从而导致贫血、白血球及血小板含量过低及脾脏肿大的疾病。病况必须恶化至永久性及严重程度导致被保险人需最少每月进行输血。</w:t>
            </w:r>
          </w:p>
          <w:p>
            <w:pPr>
              <w:pStyle w:val="TableParagraph"/>
              <w:spacing w:before="7"/>
              <w:jc w:val="both"/>
              <w:rPr>
                <w:sz w:val="21"/>
              </w:rPr>
            </w:pPr>
            <w:r>
              <w:rPr>
                <w:sz w:val="21"/>
              </w:rPr>
              <w:t>此病症须经专科医生明确诊断，并需提供骨髓穿刺检查诊断报告。</w:t>
            </w:r>
          </w:p>
        </w:tc>
      </w:tr>
      <w:tr>
        <w:trPr>
          <w:trHeight w:val="2467" w:hRule="atLeast"/>
        </w:trPr>
        <w:tc>
          <w:tcPr>
            <w:tcW w:w="602" w:type="dxa"/>
          </w:tcPr>
          <w:p>
            <w:pPr>
              <w:pStyle w:val="TableParagraph"/>
              <w:spacing w:before="138"/>
              <w:ind w:left="179" w:right="170"/>
              <w:jc w:val="center"/>
              <w:rPr>
                <w:b/>
                <w:sz w:val="21"/>
              </w:rPr>
            </w:pPr>
            <w:r>
              <w:rPr>
                <w:b/>
                <w:sz w:val="21"/>
              </w:rPr>
              <w:t>41</w:t>
            </w:r>
          </w:p>
        </w:tc>
        <w:tc>
          <w:tcPr>
            <w:tcW w:w="2407" w:type="dxa"/>
          </w:tcPr>
          <w:p>
            <w:pPr>
              <w:pStyle w:val="TableParagraph"/>
              <w:spacing w:before="102"/>
              <w:ind w:left="190"/>
              <w:rPr>
                <w:rFonts w:ascii="等线" w:eastAsia="等线" w:hint="eastAsia"/>
                <w:b/>
                <w:sz w:val="24"/>
              </w:rPr>
            </w:pPr>
            <w:r>
              <w:rPr>
                <w:rFonts w:ascii="等线" w:eastAsia="等线" w:hint="eastAsia"/>
                <w:b/>
                <w:sz w:val="24"/>
              </w:rPr>
              <w:t>严重哮喘</w:t>
            </w:r>
          </w:p>
        </w:tc>
        <w:tc>
          <w:tcPr>
            <w:tcW w:w="7199" w:type="dxa"/>
          </w:tcPr>
          <w:p>
            <w:pPr>
              <w:pStyle w:val="TableParagraph"/>
              <w:spacing w:line="273" w:lineRule="auto" w:before="138"/>
              <w:ind w:right="300"/>
              <w:rPr>
                <w:sz w:val="21"/>
              </w:rPr>
            </w:pPr>
            <w:r>
              <w:rPr>
                <w:sz w:val="21"/>
              </w:rPr>
              <w:t>指经专科医生明确诊断为严重哮喘，并且满足下列标准中的三项或三项以上：</w:t>
            </w:r>
          </w:p>
          <w:p>
            <w:pPr>
              <w:pStyle w:val="TableParagraph"/>
              <w:spacing w:before="7"/>
              <w:rPr>
                <w:sz w:val="21"/>
              </w:rPr>
            </w:pPr>
            <w:r>
              <w:rPr>
                <w:sz w:val="21"/>
              </w:rPr>
              <w:t>（1）过去两年中有哮喘持续状态病史；</w:t>
            </w:r>
          </w:p>
          <w:p>
            <w:pPr>
              <w:pStyle w:val="TableParagraph"/>
              <w:spacing w:line="273" w:lineRule="auto" w:before="36"/>
              <w:ind w:left="623" w:right="252" w:hanging="526"/>
              <w:rPr>
                <w:sz w:val="21"/>
              </w:rPr>
            </w:pPr>
            <w:r>
              <w:rPr>
                <w:sz w:val="21"/>
              </w:rPr>
              <w:t>（2）身体活动耐受能力显著下降，轻微体力活动即有呼吸困难，且持续六个月以上；</w:t>
            </w:r>
          </w:p>
          <w:p>
            <w:pPr>
              <w:pStyle w:val="TableParagraph"/>
              <w:spacing w:before="7"/>
              <w:rPr>
                <w:sz w:val="21"/>
              </w:rPr>
            </w:pPr>
            <w:r>
              <w:rPr>
                <w:sz w:val="21"/>
              </w:rPr>
              <w:t>（3）慢性肺部过度膨涨充气导致的由影像学检查证实的胸廓畸形；</w:t>
            </w:r>
          </w:p>
          <w:p>
            <w:pPr>
              <w:pStyle w:val="TableParagraph"/>
              <w:spacing w:before="37"/>
              <w:rPr>
                <w:sz w:val="21"/>
              </w:rPr>
            </w:pPr>
            <w:r>
              <w:rPr>
                <w:sz w:val="21"/>
              </w:rPr>
              <w:t>（4）每日口服皮质类固醇激素，至少持续六个月以上。</w:t>
            </w:r>
          </w:p>
        </w:tc>
      </w:tr>
      <w:tr>
        <w:trPr>
          <w:trHeight w:val="908" w:hRule="atLeast"/>
        </w:trPr>
        <w:tc>
          <w:tcPr>
            <w:tcW w:w="602" w:type="dxa"/>
          </w:tcPr>
          <w:p>
            <w:pPr>
              <w:pStyle w:val="TableParagraph"/>
              <w:spacing w:before="138"/>
              <w:ind w:left="179" w:right="170"/>
              <w:jc w:val="center"/>
              <w:rPr>
                <w:b/>
                <w:sz w:val="21"/>
              </w:rPr>
            </w:pPr>
            <w:r>
              <w:rPr>
                <w:b/>
                <w:sz w:val="21"/>
              </w:rPr>
              <w:t>42</w:t>
            </w:r>
          </w:p>
        </w:tc>
        <w:tc>
          <w:tcPr>
            <w:tcW w:w="2407" w:type="dxa"/>
          </w:tcPr>
          <w:p>
            <w:pPr>
              <w:pStyle w:val="TableParagraph"/>
              <w:spacing w:before="102"/>
              <w:ind w:left="190"/>
              <w:rPr>
                <w:rFonts w:ascii="等线" w:eastAsia="等线" w:hint="eastAsia"/>
                <w:b/>
                <w:sz w:val="24"/>
              </w:rPr>
            </w:pPr>
            <w:r>
              <w:rPr>
                <w:rFonts w:ascii="等线" w:eastAsia="等线" w:hint="eastAsia"/>
                <w:b/>
                <w:sz w:val="24"/>
              </w:rPr>
              <w:t>小肠移植</w:t>
            </w:r>
          </w:p>
        </w:tc>
        <w:tc>
          <w:tcPr>
            <w:tcW w:w="7199" w:type="dxa"/>
          </w:tcPr>
          <w:p>
            <w:pPr>
              <w:pStyle w:val="TableParagraph"/>
              <w:spacing w:line="273" w:lineRule="auto" w:before="138"/>
              <w:ind w:right="301"/>
              <w:rPr>
                <w:sz w:val="21"/>
              </w:rPr>
            </w:pPr>
            <w:r>
              <w:rPr>
                <w:sz w:val="21"/>
              </w:rPr>
              <w:t>指因肠道疾病或外伤，已经实施了在全身麻醉下进行的小肠的异体器官移植手术。此手术必须由专科医生认为是医学上必需的情况下进行。</w:t>
            </w:r>
          </w:p>
        </w:tc>
      </w:tr>
      <w:tr>
        <w:trPr>
          <w:trHeight w:val="1216" w:hRule="atLeast"/>
        </w:trPr>
        <w:tc>
          <w:tcPr>
            <w:tcW w:w="602" w:type="dxa"/>
          </w:tcPr>
          <w:p>
            <w:pPr>
              <w:pStyle w:val="TableParagraph"/>
              <w:spacing w:before="139"/>
              <w:ind w:left="179" w:right="170"/>
              <w:jc w:val="center"/>
              <w:rPr>
                <w:b/>
                <w:sz w:val="21"/>
              </w:rPr>
            </w:pPr>
            <w:r>
              <w:rPr>
                <w:b/>
                <w:sz w:val="21"/>
              </w:rPr>
              <w:t>43</w:t>
            </w:r>
          </w:p>
        </w:tc>
        <w:tc>
          <w:tcPr>
            <w:tcW w:w="2407" w:type="dxa"/>
          </w:tcPr>
          <w:p>
            <w:pPr>
              <w:pStyle w:val="TableParagraph"/>
              <w:spacing w:before="103"/>
              <w:ind w:left="190"/>
              <w:rPr>
                <w:rFonts w:ascii="等线" w:eastAsia="等线" w:hint="eastAsia"/>
                <w:b/>
                <w:sz w:val="24"/>
              </w:rPr>
            </w:pPr>
            <w:r>
              <w:rPr>
                <w:rFonts w:ascii="等线" w:eastAsia="等线" w:hint="eastAsia"/>
                <w:b/>
                <w:sz w:val="24"/>
              </w:rPr>
              <w:t>胆道重建手术</w:t>
            </w:r>
          </w:p>
        </w:tc>
        <w:tc>
          <w:tcPr>
            <w:tcW w:w="7199" w:type="dxa"/>
          </w:tcPr>
          <w:p>
            <w:pPr>
              <w:pStyle w:val="TableParagraph"/>
              <w:spacing w:line="273" w:lineRule="auto" w:before="139"/>
              <w:ind w:right="301"/>
              <w:rPr>
                <w:sz w:val="21"/>
              </w:rPr>
            </w:pPr>
            <w:r>
              <w:rPr>
                <w:sz w:val="21"/>
              </w:rPr>
              <w:t>指因疾病或胆道创伤导致接受涉及胆总管小肠吻合术的胆道重建手术。手术必须在专科医生认为是医疗所需的情况下进</w:t>
            </w:r>
            <w:r>
              <w:rPr>
                <w:rFonts w:ascii="Times New Roman" w:eastAsia="Times New Roman"/>
                <w:w w:val="110"/>
                <w:sz w:val="21"/>
              </w:rPr>
              <w:t>行</w:t>
            </w:r>
            <w:r>
              <w:rPr>
                <w:sz w:val="21"/>
              </w:rPr>
              <w:t>。</w:t>
            </w:r>
          </w:p>
          <w:p>
            <w:pPr>
              <w:pStyle w:val="TableParagraph"/>
              <w:spacing w:line="279" w:lineRule="exact"/>
              <w:rPr>
                <w:sz w:val="21"/>
              </w:rPr>
            </w:pPr>
            <w:r>
              <w:rPr>
                <w:sz w:val="21"/>
                <w:shd w:fill="DADADA" w:color="auto" w:val="clear"/>
              </w:rPr>
              <w:t>胆道闭锁并</w:t>
            </w:r>
            <w:r>
              <w:rPr>
                <w:rFonts w:ascii="Times New Roman" w:eastAsia="Times New Roman"/>
                <w:w w:val="110"/>
                <w:sz w:val="21"/>
                <w:shd w:fill="DADADA" w:color="auto" w:val="clear"/>
              </w:rPr>
              <w:t>不</w:t>
            </w:r>
            <w:r>
              <w:rPr>
                <w:sz w:val="21"/>
                <w:shd w:fill="DADADA" w:color="auto" w:val="clear"/>
              </w:rPr>
              <w:t>在保障范围内。</w:t>
            </w:r>
          </w:p>
        </w:tc>
      </w:tr>
      <w:tr>
        <w:trPr>
          <w:trHeight w:val="570" w:hRule="atLeast"/>
        </w:trPr>
        <w:tc>
          <w:tcPr>
            <w:tcW w:w="602" w:type="dxa"/>
          </w:tcPr>
          <w:p>
            <w:pPr>
              <w:pStyle w:val="TableParagraph"/>
              <w:ind w:left="0"/>
              <w:rPr>
                <w:rFonts w:ascii="Times New Roman"/>
                <w:sz w:val="20"/>
              </w:rPr>
            </w:pPr>
          </w:p>
        </w:tc>
        <w:tc>
          <w:tcPr>
            <w:tcW w:w="2407" w:type="dxa"/>
          </w:tcPr>
          <w:p>
            <w:pPr>
              <w:pStyle w:val="TableParagraph"/>
              <w:spacing w:before="113"/>
              <w:ind w:left="190"/>
              <w:rPr>
                <w:b/>
                <w:sz w:val="21"/>
              </w:rPr>
            </w:pPr>
            <w:r>
              <w:rPr>
                <w:b/>
                <w:sz w:val="21"/>
              </w:rPr>
              <w:t>第 4 类：</w:t>
            </w:r>
          </w:p>
        </w:tc>
        <w:tc>
          <w:tcPr>
            <w:tcW w:w="7199" w:type="dxa"/>
          </w:tcPr>
          <w:p>
            <w:pPr>
              <w:pStyle w:val="TableParagraph"/>
              <w:spacing w:before="113"/>
              <w:rPr>
                <w:b/>
                <w:sz w:val="21"/>
              </w:rPr>
            </w:pPr>
            <w:r>
              <w:rPr>
                <w:b/>
                <w:sz w:val="21"/>
              </w:rPr>
              <w:t>与神经系统相关的疾病</w:t>
            </w:r>
          </w:p>
        </w:tc>
      </w:tr>
      <w:tr>
        <w:trPr>
          <w:trHeight w:val="1349" w:hRule="atLeast"/>
        </w:trPr>
        <w:tc>
          <w:tcPr>
            <w:tcW w:w="602" w:type="dxa"/>
          </w:tcPr>
          <w:p>
            <w:pPr>
              <w:pStyle w:val="TableParagraph"/>
              <w:spacing w:before="138"/>
              <w:ind w:left="179" w:right="170"/>
              <w:jc w:val="center"/>
              <w:rPr>
                <w:b/>
                <w:sz w:val="21"/>
              </w:rPr>
            </w:pPr>
            <w:r>
              <w:rPr>
                <w:b/>
                <w:sz w:val="21"/>
              </w:rPr>
              <w:t>44</w:t>
            </w:r>
          </w:p>
        </w:tc>
        <w:tc>
          <w:tcPr>
            <w:tcW w:w="2407" w:type="dxa"/>
          </w:tcPr>
          <w:p>
            <w:pPr>
              <w:pStyle w:val="TableParagraph"/>
              <w:spacing w:before="102"/>
              <w:ind w:left="190"/>
              <w:rPr>
                <w:rFonts w:ascii="等线" w:eastAsia="等线" w:hint="eastAsia"/>
                <w:b/>
                <w:sz w:val="24"/>
              </w:rPr>
            </w:pPr>
            <w:r>
              <w:rPr>
                <w:rFonts w:ascii="等线" w:eastAsia="等线" w:hint="eastAsia"/>
                <w:b/>
                <w:sz w:val="24"/>
              </w:rPr>
              <w:t>良性脑肿瘤</w:t>
            </w:r>
          </w:p>
        </w:tc>
        <w:tc>
          <w:tcPr>
            <w:tcW w:w="7199" w:type="dxa"/>
          </w:tcPr>
          <w:p>
            <w:pPr>
              <w:pStyle w:val="TableParagraph"/>
              <w:spacing w:line="310" w:lineRule="atLeast" w:before="103"/>
              <w:ind w:right="298"/>
              <w:rPr>
                <w:sz w:val="21"/>
              </w:rPr>
            </w:pPr>
            <w:r>
              <w:rPr>
                <w:sz w:val="21"/>
              </w:rPr>
              <w:t>指脑的良性肿瘤，已经引起颅内压增高，临床表现为视神经乳头水肿、精</w:t>
            </w:r>
            <w:r>
              <w:rPr>
                <w:spacing w:val="-3"/>
                <w:w w:val="100"/>
                <w:sz w:val="21"/>
              </w:rPr>
              <w:t>神症状、癫痫及运动感觉障碍等，并危及生命。须由头颅断层扫描</w:t>
            </w:r>
            <w:r>
              <w:rPr>
                <w:w w:val="100"/>
                <w:sz w:val="21"/>
              </w:rPr>
              <w:t>（C</w:t>
            </w:r>
            <w:r>
              <w:rPr>
                <w:spacing w:val="-3"/>
                <w:w w:val="100"/>
                <w:sz w:val="21"/>
              </w:rPr>
              <w:t>T</w:t>
            </w:r>
            <w:r>
              <w:rPr>
                <w:spacing w:val="-106"/>
                <w:w w:val="100"/>
                <w:sz w:val="21"/>
              </w:rPr>
              <w:t>）、</w:t>
            </w:r>
            <w:r>
              <w:rPr>
                <w:sz w:val="21"/>
              </w:rPr>
              <w:t>核磁共振检查（MRI）或正电子发射断层扫描（PET）等影像学检查证实， </w:t>
            </w:r>
            <w:r>
              <w:rPr>
                <w:spacing w:val="-3"/>
                <w:sz w:val="21"/>
              </w:rPr>
              <w:t>并须满足下列至少一项条件：</w:t>
            </w:r>
          </w:p>
        </w:tc>
      </w:tr>
    </w:tbl>
    <w:p>
      <w:pPr>
        <w:spacing w:after="0" w:line="310" w:lineRule="atLeast"/>
        <w:rPr>
          <w:sz w:val="21"/>
        </w:rPr>
        <w:sectPr>
          <w:pgSz w:w="11910" w:h="16840"/>
          <w:pgMar w:top="1160" w:bottom="280" w:left="8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202"/>
      </w:tblGrid>
      <w:tr>
        <w:trPr>
          <w:trHeight w:val="1018" w:hRule="atLeast"/>
        </w:trPr>
        <w:tc>
          <w:tcPr>
            <w:tcW w:w="602" w:type="dxa"/>
          </w:tcPr>
          <w:p>
            <w:pPr>
              <w:pStyle w:val="TableParagraph"/>
              <w:ind w:left="0"/>
              <w:rPr>
                <w:rFonts w:ascii="Times New Roman"/>
                <w:sz w:val="20"/>
              </w:rPr>
            </w:pPr>
          </w:p>
        </w:tc>
        <w:tc>
          <w:tcPr>
            <w:tcW w:w="2407" w:type="dxa"/>
          </w:tcPr>
          <w:p>
            <w:pPr>
              <w:pStyle w:val="TableParagraph"/>
              <w:ind w:left="0"/>
              <w:rPr>
                <w:rFonts w:ascii="Times New Roman"/>
                <w:sz w:val="20"/>
              </w:rPr>
            </w:pPr>
          </w:p>
        </w:tc>
        <w:tc>
          <w:tcPr>
            <w:tcW w:w="7202" w:type="dxa"/>
          </w:tcPr>
          <w:p>
            <w:pPr>
              <w:pStyle w:val="TableParagraph"/>
              <w:spacing w:line="211" w:lineRule="exact"/>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37"/>
              <w:rPr>
                <w:sz w:val="21"/>
              </w:rPr>
            </w:pPr>
            <w:r>
              <w:rPr>
                <w:sz w:val="21"/>
                <w:shd w:fill="DADADA" w:color="auto" w:val="clear"/>
              </w:rPr>
              <w:t>脑垂体瘤、脑囊肿、脑血管性疾病不在保障范围内。</w:t>
            </w:r>
          </w:p>
        </w:tc>
      </w:tr>
      <w:tr>
        <w:trPr>
          <w:trHeight w:val="2156" w:hRule="atLeast"/>
        </w:trPr>
        <w:tc>
          <w:tcPr>
            <w:tcW w:w="602" w:type="dxa"/>
          </w:tcPr>
          <w:p>
            <w:pPr>
              <w:pStyle w:val="TableParagraph"/>
              <w:spacing w:before="139"/>
              <w:ind w:left="179" w:right="170"/>
              <w:jc w:val="center"/>
              <w:rPr>
                <w:b/>
                <w:sz w:val="21"/>
              </w:rPr>
            </w:pPr>
            <w:r>
              <w:rPr>
                <w:b/>
                <w:sz w:val="21"/>
              </w:rPr>
              <w:t>45</w:t>
            </w:r>
          </w:p>
        </w:tc>
        <w:tc>
          <w:tcPr>
            <w:tcW w:w="2407" w:type="dxa"/>
          </w:tcPr>
          <w:p>
            <w:pPr>
              <w:pStyle w:val="TableParagraph"/>
              <w:spacing w:line="232" w:lineRule="auto" w:before="113"/>
              <w:ind w:left="190" w:right="96"/>
              <w:rPr>
                <w:rFonts w:ascii="等线" w:eastAsia="等线" w:hint="eastAsia"/>
                <w:b/>
                <w:sz w:val="24"/>
              </w:rPr>
            </w:pPr>
            <w:r>
              <w:rPr>
                <w:rFonts w:ascii="等线" w:eastAsia="等线" w:hint="eastAsia"/>
                <w:b/>
                <w:sz w:val="24"/>
              </w:rPr>
              <w:t>脑炎后遗症或脑膜炎后遗症</w:t>
            </w:r>
          </w:p>
        </w:tc>
        <w:tc>
          <w:tcPr>
            <w:tcW w:w="7202" w:type="dxa"/>
          </w:tcPr>
          <w:p>
            <w:pPr>
              <w:pStyle w:val="TableParagraph"/>
              <w:spacing w:line="273" w:lineRule="auto" w:before="139"/>
              <w:ind w:right="304"/>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23" w:right="260" w:hanging="526"/>
              <w:rPr>
                <w:sz w:val="21"/>
              </w:rPr>
            </w:pPr>
            <w:r>
              <w:rPr>
                <w:sz w:val="21"/>
              </w:rPr>
              <w:t>（3）自主生活能力完全丧失，无法独立完成六项基本日常生活活动中的三项或三项以上。</w:t>
            </w:r>
          </w:p>
        </w:tc>
      </w:tr>
      <w:tr>
        <w:trPr>
          <w:trHeight w:val="1531" w:hRule="atLeast"/>
        </w:trPr>
        <w:tc>
          <w:tcPr>
            <w:tcW w:w="602" w:type="dxa"/>
          </w:tcPr>
          <w:p>
            <w:pPr>
              <w:pStyle w:val="TableParagraph"/>
              <w:spacing w:before="138"/>
              <w:ind w:left="179" w:right="170"/>
              <w:jc w:val="center"/>
              <w:rPr>
                <w:b/>
                <w:sz w:val="21"/>
              </w:rPr>
            </w:pPr>
            <w:r>
              <w:rPr>
                <w:b/>
                <w:sz w:val="21"/>
              </w:rPr>
              <w:t>46</w:t>
            </w:r>
          </w:p>
        </w:tc>
        <w:tc>
          <w:tcPr>
            <w:tcW w:w="2407" w:type="dxa"/>
          </w:tcPr>
          <w:p>
            <w:pPr>
              <w:pStyle w:val="TableParagraph"/>
              <w:spacing w:before="102"/>
              <w:ind w:left="190"/>
              <w:rPr>
                <w:rFonts w:ascii="等线" w:eastAsia="等线" w:hint="eastAsia"/>
                <w:b/>
                <w:sz w:val="24"/>
              </w:rPr>
            </w:pPr>
            <w:r>
              <w:rPr>
                <w:rFonts w:ascii="等线" w:eastAsia="等线" w:hint="eastAsia"/>
                <w:b/>
                <w:sz w:val="24"/>
              </w:rPr>
              <w:t>深度昏迷</w:t>
            </w:r>
          </w:p>
        </w:tc>
        <w:tc>
          <w:tcPr>
            <w:tcW w:w="7202" w:type="dxa"/>
          </w:tcPr>
          <w:p>
            <w:pPr>
              <w:pStyle w:val="TableParagraph"/>
              <w:spacing w:line="273" w:lineRule="auto" w:before="138"/>
              <w:ind w:right="303"/>
              <w:jc w:val="both"/>
              <w:rPr>
                <w:sz w:val="21"/>
              </w:rPr>
            </w:pPr>
            <w:r>
              <w:rPr>
                <w:sz w:val="21"/>
              </w:rPr>
              <w:t>指因疾病或意外伤害导致意识丧失，对外界刺激和体内需求均无反应，昏</w:t>
            </w:r>
            <w:r>
              <w:rPr>
                <w:spacing w:val="-3"/>
                <w:sz w:val="21"/>
              </w:rPr>
              <w:t>迷程度按照格拉斯哥昏迷分级</w:t>
            </w:r>
            <w:r>
              <w:rPr>
                <w:sz w:val="21"/>
              </w:rPr>
              <w:t>（Glasgow coma scale）</w:t>
            </w:r>
            <w:r>
              <w:rPr>
                <w:spacing w:val="-10"/>
                <w:sz w:val="21"/>
              </w:rPr>
              <w:t>结果为 </w:t>
            </w:r>
            <w:r>
              <w:rPr>
                <w:sz w:val="21"/>
              </w:rPr>
              <w:t>5</w:t>
            </w:r>
            <w:r>
              <w:rPr>
                <w:spacing w:val="-18"/>
                <w:sz w:val="21"/>
              </w:rPr>
              <w:t> 分或 </w:t>
            </w:r>
            <w:r>
              <w:rPr>
                <w:sz w:val="21"/>
              </w:rPr>
              <w:t>5</w:t>
            </w:r>
            <w:r>
              <w:rPr>
                <w:spacing w:val="-15"/>
                <w:sz w:val="21"/>
              </w:rPr>
              <w:t> 分</w:t>
            </w:r>
            <w:r>
              <w:rPr>
                <w:spacing w:val="-9"/>
                <w:sz w:val="21"/>
              </w:rPr>
              <w:t>以下，且已经持续使用呼吸机及其它生命维持系统 </w:t>
            </w:r>
            <w:r>
              <w:rPr>
                <w:sz w:val="21"/>
              </w:rPr>
              <w:t>96</w:t>
            </w:r>
            <w:r>
              <w:rPr>
                <w:spacing w:val="-9"/>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2156" w:hRule="atLeast"/>
        </w:trPr>
        <w:tc>
          <w:tcPr>
            <w:tcW w:w="602" w:type="dxa"/>
          </w:tcPr>
          <w:p>
            <w:pPr>
              <w:pStyle w:val="TableParagraph"/>
              <w:spacing w:before="138"/>
              <w:ind w:left="179" w:right="170"/>
              <w:jc w:val="center"/>
              <w:rPr>
                <w:b/>
                <w:sz w:val="21"/>
              </w:rPr>
            </w:pPr>
            <w:r>
              <w:rPr>
                <w:b/>
                <w:sz w:val="21"/>
              </w:rPr>
              <w:t>47</w:t>
            </w:r>
          </w:p>
        </w:tc>
        <w:tc>
          <w:tcPr>
            <w:tcW w:w="2407" w:type="dxa"/>
          </w:tcPr>
          <w:p>
            <w:pPr>
              <w:pStyle w:val="TableParagraph"/>
              <w:spacing w:before="102"/>
              <w:ind w:left="190"/>
              <w:rPr>
                <w:rFonts w:ascii="等线" w:eastAsia="等线" w:hint="eastAsia"/>
                <w:b/>
                <w:sz w:val="24"/>
              </w:rPr>
            </w:pPr>
            <w:r>
              <w:rPr>
                <w:rFonts w:ascii="等线" w:eastAsia="等线" w:hint="eastAsia"/>
                <w:b/>
                <w:sz w:val="24"/>
              </w:rPr>
              <w:t>严重阿尔茨海默病</w:t>
            </w:r>
          </w:p>
        </w:tc>
        <w:tc>
          <w:tcPr>
            <w:tcW w:w="7202" w:type="dxa"/>
          </w:tcPr>
          <w:p>
            <w:pPr>
              <w:pStyle w:val="TableParagraph"/>
              <w:spacing w:line="273" w:lineRule="auto" w:before="138"/>
              <w:ind w:right="303"/>
              <w:jc w:val="both"/>
              <w:rPr>
                <w:sz w:val="21"/>
              </w:rPr>
            </w:pPr>
            <w:r>
              <w:rPr>
                <w:sz w:val="21"/>
              </w:rPr>
              <w:t>指因大脑进行性、不可逆性改变导致智能严重衰退或丧失，临床表现为明显的认知能力障碍、行为异常和社交能力减退，其日常生活必须持续受到</w:t>
            </w:r>
            <w:r>
              <w:rPr>
                <w:spacing w:val="-1"/>
                <w:w w:val="100"/>
                <w:sz w:val="21"/>
              </w:rPr>
              <w:t>他人监护。须由头颅断层扫描</w:t>
            </w:r>
            <w:r>
              <w:rPr>
                <w:w w:val="100"/>
                <w:sz w:val="21"/>
              </w:rPr>
              <w:t>（C</w:t>
            </w:r>
            <w:r>
              <w:rPr>
                <w:spacing w:val="1"/>
                <w:w w:val="100"/>
                <w:sz w:val="21"/>
              </w:rPr>
              <w:t>T</w:t>
            </w:r>
            <w:r>
              <w:rPr>
                <w:spacing w:val="-106"/>
                <w:w w:val="100"/>
                <w:sz w:val="21"/>
              </w:rPr>
              <w:t>）</w:t>
            </w:r>
            <w:r>
              <w:rPr>
                <w:spacing w:val="-1"/>
                <w:w w:val="100"/>
                <w:sz w:val="21"/>
              </w:rPr>
              <w:t>、核磁共振检查</w:t>
            </w:r>
            <w:r>
              <w:rPr>
                <w:spacing w:val="1"/>
                <w:w w:val="100"/>
                <w:sz w:val="21"/>
              </w:rPr>
              <w:t>（</w:t>
            </w:r>
            <w:r>
              <w:rPr>
                <w:w w:val="100"/>
                <w:sz w:val="21"/>
              </w:rPr>
              <w:t>MRI</w:t>
            </w:r>
            <w:r>
              <w:rPr>
                <w:spacing w:val="1"/>
                <w:w w:val="100"/>
                <w:sz w:val="21"/>
              </w:rPr>
              <w:t>）</w:t>
            </w:r>
            <w:r>
              <w:rPr>
                <w:w w:val="100"/>
                <w:sz w:val="21"/>
              </w:rPr>
              <w:t>或正电子发射</w:t>
            </w:r>
            <w:r>
              <w:rPr>
                <w:spacing w:val="-3"/>
                <w:sz w:val="21"/>
              </w:rPr>
              <w:t>断层扫描（PET）</w:t>
            </w:r>
            <w:r>
              <w:rPr>
                <w:spacing w:val="-5"/>
                <w:sz w:val="21"/>
              </w:rPr>
              <w:t>等影像学检查证实，且自主生活能力完全丧失，无法独立</w:t>
            </w:r>
            <w:r>
              <w:rPr>
                <w:spacing w:val="-3"/>
                <w:sz w:val="21"/>
              </w:rPr>
              <w:t>完成六项基本日常生活活动中的三项或三项以上。</w:t>
            </w:r>
          </w:p>
          <w:p>
            <w:pPr>
              <w:pStyle w:val="TableParagraph"/>
              <w:spacing w:before="7"/>
              <w:jc w:val="both"/>
              <w:rPr>
                <w:sz w:val="21"/>
              </w:rPr>
            </w:pPr>
            <w:r>
              <w:rPr>
                <w:sz w:val="21"/>
                <w:shd w:fill="DADADA" w:color="auto" w:val="clear"/>
              </w:rPr>
              <w:t>神经官能症和精神疾病不在保障范围内。</w:t>
            </w:r>
          </w:p>
        </w:tc>
      </w:tr>
      <w:tr>
        <w:trPr>
          <w:trHeight w:val="1220" w:hRule="atLeast"/>
        </w:trPr>
        <w:tc>
          <w:tcPr>
            <w:tcW w:w="602" w:type="dxa"/>
          </w:tcPr>
          <w:p>
            <w:pPr>
              <w:pStyle w:val="TableParagraph"/>
              <w:spacing w:before="139"/>
              <w:ind w:left="179" w:right="170"/>
              <w:jc w:val="center"/>
              <w:rPr>
                <w:b/>
                <w:sz w:val="21"/>
              </w:rPr>
            </w:pPr>
            <w:r>
              <w:rPr>
                <w:b/>
                <w:sz w:val="21"/>
              </w:rPr>
              <w:t>48</w:t>
            </w:r>
          </w:p>
        </w:tc>
        <w:tc>
          <w:tcPr>
            <w:tcW w:w="2407" w:type="dxa"/>
          </w:tcPr>
          <w:p>
            <w:pPr>
              <w:pStyle w:val="TableParagraph"/>
              <w:spacing w:before="103"/>
              <w:ind w:left="190"/>
              <w:rPr>
                <w:rFonts w:ascii="等线" w:eastAsia="等线" w:hint="eastAsia"/>
                <w:b/>
                <w:sz w:val="24"/>
              </w:rPr>
            </w:pPr>
            <w:r>
              <w:rPr>
                <w:rFonts w:ascii="等线" w:eastAsia="等线" w:hint="eastAsia"/>
                <w:b/>
                <w:sz w:val="24"/>
              </w:rPr>
              <w:t>瘫痪</w:t>
            </w:r>
          </w:p>
        </w:tc>
        <w:tc>
          <w:tcPr>
            <w:tcW w:w="7202" w:type="dxa"/>
          </w:tcPr>
          <w:p>
            <w:pPr>
              <w:pStyle w:val="TableParagraph"/>
              <w:spacing w:line="273" w:lineRule="auto" w:before="139"/>
              <w:ind w:right="303"/>
              <w:jc w:val="both"/>
              <w:rPr>
                <w:sz w:val="21"/>
              </w:rPr>
            </w:pPr>
            <w:r>
              <w:rPr>
                <w:sz w:val="21"/>
              </w:rPr>
              <w:t>指因疾病或意外伤害导致两肢或两肢以上肢体机能永久完全丧失。肢体机</w:t>
            </w:r>
            <w:r>
              <w:rPr>
                <w:spacing w:val="-5"/>
                <w:sz w:val="21"/>
              </w:rPr>
              <w:t>能永久完全丧失，指疾病确诊 </w:t>
            </w:r>
            <w:r>
              <w:rPr>
                <w:sz w:val="21"/>
              </w:rPr>
              <w:t>180</w:t>
            </w:r>
            <w:r>
              <w:rPr>
                <w:spacing w:val="-9"/>
                <w:sz w:val="21"/>
              </w:rPr>
              <w:t> 日后或意外伤害发生 </w:t>
            </w:r>
            <w:r>
              <w:rPr>
                <w:sz w:val="21"/>
              </w:rPr>
              <w:t>180</w:t>
            </w:r>
            <w:r>
              <w:rPr>
                <w:spacing w:val="-6"/>
                <w:sz w:val="21"/>
              </w:rPr>
              <w:t> 日后，每肢三</w:t>
            </w:r>
            <w:r>
              <w:rPr>
                <w:spacing w:val="-4"/>
                <w:sz w:val="21"/>
              </w:rPr>
              <w:t>大关节中的两大关节仍然完全僵硬，或不能随意识活动。</w:t>
            </w:r>
          </w:p>
        </w:tc>
      </w:tr>
      <w:tr>
        <w:trPr>
          <w:trHeight w:val="2779" w:hRule="atLeast"/>
        </w:trPr>
        <w:tc>
          <w:tcPr>
            <w:tcW w:w="602" w:type="dxa"/>
          </w:tcPr>
          <w:p>
            <w:pPr>
              <w:pStyle w:val="TableParagraph"/>
              <w:spacing w:before="138"/>
              <w:ind w:left="179" w:right="170"/>
              <w:jc w:val="center"/>
              <w:rPr>
                <w:b/>
                <w:sz w:val="21"/>
              </w:rPr>
            </w:pPr>
            <w:r>
              <w:rPr>
                <w:b/>
                <w:sz w:val="21"/>
              </w:rPr>
              <w:t>49</w:t>
            </w:r>
          </w:p>
        </w:tc>
        <w:tc>
          <w:tcPr>
            <w:tcW w:w="2407" w:type="dxa"/>
          </w:tcPr>
          <w:p>
            <w:pPr>
              <w:pStyle w:val="TableParagraph"/>
              <w:spacing w:before="102"/>
              <w:ind w:left="190"/>
              <w:rPr>
                <w:rFonts w:ascii="等线" w:eastAsia="等线" w:hint="eastAsia"/>
                <w:b/>
                <w:sz w:val="24"/>
              </w:rPr>
            </w:pPr>
            <w:r>
              <w:rPr>
                <w:rFonts w:ascii="等线" w:eastAsia="等线" w:hint="eastAsia"/>
                <w:b/>
                <w:sz w:val="24"/>
              </w:rPr>
              <w:t>严重的多发性硬化</w:t>
            </w:r>
          </w:p>
        </w:tc>
        <w:tc>
          <w:tcPr>
            <w:tcW w:w="7202" w:type="dxa"/>
          </w:tcPr>
          <w:p>
            <w:pPr>
              <w:pStyle w:val="TableParagraph"/>
              <w:spacing w:line="273" w:lineRule="auto" w:before="138"/>
              <w:ind w:right="197"/>
              <w:rPr>
                <w:sz w:val="21"/>
              </w:rPr>
            </w:pPr>
            <w:r>
              <w:rPr>
                <w:sz w:val="21"/>
              </w:rPr>
              <w:t>指因中枢神经系统脱髓鞘而导致的不可逆的身体部位的功能障碍，需由神</w:t>
            </w:r>
            <w:r>
              <w:rPr>
                <w:spacing w:val="-14"/>
                <w:w w:val="100"/>
                <w:sz w:val="21"/>
              </w:rPr>
              <w:t>经科专科医生提供明确诊断，并有头颅断层扫描</w:t>
            </w:r>
            <w:r>
              <w:rPr>
                <w:w w:val="100"/>
                <w:sz w:val="21"/>
              </w:rPr>
              <w:t>（</w:t>
            </w:r>
            <w:r>
              <w:rPr>
                <w:spacing w:val="-3"/>
                <w:w w:val="100"/>
                <w:sz w:val="21"/>
              </w:rPr>
              <w:t>CT</w:t>
            </w:r>
            <w:r>
              <w:rPr>
                <w:spacing w:val="-87"/>
                <w:w w:val="100"/>
                <w:sz w:val="21"/>
              </w:rPr>
              <w:t>）</w:t>
            </w:r>
            <w:r>
              <w:rPr>
                <w:spacing w:val="-15"/>
                <w:w w:val="100"/>
                <w:sz w:val="21"/>
              </w:rPr>
              <w:t>或核磁共振检查</w:t>
            </w:r>
            <w:r>
              <w:rPr>
                <w:spacing w:val="-1"/>
                <w:w w:val="100"/>
                <w:sz w:val="21"/>
              </w:rPr>
              <w:t>（</w:t>
            </w:r>
            <w:r>
              <w:rPr>
                <w:spacing w:val="-3"/>
                <w:w w:val="100"/>
                <w:sz w:val="21"/>
              </w:rPr>
              <w:t>M</w:t>
            </w:r>
            <w:r>
              <w:rPr>
                <w:w w:val="100"/>
                <w:sz w:val="21"/>
              </w:rPr>
              <w:t>R</w:t>
            </w:r>
            <w:r>
              <w:rPr>
                <w:spacing w:val="-1"/>
                <w:w w:val="100"/>
                <w:sz w:val="21"/>
              </w:rPr>
              <w:t>I</w:t>
            </w:r>
            <w:r>
              <w:rPr>
                <w:w w:val="100"/>
                <w:sz w:val="21"/>
              </w:rPr>
              <w:t>）</w:t>
            </w:r>
            <w:r>
              <w:rPr>
                <w:sz w:val="21"/>
              </w:rPr>
              <w:t>结果诊断报告。不可逆的身体部位功能障碍指诊断为功能障碍后需已经持</w:t>
            </w:r>
            <w:r>
              <w:rPr>
                <w:spacing w:val="-25"/>
                <w:sz w:val="21"/>
              </w:rPr>
              <w:t>续 </w:t>
            </w:r>
            <w:r>
              <w:rPr>
                <w:sz w:val="21"/>
              </w:rPr>
              <w:t>180</w:t>
            </w:r>
            <w:r>
              <w:rPr>
                <w:spacing w:val="-12"/>
                <w:sz w:val="21"/>
              </w:rPr>
              <w:t> 日以上。</w:t>
            </w:r>
          </w:p>
          <w:p>
            <w:pPr>
              <w:pStyle w:val="TableParagraph"/>
              <w:spacing w:before="7"/>
              <w:rPr>
                <w:sz w:val="21"/>
              </w:rPr>
            </w:pPr>
            <w:r>
              <w:rPr>
                <w:sz w:val="21"/>
              </w:rPr>
              <w:t>由神经科专科医生提供的明确诊断必须同时包含下列内容：</w:t>
            </w:r>
          </w:p>
          <w:p>
            <w:pPr>
              <w:pStyle w:val="TableParagraph"/>
              <w:spacing w:before="36"/>
              <w:rPr>
                <w:sz w:val="21"/>
              </w:rPr>
            </w:pPr>
            <w:r>
              <w:rPr>
                <w:sz w:val="21"/>
              </w:rPr>
              <w:t>（1）明确出现因视神经、脑干和脊髓损伤而导致的临床表现；</w:t>
            </w:r>
          </w:p>
          <w:p>
            <w:pPr>
              <w:pStyle w:val="TableParagraph"/>
              <w:spacing w:before="36"/>
              <w:rPr>
                <w:sz w:val="21"/>
              </w:rPr>
            </w:pPr>
            <w:r>
              <w:rPr>
                <w:sz w:val="21"/>
              </w:rPr>
              <w:t>（2）神经系统散在的多部位病变；</w:t>
            </w:r>
          </w:p>
          <w:p>
            <w:pPr>
              <w:pStyle w:val="TableParagraph"/>
              <w:spacing w:before="36"/>
              <w:rPr>
                <w:sz w:val="21"/>
              </w:rPr>
            </w:pPr>
            <w:r>
              <w:rPr>
                <w:sz w:val="21"/>
              </w:rPr>
              <w:t>（3）有明确的上述症状及神经损伤反复恶化、减轻的病史纪录。</w:t>
            </w:r>
          </w:p>
        </w:tc>
      </w:tr>
      <w:tr>
        <w:trPr>
          <w:trHeight w:val="2142" w:hRule="atLeast"/>
        </w:trPr>
        <w:tc>
          <w:tcPr>
            <w:tcW w:w="602" w:type="dxa"/>
          </w:tcPr>
          <w:p>
            <w:pPr>
              <w:pStyle w:val="TableParagraph"/>
              <w:spacing w:before="138"/>
              <w:ind w:left="179" w:right="170"/>
              <w:jc w:val="center"/>
              <w:rPr>
                <w:b/>
                <w:sz w:val="21"/>
              </w:rPr>
            </w:pPr>
            <w:r>
              <w:rPr>
                <w:b/>
                <w:sz w:val="21"/>
              </w:rPr>
              <w:t>50</w:t>
            </w:r>
          </w:p>
        </w:tc>
        <w:tc>
          <w:tcPr>
            <w:tcW w:w="2407" w:type="dxa"/>
          </w:tcPr>
          <w:p>
            <w:pPr>
              <w:pStyle w:val="TableParagraph"/>
              <w:spacing w:before="102"/>
              <w:ind w:left="190"/>
              <w:rPr>
                <w:rFonts w:ascii="等线" w:eastAsia="等线" w:hint="eastAsia"/>
                <w:b/>
                <w:sz w:val="24"/>
              </w:rPr>
            </w:pPr>
            <w:r>
              <w:rPr>
                <w:rFonts w:ascii="等线" w:eastAsia="等线" w:hint="eastAsia"/>
                <w:b/>
                <w:sz w:val="24"/>
              </w:rPr>
              <w:t>严重帕金森病</w:t>
            </w:r>
          </w:p>
        </w:tc>
        <w:tc>
          <w:tcPr>
            <w:tcW w:w="7202" w:type="dxa"/>
          </w:tcPr>
          <w:p>
            <w:pPr>
              <w:pStyle w:val="TableParagraph"/>
              <w:spacing w:line="273" w:lineRule="auto" w:before="138"/>
              <w:ind w:right="304"/>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left="579" w:right="261" w:hanging="483"/>
              <w:rPr>
                <w:sz w:val="21"/>
              </w:rPr>
            </w:pPr>
            <w:r>
              <w:rPr>
                <w:sz w:val="21"/>
              </w:rPr>
              <w:t>（2）自主生活能力完全丧失，无法独立完成六项基本日常生活活动中的三项或三项以上。</w:t>
            </w:r>
          </w:p>
          <w:p>
            <w:pPr>
              <w:pStyle w:val="TableParagraph"/>
              <w:spacing w:before="7"/>
              <w:rPr>
                <w:sz w:val="21"/>
              </w:rPr>
            </w:pPr>
            <w:r>
              <w:rPr>
                <w:sz w:val="21"/>
                <w:shd w:fill="DADADA" w:color="auto" w:val="clear"/>
              </w:rPr>
              <w:t>继发性帕金森综合征不在保障范围内。</w:t>
            </w:r>
          </w:p>
        </w:tc>
      </w:tr>
      <w:tr>
        <w:trPr>
          <w:trHeight w:val="1335" w:hRule="atLeast"/>
        </w:trPr>
        <w:tc>
          <w:tcPr>
            <w:tcW w:w="602" w:type="dxa"/>
          </w:tcPr>
          <w:p>
            <w:pPr>
              <w:pStyle w:val="TableParagraph"/>
              <w:spacing w:before="125"/>
              <w:ind w:left="179" w:right="170"/>
              <w:jc w:val="center"/>
              <w:rPr>
                <w:b/>
                <w:sz w:val="21"/>
              </w:rPr>
            </w:pPr>
            <w:r>
              <w:rPr>
                <w:b/>
                <w:sz w:val="21"/>
              </w:rPr>
              <w:t>51</w:t>
            </w:r>
          </w:p>
        </w:tc>
        <w:tc>
          <w:tcPr>
            <w:tcW w:w="2407" w:type="dxa"/>
          </w:tcPr>
          <w:p>
            <w:pPr>
              <w:pStyle w:val="TableParagraph"/>
              <w:spacing w:before="89"/>
              <w:ind w:left="190"/>
              <w:rPr>
                <w:rFonts w:ascii="等线" w:eastAsia="等线" w:hint="eastAsia"/>
                <w:b/>
                <w:sz w:val="24"/>
              </w:rPr>
            </w:pPr>
            <w:r>
              <w:rPr>
                <w:rFonts w:ascii="等线" w:eastAsia="等线" w:hint="eastAsia"/>
                <w:b/>
                <w:sz w:val="24"/>
              </w:rPr>
              <w:t>严重运动神经元病</w:t>
            </w:r>
          </w:p>
        </w:tc>
        <w:tc>
          <w:tcPr>
            <w:tcW w:w="7202" w:type="dxa"/>
          </w:tcPr>
          <w:p>
            <w:pPr>
              <w:pStyle w:val="TableParagraph"/>
              <w:spacing w:line="310" w:lineRule="atLeast" w:before="90"/>
              <w:ind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bl>
    <w:p>
      <w:pPr>
        <w:spacing w:after="0" w:line="310" w:lineRule="atLeast"/>
        <w:jc w:val="both"/>
        <w:rPr>
          <w:sz w:val="21"/>
        </w:rPr>
        <w:sectPr>
          <w:pgSz w:w="11910" w:h="16840"/>
          <w:pgMar w:top="1160" w:bottom="280" w:left="8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097"/>
      </w:tblGrid>
      <w:tr>
        <w:trPr>
          <w:trHeight w:val="2569" w:hRule="atLeast"/>
        </w:trPr>
        <w:tc>
          <w:tcPr>
            <w:tcW w:w="602" w:type="dxa"/>
          </w:tcPr>
          <w:p>
            <w:pPr>
              <w:pStyle w:val="TableParagraph"/>
              <w:spacing w:line="231" w:lineRule="exact"/>
              <w:ind w:left="179" w:right="170"/>
              <w:jc w:val="center"/>
              <w:rPr>
                <w:b/>
                <w:sz w:val="21"/>
              </w:rPr>
            </w:pPr>
            <w:r>
              <w:rPr>
                <w:b/>
                <w:sz w:val="21"/>
              </w:rPr>
              <w:t>52</w:t>
            </w:r>
          </w:p>
        </w:tc>
        <w:tc>
          <w:tcPr>
            <w:tcW w:w="2407" w:type="dxa"/>
          </w:tcPr>
          <w:p>
            <w:pPr>
              <w:pStyle w:val="TableParagraph"/>
              <w:spacing w:line="248" w:lineRule="exact"/>
              <w:ind w:left="190"/>
              <w:rPr>
                <w:rFonts w:ascii="等线" w:eastAsia="等线" w:hint="eastAsia"/>
                <w:b/>
                <w:sz w:val="24"/>
              </w:rPr>
            </w:pPr>
            <w:r>
              <w:rPr>
                <w:rFonts w:ascii="等线" w:eastAsia="等线" w:hint="eastAsia"/>
                <w:b/>
                <w:sz w:val="24"/>
              </w:rPr>
              <w:t>严重脑损伤</w:t>
            </w:r>
          </w:p>
        </w:tc>
        <w:tc>
          <w:tcPr>
            <w:tcW w:w="7097" w:type="dxa"/>
          </w:tcPr>
          <w:p>
            <w:pPr>
              <w:pStyle w:val="TableParagraph"/>
              <w:spacing w:line="231" w:lineRule="exact"/>
              <w:rPr>
                <w:sz w:val="21"/>
              </w:rPr>
            </w:pPr>
            <w:r>
              <w:rPr>
                <w:sz w:val="21"/>
              </w:rPr>
              <w:t>指因头部遭受机械性外力，引起脑重要部位损伤，导致神经系统永久性的</w:t>
            </w:r>
          </w:p>
          <w:p>
            <w:pPr>
              <w:pStyle w:val="TableParagraph"/>
              <w:spacing w:line="273" w:lineRule="auto" w:before="37"/>
              <w:ind w:right="198"/>
              <w:jc w:val="both"/>
              <w:rPr>
                <w:sz w:val="21"/>
              </w:rPr>
            </w:pPr>
            <w:r>
              <w:rPr>
                <w:spacing w:val="-1"/>
                <w:w w:val="100"/>
                <w:sz w:val="21"/>
              </w:rPr>
              <w:t>功能障碍。须由头颅断层扫描</w:t>
            </w:r>
            <w:r>
              <w:rPr>
                <w:w w:val="100"/>
                <w:sz w:val="21"/>
              </w:rPr>
              <w:t>（C</w:t>
            </w:r>
            <w:r>
              <w:rPr>
                <w:spacing w:val="1"/>
                <w:w w:val="100"/>
                <w:sz w:val="21"/>
              </w:rPr>
              <w:t>T</w:t>
            </w:r>
            <w:r>
              <w:rPr>
                <w:spacing w:val="-106"/>
                <w:w w:val="100"/>
                <w:sz w:val="21"/>
              </w:rPr>
              <w:t>）</w:t>
            </w:r>
            <w:r>
              <w:rPr>
                <w:spacing w:val="-1"/>
                <w:w w:val="100"/>
                <w:sz w:val="21"/>
              </w:rPr>
              <w:t>、核磁共振检查</w:t>
            </w:r>
            <w:r>
              <w:rPr>
                <w:spacing w:val="1"/>
                <w:w w:val="100"/>
                <w:sz w:val="21"/>
              </w:rPr>
              <w:t>（</w:t>
            </w:r>
            <w:r>
              <w:rPr>
                <w:w w:val="100"/>
                <w:sz w:val="21"/>
              </w:rPr>
              <w:t>MRI</w:t>
            </w:r>
            <w:r>
              <w:rPr>
                <w:spacing w:val="1"/>
                <w:w w:val="100"/>
                <w:sz w:val="21"/>
              </w:rPr>
              <w:t>）</w:t>
            </w:r>
            <w:r>
              <w:rPr>
                <w:w w:val="100"/>
                <w:sz w:val="21"/>
              </w:rPr>
              <w:t>或正电子发射</w:t>
            </w:r>
            <w:r>
              <w:rPr>
                <w:spacing w:val="-3"/>
                <w:sz w:val="21"/>
              </w:rPr>
              <w:t>断层扫描（PET）</w:t>
            </w:r>
            <w:r>
              <w:rPr>
                <w:spacing w:val="-5"/>
                <w:sz w:val="21"/>
              </w:rPr>
              <w:t>等影像学检查证实。神经系统永久性的功能障碍，指脑损</w:t>
            </w:r>
            <w:r>
              <w:rPr>
                <w:spacing w:val="-23"/>
                <w:sz w:val="21"/>
              </w:rPr>
              <w:t>伤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579" w:right="156" w:hanging="483"/>
              <w:rPr>
                <w:sz w:val="21"/>
              </w:rPr>
            </w:pPr>
            <w:r>
              <w:rPr>
                <w:sz w:val="21"/>
              </w:rPr>
              <w:t>（3）自主生活能力完全丧失，无法独立完成六项基本日常生活活动中的三项或三项以上。</w:t>
            </w:r>
          </w:p>
        </w:tc>
      </w:tr>
      <w:tr>
        <w:trPr>
          <w:trHeight w:val="2412" w:hRule="atLeast"/>
        </w:trPr>
        <w:tc>
          <w:tcPr>
            <w:tcW w:w="602" w:type="dxa"/>
          </w:tcPr>
          <w:p>
            <w:pPr>
              <w:pStyle w:val="TableParagraph"/>
              <w:spacing w:before="111"/>
              <w:ind w:left="179" w:right="170"/>
              <w:jc w:val="center"/>
              <w:rPr>
                <w:b/>
                <w:sz w:val="21"/>
              </w:rPr>
            </w:pPr>
            <w:r>
              <w:rPr>
                <w:b/>
                <w:sz w:val="21"/>
              </w:rPr>
              <w:t>53</w:t>
            </w:r>
          </w:p>
        </w:tc>
        <w:tc>
          <w:tcPr>
            <w:tcW w:w="2407" w:type="dxa"/>
          </w:tcPr>
          <w:p>
            <w:pPr>
              <w:pStyle w:val="TableParagraph"/>
              <w:spacing w:line="232" w:lineRule="auto" w:before="84"/>
              <w:ind w:left="190" w:right="96"/>
              <w:rPr>
                <w:rFonts w:ascii="等线" w:eastAsia="等线" w:hint="eastAsia"/>
                <w:b/>
                <w:sz w:val="24"/>
              </w:rPr>
            </w:pPr>
            <w:r>
              <w:rPr>
                <w:rFonts w:ascii="等线" w:eastAsia="等线" w:hint="eastAsia"/>
                <w:b/>
                <w:sz w:val="24"/>
              </w:rPr>
              <w:t>非阿尔茨海默病所致严重痴呆</w:t>
            </w:r>
          </w:p>
        </w:tc>
        <w:tc>
          <w:tcPr>
            <w:tcW w:w="7097" w:type="dxa"/>
          </w:tcPr>
          <w:p>
            <w:pPr>
              <w:pStyle w:val="TableParagraph"/>
              <w:spacing w:line="273" w:lineRule="auto" w:before="111"/>
              <w:ind w:right="199"/>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8"/>
              <w:jc w:val="both"/>
              <w:rPr>
                <w:sz w:val="21"/>
              </w:rPr>
            </w:pPr>
            <w:r>
              <w:rPr>
                <w:sz w:val="21"/>
                <w:shd w:fill="DADADA" w:color="auto" w:val="clear"/>
              </w:rPr>
              <w:t>神经官能症、精神疾病及酒精中毒所致脑损害不在保障范围内。</w:t>
            </w:r>
          </w:p>
        </w:tc>
      </w:tr>
      <w:tr>
        <w:trPr>
          <w:trHeight w:val="1474" w:hRule="atLeast"/>
        </w:trPr>
        <w:tc>
          <w:tcPr>
            <w:tcW w:w="602" w:type="dxa"/>
          </w:tcPr>
          <w:p>
            <w:pPr>
              <w:pStyle w:val="TableParagraph"/>
              <w:spacing w:before="110"/>
              <w:ind w:left="179" w:right="170"/>
              <w:jc w:val="center"/>
              <w:rPr>
                <w:b/>
                <w:sz w:val="21"/>
              </w:rPr>
            </w:pPr>
            <w:r>
              <w:rPr>
                <w:b/>
                <w:sz w:val="21"/>
              </w:rPr>
              <w:t>54</w:t>
            </w:r>
          </w:p>
        </w:tc>
        <w:tc>
          <w:tcPr>
            <w:tcW w:w="2407" w:type="dxa"/>
          </w:tcPr>
          <w:p>
            <w:pPr>
              <w:pStyle w:val="TableParagraph"/>
              <w:spacing w:before="74"/>
              <w:ind w:left="190"/>
              <w:rPr>
                <w:rFonts w:ascii="等线" w:eastAsia="等线" w:hint="eastAsia"/>
                <w:b/>
                <w:sz w:val="24"/>
              </w:rPr>
            </w:pPr>
            <w:r>
              <w:rPr>
                <w:rFonts w:ascii="等线" w:eastAsia="等线" w:hint="eastAsia"/>
                <w:b/>
                <w:sz w:val="24"/>
              </w:rPr>
              <w:t>植物人状态</w:t>
            </w:r>
          </w:p>
        </w:tc>
        <w:tc>
          <w:tcPr>
            <w:tcW w:w="7097" w:type="dxa"/>
          </w:tcPr>
          <w:p>
            <w:pPr>
              <w:pStyle w:val="TableParagraph"/>
              <w:spacing w:line="273" w:lineRule="auto" w:before="110"/>
              <w:ind w:right="199"/>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jc w:val="both"/>
              <w:rPr>
                <w:sz w:val="21"/>
              </w:rPr>
            </w:pPr>
            <w:r>
              <w:rPr>
                <w:sz w:val="21"/>
                <w:shd w:fill="DADADA" w:color="auto" w:val="clear"/>
              </w:rPr>
              <w:t>由于酗酒或滥用药物所致的植物人状态不在保障范围内。</w:t>
            </w:r>
          </w:p>
        </w:tc>
      </w:tr>
      <w:tr>
        <w:trPr>
          <w:trHeight w:val="1786" w:hRule="atLeast"/>
        </w:trPr>
        <w:tc>
          <w:tcPr>
            <w:tcW w:w="602" w:type="dxa"/>
          </w:tcPr>
          <w:p>
            <w:pPr>
              <w:pStyle w:val="TableParagraph"/>
              <w:spacing w:before="109"/>
              <w:ind w:left="179" w:right="170"/>
              <w:jc w:val="center"/>
              <w:rPr>
                <w:b/>
                <w:sz w:val="21"/>
              </w:rPr>
            </w:pPr>
            <w:r>
              <w:rPr>
                <w:b/>
                <w:sz w:val="21"/>
              </w:rPr>
              <w:t>55</w:t>
            </w:r>
          </w:p>
        </w:tc>
        <w:tc>
          <w:tcPr>
            <w:tcW w:w="2407" w:type="dxa"/>
          </w:tcPr>
          <w:p>
            <w:pPr>
              <w:pStyle w:val="TableParagraph"/>
              <w:spacing w:before="73"/>
              <w:ind w:left="190"/>
              <w:rPr>
                <w:rFonts w:ascii="等线" w:eastAsia="等线" w:hint="eastAsia"/>
                <w:b/>
                <w:sz w:val="24"/>
              </w:rPr>
            </w:pPr>
            <w:r>
              <w:rPr>
                <w:rFonts w:ascii="等线" w:eastAsia="等线" w:hint="eastAsia"/>
                <w:b/>
                <w:sz w:val="24"/>
              </w:rPr>
              <w:t>进行性核上性麻痹</w:t>
            </w:r>
          </w:p>
        </w:tc>
        <w:tc>
          <w:tcPr>
            <w:tcW w:w="7097" w:type="dxa"/>
          </w:tcPr>
          <w:p>
            <w:pPr>
              <w:pStyle w:val="TableParagraph"/>
              <w:spacing w:line="273" w:lineRule="auto" w:before="109"/>
              <w:ind w:right="198"/>
              <w:rPr>
                <w:sz w:val="21"/>
              </w:rPr>
            </w:pPr>
            <w:r>
              <w:rPr>
                <w:sz w:val="21"/>
              </w:rPr>
              <w:t>指一种隐袭起病、逐渐加重的神经系统变性疾病。此病症须由专科医生明确，并满足以下全部临床特征：</w:t>
            </w:r>
          </w:p>
          <w:p>
            <w:pPr>
              <w:pStyle w:val="TableParagraph"/>
              <w:spacing w:before="7"/>
              <w:rPr>
                <w:sz w:val="21"/>
              </w:rPr>
            </w:pPr>
            <w:r>
              <w:rPr>
                <w:sz w:val="21"/>
              </w:rPr>
              <w:t>（1）步态共济失调；</w:t>
            </w:r>
          </w:p>
          <w:p>
            <w:pPr>
              <w:pStyle w:val="TableParagraph"/>
              <w:spacing w:before="37"/>
              <w:rPr>
                <w:sz w:val="21"/>
              </w:rPr>
            </w:pPr>
            <w:r>
              <w:rPr>
                <w:sz w:val="21"/>
              </w:rPr>
              <w:t>（2）对称性眼球垂直运动障碍；</w:t>
            </w:r>
          </w:p>
          <w:p>
            <w:pPr>
              <w:pStyle w:val="TableParagraph"/>
              <w:spacing w:before="37"/>
              <w:rPr>
                <w:sz w:val="21"/>
              </w:rPr>
            </w:pPr>
            <w:r>
              <w:rPr>
                <w:spacing w:val="-1"/>
                <w:sz w:val="21"/>
              </w:rPr>
              <w:t>（3）</w:t>
            </w:r>
            <w:r>
              <w:rPr>
                <w:spacing w:val="-3"/>
                <w:sz w:val="21"/>
              </w:rPr>
              <w:t>假性球麻痹（构音障碍和吞咽困难</w:t>
            </w:r>
            <w:r>
              <w:rPr>
                <w:spacing w:val="-108"/>
                <w:sz w:val="21"/>
              </w:rPr>
              <w:t>）</w:t>
            </w:r>
            <w:r>
              <w:rPr>
                <w:sz w:val="21"/>
              </w:rPr>
              <w:t>。</w:t>
            </w:r>
          </w:p>
        </w:tc>
      </w:tr>
      <w:tr>
        <w:trPr>
          <w:trHeight w:val="1786" w:hRule="atLeast"/>
        </w:trPr>
        <w:tc>
          <w:tcPr>
            <w:tcW w:w="602" w:type="dxa"/>
          </w:tcPr>
          <w:p>
            <w:pPr>
              <w:pStyle w:val="TableParagraph"/>
              <w:spacing w:before="110"/>
              <w:ind w:left="179" w:right="170"/>
              <w:jc w:val="center"/>
              <w:rPr>
                <w:b/>
                <w:sz w:val="21"/>
              </w:rPr>
            </w:pPr>
            <w:r>
              <w:rPr>
                <w:b/>
                <w:sz w:val="21"/>
              </w:rPr>
              <w:t>56</w:t>
            </w:r>
          </w:p>
        </w:tc>
        <w:tc>
          <w:tcPr>
            <w:tcW w:w="2407" w:type="dxa"/>
          </w:tcPr>
          <w:p>
            <w:pPr>
              <w:pStyle w:val="TableParagraph"/>
              <w:spacing w:before="75"/>
              <w:ind w:left="190"/>
              <w:rPr>
                <w:rFonts w:ascii="等线" w:eastAsia="等线" w:hint="eastAsia"/>
                <w:b/>
                <w:sz w:val="24"/>
              </w:rPr>
            </w:pPr>
            <w:r>
              <w:rPr>
                <w:rFonts w:ascii="等线" w:eastAsia="等线" w:hint="eastAsia"/>
                <w:b/>
                <w:sz w:val="24"/>
              </w:rPr>
              <w:t>开颅手术</w:t>
            </w:r>
          </w:p>
        </w:tc>
        <w:tc>
          <w:tcPr>
            <w:tcW w:w="7097" w:type="dxa"/>
          </w:tcPr>
          <w:p>
            <w:pPr>
              <w:pStyle w:val="TableParagraph"/>
              <w:spacing w:line="273" w:lineRule="auto" w:before="110"/>
              <w:ind w:right="199"/>
              <w:rPr>
                <w:sz w:val="21"/>
              </w:rPr>
            </w:pPr>
            <w:r>
              <w:rPr>
                <w:sz w:val="21"/>
              </w:rPr>
              <w:t>被保险人因疾病或意外已实施全麻下的开颅手术（不包括颅骨钻孔手术和</w:t>
            </w:r>
            <w:r>
              <w:rPr>
                <w:spacing w:val="-3"/>
                <w:sz w:val="21"/>
              </w:rPr>
              <w:t>经鼻蝶窦入颅手术</w:t>
            </w:r>
            <w:r>
              <w:rPr>
                <w:spacing w:val="-109"/>
                <w:sz w:val="21"/>
              </w:rPr>
              <w:t>）</w:t>
            </w:r>
            <w:r>
              <w:rPr>
                <w:sz w:val="21"/>
              </w:rPr>
              <w:t>。</w:t>
            </w:r>
          </w:p>
          <w:p>
            <w:pPr>
              <w:pStyle w:val="TableParagraph"/>
              <w:spacing w:before="7"/>
              <w:rPr>
                <w:sz w:val="21"/>
              </w:rPr>
            </w:pPr>
            <w:r>
              <w:rPr>
                <w:sz w:val="21"/>
              </w:rPr>
              <w:t>理赔时必须提供由专科医生出具的诊断书及手术证明。</w:t>
            </w:r>
          </w:p>
          <w:p>
            <w:pPr>
              <w:pStyle w:val="TableParagraph"/>
              <w:spacing w:line="273" w:lineRule="auto" w:before="37"/>
              <w:ind w:right="199"/>
              <w:rPr>
                <w:sz w:val="21"/>
              </w:rPr>
            </w:pPr>
            <w:r>
              <w:rPr>
                <w:sz w:val="21"/>
                <w:shd w:fill="DADADA" w:color="auto" w:val="clear"/>
              </w:rPr>
              <w:t>因脑垂体瘤、脑囊肿、脑动脉瘤及脑血管瘤而进行的开颅手术不在保障范围内。</w:t>
            </w:r>
          </w:p>
        </w:tc>
      </w:tr>
      <w:tr>
        <w:trPr>
          <w:trHeight w:val="2409" w:hRule="atLeast"/>
        </w:trPr>
        <w:tc>
          <w:tcPr>
            <w:tcW w:w="602" w:type="dxa"/>
          </w:tcPr>
          <w:p>
            <w:pPr>
              <w:pStyle w:val="TableParagraph"/>
              <w:spacing w:before="109"/>
              <w:ind w:left="179" w:right="170"/>
              <w:jc w:val="center"/>
              <w:rPr>
                <w:b/>
                <w:sz w:val="21"/>
              </w:rPr>
            </w:pPr>
            <w:r>
              <w:rPr>
                <w:b/>
                <w:sz w:val="21"/>
              </w:rPr>
              <w:t>57</w:t>
            </w:r>
          </w:p>
        </w:tc>
        <w:tc>
          <w:tcPr>
            <w:tcW w:w="2407" w:type="dxa"/>
          </w:tcPr>
          <w:p>
            <w:pPr>
              <w:pStyle w:val="TableParagraph"/>
              <w:spacing w:line="235" w:lineRule="auto" w:before="80"/>
              <w:ind w:left="190" w:right="96"/>
              <w:rPr>
                <w:rFonts w:ascii="等线" w:eastAsia="等线" w:hint="eastAsia"/>
                <w:b/>
                <w:sz w:val="24"/>
              </w:rPr>
            </w:pPr>
            <w:r>
              <w:rPr>
                <w:rFonts w:ascii="等线" w:eastAsia="等线" w:hint="eastAsia"/>
                <w:b/>
                <w:sz w:val="24"/>
              </w:rPr>
              <w:t>亚急性硬化性全脑炎</w:t>
            </w:r>
          </w:p>
        </w:tc>
        <w:tc>
          <w:tcPr>
            <w:tcW w:w="7097" w:type="dxa"/>
          </w:tcPr>
          <w:p>
            <w:pPr>
              <w:pStyle w:val="TableParagraph"/>
              <w:spacing w:line="273" w:lineRule="auto" w:before="109"/>
              <w:ind w:right="199"/>
              <w:jc w:val="both"/>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line="273" w:lineRule="auto" w:before="7"/>
              <w:ind w:left="623" w:right="197" w:hanging="526"/>
              <w:rPr>
                <w:sz w:val="21"/>
              </w:rPr>
            </w:pPr>
            <w:r>
              <w:rPr>
                <w:spacing w:val="-10"/>
                <w:sz w:val="21"/>
              </w:rPr>
              <w:t>（1）</w:t>
            </w:r>
            <w:r>
              <w:rPr>
                <w:spacing w:val="-7"/>
                <w:sz w:val="21"/>
              </w:rPr>
              <w:t>脑电图存在周期性复合波、脑脊液 </w:t>
            </w:r>
            <w:r>
              <w:rPr>
                <w:sz w:val="21"/>
              </w:rPr>
              <w:t>r-</w:t>
            </w:r>
            <w:r>
              <w:rPr>
                <w:spacing w:val="-7"/>
                <w:sz w:val="21"/>
              </w:rPr>
              <w:t>球蛋白升高、脑脊液和血清中麻</w:t>
            </w:r>
            <w:r>
              <w:rPr>
                <w:spacing w:val="-5"/>
                <w:sz w:val="21"/>
              </w:rPr>
              <w:t>疹抗体滴定度升高；</w:t>
            </w:r>
          </w:p>
          <w:p>
            <w:pPr>
              <w:pStyle w:val="TableParagraph"/>
              <w:spacing w:line="273" w:lineRule="auto" w:before="7"/>
              <w:ind w:left="623" w:right="152" w:hanging="526"/>
              <w:rPr>
                <w:sz w:val="21"/>
              </w:rPr>
            </w:pPr>
            <w:r>
              <w:rPr>
                <w:sz w:val="21"/>
              </w:rPr>
              <w:t>（2）被保险人出现运动障碍，自主生活能力完全丧失，无法独立完成六项基本日常生活活动中的三项或三项以上。</w:t>
            </w:r>
          </w:p>
        </w:tc>
      </w:tr>
      <w:tr>
        <w:trPr>
          <w:trHeight w:val="1164" w:hRule="atLeast"/>
        </w:trPr>
        <w:tc>
          <w:tcPr>
            <w:tcW w:w="602" w:type="dxa"/>
          </w:tcPr>
          <w:p>
            <w:pPr>
              <w:pStyle w:val="TableParagraph"/>
              <w:spacing w:before="90"/>
              <w:ind w:left="179" w:right="170"/>
              <w:jc w:val="center"/>
              <w:rPr>
                <w:b/>
                <w:sz w:val="21"/>
              </w:rPr>
            </w:pPr>
            <w:r>
              <w:rPr>
                <w:b/>
                <w:sz w:val="21"/>
              </w:rPr>
              <w:t>58</w:t>
            </w:r>
          </w:p>
        </w:tc>
        <w:tc>
          <w:tcPr>
            <w:tcW w:w="2407" w:type="dxa"/>
          </w:tcPr>
          <w:p>
            <w:pPr>
              <w:pStyle w:val="TableParagraph"/>
              <w:spacing w:before="75"/>
              <w:ind w:left="190"/>
              <w:rPr>
                <w:rFonts w:ascii="等线" w:eastAsia="等线" w:hint="eastAsia"/>
                <w:b/>
                <w:sz w:val="24"/>
              </w:rPr>
            </w:pPr>
            <w:r>
              <w:rPr>
                <w:rFonts w:ascii="等线" w:eastAsia="等线" w:hint="eastAsia"/>
                <w:b/>
                <w:sz w:val="24"/>
              </w:rPr>
              <w:t>克雅氏病</w:t>
            </w:r>
          </w:p>
        </w:tc>
        <w:tc>
          <w:tcPr>
            <w:tcW w:w="7097" w:type="dxa"/>
          </w:tcPr>
          <w:p>
            <w:pPr>
              <w:pStyle w:val="TableParagraph"/>
              <w:spacing w:line="273" w:lineRule="auto" w:before="111"/>
              <w:ind w:right="199"/>
              <w:jc w:val="both"/>
              <w:rPr>
                <w:sz w:val="21"/>
              </w:rPr>
            </w:pPr>
            <w:r>
              <w:rPr>
                <w:sz w:val="21"/>
              </w:rPr>
              <w:t>指一种不可治愈的脑部感染，导致急剧而渐进性的智力功能与活动衰退。须由专科医生根据临床测试、脑电图和影像结果作出诊断，并发现被保险人出现神经系统异常及严重的渐进性痴呆。</w:t>
            </w:r>
          </w:p>
        </w:tc>
      </w:tr>
      <w:tr>
        <w:trPr>
          <w:trHeight w:val="697" w:hRule="atLeast"/>
        </w:trPr>
        <w:tc>
          <w:tcPr>
            <w:tcW w:w="602" w:type="dxa"/>
          </w:tcPr>
          <w:p>
            <w:pPr>
              <w:pStyle w:val="TableParagraph"/>
              <w:spacing w:before="110"/>
              <w:ind w:left="179" w:right="170"/>
              <w:jc w:val="center"/>
              <w:rPr>
                <w:b/>
                <w:sz w:val="21"/>
              </w:rPr>
            </w:pPr>
            <w:r>
              <w:rPr>
                <w:b/>
                <w:sz w:val="21"/>
              </w:rPr>
              <w:t>59</w:t>
            </w:r>
          </w:p>
        </w:tc>
        <w:tc>
          <w:tcPr>
            <w:tcW w:w="2407" w:type="dxa"/>
          </w:tcPr>
          <w:p>
            <w:pPr>
              <w:pStyle w:val="TableParagraph"/>
              <w:spacing w:before="75"/>
              <w:ind w:left="190"/>
              <w:rPr>
                <w:rFonts w:ascii="等线" w:eastAsia="等线" w:hint="eastAsia"/>
                <w:b/>
                <w:sz w:val="24"/>
              </w:rPr>
            </w:pPr>
            <w:r>
              <w:rPr>
                <w:rFonts w:ascii="等线" w:eastAsia="等线" w:hint="eastAsia"/>
                <w:b/>
                <w:sz w:val="24"/>
              </w:rPr>
              <w:t>丧失一眼及一肢</w:t>
            </w:r>
          </w:p>
        </w:tc>
        <w:tc>
          <w:tcPr>
            <w:tcW w:w="7097" w:type="dxa"/>
          </w:tcPr>
          <w:p>
            <w:pPr>
              <w:pStyle w:val="TableParagraph"/>
              <w:spacing w:before="110"/>
              <w:rPr>
                <w:sz w:val="21"/>
              </w:rPr>
            </w:pPr>
            <w:r>
              <w:rPr>
                <w:sz w:val="21"/>
              </w:rPr>
              <w:t>指因疾病或意外伤害导致单眼视力丧失及单肢肢体机能完全丧失。</w:t>
            </w:r>
          </w:p>
          <w:p>
            <w:pPr>
              <w:pStyle w:val="TableParagraph"/>
              <w:spacing w:line="255" w:lineRule="exact" w:before="36"/>
              <w:rPr>
                <w:sz w:val="21"/>
              </w:rPr>
            </w:pPr>
            <w:r>
              <w:rPr>
                <w:sz w:val="21"/>
              </w:rPr>
              <w:t>单眼视力丧失指单眼视力永久不可逆性丧失，患眼须满足下列至少一项条</w:t>
            </w:r>
          </w:p>
        </w:tc>
      </w:tr>
    </w:tbl>
    <w:p>
      <w:pPr>
        <w:spacing w:after="0" w:line="255" w:lineRule="exact"/>
        <w:rPr>
          <w:sz w:val="21"/>
        </w:rPr>
        <w:sectPr>
          <w:pgSz w:w="11910" w:h="16840"/>
          <w:pgMar w:top="1140" w:bottom="280" w:left="88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407"/>
        <w:gridCol w:w="7202"/>
      </w:tblGrid>
      <w:tr>
        <w:trPr>
          <w:trHeight w:val="2563" w:hRule="atLeast"/>
        </w:trPr>
        <w:tc>
          <w:tcPr>
            <w:tcW w:w="602" w:type="dxa"/>
          </w:tcPr>
          <w:p>
            <w:pPr>
              <w:pStyle w:val="TableParagraph"/>
              <w:ind w:left="0"/>
              <w:rPr>
                <w:rFonts w:ascii="Times New Roman"/>
                <w:sz w:val="20"/>
              </w:rPr>
            </w:pPr>
          </w:p>
        </w:tc>
        <w:tc>
          <w:tcPr>
            <w:tcW w:w="2407" w:type="dxa"/>
          </w:tcPr>
          <w:p>
            <w:pPr>
              <w:pStyle w:val="TableParagraph"/>
              <w:ind w:left="0"/>
              <w:rPr>
                <w:rFonts w:ascii="Times New Roman"/>
                <w:sz w:val="20"/>
              </w:rPr>
            </w:pPr>
          </w:p>
        </w:tc>
        <w:tc>
          <w:tcPr>
            <w:tcW w:w="7202" w:type="dxa"/>
          </w:tcPr>
          <w:p>
            <w:pPr>
              <w:pStyle w:val="TableParagraph"/>
              <w:spacing w:line="211" w:lineRule="exact"/>
              <w:rPr>
                <w:sz w:val="21"/>
              </w:rPr>
            </w:pPr>
            <w:r>
              <w:rPr>
                <w:sz w:val="21"/>
              </w:rPr>
              <w:t>件：</w:t>
            </w:r>
          </w:p>
          <w:p>
            <w:pPr>
              <w:pStyle w:val="TableParagraph"/>
              <w:spacing w:before="37"/>
              <w:rPr>
                <w:sz w:val="21"/>
              </w:rPr>
            </w:pPr>
            <w:r>
              <w:rPr>
                <w:sz w:val="21"/>
              </w:rPr>
              <w:t>（1）眼球缺失或摘除；</w:t>
            </w:r>
          </w:p>
          <w:p>
            <w:pPr>
              <w:pStyle w:val="TableParagraph"/>
              <w:spacing w:line="273" w:lineRule="auto" w:before="37"/>
              <w:ind w:left="623" w:right="304" w:hanging="526"/>
              <w:rPr>
                <w:sz w:val="21"/>
              </w:rPr>
            </w:pPr>
            <w:r>
              <w:rPr>
                <w:spacing w:val="-10"/>
                <w:sz w:val="21"/>
              </w:rPr>
              <w:t>（2）</w:t>
            </w:r>
            <w:r>
              <w:rPr>
                <w:spacing w:val="-6"/>
                <w:sz w:val="21"/>
              </w:rPr>
              <w:t>矫正视力低于 </w:t>
            </w:r>
            <w:r>
              <w:rPr>
                <w:spacing w:val="-7"/>
                <w:sz w:val="21"/>
              </w:rPr>
              <w:t>0.02（</w:t>
            </w:r>
            <w:r>
              <w:rPr>
                <w:spacing w:val="-6"/>
                <w:sz w:val="21"/>
              </w:rPr>
              <w:t>采用国际标准视力表，如果使用其它视力表应进</w:t>
            </w:r>
            <w:r>
              <w:rPr>
                <w:spacing w:val="-1"/>
                <w:w w:val="100"/>
                <w:sz w:val="21"/>
              </w:rPr>
              <w:t>行换算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before="36"/>
              <w:rPr>
                <w:sz w:val="21"/>
              </w:rPr>
            </w:pPr>
            <w:r>
              <w:rPr>
                <w:sz w:val="21"/>
              </w:rPr>
              <w:t>单肢肢体机能完全丧失，须满足下列至少一项条件：</w:t>
            </w:r>
          </w:p>
          <w:p>
            <w:pPr>
              <w:pStyle w:val="TableParagraph"/>
              <w:spacing w:before="36"/>
              <w:rPr>
                <w:sz w:val="21"/>
              </w:rPr>
            </w:pPr>
            <w:r>
              <w:rPr>
                <w:sz w:val="21"/>
              </w:rPr>
              <w:t>（1）任何一肢自腕关节或踝关节近端（靠近躯干端）以上完全性断离；</w:t>
            </w:r>
          </w:p>
          <w:p>
            <w:pPr>
              <w:pStyle w:val="TableParagraph"/>
              <w:spacing w:before="36"/>
              <w:rPr>
                <w:sz w:val="21"/>
              </w:rPr>
            </w:pPr>
            <w:r>
              <w:rPr>
                <w:sz w:val="21"/>
              </w:rPr>
              <w:t>（2）任何一肢肢体机能完全丧失。</w:t>
            </w:r>
          </w:p>
        </w:tc>
      </w:tr>
      <w:tr>
        <w:trPr>
          <w:trHeight w:val="896" w:hRule="atLeast"/>
        </w:trPr>
        <w:tc>
          <w:tcPr>
            <w:tcW w:w="602" w:type="dxa"/>
          </w:tcPr>
          <w:p>
            <w:pPr>
              <w:pStyle w:val="TableParagraph"/>
              <w:spacing w:before="125"/>
              <w:ind w:left="179" w:right="170"/>
              <w:jc w:val="center"/>
              <w:rPr>
                <w:b/>
                <w:sz w:val="21"/>
              </w:rPr>
            </w:pPr>
            <w:r>
              <w:rPr>
                <w:b/>
                <w:sz w:val="21"/>
              </w:rPr>
              <w:t>60</w:t>
            </w:r>
          </w:p>
        </w:tc>
        <w:tc>
          <w:tcPr>
            <w:tcW w:w="2407" w:type="dxa"/>
          </w:tcPr>
          <w:p>
            <w:pPr>
              <w:pStyle w:val="TableParagraph"/>
              <w:spacing w:line="232" w:lineRule="auto" w:before="99"/>
              <w:ind w:left="190" w:right="96"/>
              <w:rPr>
                <w:rFonts w:ascii="等线" w:eastAsia="等线" w:hint="eastAsia"/>
                <w:b/>
                <w:sz w:val="21"/>
              </w:rPr>
            </w:pPr>
            <w:r>
              <w:rPr>
                <w:rFonts w:ascii="等线" w:eastAsia="等线" w:hint="eastAsia"/>
                <w:b/>
                <w:sz w:val="24"/>
              </w:rPr>
              <w:t>进行性多灶性白质脑</w:t>
            </w:r>
            <w:r>
              <w:rPr>
                <w:rFonts w:ascii="等线" w:eastAsia="等线" w:hint="eastAsia"/>
                <w:b/>
                <w:sz w:val="21"/>
              </w:rPr>
              <w:t>病</w:t>
            </w:r>
          </w:p>
        </w:tc>
        <w:tc>
          <w:tcPr>
            <w:tcW w:w="7202" w:type="dxa"/>
          </w:tcPr>
          <w:p>
            <w:pPr>
              <w:pStyle w:val="TableParagraph"/>
              <w:spacing w:line="273" w:lineRule="auto" w:before="125"/>
              <w:ind w:right="303"/>
              <w:rPr>
                <w:sz w:val="21"/>
              </w:rPr>
            </w:pPr>
            <w:r>
              <w:rPr>
                <w:sz w:val="21"/>
              </w:rPr>
              <w:t>是一种亚急性脱髓鞘性脑病，常常发现于免疫缺陷的病人。必须由神经科专科医生根据脑组织活检确诊。</w:t>
            </w:r>
          </w:p>
        </w:tc>
      </w:tr>
      <w:tr>
        <w:trPr>
          <w:trHeight w:val="1496" w:hRule="atLeast"/>
        </w:trPr>
        <w:tc>
          <w:tcPr>
            <w:tcW w:w="602" w:type="dxa"/>
          </w:tcPr>
          <w:p>
            <w:pPr>
              <w:pStyle w:val="TableParagraph"/>
              <w:spacing w:before="119"/>
              <w:ind w:left="179" w:right="170"/>
              <w:jc w:val="center"/>
              <w:rPr>
                <w:b/>
                <w:sz w:val="21"/>
              </w:rPr>
            </w:pPr>
            <w:r>
              <w:rPr>
                <w:b/>
                <w:sz w:val="21"/>
              </w:rPr>
              <w:t>61</w:t>
            </w:r>
          </w:p>
        </w:tc>
        <w:tc>
          <w:tcPr>
            <w:tcW w:w="2407" w:type="dxa"/>
          </w:tcPr>
          <w:p>
            <w:pPr>
              <w:pStyle w:val="TableParagraph"/>
              <w:spacing w:line="232" w:lineRule="auto" w:before="92"/>
              <w:ind w:left="190" w:right="96"/>
              <w:rPr>
                <w:rFonts w:ascii="等线" w:eastAsia="等线" w:hint="eastAsia"/>
                <w:b/>
                <w:sz w:val="24"/>
              </w:rPr>
            </w:pPr>
            <w:r>
              <w:rPr>
                <w:rFonts w:ascii="等线" w:eastAsia="等线" w:hint="eastAsia"/>
                <w:b/>
                <w:sz w:val="24"/>
              </w:rPr>
              <w:t>破裂脑动脉瘤夹闭手术</w:t>
            </w:r>
          </w:p>
        </w:tc>
        <w:tc>
          <w:tcPr>
            <w:tcW w:w="7202" w:type="dxa"/>
          </w:tcPr>
          <w:p>
            <w:pPr>
              <w:pStyle w:val="TableParagraph"/>
              <w:spacing w:line="273" w:lineRule="auto" w:before="119"/>
              <w:ind w:right="304"/>
              <w:rPr>
                <w:sz w:val="21"/>
              </w:rPr>
            </w:pPr>
            <w:r>
              <w:rPr>
                <w:sz w:val="21"/>
              </w:rPr>
              <w:t>指因脑动脉瘤破裂造成蛛网膜下腔出血，被保险人已经实施了在全麻下进行的开颅动脉瘤夹闭手术。</w:t>
            </w:r>
          </w:p>
          <w:p>
            <w:pPr>
              <w:pStyle w:val="TableParagraph"/>
              <w:spacing w:line="273" w:lineRule="auto" w:before="8"/>
              <w:ind w:right="304"/>
              <w:rPr>
                <w:sz w:val="21"/>
              </w:rPr>
            </w:pPr>
            <w:r>
              <w:rPr>
                <w:sz w:val="21"/>
                <w:shd w:fill="DADADA" w:color="auto" w:val="clear"/>
              </w:rPr>
              <w:t>脑动脉瘤（未破裂）预防性手术、颅骨打孔手术、动脉瘤栓塞手术、血管</w:t>
            </w:r>
            <w:r>
              <w:rPr>
                <w:spacing w:val="-211"/>
                <w:sz w:val="21"/>
                <w:shd w:fill="DADADA" w:color="auto" w:val="clear"/>
              </w:rPr>
              <w:t>内</w:t>
            </w:r>
            <w:r>
              <w:rPr>
                <w:spacing w:val="-3"/>
                <w:sz w:val="21"/>
                <w:shd w:fill="DADADA" w:color="auto" w:val="clear"/>
              </w:rPr>
              <w:t>手术及其他颅脑手术不在本保障范围内。</w:t>
            </w:r>
          </w:p>
        </w:tc>
      </w:tr>
      <w:tr>
        <w:trPr>
          <w:trHeight w:val="2463" w:hRule="atLeast"/>
        </w:trPr>
        <w:tc>
          <w:tcPr>
            <w:tcW w:w="602" w:type="dxa"/>
          </w:tcPr>
          <w:p>
            <w:pPr>
              <w:pStyle w:val="TableParagraph"/>
              <w:spacing w:before="103"/>
              <w:ind w:left="179" w:right="170"/>
              <w:jc w:val="center"/>
              <w:rPr>
                <w:b/>
                <w:sz w:val="21"/>
              </w:rPr>
            </w:pPr>
            <w:r>
              <w:rPr>
                <w:b/>
                <w:sz w:val="21"/>
              </w:rPr>
              <w:t>62</w:t>
            </w:r>
          </w:p>
        </w:tc>
        <w:tc>
          <w:tcPr>
            <w:tcW w:w="2407" w:type="dxa"/>
          </w:tcPr>
          <w:p>
            <w:pPr>
              <w:pStyle w:val="TableParagraph"/>
              <w:spacing w:before="88"/>
              <w:ind w:left="190"/>
              <w:rPr>
                <w:rFonts w:ascii="等线" w:eastAsia="等线" w:hint="eastAsia"/>
                <w:b/>
                <w:sz w:val="24"/>
              </w:rPr>
            </w:pPr>
            <w:r>
              <w:rPr>
                <w:rFonts w:ascii="等线" w:eastAsia="等线" w:hint="eastAsia"/>
                <w:b/>
                <w:sz w:val="24"/>
              </w:rPr>
              <w:t>脊髓小脑变性症</w:t>
            </w:r>
          </w:p>
        </w:tc>
        <w:tc>
          <w:tcPr>
            <w:tcW w:w="7202" w:type="dxa"/>
          </w:tcPr>
          <w:p>
            <w:pPr>
              <w:pStyle w:val="TableParagraph"/>
              <w:spacing w:line="273" w:lineRule="auto" w:before="124"/>
              <w:ind w:right="304"/>
              <w:rPr>
                <w:sz w:val="21"/>
              </w:rPr>
            </w:pPr>
            <w:r>
              <w:rPr>
                <w:sz w:val="21"/>
              </w:rPr>
              <w:t>脊髓小脑变性症为一组以小脑萎缩和共济失调为主要临床特点的疾病。必须符合所有以下条件：</w:t>
            </w:r>
          </w:p>
          <w:p>
            <w:pPr>
              <w:pStyle w:val="TableParagraph"/>
              <w:spacing w:before="7"/>
              <w:rPr>
                <w:sz w:val="21"/>
              </w:rPr>
            </w:pPr>
            <w:r>
              <w:rPr>
                <w:sz w:val="21"/>
              </w:rPr>
              <w:t>（1）脊髓小脑变性症必须由医院诊断，并有以下证据支持：</w:t>
            </w:r>
          </w:p>
          <w:p>
            <w:pPr>
              <w:pStyle w:val="TableParagraph"/>
              <w:spacing w:before="37"/>
              <w:ind w:left="308"/>
              <w:rPr>
                <w:sz w:val="21"/>
              </w:rPr>
            </w:pPr>
            <w:r>
              <w:rPr>
                <w:sz w:val="21"/>
              </w:rPr>
              <w:t>① 影像学检查证实存在小脑萎缩；</w:t>
            </w:r>
          </w:p>
          <w:p>
            <w:pPr>
              <w:pStyle w:val="TableParagraph"/>
              <w:spacing w:before="37"/>
              <w:ind w:left="308"/>
              <w:rPr>
                <w:sz w:val="21"/>
              </w:rPr>
            </w:pPr>
            <w:r>
              <w:rPr>
                <w:sz w:val="21"/>
              </w:rPr>
              <w:t>② 临床表现存在共济失调、语言障碍和肌张力异常。</w:t>
            </w:r>
          </w:p>
          <w:p>
            <w:pPr>
              <w:pStyle w:val="TableParagraph"/>
              <w:spacing w:line="273" w:lineRule="auto" w:before="37"/>
              <w:ind w:left="623" w:right="256" w:hanging="526"/>
              <w:rPr>
                <w:sz w:val="21"/>
              </w:rPr>
            </w:pPr>
            <w:r>
              <w:rPr>
                <w:sz w:val="21"/>
              </w:rPr>
              <w:t>（2）被保险人运动功能严重障碍，自主生活能力完全丧失，无法独立完成六项基本日常生活活动中的三项或三项以上。</w:t>
            </w:r>
          </w:p>
        </w:tc>
      </w:tr>
      <w:tr>
        <w:trPr>
          <w:trHeight w:val="585" w:hRule="atLeast"/>
        </w:trPr>
        <w:tc>
          <w:tcPr>
            <w:tcW w:w="602" w:type="dxa"/>
          </w:tcPr>
          <w:p>
            <w:pPr>
              <w:pStyle w:val="TableParagraph"/>
              <w:ind w:left="0"/>
              <w:rPr>
                <w:rFonts w:ascii="Times New Roman"/>
                <w:sz w:val="20"/>
              </w:rPr>
            </w:pPr>
          </w:p>
        </w:tc>
        <w:tc>
          <w:tcPr>
            <w:tcW w:w="2407" w:type="dxa"/>
          </w:tcPr>
          <w:p>
            <w:pPr>
              <w:pStyle w:val="TableParagraph"/>
              <w:spacing w:before="128"/>
              <w:ind w:left="190"/>
              <w:rPr>
                <w:b/>
                <w:sz w:val="21"/>
              </w:rPr>
            </w:pPr>
            <w:r>
              <w:rPr>
                <w:b/>
                <w:sz w:val="21"/>
              </w:rPr>
              <w:t>第 5 类：</w:t>
            </w:r>
          </w:p>
        </w:tc>
        <w:tc>
          <w:tcPr>
            <w:tcW w:w="7202" w:type="dxa"/>
          </w:tcPr>
          <w:p>
            <w:pPr>
              <w:pStyle w:val="TableParagraph"/>
              <w:spacing w:before="128"/>
              <w:rPr>
                <w:b/>
                <w:sz w:val="21"/>
              </w:rPr>
            </w:pPr>
            <w:r>
              <w:rPr>
                <w:b/>
                <w:sz w:val="21"/>
              </w:rPr>
              <w:t>其他重大疾病</w:t>
            </w:r>
          </w:p>
        </w:tc>
      </w:tr>
      <w:tr>
        <w:trPr>
          <w:trHeight w:val="908" w:hRule="atLeast"/>
        </w:trPr>
        <w:tc>
          <w:tcPr>
            <w:tcW w:w="602" w:type="dxa"/>
          </w:tcPr>
          <w:p>
            <w:pPr>
              <w:pStyle w:val="TableParagraph"/>
              <w:spacing w:before="138"/>
              <w:ind w:left="179" w:right="170"/>
              <w:jc w:val="center"/>
              <w:rPr>
                <w:b/>
                <w:sz w:val="21"/>
              </w:rPr>
            </w:pPr>
            <w:r>
              <w:rPr>
                <w:b/>
                <w:sz w:val="21"/>
              </w:rPr>
              <w:t>63</w:t>
            </w:r>
          </w:p>
        </w:tc>
        <w:tc>
          <w:tcPr>
            <w:tcW w:w="2407" w:type="dxa"/>
          </w:tcPr>
          <w:p>
            <w:pPr>
              <w:pStyle w:val="TableParagraph"/>
              <w:spacing w:before="102"/>
              <w:ind w:left="190"/>
              <w:rPr>
                <w:rFonts w:ascii="等线" w:eastAsia="等线" w:hint="eastAsia"/>
                <w:b/>
                <w:sz w:val="24"/>
              </w:rPr>
            </w:pPr>
            <w:r>
              <w:rPr>
                <w:rFonts w:ascii="等线" w:eastAsia="等线" w:hint="eastAsia"/>
                <w:b/>
                <w:sz w:val="24"/>
              </w:rPr>
              <w:t>多个肢体缺失</w:t>
            </w:r>
          </w:p>
        </w:tc>
        <w:tc>
          <w:tcPr>
            <w:tcW w:w="7202" w:type="dxa"/>
          </w:tcPr>
          <w:p>
            <w:pPr>
              <w:pStyle w:val="TableParagraph"/>
              <w:spacing w:line="273" w:lineRule="auto" w:before="138"/>
              <w:ind w:right="304"/>
              <w:rPr>
                <w:sz w:val="21"/>
              </w:rPr>
            </w:pPr>
            <w:r>
              <w:rPr>
                <w:sz w:val="21"/>
              </w:rPr>
              <w:t>指因疾病或意外伤害导致两个或两个以上肢体自腕关节或踝关节近端（靠近躯干端）以上完全性断离。</w:t>
            </w:r>
          </w:p>
        </w:tc>
      </w:tr>
      <w:tr>
        <w:trPr>
          <w:trHeight w:val="2468" w:hRule="atLeast"/>
        </w:trPr>
        <w:tc>
          <w:tcPr>
            <w:tcW w:w="602" w:type="dxa"/>
          </w:tcPr>
          <w:p>
            <w:pPr>
              <w:pStyle w:val="TableParagraph"/>
              <w:spacing w:before="139"/>
              <w:ind w:left="179" w:right="170"/>
              <w:jc w:val="center"/>
              <w:rPr>
                <w:b/>
                <w:sz w:val="21"/>
              </w:rPr>
            </w:pPr>
            <w:r>
              <w:rPr>
                <w:b/>
                <w:sz w:val="21"/>
              </w:rPr>
              <w:t>64</w:t>
            </w:r>
          </w:p>
        </w:tc>
        <w:tc>
          <w:tcPr>
            <w:tcW w:w="2407" w:type="dxa"/>
          </w:tcPr>
          <w:p>
            <w:pPr>
              <w:pStyle w:val="TableParagraph"/>
              <w:spacing w:before="103"/>
              <w:ind w:left="190"/>
              <w:rPr>
                <w:rFonts w:ascii="等线" w:eastAsia="等线" w:hint="eastAsia"/>
                <w:b/>
                <w:sz w:val="24"/>
              </w:rPr>
            </w:pPr>
            <w:r>
              <w:rPr>
                <w:rFonts w:ascii="等线" w:eastAsia="等线" w:hint="eastAsia"/>
                <w:b/>
                <w:sz w:val="24"/>
              </w:rPr>
              <w:t>严重的 1 型糖尿病</w:t>
            </w:r>
          </w:p>
        </w:tc>
        <w:tc>
          <w:tcPr>
            <w:tcW w:w="7202" w:type="dxa"/>
          </w:tcPr>
          <w:p>
            <w:pPr>
              <w:pStyle w:val="TableParagraph"/>
              <w:spacing w:line="273" w:lineRule="auto" w:before="139"/>
              <w:ind w:right="304"/>
              <w:jc w:val="both"/>
              <w:rPr>
                <w:sz w:val="21"/>
              </w:rPr>
            </w:pPr>
            <w:r>
              <w:rPr>
                <w:sz w:val="21"/>
              </w:rPr>
              <w:t>指由于胰岛素分泌绝对不足引起的慢性血糖升高，且已经持续性地依赖外</w:t>
            </w:r>
            <w:r>
              <w:rPr>
                <w:spacing w:val="-7"/>
                <w:sz w:val="21"/>
              </w:rPr>
              <w:t>源性胰岛素维持 </w:t>
            </w:r>
            <w:r>
              <w:rPr>
                <w:sz w:val="21"/>
              </w:rPr>
              <w:t>180</w:t>
            </w:r>
            <w:r>
              <w:rPr>
                <w:spacing w:val="-10"/>
                <w:sz w:val="21"/>
              </w:rPr>
              <w:t> 日以上。须经血胰岛素测定、血 </w:t>
            </w:r>
            <w:r>
              <w:rPr>
                <w:sz w:val="21"/>
              </w:rPr>
              <w:t>C</w:t>
            </w:r>
            <w:r>
              <w:rPr>
                <w:spacing w:val="-12"/>
                <w:sz w:val="21"/>
              </w:rPr>
              <w:t> 肽测定或尿 </w:t>
            </w:r>
            <w:r>
              <w:rPr>
                <w:sz w:val="21"/>
              </w:rPr>
              <w:t>C</w:t>
            </w:r>
            <w:r>
              <w:rPr>
                <w:spacing w:val="-15"/>
                <w:sz w:val="21"/>
              </w:rPr>
              <w:t> 肽测</w:t>
            </w:r>
            <w:r>
              <w:rPr>
                <w:sz w:val="21"/>
              </w:rPr>
              <w:t>定，结果异常，并由内分泌科专科医生明确诊断。并须在本附加险合同保</w:t>
            </w:r>
            <w:r>
              <w:rPr>
                <w:spacing w:val="-7"/>
                <w:sz w:val="21"/>
              </w:rPr>
              <w:t>险期间内，满足下列至少 </w:t>
            </w:r>
            <w:r>
              <w:rPr>
                <w:sz w:val="21"/>
              </w:rPr>
              <w:t>1</w:t>
            </w:r>
            <w:r>
              <w:rPr>
                <w:spacing w:val="-10"/>
                <w:sz w:val="21"/>
              </w:rPr>
              <w:t> 个条件：</w:t>
            </w:r>
          </w:p>
          <w:p>
            <w:pPr>
              <w:pStyle w:val="TableParagraph"/>
              <w:spacing w:before="7"/>
              <w:jc w:val="both"/>
              <w:rPr>
                <w:sz w:val="21"/>
              </w:rPr>
            </w:pPr>
            <w:r>
              <w:rPr>
                <w:sz w:val="21"/>
              </w:rPr>
              <w:t>（1）已出现增殖性视网膜病变；</w:t>
            </w:r>
          </w:p>
          <w:p>
            <w:pPr>
              <w:pStyle w:val="TableParagraph"/>
              <w:spacing w:before="37"/>
              <w:jc w:val="both"/>
              <w:rPr>
                <w:sz w:val="21"/>
              </w:rPr>
            </w:pPr>
            <w:r>
              <w:rPr>
                <w:sz w:val="21"/>
              </w:rPr>
              <w:t>（2）须植入心脏起搏器治疗心脏病；</w:t>
            </w:r>
          </w:p>
          <w:p>
            <w:pPr>
              <w:pStyle w:val="TableParagraph"/>
              <w:spacing w:before="37"/>
              <w:jc w:val="both"/>
              <w:rPr>
                <w:sz w:val="21"/>
              </w:rPr>
            </w:pPr>
            <w:r>
              <w:rPr>
                <w:sz w:val="21"/>
              </w:rPr>
              <w:t>（3）因坏疽需切除至少一个脚趾。</w:t>
            </w:r>
          </w:p>
        </w:tc>
      </w:tr>
      <w:tr>
        <w:trPr>
          <w:trHeight w:val="892" w:hRule="atLeast"/>
        </w:trPr>
        <w:tc>
          <w:tcPr>
            <w:tcW w:w="602" w:type="dxa"/>
          </w:tcPr>
          <w:p>
            <w:pPr>
              <w:pStyle w:val="TableParagraph"/>
              <w:spacing w:before="138"/>
              <w:ind w:left="179" w:right="170"/>
              <w:jc w:val="center"/>
              <w:rPr>
                <w:b/>
                <w:sz w:val="21"/>
              </w:rPr>
            </w:pPr>
            <w:r>
              <w:rPr>
                <w:b/>
                <w:sz w:val="21"/>
              </w:rPr>
              <w:t>65</w:t>
            </w:r>
          </w:p>
        </w:tc>
        <w:tc>
          <w:tcPr>
            <w:tcW w:w="2407" w:type="dxa"/>
          </w:tcPr>
          <w:p>
            <w:pPr>
              <w:pStyle w:val="TableParagraph"/>
              <w:spacing w:before="102"/>
              <w:ind w:left="190"/>
              <w:rPr>
                <w:rFonts w:ascii="等线" w:hAnsi="等线" w:eastAsia="等线" w:hint="eastAsia"/>
                <w:b/>
                <w:sz w:val="24"/>
              </w:rPr>
            </w:pPr>
            <w:r>
              <w:rPr>
                <w:rFonts w:ascii="等线" w:hAnsi="等线" w:eastAsia="等线" w:hint="eastAsia"/>
                <w:b/>
                <w:sz w:val="24"/>
              </w:rPr>
              <w:t>严重Ⅲ度烧伤</w:t>
            </w:r>
          </w:p>
        </w:tc>
        <w:tc>
          <w:tcPr>
            <w:tcW w:w="7202" w:type="dxa"/>
          </w:tcPr>
          <w:p>
            <w:pPr>
              <w:pStyle w:val="TableParagraph"/>
              <w:spacing w:line="273" w:lineRule="auto" w:before="138"/>
              <w:ind w:right="197"/>
              <w:rPr>
                <w:sz w:val="21"/>
              </w:rPr>
            </w:pPr>
            <w:r>
              <w:rPr>
                <w:spacing w:val="-14"/>
                <w:sz w:val="21"/>
              </w:rPr>
              <w:t>指烧伤程度为Ⅲ度，且Ⅲ度烧伤的面积达到全身体表面积的 </w:t>
            </w:r>
            <w:r>
              <w:rPr>
                <w:sz w:val="21"/>
              </w:rPr>
              <w:t>20</w:t>
            </w:r>
            <w:r>
              <w:rPr>
                <w:spacing w:val="-18"/>
                <w:sz w:val="21"/>
              </w:rPr>
              <w:t>%或 </w:t>
            </w:r>
            <w:r>
              <w:rPr>
                <w:sz w:val="21"/>
              </w:rPr>
              <w:t>20</w:t>
            </w:r>
            <w:r>
              <w:rPr>
                <w:spacing w:val="-2"/>
                <w:sz w:val="21"/>
              </w:rPr>
              <w:t>%以上。</w:t>
            </w:r>
            <w:r>
              <w:rPr>
                <w:spacing w:val="-3"/>
                <w:sz w:val="21"/>
              </w:rPr>
              <w:t>体表面积根据《中国新九分法》计算。</w:t>
            </w:r>
          </w:p>
        </w:tc>
      </w:tr>
      <w:tr>
        <w:trPr>
          <w:trHeight w:val="1958" w:hRule="atLeast"/>
        </w:trPr>
        <w:tc>
          <w:tcPr>
            <w:tcW w:w="602" w:type="dxa"/>
          </w:tcPr>
          <w:p>
            <w:pPr>
              <w:pStyle w:val="TableParagraph"/>
              <w:spacing w:before="124"/>
              <w:ind w:left="179" w:right="170"/>
              <w:jc w:val="center"/>
              <w:rPr>
                <w:b/>
                <w:sz w:val="21"/>
              </w:rPr>
            </w:pPr>
            <w:r>
              <w:rPr>
                <w:b/>
                <w:sz w:val="21"/>
              </w:rPr>
              <w:t>66</w:t>
            </w:r>
          </w:p>
        </w:tc>
        <w:tc>
          <w:tcPr>
            <w:tcW w:w="2407" w:type="dxa"/>
          </w:tcPr>
          <w:p>
            <w:pPr>
              <w:pStyle w:val="TableParagraph"/>
              <w:spacing w:line="235" w:lineRule="auto" w:before="94"/>
              <w:ind w:left="190" w:right="96"/>
              <w:rPr>
                <w:rFonts w:ascii="等线" w:eastAsia="等线" w:hint="eastAsia"/>
                <w:b/>
                <w:sz w:val="24"/>
              </w:rPr>
            </w:pPr>
            <w:r>
              <w:rPr>
                <w:rFonts w:ascii="等线" w:eastAsia="等线" w:hint="eastAsia"/>
                <w:b/>
                <w:sz w:val="24"/>
              </w:rPr>
              <w:t>严重类风湿性关节炎</w:t>
            </w:r>
          </w:p>
        </w:tc>
        <w:tc>
          <w:tcPr>
            <w:tcW w:w="7202" w:type="dxa"/>
          </w:tcPr>
          <w:p>
            <w:pPr>
              <w:pStyle w:val="TableParagraph"/>
              <w:spacing w:line="273" w:lineRule="auto" w:before="124"/>
              <w:ind w:right="303"/>
              <w:jc w:val="both"/>
              <w:rPr>
                <w:sz w:val="21"/>
              </w:rPr>
            </w:pPr>
            <w:r>
              <w:rPr>
                <w:sz w:val="21"/>
              </w:rPr>
              <w:t>指广泛分布的慢性进行性多关节病变，表现为关节严重变形，侵犯至少三</w:t>
            </w:r>
            <w:r>
              <w:rPr>
                <w:spacing w:val="-4"/>
                <w:sz w:val="21"/>
              </w:rPr>
              <w:t>个主要关节或关节组</w:t>
            </w:r>
            <w:r>
              <w:rPr>
                <w:sz w:val="21"/>
              </w:rPr>
              <w:t>（</w:t>
            </w:r>
            <w:r>
              <w:rPr>
                <w:spacing w:val="-3"/>
                <w:sz w:val="21"/>
              </w:rPr>
              <w:t>如:双手（</w:t>
            </w:r>
            <w:r>
              <w:rPr>
                <w:spacing w:val="-2"/>
                <w:sz w:val="21"/>
              </w:rPr>
              <w:t>多手指</w:t>
            </w:r>
            <w:r>
              <w:rPr>
                <w:spacing w:val="-5"/>
                <w:sz w:val="21"/>
              </w:rPr>
              <w:t>）关节、双足</w:t>
            </w:r>
            <w:r>
              <w:rPr>
                <w:sz w:val="21"/>
              </w:rPr>
              <w:t>（</w:t>
            </w:r>
            <w:r>
              <w:rPr>
                <w:spacing w:val="-2"/>
                <w:sz w:val="21"/>
              </w:rPr>
              <w:t>多足趾</w:t>
            </w:r>
            <w:r>
              <w:rPr>
                <w:spacing w:val="-8"/>
                <w:sz w:val="21"/>
              </w:rPr>
              <w:t>）</w:t>
            </w:r>
            <w:r>
              <w:rPr>
                <w:spacing w:val="-3"/>
                <w:sz w:val="21"/>
              </w:rPr>
              <w:t>关节、双腕关节、双膝关节和双髋关节）。被保人所患的类风湿性关节炎必须明确</w:t>
            </w:r>
            <w:r>
              <w:rPr>
                <w:spacing w:val="-6"/>
                <w:sz w:val="21"/>
              </w:rPr>
              <w:t>诊断并且已经达到类风湿性关节炎功能分级 </w:t>
            </w:r>
            <w:r>
              <w:rPr>
                <w:sz w:val="21"/>
              </w:rPr>
              <w:t>IV</w:t>
            </w:r>
            <w:r>
              <w:rPr>
                <w:spacing w:val="-9"/>
                <w:sz w:val="21"/>
              </w:rPr>
              <w:t> 级的永久不可逆性关节功能</w:t>
            </w:r>
            <w:r>
              <w:rPr>
                <w:sz w:val="21"/>
              </w:rPr>
              <w:t>障碍</w:t>
            </w:r>
            <w:r>
              <w:rPr>
                <w:spacing w:val="-3"/>
                <w:sz w:val="21"/>
              </w:rPr>
              <w:t>（生活不能自理，且丧失工作能力）并须满足下列全部条件：</w:t>
            </w:r>
          </w:p>
          <w:p>
            <w:pPr>
              <w:pStyle w:val="TableParagraph"/>
              <w:spacing w:line="255" w:lineRule="exact" w:before="8"/>
              <w:jc w:val="both"/>
              <w:rPr>
                <w:sz w:val="21"/>
              </w:rPr>
            </w:pPr>
            <w:r>
              <w:rPr>
                <w:sz w:val="21"/>
              </w:rPr>
              <w:t>（1）晨僵；</w:t>
            </w:r>
          </w:p>
        </w:tc>
      </w:tr>
    </w:tbl>
    <w:p>
      <w:pPr>
        <w:spacing w:after="0" w:line="255" w:lineRule="exact"/>
        <w:jc w:val="both"/>
        <w:rPr>
          <w:sz w:val="21"/>
        </w:rPr>
        <w:sectPr>
          <w:pgSz w:w="11910" w:h="16840"/>
          <w:pgMar w:top="1160" w:bottom="280" w:left="880" w:right="6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2507"/>
        <w:gridCol w:w="6775"/>
      </w:tblGrid>
      <w:tr>
        <w:trPr>
          <w:trHeight w:val="2861" w:hRule="atLeast"/>
        </w:trPr>
        <w:tc>
          <w:tcPr>
            <w:tcW w:w="602" w:type="dxa"/>
          </w:tcPr>
          <w:p>
            <w:pPr>
              <w:pStyle w:val="TableParagraph"/>
              <w:ind w:left="0"/>
              <w:rPr>
                <w:rFonts w:ascii="Times New Roman"/>
                <w:sz w:val="20"/>
              </w:rPr>
            </w:pPr>
          </w:p>
        </w:tc>
        <w:tc>
          <w:tcPr>
            <w:tcW w:w="2507" w:type="dxa"/>
          </w:tcPr>
          <w:p>
            <w:pPr>
              <w:pStyle w:val="TableParagraph"/>
              <w:ind w:left="0"/>
              <w:rPr>
                <w:rFonts w:ascii="Times New Roman"/>
                <w:sz w:val="20"/>
              </w:rPr>
            </w:pPr>
          </w:p>
        </w:tc>
        <w:tc>
          <w:tcPr>
            <w:tcW w:w="6775" w:type="dxa"/>
          </w:tcPr>
          <w:p>
            <w:pPr>
              <w:pStyle w:val="TableParagraph"/>
              <w:spacing w:line="211" w:lineRule="exact"/>
              <w:ind w:left="-3"/>
              <w:rPr>
                <w:sz w:val="21"/>
              </w:rPr>
            </w:pPr>
            <w:r>
              <w:rPr>
                <w:sz w:val="21"/>
              </w:rPr>
              <w:t>（2）对称性关节炎；</w:t>
            </w:r>
          </w:p>
          <w:p>
            <w:pPr>
              <w:pStyle w:val="TableParagraph"/>
              <w:spacing w:before="37"/>
              <w:ind w:left="-3"/>
              <w:rPr>
                <w:sz w:val="21"/>
              </w:rPr>
            </w:pPr>
            <w:r>
              <w:rPr>
                <w:sz w:val="21"/>
              </w:rPr>
              <w:t>（3）类风湿性皮下结节；</w:t>
            </w:r>
          </w:p>
          <w:p>
            <w:pPr>
              <w:pStyle w:val="TableParagraph"/>
              <w:spacing w:before="37"/>
              <w:ind w:left="-3"/>
              <w:rPr>
                <w:sz w:val="21"/>
              </w:rPr>
            </w:pPr>
            <w:r>
              <w:rPr>
                <w:sz w:val="21"/>
              </w:rPr>
              <w:t>（4）类风湿因子滴度升高；</w:t>
            </w:r>
          </w:p>
          <w:p>
            <w:pPr>
              <w:pStyle w:val="TableParagraph"/>
              <w:spacing w:line="273" w:lineRule="auto" w:before="37"/>
              <w:ind w:left="-3" w:right="1405"/>
              <w:rPr>
                <w:sz w:val="21"/>
              </w:rPr>
            </w:pPr>
            <w:r>
              <w:rPr>
                <w:sz w:val="21"/>
              </w:rPr>
              <w:t>（5）X 线显示严重的关节（软骨和骨）破坏和关节畸形。类风湿性关节炎功能分级标准：</w:t>
            </w:r>
          </w:p>
          <w:p>
            <w:pPr>
              <w:pStyle w:val="TableParagraph"/>
              <w:spacing w:before="8"/>
              <w:ind w:left="-3"/>
              <w:rPr>
                <w:sz w:val="21"/>
              </w:rPr>
            </w:pPr>
            <w:r>
              <w:rPr>
                <w:w w:val="100"/>
                <w:sz w:val="21"/>
              </w:rPr>
              <w:t>Ⅰ级</w:t>
            </w:r>
            <w:r>
              <w:rPr>
                <w:spacing w:val="-2"/>
                <w:sz w:val="21"/>
              </w:rPr>
              <w:t> </w:t>
            </w:r>
            <w:r>
              <w:rPr>
                <w:spacing w:val="-3"/>
                <w:w w:val="100"/>
                <w:sz w:val="21"/>
              </w:rPr>
              <w:t>胜任日常生活各项活动</w:t>
            </w:r>
            <w:r>
              <w:rPr>
                <w:w w:val="100"/>
                <w:sz w:val="21"/>
              </w:rPr>
              <w:t>（</w:t>
            </w:r>
            <w:r>
              <w:rPr>
                <w:spacing w:val="-3"/>
                <w:w w:val="100"/>
                <w:sz w:val="21"/>
              </w:rPr>
              <w:t>包括生活自理，职业和非职业活动</w:t>
            </w:r>
            <w:r>
              <w:rPr>
                <w:spacing w:val="-108"/>
                <w:w w:val="100"/>
                <w:sz w:val="21"/>
              </w:rPr>
              <w:t>）</w:t>
            </w:r>
            <w:r>
              <w:rPr>
                <w:w w:val="100"/>
                <w:sz w:val="21"/>
              </w:rPr>
              <w:t>；</w:t>
            </w:r>
          </w:p>
          <w:p>
            <w:pPr>
              <w:pStyle w:val="TableParagraph"/>
              <w:spacing w:before="37"/>
              <w:ind w:left="-3"/>
              <w:rPr>
                <w:sz w:val="21"/>
              </w:rPr>
            </w:pPr>
            <w:r>
              <w:rPr>
                <w:sz w:val="21"/>
              </w:rPr>
              <w:t>Ⅱ级 生活自理和工作，非职业活动受限；</w:t>
            </w:r>
          </w:p>
          <w:p>
            <w:pPr>
              <w:pStyle w:val="TableParagraph"/>
              <w:spacing w:before="37"/>
              <w:ind w:left="-3"/>
              <w:rPr>
                <w:sz w:val="21"/>
              </w:rPr>
            </w:pPr>
            <w:r>
              <w:rPr>
                <w:sz w:val="21"/>
              </w:rPr>
              <w:t>Ⅲ级 生活自理和工作，职业和非职业活动受限；</w:t>
            </w:r>
          </w:p>
          <w:p>
            <w:pPr>
              <w:pStyle w:val="TableParagraph"/>
              <w:spacing w:before="37"/>
              <w:ind w:left="-3"/>
              <w:rPr>
                <w:sz w:val="21"/>
              </w:rPr>
            </w:pPr>
            <w:r>
              <w:rPr>
                <w:sz w:val="21"/>
              </w:rPr>
              <w:t>Ⅳ级 生活不能自理，且丧失工作能力。</w:t>
            </w:r>
          </w:p>
        </w:tc>
      </w:tr>
      <w:tr>
        <w:trPr>
          <w:trHeight w:val="1163" w:hRule="atLeast"/>
        </w:trPr>
        <w:tc>
          <w:tcPr>
            <w:tcW w:w="602" w:type="dxa"/>
          </w:tcPr>
          <w:p>
            <w:pPr>
              <w:pStyle w:val="TableParagraph"/>
              <w:spacing w:before="110"/>
              <w:ind w:left="179" w:right="170"/>
              <w:jc w:val="center"/>
              <w:rPr>
                <w:b/>
                <w:sz w:val="21"/>
              </w:rPr>
            </w:pPr>
            <w:r>
              <w:rPr>
                <w:b/>
                <w:sz w:val="21"/>
              </w:rPr>
              <w:t>67</w:t>
            </w:r>
          </w:p>
        </w:tc>
        <w:tc>
          <w:tcPr>
            <w:tcW w:w="2507" w:type="dxa"/>
          </w:tcPr>
          <w:p>
            <w:pPr>
              <w:pStyle w:val="TableParagraph"/>
              <w:spacing w:before="74"/>
              <w:ind w:left="190"/>
              <w:rPr>
                <w:rFonts w:ascii="等线" w:eastAsia="等线" w:hint="eastAsia"/>
                <w:b/>
                <w:sz w:val="24"/>
              </w:rPr>
            </w:pPr>
            <w:r>
              <w:rPr>
                <w:rFonts w:ascii="等线" w:eastAsia="等线" w:hint="eastAsia"/>
                <w:b/>
                <w:sz w:val="24"/>
              </w:rPr>
              <w:t>象皮病</w:t>
            </w:r>
          </w:p>
        </w:tc>
        <w:tc>
          <w:tcPr>
            <w:tcW w:w="6775" w:type="dxa"/>
          </w:tcPr>
          <w:p>
            <w:pPr>
              <w:pStyle w:val="TableParagraph"/>
              <w:spacing w:line="273" w:lineRule="auto" w:before="110"/>
              <w:ind w:left="-3" w:right="-29"/>
              <w:jc w:val="both"/>
              <w:rPr>
                <w:sz w:val="21"/>
              </w:rPr>
            </w:pPr>
            <w:r>
              <w:rPr>
                <w:sz w:val="21"/>
              </w:rPr>
              <w:t>指末期丝虫病，已经到达国际淋巴学会分级为三度淋巴水肿，其临床表现为肢体非凹陷性水肿伴畸形增大、硬皮症和疣状增生。此病症须经专科医生根据临床表现和微丝蚴的化验结果确诊。</w:t>
            </w:r>
          </w:p>
        </w:tc>
      </w:tr>
      <w:tr>
        <w:trPr>
          <w:trHeight w:val="3034" w:hRule="atLeast"/>
        </w:trPr>
        <w:tc>
          <w:tcPr>
            <w:tcW w:w="602" w:type="dxa"/>
          </w:tcPr>
          <w:p>
            <w:pPr>
              <w:pStyle w:val="TableParagraph"/>
              <w:spacing w:before="110"/>
              <w:ind w:left="179" w:right="170"/>
              <w:jc w:val="center"/>
              <w:rPr>
                <w:b/>
                <w:sz w:val="21"/>
              </w:rPr>
            </w:pPr>
            <w:r>
              <w:rPr>
                <w:b/>
                <w:sz w:val="21"/>
              </w:rPr>
              <w:t>68</w:t>
            </w:r>
          </w:p>
        </w:tc>
        <w:tc>
          <w:tcPr>
            <w:tcW w:w="2507" w:type="dxa"/>
          </w:tcPr>
          <w:p>
            <w:pPr>
              <w:pStyle w:val="TableParagraph"/>
              <w:spacing w:line="232" w:lineRule="auto" w:before="84"/>
              <w:ind w:left="190" w:right="196"/>
              <w:jc w:val="both"/>
              <w:rPr>
                <w:rFonts w:ascii="等线" w:eastAsia="等线" w:hint="eastAsia"/>
                <w:b/>
                <w:sz w:val="24"/>
              </w:rPr>
            </w:pPr>
            <w:r>
              <w:rPr>
                <w:rFonts w:ascii="等线" w:eastAsia="等线" w:hint="eastAsia"/>
                <w:b/>
                <w:sz w:val="24"/>
              </w:rPr>
              <w:t>经输血导致的艾滋病病毒感染或患艾滋病</w:t>
            </w:r>
          </w:p>
        </w:tc>
        <w:tc>
          <w:tcPr>
            <w:tcW w:w="6775" w:type="dxa"/>
          </w:tcPr>
          <w:p>
            <w:pPr>
              <w:pStyle w:val="TableParagraph"/>
              <w:spacing w:line="273" w:lineRule="auto" w:before="110"/>
              <w:ind w:left="-3" w:right="-29"/>
              <w:rPr>
                <w:sz w:val="21"/>
              </w:rPr>
            </w:pPr>
            <w:r>
              <w:rPr>
                <w:spacing w:val="-4"/>
                <w:sz w:val="21"/>
              </w:rPr>
              <w:t>指被保险人因输血而感染上人类免疫缺陷病毒</w:t>
            </w:r>
            <w:r>
              <w:rPr>
                <w:spacing w:val="-5"/>
                <w:sz w:val="21"/>
              </w:rPr>
              <w:t>（HIV）</w:t>
            </w:r>
            <w:r>
              <w:rPr>
                <w:spacing w:val="-3"/>
                <w:sz w:val="21"/>
              </w:rPr>
              <w:t>或患艾滋病必须满足</w:t>
            </w:r>
            <w:r>
              <w:rPr>
                <w:spacing w:val="-2"/>
                <w:sz w:val="21"/>
              </w:rPr>
              <w:t>以下全部条件：</w:t>
            </w:r>
          </w:p>
          <w:p>
            <w:pPr>
              <w:pStyle w:val="TableParagraph"/>
              <w:spacing w:before="7"/>
              <w:ind w:left="-3"/>
              <w:rPr>
                <w:sz w:val="21"/>
              </w:rPr>
            </w:pPr>
            <w:r>
              <w:rPr>
                <w:sz w:val="21"/>
              </w:rPr>
              <w:t>（1）被保险人因输血而感染 HIV 或患艾滋病；</w:t>
            </w:r>
          </w:p>
          <w:p>
            <w:pPr>
              <w:pStyle w:val="TableParagraph"/>
              <w:spacing w:line="273" w:lineRule="auto" w:before="37"/>
              <w:ind w:left="523" w:right="-29" w:hanging="526"/>
              <w:rPr>
                <w:sz w:val="21"/>
              </w:rPr>
            </w:pPr>
            <w:r>
              <w:rPr>
                <w:spacing w:val="-11"/>
                <w:sz w:val="21"/>
              </w:rPr>
              <w:t>（2）</w:t>
            </w:r>
            <w:r>
              <w:rPr>
                <w:spacing w:val="-3"/>
                <w:sz w:val="21"/>
              </w:rPr>
              <w:t>提供输血治疗的输血中心或医院出具该项输血感染属医疗责任事故的报告，或者法院终审裁定为医疗责任；</w:t>
            </w:r>
          </w:p>
          <w:p>
            <w:pPr>
              <w:pStyle w:val="TableParagraph"/>
              <w:spacing w:before="7"/>
              <w:ind w:left="-3"/>
              <w:rPr>
                <w:sz w:val="21"/>
              </w:rPr>
            </w:pPr>
            <w:r>
              <w:rPr>
                <w:sz w:val="21"/>
              </w:rPr>
              <w:t>（3）受感染的被保险人不是血友病患者。</w:t>
            </w:r>
          </w:p>
          <w:p>
            <w:pPr>
              <w:pStyle w:val="TableParagraph"/>
              <w:spacing w:line="273" w:lineRule="auto" w:before="37"/>
              <w:ind w:left="-3" w:right="-29"/>
              <w:jc w:val="both"/>
              <w:rPr>
                <w:sz w:val="21"/>
              </w:rPr>
            </w:pPr>
            <w:r>
              <w:rPr>
                <w:spacing w:val="-3"/>
                <w:sz w:val="21"/>
                <w:shd w:fill="DADADA" w:color="auto" w:val="clear"/>
              </w:rPr>
              <w:t>任何因其他传播方式</w:t>
            </w:r>
            <w:r>
              <w:rPr>
                <w:sz w:val="21"/>
                <w:shd w:fill="DADADA" w:color="auto" w:val="clear"/>
              </w:rPr>
              <w:t>（</w:t>
            </w:r>
            <w:r>
              <w:rPr>
                <w:spacing w:val="-3"/>
                <w:sz w:val="21"/>
                <w:shd w:fill="DADADA" w:color="auto" w:val="clear"/>
              </w:rPr>
              <w:t>包括：性传播或静脉注射毒品等）</w:t>
            </w:r>
            <w:r>
              <w:rPr>
                <w:spacing w:val="-1"/>
                <w:sz w:val="21"/>
                <w:shd w:fill="DADADA" w:color="auto" w:val="clear"/>
              </w:rPr>
              <w:t>导致的 </w:t>
            </w:r>
            <w:r>
              <w:rPr>
                <w:sz w:val="21"/>
                <w:shd w:fill="DADADA" w:color="auto" w:val="clear"/>
              </w:rPr>
              <w:t>HIV 感染</w:t>
            </w:r>
            <w:r>
              <w:rPr>
                <w:spacing w:val="-208"/>
                <w:sz w:val="21"/>
                <w:shd w:fill="DADADA" w:color="auto" w:val="clear"/>
              </w:rPr>
              <w:t>或</w:t>
            </w:r>
            <w:r>
              <w:rPr>
                <w:sz w:val="21"/>
                <w:shd w:fill="DADADA" w:color="auto" w:val="clear"/>
              </w:rPr>
              <w:t>患艾滋病不在保障范围内。</w:t>
            </w:r>
            <w:r>
              <w:rPr>
                <w:sz w:val="21"/>
              </w:rPr>
              <w:t>本公司具有获得使用被保险人的所有血液样本</w:t>
            </w:r>
            <w:r>
              <w:rPr>
                <w:spacing w:val="-3"/>
                <w:sz w:val="21"/>
              </w:rPr>
              <w:t>的权利和能够对这些样本进行独立检验的权利。</w:t>
            </w:r>
          </w:p>
        </w:tc>
      </w:tr>
      <w:tr>
        <w:trPr>
          <w:trHeight w:val="2098" w:hRule="atLeast"/>
        </w:trPr>
        <w:tc>
          <w:tcPr>
            <w:tcW w:w="602" w:type="dxa"/>
          </w:tcPr>
          <w:p>
            <w:pPr>
              <w:pStyle w:val="TableParagraph"/>
              <w:spacing w:before="109"/>
              <w:ind w:left="179" w:right="170"/>
              <w:jc w:val="center"/>
              <w:rPr>
                <w:b/>
                <w:sz w:val="21"/>
              </w:rPr>
            </w:pPr>
            <w:r>
              <w:rPr>
                <w:b/>
                <w:sz w:val="21"/>
              </w:rPr>
              <w:t>69</w:t>
            </w:r>
          </w:p>
        </w:tc>
        <w:tc>
          <w:tcPr>
            <w:tcW w:w="2507" w:type="dxa"/>
          </w:tcPr>
          <w:p>
            <w:pPr>
              <w:pStyle w:val="TableParagraph"/>
              <w:spacing w:before="73"/>
              <w:ind w:left="190"/>
              <w:rPr>
                <w:rFonts w:ascii="等线" w:eastAsia="等线" w:hint="eastAsia"/>
                <w:b/>
                <w:sz w:val="24"/>
              </w:rPr>
            </w:pPr>
            <w:r>
              <w:rPr>
                <w:rFonts w:ascii="等线" w:eastAsia="等线" w:hint="eastAsia"/>
                <w:b/>
                <w:sz w:val="24"/>
              </w:rPr>
              <w:t>严重ft营养不良症</w:t>
            </w:r>
          </w:p>
        </w:tc>
        <w:tc>
          <w:tcPr>
            <w:tcW w:w="6775" w:type="dxa"/>
          </w:tcPr>
          <w:p>
            <w:pPr>
              <w:pStyle w:val="TableParagraph"/>
              <w:spacing w:line="273" w:lineRule="auto" w:before="109"/>
              <w:ind w:left="-3" w:right="-29"/>
              <w:rPr>
                <w:sz w:val="21"/>
              </w:rPr>
            </w:pPr>
            <w:r>
              <w:rPr>
                <w:sz w:val="21"/>
              </w:rPr>
              <w:t>指一组原发于肌肉的疾病，临床表现为与神经系统无关的肌肉无力和肌肉</w:t>
            </w:r>
            <w:r>
              <w:rPr>
                <w:spacing w:val="-3"/>
                <w:sz w:val="21"/>
              </w:rPr>
              <w:t>萎缩。且须满足下列全部条件：</w:t>
            </w:r>
          </w:p>
          <w:p>
            <w:pPr>
              <w:pStyle w:val="TableParagraph"/>
              <w:spacing w:line="273" w:lineRule="auto" w:before="7"/>
              <w:ind w:left="523" w:right="-29" w:hanging="526"/>
              <w:rPr>
                <w:sz w:val="21"/>
              </w:rPr>
            </w:pPr>
            <w:r>
              <w:rPr>
                <w:spacing w:val="-6"/>
                <w:sz w:val="21"/>
              </w:rPr>
              <w:t>（1）</w:t>
            </w:r>
            <w:r>
              <w:rPr>
                <w:spacing w:val="-4"/>
                <w:sz w:val="21"/>
              </w:rPr>
              <w:t>肌肉组织活检结果满足肌营养不良症的肌肉细胞变性、坏死等阳性改变；</w:t>
            </w:r>
          </w:p>
          <w:p>
            <w:pPr>
              <w:pStyle w:val="TableParagraph"/>
              <w:spacing w:line="273" w:lineRule="auto" w:before="7"/>
              <w:ind w:left="523" w:right="-29" w:hanging="526"/>
              <w:rPr>
                <w:sz w:val="21"/>
              </w:rPr>
            </w:pPr>
            <w:r>
              <w:rPr>
                <w:spacing w:val="-6"/>
                <w:sz w:val="21"/>
              </w:rPr>
              <w:t>（2）</w:t>
            </w:r>
            <w:r>
              <w:rPr>
                <w:spacing w:val="-5"/>
                <w:sz w:val="21"/>
              </w:rPr>
              <w:t>自主生活能力完全丧失，无法独立完成六项基本日常生活活动中的三</w:t>
            </w:r>
            <w:r>
              <w:rPr>
                <w:spacing w:val="-4"/>
                <w:sz w:val="21"/>
              </w:rPr>
              <w:t>项或三项以上。</w:t>
            </w:r>
          </w:p>
        </w:tc>
      </w:tr>
      <w:tr>
        <w:trPr>
          <w:trHeight w:val="850" w:hRule="atLeast"/>
        </w:trPr>
        <w:tc>
          <w:tcPr>
            <w:tcW w:w="602" w:type="dxa"/>
          </w:tcPr>
          <w:p>
            <w:pPr>
              <w:pStyle w:val="TableParagraph"/>
              <w:spacing w:before="111"/>
              <w:ind w:left="179" w:right="170"/>
              <w:jc w:val="center"/>
              <w:rPr>
                <w:b/>
                <w:sz w:val="21"/>
              </w:rPr>
            </w:pPr>
            <w:r>
              <w:rPr>
                <w:b/>
                <w:sz w:val="21"/>
              </w:rPr>
              <w:t>70</w:t>
            </w:r>
          </w:p>
        </w:tc>
        <w:tc>
          <w:tcPr>
            <w:tcW w:w="2507" w:type="dxa"/>
          </w:tcPr>
          <w:p>
            <w:pPr>
              <w:pStyle w:val="TableParagraph"/>
              <w:spacing w:before="75"/>
              <w:ind w:left="190"/>
              <w:rPr>
                <w:rFonts w:ascii="等线" w:eastAsia="等线" w:hint="eastAsia"/>
                <w:b/>
                <w:sz w:val="24"/>
              </w:rPr>
            </w:pPr>
            <w:r>
              <w:rPr>
                <w:rFonts w:ascii="等线" w:eastAsia="等线" w:hint="eastAsia"/>
                <w:b/>
                <w:sz w:val="24"/>
              </w:rPr>
              <w:t>弥漫性血管内凝血</w:t>
            </w:r>
          </w:p>
        </w:tc>
        <w:tc>
          <w:tcPr>
            <w:tcW w:w="6775" w:type="dxa"/>
          </w:tcPr>
          <w:p>
            <w:pPr>
              <w:pStyle w:val="TableParagraph"/>
              <w:spacing w:line="273" w:lineRule="auto" w:before="111"/>
              <w:ind w:left="-3" w:right="-29"/>
              <w:rPr>
                <w:sz w:val="21"/>
              </w:rPr>
            </w:pPr>
            <w:r>
              <w:rPr>
                <w:sz w:val="21"/>
              </w:rPr>
              <w:t>指血液凝固系统和纤溶系统的过度活动导致微血管血栓形成、血小板及凝</w:t>
            </w:r>
            <w:r>
              <w:rPr>
                <w:spacing w:val="-3"/>
                <w:sz w:val="21"/>
              </w:rPr>
              <w:t>血因子耗竭和严重出血，需要输注血浆和浓缩血小板进行治疗。</w:t>
            </w:r>
          </w:p>
        </w:tc>
      </w:tr>
      <w:tr>
        <w:trPr>
          <w:trHeight w:val="4260" w:hRule="atLeast"/>
        </w:trPr>
        <w:tc>
          <w:tcPr>
            <w:tcW w:w="602" w:type="dxa"/>
          </w:tcPr>
          <w:p>
            <w:pPr>
              <w:pStyle w:val="TableParagraph"/>
              <w:spacing w:before="88"/>
              <w:ind w:left="179" w:right="170"/>
              <w:jc w:val="center"/>
              <w:rPr>
                <w:b/>
                <w:sz w:val="21"/>
              </w:rPr>
            </w:pPr>
            <w:r>
              <w:rPr>
                <w:b/>
                <w:sz w:val="21"/>
              </w:rPr>
              <w:t>71</w:t>
            </w:r>
          </w:p>
        </w:tc>
        <w:tc>
          <w:tcPr>
            <w:tcW w:w="2507" w:type="dxa"/>
            <w:tcBorders>
              <w:right w:val="single" w:sz="4" w:space="0" w:color="000000"/>
            </w:tcBorders>
          </w:tcPr>
          <w:p>
            <w:pPr>
              <w:pStyle w:val="TableParagraph"/>
              <w:spacing w:line="232" w:lineRule="auto" w:before="84"/>
              <w:ind w:left="190" w:right="191"/>
              <w:jc w:val="both"/>
              <w:rPr>
                <w:rFonts w:ascii="等线" w:eastAsia="等线" w:hint="eastAsia"/>
                <w:b/>
                <w:sz w:val="24"/>
              </w:rPr>
            </w:pPr>
            <w:r>
              <w:rPr>
                <w:rFonts w:ascii="等线" w:eastAsia="等线" w:hint="eastAsia"/>
                <w:b/>
                <w:sz w:val="24"/>
              </w:rPr>
              <w:t>因职业关系导致的艾滋病病毒感染或患艾滋病</w:t>
            </w:r>
          </w:p>
        </w:tc>
        <w:tc>
          <w:tcPr>
            <w:tcW w:w="6775" w:type="dxa"/>
            <w:tcBorders>
              <w:left w:val="single" w:sz="4" w:space="0" w:color="000000"/>
              <w:bottom w:val="single" w:sz="4" w:space="0" w:color="000000"/>
              <w:right w:val="single" w:sz="4" w:space="0" w:color="000000"/>
            </w:tcBorders>
          </w:tcPr>
          <w:p>
            <w:pPr>
              <w:pStyle w:val="TableParagraph"/>
              <w:spacing w:line="237" w:lineRule="auto" w:before="91"/>
              <w:ind w:left="-8" w:right="-29"/>
              <w:jc w:val="both"/>
              <w:rPr>
                <w:sz w:val="21"/>
              </w:rPr>
            </w:pPr>
            <w:r>
              <w:rPr>
                <w:sz w:val="21"/>
              </w:rPr>
              <w:t>被保险人在其常规职业工作过程中遭遇外伤，或者职业需要处理血液或者</w:t>
            </w:r>
            <w:r>
              <w:rPr>
                <w:spacing w:val="-4"/>
                <w:sz w:val="21"/>
              </w:rPr>
              <w:t>其他体液时感染上人类免疫缺陷病毒（HIV）</w:t>
            </w:r>
            <w:r>
              <w:rPr>
                <w:spacing w:val="-5"/>
                <w:sz w:val="21"/>
              </w:rPr>
              <w:t>或患艾滋病。必须满足下列全</w:t>
            </w:r>
            <w:r>
              <w:rPr>
                <w:spacing w:val="-1"/>
                <w:sz w:val="21"/>
              </w:rPr>
              <w:t>部条件：</w:t>
            </w:r>
          </w:p>
          <w:p>
            <w:pPr>
              <w:pStyle w:val="TableParagraph"/>
              <w:spacing w:line="237" w:lineRule="auto" w:before="1"/>
              <w:ind w:left="518" w:right="-29" w:hanging="526"/>
              <w:rPr>
                <w:sz w:val="21"/>
              </w:rPr>
            </w:pPr>
            <w:r>
              <w:rPr>
                <w:spacing w:val="-6"/>
                <w:sz w:val="21"/>
              </w:rPr>
              <w:t>（1）</w:t>
            </w:r>
            <w:r>
              <w:rPr>
                <w:spacing w:val="-4"/>
                <w:sz w:val="21"/>
              </w:rPr>
              <w:t>感染必须是在被保险人正在从事其职业工作中发生，该职业必须属于</w:t>
            </w:r>
            <w:r>
              <w:rPr>
                <w:spacing w:val="-3"/>
                <w:sz w:val="21"/>
              </w:rPr>
              <w:t>以下列表内的职业；</w:t>
            </w:r>
          </w:p>
          <w:p>
            <w:pPr>
              <w:pStyle w:val="TableParagraph"/>
              <w:spacing w:line="237" w:lineRule="auto" w:before="1"/>
              <w:ind w:left="518" w:right="-29" w:hanging="526"/>
              <w:rPr>
                <w:sz w:val="21"/>
              </w:rPr>
            </w:pPr>
            <w:r>
              <w:rPr>
                <w:spacing w:val="-6"/>
                <w:sz w:val="21"/>
              </w:rPr>
              <w:t>（2）</w:t>
            </w:r>
            <w:r>
              <w:rPr>
                <w:spacing w:val="-5"/>
                <w:sz w:val="21"/>
              </w:rPr>
              <w:t>必须提供被保险人在所报事故发生后的 </w:t>
            </w:r>
            <w:r>
              <w:rPr>
                <w:sz w:val="21"/>
              </w:rPr>
              <w:t>5</w:t>
            </w:r>
            <w:r>
              <w:rPr>
                <w:spacing w:val="-8"/>
                <w:sz w:val="21"/>
              </w:rPr>
              <w:t> 天以内进行的检查报告，该</w:t>
            </w:r>
            <w:r>
              <w:rPr>
                <w:spacing w:val="-9"/>
                <w:sz w:val="21"/>
              </w:rPr>
              <w:t>报告必须显示被保险人血液 </w:t>
            </w:r>
            <w:r>
              <w:rPr>
                <w:sz w:val="21"/>
              </w:rPr>
              <w:t>HIV</w:t>
            </w:r>
            <w:r>
              <w:rPr>
                <w:spacing w:val="-10"/>
                <w:sz w:val="21"/>
              </w:rPr>
              <w:t> 病毒阴性和</w:t>
            </w:r>
            <w:r>
              <w:rPr>
                <w:spacing w:val="-3"/>
                <w:sz w:val="21"/>
              </w:rPr>
              <w:t>/</w:t>
            </w:r>
            <w:r>
              <w:rPr>
                <w:spacing w:val="-23"/>
                <w:sz w:val="21"/>
              </w:rPr>
              <w:t>或 </w:t>
            </w:r>
            <w:r>
              <w:rPr>
                <w:sz w:val="21"/>
              </w:rPr>
              <w:t>HIV</w:t>
            </w:r>
            <w:r>
              <w:rPr>
                <w:spacing w:val="-10"/>
                <w:sz w:val="21"/>
              </w:rPr>
              <w:t> 抗体阴性；</w:t>
            </w:r>
          </w:p>
          <w:p>
            <w:pPr>
              <w:pStyle w:val="TableParagraph"/>
              <w:spacing w:line="272" w:lineRule="exact"/>
              <w:ind w:left="-8"/>
              <w:jc w:val="both"/>
              <w:rPr>
                <w:sz w:val="21"/>
              </w:rPr>
            </w:pPr>
            <w:r>
              <w:rPr>
                <w:sz w:val="21"/>
              </w:rPr>
              <w:t>（3）</w:t>
            </w:r>
            <w:r>
              <w:rPr>
                <w:spacing w:val="-13"/>
                <w:sz w:val="21"/>
              </w:rPr>
              <w:t>必须在事故发生后的 </w:t>
            </w:r>
            <w:r>
              <w:rPr>
                <w:sz w:val="21"/>
              </w:rPr>
              <w:t>6</w:t>
            </w:r>
            <w:r>
              <w:rPr>
                <w:spacing w:val="-17"/>
                <w:sz w:val="21"/>
              </w:rPr>
              <w:t> 个月内证实被保险人体内存在 </w:t>
            </w:r>
            <w:r>
              <w:rPr>
                <w:spacing w:val="-4"/>
                <w:sz w:val="21"/>
              </w:rPr>
              <w:t>HIV</w:t>
            </w:r>
            <w:r>
              <w:rPr>
                <w:spacing w:val="-20"/>
                <w:sz w:val="21"/>
              </w:rPr>
              <w:t> 病毒或者 </w:t>
            </w:r>
            <w:r>
              <w:rPr>
                <w:spacing w:val="-11"/>
                <w:sz w:val="21"/>
              </w:rPr>
              <w:t>HIV</w:t>
            </w:r>
          </w:p>
          <w:p>
            <w:pPr>
              <w:pStyle w:val="TableParagraph"/>
              <w:spacing w:line="272" w:lineRule="exact"/>
              <w:ind w:left="501" w:right="5594"/>
              <w:jc w:val="center"/>
              <w:rPr>
                <w:sz w:val="21"/>
              </w:rPr>
            </w:pPr>
            <w:r>
              <w:rPr>
                <w:sz w:val="21"/>
              </w:rPr>
              <w:t>抗体。</w:t>
            </w:r>
          </w:p>
          <w:p>
            <w:pPr>
              <w:pStyle w:val="TableParagraph"/>
              <w:spacing w:line="274" w:lineRule="exact"/>
              <w:ind w:left="-8"/>
              <w:jc w:val="both"/>
              <w:rPr>
                <w:sz w:val="21"/>
              </w:rPr>
            </w:pPr>
            <w:r>
              <w:rPr>
                <w:sz w:val="21"/>
              </w:rPr>
              <w:t>职业限制如下所示:</w:t>
            </w:r>
          </w:p>
          <w:p>
            <w:pPr>
              <w:pStyle w:val="TableParagraph"/>
              <w:tabs>
                <w:tab w:pos="3491" w:val="left" w:leader="none"/>
              </w:tabs>
              <w:spacing w:before="6"/>
              <w:ind w:left="105"/>
              <w:rPr>
                <w:sz w:val="21"/>
              </w:rPr>
            </w:pPr>
            <w:r>
              <w:rPr>
                <w:sz w:val="21"/>
              </w:rPr>
              <w:t>医生</w:t>
            </w:r>
            <w:r>
              <w:rPr>
                <w:spacing w:val="-3"/>
                <w:sz w:val="21"/>
              </w:rPr>
              <w:t>和</w:t>
            </w:r>
            <w:r>
              <w:rPr>
                <w:sz w:val="21"/>
              </w:rPr>
              <w:t>牙</w:t>
            </w:r>
            <w:r>
              <w:rPr>
                <w:spacing w:val="-3"/>
                <w:sz w:val="21"/>
              </w:rPr>
              <w:t>科</w:t>
            </w:r>
            <w:r>
              <w:rPr>
                <w:sz w:val="21"/>
              </w:rPr>
              <w:t>医生</w:t>
              <w:tab/>
              <w:t>护士</w:t>
            </w:r>
          </w:p>
          <w:p>
            <w:pPr>
              <w:pStyle w:val="TableParagraph"/>
              <w:tabs>
                <w:tab w:pos="3491" w:val="left" w:leader="none"/>
              </w:tabs>
              <w:spacing w:before="8"/>
              <w:ind w:left="105"/>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w:t>
            </w:r>
            <w:r>
              <w:rPr>
                <w:spacing w:val="-3"/>
                <w:sz w:val="21"/>
              </w:rPr>
              <w:t>护</w:t>
            </w:r>
            <w:r>
              <w:rPr>
                <w:sz w:val="21"/>
              </w:rPr>
              <w:t>工</w:t>
            </w:r>
          </w:p>
          <w:p>
            <w:pPr>
              <w:pStyle w:val="TableParagraph"/>
              <w:tabs>
                <w:tab w:pos="3491" w:val="left" w:leader="none"/>
              </w:tabs>
              <w:spacing w:before="8"/>
              <w:ind w:left="105"/>
              <w:rPr>
                <w:sz w:val="21"/>
              </w:rPr>
            </w:pPr>
            <w:r>
              <w:rPr>
                <w:sz w:val="21"/>
              </w:rPr>
              <w:t>医生</w:t>
            </w:r>
            <w:r>
              <w:rPr>
                <w:spacing w:val="-3"/>
                <w:sz w:val="21"/>
              </w:rPr>
              <w:t>助</w:t>
            </w:r>
            <w:r>
              <w:rPr>
                <w:sz w:val="21"/>
              </w:rPr>
              <w:t>理</w:t>
            </w:r>
            <w:r>
              <w:rPr>
                <w:spacing w:val="-3"/>
                <w:sz w:val="21"/>
              </w:rPr>
              <w:t>和</w:t>
            </w:r>
            <w:r>
              <w:rPr>
                <w:sz w:val="21"/>
              </w:rPr>
              <w:t>牙</w:t>
            </w:r>
            <w:r>
              <w:rPr>
                <w:spacing w:val="-3"/>
                <w:sz w:val="21"/>
              </w:rPr>
              <w:t>医</w:t>
            </w:r>
            <w:r>
              <w:rPr>
                <w:sz w:val="21"/>
              </w:rPr>
              <w:t>助理</w:t>
              <w:tab/>
              <w:t>救护</w:t>
            </w:r>
            <w:r>
              <w:rPr>
                <w:spacing w:val="-3"/>
                <w:sz w:val="21"/>
              </w:rPr>
              <w:t>车</w:t>
            </w:r>
            <w:r>
              <w:rPr>
                <w:sz w:val="21"/>
              </w:rPr>
              <w:t>工</w:t>
            </w:r>
            <w:r>
              <w:rPr>
                <w:spacing w:val="-3"/>
                <w:sz w:val="21"/>
              </w:rPr>
              <w:t>作</w:t>
            </w:r>
            <w:r>
              <w:rPr>
                <w:sz w:val="21"/>
              </w:rPr>
              <w:t>人员</w:t>
            </w:r>
          </w:p>
          <w:p>
            <w:pPr>
              <w:pStyle w:val="TableParagraph"/>
              <w:tabs>
                <w:tab w:pos="3491" w:val="left" w:leader="none"/>
              </w:tabs>
              <w:spacing w:before="6"/>
              <w:ind w:left="105"/>
              <w:rPr>
                <w:sz w:val="21"/>
              </w:rPr>
            </w:pPr>
            <w:r>
              <w:rPr>
                <w:sz w:val="21"/>
              </w:rPr>
              <w:t>助产士</w:t>
              <w:tab/>
              <w:t>消防</w:t>
            </w:r>
            <w:r>
              <w:rPr>
                <w:spacing w:val="-3"/>
                <w:sz w:val="21"/>
              </w:rPr>
              <w:t>队</w:t>
            </w:r>
            <w:r>
              <w:rPr>
                <w:sz w:val="21"/>
              </w:rPr>
              <w:t>员</w:t>
            </w:r>
          </w:p>
          <w:p>
            <w:pPr>
              <w:pStyle w:val="TableParagraph"/>
              <w:tabs>
                <w:tab w:pos="3491" w:val="left" w:leader="none"/>
              </w:tabs>
              <w:spacing w:before="8"/>
              <w:ind w:left="105"/>
              <w:rPr>
                <w:sz w:val="21"/>
              </w:rPr>
            </w:pPr>
            <w:r>
              <w:rPr>
                <w:sz w:val="21"/>
              </w:rPr>
              <w:t>警察</w:t>
              <w:tab/>
              <w:t>狱警</w:t>
            </w:r>
          </w:p>
        </w:tc>
      </w:tr>
    </w:tbl>
    <w:p>
      <w:pPr>
        <w:rPr>
          <w:sz w:val="2"/>
          <w:szCs w:val="2"/>
        </w:rPr>
      </w:pPr>
      <w:r>
        <w:rPr/>
        <w:pict>
          <v:group style="position:absolute;margin-left:204.960007pt;margin-top:701.998962pt;width:338.2pt;height:71.2pt;mso-position-horizontal-relative:page;mso-position-vertical-relative:page;z-index:-67384" coordorigin="4099,14040" coordsize="6764,1424">
            <v:shape style="position:absolute;left:4099;top:14044;width:6764;height:2" coordorigin="4099,14045" coordsize="6764,0" path="m4099,14045l7476,14045m7486,14045l10862,14045e" filled="false" stroked="true" strokeweight=".481pt" strokecolor="#000000">
              <v:path arrowok="t"/>
              <v:stroke dashstyle="solid"/>
            </v:shape>
            <v:shape style="position:absolute;left:4099;top:14328;width:6764;height:564" coordorigin="4099,14328" coordsize="6764,564" path="m4099,14328l7476,14328m7486,14328l10862,14328m4099,14609l7476,14609m7486,14609l10862,14609m4099,14892l7476,14892m7486,14892l10862,14892e" filled="false" stroked="true" strokeweight=".48pt" strokecolor="#000000">
              <v:path arrowok="t"/>
              <v:stroke dashstyle="solid"/>
            </v:shape>
            <v:shape style="position:absolute;left:4099;top:14039;width:6764;height:1424" coordorigin="4099,14040" coordsize="6764,1424" path="m4099,15175l7476,15175m7486,15175l10862,15175m7481,14040l7481,15463e" filled="false" stroked="true" strokeweight=".481pt" strokecolor="#000000">
              <v:path arrowok="t"/>
              <v:stroke dashstyle="solid"/>
            </v:shape>
            <w10:wrap type="none"/>
          </v:group>
        </w:pict>
      </w:r>
    </w:p>
    <w:p>
      <w:pPr>
        <w:spacing w:after="0"/>
        <w:rPr>
          <w:sz w:val="2"/>
          <w:szCs w:val="2"/>
        </w:rPr>
        <w:sectPr>
          <w:pgSz w:w="11910" w:h="16840"/>
          <w:pgMar w:top="1160" w:bottom="280" w:left="88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2407"/>
        <w:gridCol w:w="6974"/>
      </w:tblGrid>
      <w:tr>
        <w:trPr>
          <w:trHeight w:val="290" w:hRule="atLeast"/>
        </w:trPr>
        <w:tc>
          <w:tcPr>
            <w:tcW w:w="452" w:type="dxa"/>
          </w:tcPr>
          <w:p>
            <w:pPr>
              <w:pStyle w:val="TableParagraph"/>
              <w:spacing w:line="222" w:lineRule="exact"/>
              <w:ind w:left="50"/>
              <w:rPr>
                <w:b/>
                <w:sz w:val="21"/>
              </w:rPr>
            </w:pPr>
            <w:r>
              <w:rPr>
                <w:b/>
                <w:sz w:val="21"/>
              </w:rPr>
              <w:t>72</w:t>
            </w:r>
          </w:p>
        </w:tc>
        <w:tc>
          <w:tcPr>
            <w:tcW w:w="2407" w:type="dxa"/>
          </w:tcPr>
          <w:p>
            <w:pPr>
              <w:pStyle w:val="TableParagraph"/>
              <w:spacing w:line="239" w:lineRule="exact"/>
              <w:ind w:left="190"/>
              <w:rPr>
                <w:rFonts w:ascii="等线" w:eastAsia="等线" w:hint="eastAsia"/>
                <w:b/>
                <w:sz w:val="24"/>
              </w:rPr>
            </w:pPr>
            <w:r>
              <w:rPr>
                <w:rFonts w:ascii="等线" w:eastAsia="等线" w:hint="eastAsia"/>
                <w:b/>
                <w:sz w:val="24"/>
              </w:rPr>
              <w:t>嗜铬细胞瘤</w:t>
            </w:r>
          </w:p>
        </w:tc>
        <w:tc>
          <w:tcPr>
            <w:tcW w:w="6974" w:type="dxa"/>
          </w:tcPr>
          <w:p>
            <w:pPr>
              <w:pStyle w:val="TableParagraph"/>
              <w:spacing w:line="238" w:lineRule="exact"/>
              <w:rPr>
                <w:sz w:val="21"/>
              </w:rPr>
            </w:pPr>
            <w:r>
              <w:rPr>
                <w:sz w:val="21"/>
              </w:rPr>
              <w:t>指肾上腺或肾上腺外嗜铬组织出现神经内分泌肿瘤，并分</w:t>
            </w:r>
            <w:r>
              <w:rPr>
                <w:rFonts w:ascii="Times New Roman" w:eastAsia="Times New Roman"/>
                <w:w w:val="110"/>
                <w:sz w:val="21"/>
              </w:rPr>
              <w:t>泌</w:t>
            </w:r>
            <w:r>
              <w:rPr>
                <w:sz w:val="21"/>
              </w:rPr>
              <w:t>过多的儿茶酚</w:t>
            </w:r>
          </w:p>
        </w:tc>
      </w:tr>
      <w:tr>
        <w:trPr>
          <w:trHeight w:val="303" w:hRule="atLeast"/>
        </w:trPr>
        <w:tc>
          <w:tcPr>
            <w:tcW w:w="452" w:type="dxa"/>
          </w:tcPr>
          <w:p>
            <w:pPr>
              <w:pStyle w:val="TableParagraph"/>
              <w:ind w:left="0"/>
              <w:rPr>
                <w:rFonts w:ascii="Times New Roman"/>
                <w:sz w:val="20"/>
              </w:rPr>
            </w:pPr>
          </w:p>
        </w:tc>
        <w:tc>
          <w:tcPr>
            <w:tcW w:w="2407" w:type="dxa"/>
          </w:tcPr>
          <w:p>
            <w:pPr>
              <w:pStyle w:val="TableParagraph"/>
              <w:ind w:left="0"/>
              <w:rPr>
                <w:rFonts w:ascii="Times New Roman"/>
                <w:sz w:val="20"/>
              </w:rPr>
            </w:pPr>
          </w:p>
        </w:tc>
        <w:tc>
          <w:tcPr>
            <w:tcW w:w="6974" w:type="dxa"/>
          </w:tcPr>
          <w:p>
            <w:pPr>
              <w:pStyle w:val="TableParagraph"/>
              <w:spacing w:line="260" w:lineRule="exact"/>
              <w:rPr>
                <w:sz w:val="21"/>
              </w:rPr>
            </w:pPr>
            <w:r>
              <w:rPr>
                <w:sz w:val="21"/>
              </w:rPr>
              <w:t>胺类的疾病。且已经由组织病理检查证实，并已经进</w:t>
            </w:r>
            <w:r>
              <w:rPr>
                <w:rFonts w:ascii="Times New Roman" w:eastAsia="Times New Roman"/>
                <w:w w:val="110"/>
                <w:sz w:val="21"/>
              </w:rPr>
              <w:t>行</w:t>
            </w:r>
            <w:r>
              <w:rPr>
                <w:sz w:val="21"/>
              </w:rPr>
              <w:t>了切除嗜铬细胞肿</w:t>
            </w:r>
          </w:p>
        </w:tc>
      </w:tr>
      <w:tr>
        <w:trPr>
          <w:trHeight w:val="443" w:hRule="atLeast"/>
        </w:trPr>
        <w:tc>
          <w:tcPr>
            <w:tcW w:w="452" w:type="dxa"/>
          </w:tcPr>
          <w:p>
            <w:pPr>
              <w:pStyle w:val="TableParagraph"/>
              <w:ind w:left="0"/>
              <w:rPr>
                <w:rFonts w:ascii="Times New Roman"/>
                <w:sz w:val="20"/>
              </w:rPr>
            </w:pPr>
          </w:p>
        </w:tc>
        <w:tc>
          <w:tcPr>
            <w:tcW w:w="2407" w:type="dxa"/>
          </w:tcPr>
          <w:p>
            <w:pPr>
              <w:pStyle w:val="TableParagraph"/>
              <w:ind w:left="0"/>
              <w:rPr>
                <w:rFonts w:ascii="Times New Roman"/>
                <w:sz w:val="20"/>
              </w:rPr>
            </w:pPr>
          </w:p>
        </w:tc>
        <w:tc>
          <w:tcPr>
            <w:tcW w:w="6974" w:type="dxa"/>
          </w:tcPr>
          <w:p>
            <w:pPr>
              <w:pStyle w:val="TableParagraph"/>
              <w:spacing w:line="252" w:lineRule="exact"/>
              <w:rPr>
                <w:sz w:val="21"/>
              </w:rPr>
            </w:pPr>
            <w:r>
              <w:rPr>
                <w:sz w:val="21"/>
              </w:rPr>
              <w:t>瘤的手术治疗。嗜铬细胞瘤须经专科医生明确诊断。</w:t>
            </w:r>
          </w:p>
        </w:tc>
      </w:tr>
      <w:tr>
        <w:trPr>
          <w:trHeight w:val="786" w:hRule="atLeast"/>
        </w:trPr>
        <w:tc>
          <w:tcPr>
            <w:tcW w:w="452" w:type="dxa"/>
          </w:tcPr>
          <w:p>
            <w:pPr>
              <w:pStyle w:val="TableParagraph"/>
              <w:spacing w:before="129"/>
              <w:ind w:left="50"/>
              <w:rPr>
                <w:b/>
                <w:sz w:val="21"/>
              </w:rPr>
            </w:pPr>
            <w:r>
              <w:rPr>
                <w:b/>
                <w:sz w:val="21"/>
              </w:rPr>
              <w:t>73</w:t>
            </w:r>
          </w:p>
        </w:tc>
        <w:tc>
          <w:tcPr>
            <w:tcW w:w="2407" w:type="dxa"/>
          </w:tcPr>
          <w:p>
            <w:pPr>
              <w:pStyle w:val="TableParagraph"/>
              <w:spacing w:line="232" w:lineRule="auto" w:before="103"/>
              <w:ind w:left="190" w:right="96"/>
              <w:rPr>
                <w:rFonts w:ascii="等线" w:eastAsia="等线" w:hint="eastAsia"/>
                <w:b/>
                <w:sz w:val="24"/>
              </w:rPr>
            </w:pPr>
            <w:r>
              <w:rPr>
                <w:rFonts w:ascii="等线" w:eastAsia="等线" w:hint="eastAsia"/>
                <w:b/>
                <w:sz w:val="24"/>
              </w:rPr>
              <w:t>严重的原发性硬化性胆管炎</w:t>
            </w:r>
          </w:p>
        </w:tc>
        <w:tc>
          <w:tcPr>
            <w:tcW w:w="6974" w:type="dxa"/>
          </w:tcPr>
          <w:p>
            <w:pPr>
              <w:pStyle w:val="TableParagraph"/>
              <w:spacing w:line="273" w:lineRule="auto" w:before="129"/>
              <w:ind w:right="76"/>
              <w:rPr>
                <w:sz w:val="21"/>
              </w:rPr>
            </w:pPr>
            <w:r>
              <w:rPr>
                <w:sz w:val="21"/>
              </w:rPr>
              <w:t>指一种胆汁淤积综合征，其特征是肝内、肝外胆道因纤维化性炎症逐渐狭窄，并最终导致完全阻塞而发展为肝硬化。须经内镜逆行胰胆管造影等影</w:t>
            </w:r>
          </w:p>
        </w:tc>
      </w:tr>
      <w:tr>
        <w:trPr>
          <w:trHeight w:val="300" w:hRule="atLeast"/>
        </w:trPr>
        <w:tc>
          <w:tcPr>
            <w:tcW w:w="452" w:type="dxa"/>
          </w:tcPr>
          <w:p>
            <w:pPr>
              <w:pStyle w:val="TableParagraph"/>
              <w:ind w:left="0"/>
              <w:rPr>
                <w:rFonts w:ascii="Times New Roman"/>
                <w:sz w:val="20"/>
              </w:rPr>
            </w:pPr>
          </w:p>
        </w:tc>
        <w:tc>
          <w:tcPr>
            <w:tcW w:w="2407" w:type="dxa"/>
          </w:tcPr>
          <w:p>
            <w:pPr>
              <w:pStyle w:val="TableParagraph"/>
              <w:ind w:left="0"/>
              <w:rPr>
                <w:rFonts w:ascii="Times New Roman"/>
                <w:sz w:val="20"/>
              </w:rPr>
            </w:pPr>
          </w:p>
        </w:tc>
        <w:tc>
          <w:tcPr>
            <w:tcW w:w="6974" w:type="dxa"/>
          </w:tcPr>
          <w:p>
            <w:pPr>
              <w:pStyle w:val="TableParagraph"/>
              <w:spacing w:line="242" w:lineRule="exact"/>
              <w:rPr>
                <w:sz w:val="21"/>
              </w:rPr>
            </w:pPr>
            <w:r>
              <w:rPr>
                <w:sz w:val="21"/>
              </w:rPr>
              <w:t>像学检查证实，并须满足下列全部条件：</w:t>
            </w:r>
          </w:p>
        </w:tc>
      </w:tr>
      <w:tr>
        <w:trPr>
          <w:trHeight w:val="311" w:hRule="atLeast"/>
        </w:trPr>
        <w:tc>
          <w:tcPr>
            <w:tcW w:w="452" w:type="dxa"/>
          </w:tcPr>
          <w:p>
            <w:pPr>
              <w:pStyle w:val="TableParagraph"/>
              <w:ind w:left="0"/>
              <w:rPr>
                <w:rFonts w:ascii="Times New Roman"/>
                <w:sz w:val="20"/>
              </w:rPr>
            </w:pPr>
          </w:p>
        </w:tc>
        <w:tc>
          <w:tcPr>
            <w:tcW w:w="2407" w:type="dxa"/>
          </w:tcPr>
          <w:p>
            <w:pPr>
              <w:pStyle w:val="TableParagraph"/>
              <w:ind w:left="0"/>
              <w:rPr>
                <w:rFonts w:ascii="Times New Roman"/>
                <w:sz w:val="20"/>
              </w:rPr>
            </w:pPr>
          </w:p>
        </w:tc>
        <w:tc>
          <w:tcPr>
            <w:tcW w:w="6974" w:type="dxa"/>
          </w:tcPr>
          <w:p>
            <w:pPr>
              <w:pStyle w:val="TableParagraph"/>
              <w:spacing w:line="253" w:lineRule="exact"/>
              <w:rPr>
                <w:sz w:val="21"/>
              </w:rPr>
            </w:pPr>
            <w:r>
              <w:rPr>
                <w:sz w:val="21"/>
              </w:rPr>
              <w:t>（1）总胆红素和直接胆红素同时升高，血清 ALP&gt;200U/L；</w:t>
            </w:r>
          </w:p>
        </w:tc>
      </w:tr>
      <w:tr>
        <w:trPr>
          <w:trHeight w:val="311" w:hRule="atLeast"/>
        </w:trPr>
        <w:tc>
          <w:tcPr>
            <w:tcW w:w="452" w:type="dxa"/>
          </w:tcPr>
          <w:p>
            <w:pPr>
              <w:pStyle w:val="TableParagraph"/>
              <w:ind w:left="0"/>
              <w:rPr>
                <w:rFonts w:ascii="Times New Roman"/>
                <w:sz w:val="20"/>
              </w:rPr>
            </w:pPr>
          </w:p>
        </w:tc>
        <w:tc>
          <w:tcPr>
            <w:tcW w:w="2407" w:type="dxa"/>
          </w:tcPr>
          <w:p>
            <w:pPr>
              <w:pStyle w:val="TableParagraph"/>
              <w:ind w:left="0"/>
              <w:rPr>
                <w:rFonts w:ascii="Times New Roman"/>
                <w:sz w:val="20"/>
              </w:rPr>
            </w:pPr>
          </w:p>
        </w:tc>
        <w:tc>
          <w:tcPr>
            <w:tcW w:w="6974" w:type="dxa"/>
          </w:tcPr>
          <w:p>
            <w:pPr>
              <w:pStyle w:val="TableParagraph"/>
              <w:spacing w:line="253" w:lineRule="exact"/>
              <w:rPr>
                <w:sz w:val="21"/>
              </w:rPr>
            </w:pPr>
            <w:r>
              <w:rPr>
                <w:sz w:val="21"/>
              </w:rPr>
              <w:t>（2）持续性黄疸病史；</w:t>
            </w:r>
          </w:p>
        </w:tc>
      </w:tr>
      <w:tr>
        <w:trPr>
          <w:trHeight w:val="312" w:hRule="atLeast"/>
        </w:trPr>
        <w:tc>
          <w:tcPr>
            <w:tcW w:w="452" w:type="dxa"/>
          </w:tcPr>
          <w:p>
            <w:pPr>
              <w:pStyle w:val="TableParagraph"/>
              <w:ind w:left="0"/>
              <w:rPr>
                <w:rFonts w:ascii="Times New Roman"/>
                <w:sz w:val="20"/>
              </w:rPr>
            </w:pPr>
          </w:p>
        </w:tc>
        <w:tc>
          <w:tcPr>
            <w:tcW w:w="2407" w:type="dxa"/>
          </w:tcPr>
          <w:p>
            <w:pPr>
              <w:pStyle w:val="TableParagraph"/>
              <w:ind w:left="0"/>
              <w:rPr>
                <w:rFonts w:ascii="Times New Roman"/>
                <w:sz w:val="20"/>
              </w:rPr>
            </w:pPr>
          </w:p>
        </w:tc>
        <w:tc>
          <w:tcPr>
            <w:tcW w:w="6974" w:type="dxa"/>
          </w:tcPr>
          <w:p>
            <w:pPr>
              <w:pStyle w:val="TableParagraph"/>
              <w:spacing w:line="253" w:lineRule="exact"/>
              <w:rPr>
                <w:sz w:val="21"/>
              </w:rPr>
            </w:pPr>
            <w:r>
              <w:rPr>
                <w:sz w:val="21"/>
              </w:rPr>
              <w:t>（3）出现胆汁性肝硬化或门脉高压。</w:t>
            </w:r>
          </w:p>
        </w:tc>
      </w:tr>
      <w:tr>
        <w:trPr>
          <w:trHeight w:val="443" w:hRule="atLeast"/>
        </w:trPr>
        <w:tc>
          <w:tcPr>
            <w:tcW w:w="452" w:type="dxa"/>
          </w:tcPr>
          <w:p>
            <w:pPr>
              <w:pStyle w:val="TableParagraph"/>
              <w:ind w:left="0"/>
              <w:rPr>
                <w:rFonts w:ascii="Times New Roman"/>
                <w:sz w:val="20"/>
              </w:rPr>
            </w:pPr>
          </w:p>
        </w:tc>
        <w:tc>
          <w:tcPr>
            <w:tcW w:w="2407" w:type="dxa"/>
          </w:tcPr>
          <w:p>
            <w:pPr>
              <w:pStyle w:val="TableParagraph"/>
              <w:ind w:left="0"/>
              <w:rPr>
                <w:rFonts w:ascii="Times New Roman"/>
                <w:sz w:val="20"/>
              </w:rPr>
            </w:pPr>
          </w:p>
        </w:tc>
        <w:tc>
          <w:tcPr>
            <w:tcW w:w="6974" w:type="dxa"/>
          </w:tcPr>
          <w:p>
            <w:pPr>
              <w:pStyle w:val="TableParagraph"/>
              <w:spacing w:line="253" w:lineRule="exact"/>
              <w:rPr>
                <w:sz w:val="21"/>
              </w:rPr>
            </w:pPr>
            <w:r>
              <w:rPr>
                <w:sz w:val="21"/>
                <w:shd w:fill="DADADA" w:color="auto" w:val="clear"/>
              </w:rPr>
              <w:t>因肿瘤或胆管损伤等继发性的硬化性胆管炎不在保障范围内。</w:t>
            </w:r>
          </w:p>
        </w:tc>
      </w:tr>
      <w:tr>
        <w:trPr>
          <w:trHeight w:val="1066" w:hRule="atLeast"/>
        </w:trPr>
        <w:tc>
          <w:tcPr>
            <w:tcW w:w="452" w:type="dxa"/>
          </w:tcPr>
          <w:p>
            <w:pPr>
              <w:pStyle w:val="TableParagraph"/>
              <w:spacing w:before="129"/>
              <w:ind w:left="50"/>
              <w:rPr>
                <w:b/>
                <w:sz w:val="21"/>
              </w:rPr>
            </w:pPr>
            <w:r>
              <w:rPr>
                <w:b/>
                <w:sz w:val="21"/>
              </w:rPr>
              <w:t>74</w:t>
            </w:r>
          </w:p>
        </w:tc>
        <w:tc>
          <w:tcPr>
            <w:tcW w:w="2407" w:type="dxa"/>
          </w:tcPr>
          <w:p>
            <w:pPr>
              <w:pStyle w:val="TableParagraph"/>
              <w:spacing w:line="323" w:lineRule="exact" w:before="93"/>
              <w:ind w:left="190"/>
              <w:rPr>
                <w:rFonts w:ascii="等线" w:eastAsia="等线" w:hint="eastAsia"/>
                <w:b/>
                <w:sz w:val="24"/>
              </w:rPr>
            </w:pPr>
            <w:r>
              <w:rPr>
                <w:rFonts w:ascii="等线" w:eastAsia="等线" w:hint="eastAsia"/>
                <w:b/>
                <w:sz w:val="24"/>
              </w:rPr>
              <w:t>因器官移植导致艾</w:t>
            </w:r>
          </w:p>
          <w:p>
            <w:pPr>
              <w:pStyle w:val="TableParagraph"/>
              <w:spacing w:line="316" w:lineRule="exact" w:before="14"/>
              <w:ind w:left="190" w:right="96"/>
              <w:rPr>
                <w:rFonts w:ascii="等线" w:eastAsia="等线" w:hint="eastAsia"/>
                <w:b/>
                <w:sz w:val="24"/>
              </w:rPr>
            </w:pPr>
            <w:r>
              <w:rPr>
                <w:rFonts w:ascii="等线" w:eastAsia="等线" w:hint="eastAsia"/>
                <w:b/>
                <w:sz w:val="24"/>
              </w:rPr>
              <w:t>滋病病毒感染或患艾滋病</w:t>
            </w:r>
          </w:p>
        </w:tc>
        <w:tc>
          <w:tcPr>
            <w:tcW w:w="6974" w:type="dxa"/>
          </w:tcPr>
          <w:p>
            <w:pPr>
              <w:pStyle w:val="TableParagraph"/>
              <w:spacing w:line="273" w:lineRule="auto" w:before="129"/>
              <w:ind w:right="25"/>
              <w:rPr>
                <w:sz w:val="21"/>
              </w:rPr>
            </w:pPr>
            <w:r>
              <w:rPr>
                <w:sz w:val="21"/>
              </w:rPr>
              <w:t>指因进行器官移植而感染上人类免疫缺陷病毒（HIV）或患艾滋病，且须满足下列全部条件：</w:t>
            </w:r>
          </w:p>
          <w:p>
            <w:pPr>
              <w:pStyle w:val="TableParagraph"/>
              <w:spacing w:before="7"/>
              <w:rPr>
                <w:sz w:val="21"/>
              </w:rPr>
            </w:pPr>
            <w:r>
              <w:rPr>
                <w:sz w:val="21"/>
              </w:rPr>
              <w:t>（1）在保障起始日或复效日之后，被保险人因治疗必需而实施器官移植，</w:t>
            </w:r>
          </w:p>
        </w:tc>
      </w:tr>
    </w:tbl>
    <w:p>
      <w:pPr>
        <w:pStyle w:val="BodyText"/>
        <w:spacing w:line="274" w:lineRule="exact"/>
        <w:ind w:left="3595"/>
      </w:pPr>
      <w:r>
        <w:rPr/>
        <w:t>并且因器官移植而感染人类免疫缺陷病毒或患艾滋病；</w:t>
      </w:r>
    </w:p>
    <w:p>
      <w:pPr>
        <w:pStyle w:val="BodyText"/>
        <w:spacing w:line="273" w:lineRule="auto" w:before="37"/>
        <w:ind w:left="3595" w:right="192" w:hanging="526"/>
        <w:jc w:val="both"/>
      </w:pPr>
      <w:r>
        <w:rPr>
          <w:spacing w:val="-11"/>
        </w:rPr>
        <w:t>（2）</w:t>
      </w:r>
      <w:r>
        <w:rPr>
          <w:spacing w:val="-3"/>
        </w:rPr>
        <w:t>提供器官移植治疗的器官移植中心或医院出具的此次因器官移植感染</w:t>
      </w:r>
      <w:r>
        <w:rPr>
          <w:spacing w:val="-5"/>
        </w:rPr>
        <w:t>人类免疫缺陷病毒或患艾滋病，属于医疗事故的报告，或者法院终审</w:t>
      </w:r>
      <w:r>
        <w:rPr>
          <w:spacing w:val="-4"/>
        </w:rPr>
        <w:t>裁定为医疗事故并且不准上诉；</w:t>
      </w:r>
    </w:p>
    <w:p>
      <w:pPr>
        <w:pStyle w:val="BodyText"/>
        <w:spacing w:line="273" w:lineRule="auto" w:before="7"/>
        <w:ind w:left="3069" w:right="193"/>
      </w:pPr>
      <w:r>
        <w:rPr/>
        <w:t>（3）</w:t>
      </w:r>
      <w:r>
        <w:rPr>
          <w:spacing w:val="-3"/>
        </w:rPr>
        <w:t>提供器官移植治疗的器官移植中心或医院必须拥有合法经营执照。 </w:t>
      </w:r>
      <w:r>
        <w:rPr>
          <w:spacing w:val="-3"/>
          <w:shd w:fill="DADADA" w:color="auto" w:val="clear"/>
        </w:rPr>
        <w:t>任何因其他传播方式</w:t>
      </w:r>
      <w:r>
        <w:rPr>
          <w:shd w:fill="DADADA" w:color="auto" w:val="clear"/>
        </w:rPr>
        <w:t>（</w:t>
      </w:r>
      <w:r>
        <w:rPr>
          <w:spacing w:val="-3"/>
          <w:shd w:fill="DADADA" w:color="auto" w:val="clear"/>
        </w:rPr>
        <w:t>包括：性传播或静脉注射毒品</w:t>
      </w:r>
      <w:r>
        <w:rPr>
          <w:shd w:fill="DADADA" w:color="auto" w:val="clear"/>
        </w:rPr>
        <w:t>）</w:t>
      </w:r>
      <w:r>
        <w:rPr>
          <w:spacing w:val="-1"/>
          <w:shd w:fill="DADADA" w:color="auto" w:val="clear"/>
        </w:rPr>
        <w:t>导致的 </w:t>
      </w:r>
      <w:r>
        <w:rPr>
          <w:shd w:fill="DADADA" w:color="auto" w:val="clear"/>
        </w:rPr>
        <w:t>HIV</w:t>
      </w:r>
      <w:r>
        <w:rPr>
          <w:spacing w:val="-1"/>
          <w:shd w:fill="DADADA" w:color="auto" w:val="clear"/>
        </w:rPr>
        <w:t> 感染或</w:t>
      </w:r>
      <w:r>
        <w:rPr>
          <w:spacing w:val="-210"/>
          <w:shd w:fill="DADADA" w:color="auto" w:val="clear"/>
        </w:rPr>
        <w:t>患</w:t>
      </w:r>
      <w:r>
        <w:rPr>
          <w:spacing w:val="-3"/>
          <w:shd w:fill="DADADA" w:color="auto" w:val="clear"/>
        </w:rPr>
        <w:t>艾滋病不在保障范围内。</w:t>
      </w:r>
    </w:p>
    <w:p>
      <w:pPr>
        <w:pStyle w:val="BodyText"/>
        <w:spacing w:before="7"/>
        <w:rPr>
          <w:sz w:val="19"/>
        </w:rPr>
      </w:pPr>
    </w:p>
    <w:p>
      <w:pPr>
        <w:pStyle w:val="ListParagraph"/>
        <w:numPr>
          <w:ilvl w:val="0"/>
          <w:numId w:val="11"/>
        </w:numPr>
        <w:tabs>
          <w:tab w:pos="755" w:val="left" w:leader="none"/>
          <w:tab w:pos="756" w:val="left" w:leader="none"/>
          <w:tab w:pos="3069" w:val="left" w:leader="none"/>
        </w:tabs>
        <w:spacing w:line="240" w:lineRule="auto" w:before="1" w:after="0"/>
        <w:ind w:left="756" w:right="0" w:hanging="593"/>
        <w:jc w:val="left"/>
        <w:rPr>
          <w:sz w:val="21"/>
        </w:rPr>
      </w:pPr>
      <w:r>
        <w:rPr>
          <w:rFonts w:ascii="等线" w:hAnsi="等线" w:eastAsia="等线" w:hint="eastAsia"/>
          <w:b/>
          <w:position w:val="1"/>
          <w:sz w:val="24"/>
        </w:rPr>
        <w:t>严重面部烧伤</w:t>
        <w:tab/>
      </w:r>
      <w:r>
        <w:rPr>
          <w:spacing w:val="2"/>
          <w:sz w:val="21"/>
        </w:rPr>
        <w:t>指面部烧伤程度为Ⅲ度，且Ⅲ度烧伤的面积达到面部表面</w:t>
      </w:r>
      <w:r>
        <w:rPr>
          <w:spacing w:val="5"/>
          <w:sz w:val="21"/>
        </w:rPr>
        <w:t>积</w:t>
      </w:r>
      <w:r>
        <w:rPr>
          <w:sz w:val="21"/>
        </w:rPr>
        <w:t>的</w:t>
      </w:r>
      <w:r>
        <w:rPr>
          <w:spacing w:val="71"/>
          <w:sz w:val="21"/>
        </w:rPr>
        <w:t> </w:t>
      </w:r>
      <w:r>
        <w:rPr>
          <w:sz w:val="21"/>
        </w:rPr>
        <w:t>80％</w:t>
      </w:r>
      <w:r>
        <w:rPr>
          <w:spacing w:val="2"/>
          <w:sz w:val="21"/>
        </w:rPr>
        <w:t>或者</w:t>
      </w:r>
    </w:p>
    <w:p>
      <w:pPr>
        <w:pStyle w:val="BodyText"/>
        <w:spacing w:before="21"/>
        <w:ind w:left="3069"/>
      </w:pPr>
      <w:r>
        <w:rPr/>
        <w:t>80％以上。</w:t>
      </w:r>
    </w:p>
    <w:p>
      <w:pPr>
        <w:pStyle w:val="BodyText"/>
        <w:spacing w:before="2"/>
        <w:rPr>
          <w:sz w:val="20"/>
        </w:rPr>
      </w:pPr>
    </w:p>
    <w:p>
      <w:pPr>
        <w:spacing w:after="0"/>
        <w:rPr>
          <w:sz w:val="20"/>
        </w:rPr>
        <w:sectPr>
          <w:pgSz w:w="11910" w:h="16840"/>
          <w:pgMar w:top="1440" w:bottom="280" w:left="1020" w:right="820"/>
        </w:sectPr>
      </w:pPr>
    </w:p>
    <w:p>
      <w:pPr>
        <w:pStyle w:val="Heading2"/>
        <w:numPr>
          <w:ilvl w:val="0"/>
          <w:numId w:val="11"/>
        </w:numPr>
        <w:tabs>
          <w:tab w:pos="755" w:val="left" w:leader="none"/>
          <w:tab w:pos="756" w:val="left" w:leader="none"/>
        </w:tabs>
        <w:spacing w:line="322" w:lineRule="exact" w:before="20" w:after="0"/>
        <w:ind w:left="756" w:right="0" w:hanging="593"/>
        <w:jc w:val="left"/>
      </w:pPr>
      <w:r>
        <w:rPr>
          <w:position w:val="1"/>
        </w:rPr>
        <w:t>严 重 瑞 氏 综 合 症</w:t>
      </w:r>
      <w:r>
        <w:rPr>
          <w:spacing w:val="2"/>
          <w:position w:val="1"/>
        </w:rPr>
        <w:t> </w:t>
      </w:r>
    </w:p>
    <w:p>
      <w:pPr>
        <w:spacing w:line="232" w:lineRule="auto" w:before="4"/>
        <w:ind w:left="756" w:right="67" w:firstLine="0"/>
        <w:jc w:val="both"/>
        <w:rPr>
          <w:rFonts w:ascii="等线" w:eastAsia="等线" w:hint="eastAsia"/>
          <w:b/>
          <w:sz w:val="24"/>
        </w:rPr>
      </w:pPr>
      <w:r>
        <w:rPr>
          <w:rFonts w:ascii="等线" w:eastAsia="等线" w:hint="eastAsia"/>
          <w:b/>
          <w:sz w:val="24"/>
        </w:rPr>
        <w:t>（Reye 综合征，也称赖氏综合征、雷氏综合征）</w:t>
      </w:r>
    </w:p>
    <w:p>
      <w:pPr>
        <w:pStyle w:val="BodyText"/>
        <w:spacing w:line="273" w:lineRule="auto" w:before="56"/>
        <w:ind w:left="106" w:right="196"/>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瑞氏综合征需由医院的专科医生确诊，并符合以下所有条件：</w:t>
      </w:r>
    </w:p>
    <w:p>
      <w:pPr>
        <w:pStyle w:val="BodyText"/>
        <w:spacing w:before="7"/>
        <w:ind w:left="106"/>
        <w:jc w:val="both"/>
      </w:pPr>
      <w:r>
        <w:rPr/>
        <w:t>（1）有脑水肿和颅内压升高的脑脊液检查和影像学检查证据；</w:t>
      </w:r>
    </w:p>
    <w:p>
      <w:pPr>
        <w:pStyle w:val="BodyText"/>
        <w:spacing w:before="37"/>
        <w:ind w:left="106"/>
        <w:jc w:val="both"/>
      </w:pPr>
      <w:r>
        <w:rPr/>
        <w:t>（2）血氨超过正常值的 3 倍；</w:t>
      </w:r>
    </w:p>
    <w:p>
      <w:pPr>
        <w:pStyle w:val="BodyText"/>
        <w:spacing w:before="37"/>
        <w:ind w:left="106"/>
        <w:jc w:val="both"/>
      </w:pPr>
      <w:r>
        <w:rPr/>
        <w:t>（3）临床出现昏迷，病程至少达到疾病分期的第 3 期。</w:t>
      </w:r>
    </w:p>
    <w:p>
      <w:pPr>
        <w:spacing w:after="0"/>
        <w:jc w:val="both"/>
        <w:sectPr>
          <w:type w:val="continuous"/>
          <w:pgSz w:w="11910" w:h="16840"/>
          <w:pgMar w:top="540" w:bottom="280" w:left="1020" w:right="820"/>
          <w:cols w:num="2" w:equalWidth="0">
            <w:col w:w="2924" w:space="40"/>
            <w:col w:w="7106"/>
          </w:cols>
        </w:sectPr>
      </w:pPr>
    </w:p>
    <w:p>
      <w:pPr>
        <w:pStyle w:val="BodyText"/>
        <w:spacing w:before="2"/>
        <w:rPr>
          <w:sz w:val="20"/>
        </w:rPr>
      </w:pPr>
    </w:p>
    <w:p>
      <w:pPr>
        <w:pStyle w:val="ListParagraph"/>
        <w:numPr>
          <w:ilvl w:val="0"/>
          <w:numId w:val="11"/>
        </w:numPr>
        <w:tabs>
          <w:tab w:pos="755" w:val="left" w:leader="none"/>
          <w:tab w:pos="756" w:val="left" w:leader="none"/>
          <w:tab w:pos="3069" w:val="left" w:leader="none"/>
        </w:tabs>
        <w:spacing w:line="240" w:lineRule="auto" w:before="20" w:after="0"/>
        <w:ind w:left="756" w:right="0" w:hanging="593"/>
        <w:jc w:val="left"/>
        <w:rPr>
          <w:sz w:val="21"/>
        </w:rPr>
      </w:pPr>
      <w:r>
        <w:rPr>
          <w:rFonts w:ascii="等线" w:eastAsia="等线" w:hint="eastAsia"/>
          <w:b/>
          <w:position w:val="1"/>
          <w:sz w:val="24"/>
        </w:rPr>
        <w:t>成骨不全症第三型</w:t>
        <w:tab/>
      </w:r>
      <w:r>
        <w:rPr>
          <w:spacing w:val="-1"/>
          <w:sz w:val="21"/>
        </w:rPr>
        <w:t>成</w:t>
      </w:r>
      <w:r>
        <w:rPr>
          <w:sz w:val="21"/>
        </w:rPr>
        <w:t>骨</w:t>
      </w:r>
      <w:r>
        <w:rPr>
          <w:spacing w:val="-3"/>
          <w:sz w:val="21"/>
        </w:rPr>
        <w:t>不</w:t>
      </w:r>
      <w:r>
        <w:rPr>
          <w:sz w:val="21"/>
        </w:rPr>
        <w:t>全</w:t>
      </w:r>
      <w:r>
        <w:rPr>
          <w:spacing w:val="-3"/>
          <w:sz w:val="21"/>
        </w:rPr>
        <w:t>症</w:t>
      </w:r>
      <w:r>
        <w:rPr>
          <w:sz w:val="21"/>
        </w:rPr>
        <w:t>第</w:t>
      </w:r>
      <w:r>
        <w:rPr>
          <w:spacing w:val="-3"/>
          <w:sz w:val="21"/>
        </w:rPr>
        <w:t>三</w:t>
      </w:r>
      <w:r>
        <w:rPr>
          <w:sz w:val="21"/>
        </w:rPr>
        <w:t>型</w:t>
      </w:r>
      <w:r>
        <w:rPr>
          <w:spacing w:val="-3"/>
          <w:sz w:val="21"/>
        </w:rPr>
        <w:t>须</w:t>
      </w:r>
      <w:r>
        <w:rPr>
          <w:sz w:val="21"/>
        </w:rPr>
        <w:t>由</w:t>
      </w:r>
      <w:r>
        <w:rPr>
          <w:spacing w:val="-3"/>
          <w:sz w:val="21"/>
        </w:rPr>
        <w:t>专</w:t>
      </w:r>
      <w:r>
        <w:rPr>
          <w:sz w:val="21"/>
        </w:rPr>
        <w:t>科医</w:t>
      </w:r>
      <w:r>
        <w:rPr>
          <w:spacing w:val="-3"/>
          <w:sz w:val="21"/>
        </w:rPr>
        <w:t>生</w:t>
      </w:r>
      <w:r>
        <w:rPr>
          <w:sz w:val="21"/>
        </w:rPr>
        <w:t>明</w:t>
      </w:r>
      <w:r>
        <w:rPr>
          <w:spacing w:val="-3"/>
          <w:sz w:val="21"/>
        </w:rPr>
        <w:t>确</w:t>
      </w:r>
      <w:r>
        <w:rPr>
          <w:sz w:val="21"/>
        </w:rPr>
        <w:t>诊</w:t>
      </w:r>
      <w:r>
        <w:rPr>
          <w:spacing w:val="-3"/>
          <w:sz w:val="21"/>
        </w:rPr>
        <w:t>断</w:t>
      </w:r>
      <w:r>
        <w:rPr>
          <w:sz w:val="21"/>
        </w:rPr>
        <w:t>，</w:t>
      </w:r>
      <w:r>
        <w:rPr>
          <w:spacing w:val="-3"/>
          <w:sz w:val="21"/>
        </w:rPr>
        <w:t>同</w:t>
      </w:r>
      <w:r>
        <w:rPr>
          <w:sz w:val="21"/>
        </w:rPr>
        <w:t>时</w:t>
      </w:r>
      <w:r>
        <w:rPr>
          <w:spacing w:val="-3"/>
          <w:sz w:val="21"/>
        </w:rPr>
        <w:t>符</w:t>
      </w:r>
      <w:r>
        <w:rPr>
          <w:sz w:val="21"/>
        </w:rPr>
        <w:t>合下</w:t>
      </w:r>
      <w:r>
        <w:rPr>
          <w:spacing w:val="-3"/>
          <w:sz w:val="21"/>
        </w:rPr>
        <w:t>列</w:t>
      </w:r>
      <w:r>
        <w:rPr>
          <w:sz w:val="21"/>
        </w:rPr>
        <w:t>所</w:t>
      </w:r>
      <w:r>
        <w:rPr>
          <w:spacing w:val="-3"/>
          <w:sz w:val="21"/>
        </w:rPr>
        <w:t>有</w:t>
      </w:r>
      <w:r>
        <w:rPr>
          <w:sz w:val="21"/>
        </w:rPr>
        <w:t>条</w:t>
      </w:r>
      <w:r>
        <w:rPr>
          <w:spacing w:val="-3"/>
          <w:sz w:val="21"/>
        </w:rPr>
        <w:t>件：</w:t>
      </w:r>
    </w:p>
    <w:p>
      <w:pPr>
        <w:pStyle w:val="BodyText"/>
        <w:spacing w:before="20"/>
        <w:ind w:left="3069"/>
      </w:pPr>
      <w:r>
        <w:rPr/>
        <w:t>（1）就成骨不全症第三型之诊断进行的皮肤切片的病理检查结果为阳性；</w:t>
      </w:r>
    </w:p>
    <w:p>
      <w:pPr>
        <w:pStyle w:val="BodyText"/>
        <w:spacing w:before="36"/>
        <w:ind w:left="3069"/>
      </w:pPr>
      <w:r>
        <w:rPr/>
        <w:t>（2）X 光片结果显示多处骨折及逐步脊柱后侧凸畸形；</w:t>
      </w:r>
    </w:p>
    <w:p>
      <w:pPr>
        <w:pStyle w:val="BodyText"/>
        <w:spacing w:before="36"/>
        <w:ind w:left="3069"/>
      </w:pPr>
      <w:r>
        <w:rPr/>
        <w:t>（3）有证明是因此疾病引致发育迟缓及听力损伤。</w:t>
      </w:r>
    </w:p>
    <w:p>
      <w:pPr>
        <w:pStyle w:val="BodyText"/>
        <w:spacing w:before="4"/>
        <w:rPr>
          <w:sz w:val="20"/>
        </w:rPr>
      </w:pPr>
    </w:p>
    <w:p>
      <w:pPr>
        <w:spacing w:after="0"/>
        <w:rPr>
          <w:sz w:val="20"/>
        </w:rPr>
        <w:sectPr>
          <w:type w:val="continuous"/>
          <w:pgSz w:w="11910" w:h="16840"/>
          <w:pgMar w:top="540" w:bottom="280" w:left="1020" w:right="820"/>
        </w:sectPr>
      </w:pPr>
    </w:p>
    <w:p>
      <w:pPr>
        <w:pStyle w:val="Heading2"/>
        <w:numPr>
          <w:ilvl w:val="0"/>
          <w:numId w:val="11"/>
        </w:numPr>
        <w:tabs>
          <w:tab w:pos="755" w:val="left" w:leader="none"/>
          <w:tab w:pos="756" w:val="left" w:leader="none"/>
        </w:tabs>
        <w:spacing w:line="232" w:lineRule="auto" w:before="30" w:after="0"/>
        <w:ind w:left="756" w:right="0" w:hanging="593"/>
        <w:jc w:val="left"/>
      </w:pPr>
      <w:r>
        <w:rPr>
          <w:spacing w:val="22"/>
          <w:position w:val="1"/>
        </w:rPr>
        <w:t>多处臂丛神经根性</w:t>
      </w:r>
      <w:r>
        <w:rPr/>
        <w:t>撕脱</w:t>
      </w:r>
    </w:p>
    <w:p>
      <w:pPr>
        <w:pStyle w:val="BodyText"/>
        <w:spacing w:line="273" w:lineRule="auto" w:before="56"/>
        <w:ind w:left="154" w:right="196"/>
        <w:jc w:val="both"/>
      </w:pPr>
      <w:r>
        <w:rPr/>
        <w:br w:type="column"/>
      </w:r>
      <w:r>
        <w:rPr/>
        <w:t>指由于疾病或意外导致至少两根臂丛神经根性撕脱，所造成的手臂感觉功能与运动功能完全永久性丧失。该病须由医院专科医生明确诊断，并且有电生理检查结果证实。</w:t>
      </w:r>
    </w:p>
    <w:p>
      <w:pPr>
        <w:spacing w:after="0" w:line="273" w:lineRule="auto"/>
        <w:jc w:val="both"/>
        <w:sectPr>
          <w:type w:val="continuous"/>
          <w:pgSz w:w="11910" w:h="16840"/>
          <w:pgMar w:top="540" w:bottom="280" w:left="1020" w:right="820"/>
          <w:cols w:num="2" w:equalWidth="0">
            <w:col w:w="2876" w:space="40"/>
            <w:col w:w="7154"/>
          </w:cols>
        </w:sectPr>
      </w:pPr>
    </w:p>
    <w:p>
      <w:pPr>
        <w:pStyle w:val="BodyText"/>
        <w:spacing w:before="11"/>
        <w:rPr>
          <w:sz w:val="17"/>
        </w:rPr>
      </w:pPr>
    </w:p>
    <w:p>
      <w:pPr>
        <w:spacing w:after="0"/>
        <w:rPr>
          <w:sz w:val="17"/>
        </w:rPr>
        <w:sectPr>
          <w:type w:val="continuous"/>
          <w:pgSz w:w="11910" w:h="16840"/>
          <w:pgMar w:top="540" w:bottom="280" w:left="1020" w:right="820"/>
        </w:sectPr>
      </w:pPr>
    </w:p>
    <w:p>
      <w:pPr>
        <w:pStyle w:val="Heading2"/>
        <w:numPr>
          <w:ilvl w:val="0"/>
          <w:numId w:val="11"/>
        </w:numPr>
        <w:tabs>
          <w:tab w:pos="755" w:val="left" w:leader="none"/>
          <w:tab w:pos="756" w:val="left" w:leader="none"/>
        </w:tabs>
        <w:spacing w:line="232" w:lineRule="auto" w:before="30" w:after="0"/>
        <w:ind w:left="756" w:right="0" w:hanging="593"/>
        <w:jc w:val="left"/>
      </w:pPr>
      <w:r>
        <w:rPr>
          <w:spacing w:val="22"/>
          <w:position w:val="1"/>
        </w:rPr>
        <w:t>原发性脊柱侧弯的</w:t>
      </w:r>
      <w:r>
        <w:rPr/>
        <w:t>矫正手术</w:t>
      </w:r>
    </w:p>
    <w:p>
      <w:pPr>
        <w:pStyle w:val="BodyText"/>
        <w:spacing w:line="273" w:lineRule="auto" w:before="57"/>
        <w:ind w:left="154" w:right="196"/>
        <w:jc w:val="both"/>
      </w:pPr>
      <w:r>
        <w:rPr/>
        <w:br w:type="column"/>
      </w:r>
      <w:r>
        <w:rPr/>
        <w:t>指被保险人因原发性脊柱侧弯，实际实施了对该病的矫正外科手术。</w:t>
      </w:r>
      <w:r>
        <w:rPr>
          <w:shd w:fill="DADADA" w:color="auto" w:val="clear"/>
        </w:rPr>
        <w:t>但由于先天性脊柱侧弯以及其他疾病或意外导致的继发性脊柱侧弯而进行的手术治疗不属于本保障责任。</w:t>
      </w:r>
    </w:p>
    <w:p>
      <w:pPr>
        <w:spacing w:after="0" w:line="273" w:lineRule="auto"/>
        <w:jc w:val="both"/>
        <w:sectPr>
          <w:type w:val="continuous"/>
          <w:pgSz w:w="11910" w:h="16840"/>
          <w:pgMar w:top="540" w:bottom="280" w:left="1020" w:right="820"/>
          <w:cols w:num="2" w:equalWidth="0">
            <w:col w:w="2876" w:space="40"/>
            <w:col w:w="7154"/>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2370"/>
        <w:gridCol w:w="6999"/>
      </w:tblGrid>
      <w:tr>
        <w:trPr>
          <w:trHeight w:val="1020" w:hRule="atLeast"/>
        </w:trPr>
        <w:tc>
          <w:tcPr>
            <w:tcW w:w="710" w:type="dxa"/>
          </w:tcPr>
          <w:p>
            <w:pPr>
              <w:pStyle w:val="TableParagraph"/>
              <w:spacing w:line="222" w:lineRule="exact"/>
              <w:ind w:left="271"/>
              <w:rPr>
                <w:b/>
                <w:sz w:val="21"/>
              </w:rPr>
            </w:pPr>
            <w:r>
              <w:rPr>
                <w:b/>
                <w:sz w:val="21"/>
              </w:rPr>
              <w:t>80</w:t>
            </w:r>
          </w:p>
        </w:tc>
        <w:tc>
          <w:tcPr>
            <w:tcW w:w="2370" w:type="dxa"/>
          </w:tcPr>
          <w:p>
            <w:pPr>
              <w:pStyle w:val="TableParagraph"/>
              <w:spacing w:line="234" w:lineRule="exact"/>
              <w:ind w:left="154"/>
              <w:rPr>
                <w:rFonts w:ascii="等线" w:eastAsia="等线" w:hint="eastAsia"/>
                <w:b/>
                <w:sz w:val="24"/>
              </w:rPr>
            </w:pPr>
            <w:r>
              <w:rPr>
                <w:rFonts w:ascii="等线" w:eastAsia="等线" w:hint="eastAsia"/>
                <w:b/>
                <w:sz w:val="24"/>
              </w:rPr>
              <w:t>溶血性链球菌引起</w:t>
            </w:r>
          </w:p>
          <w:p>
            <w:pPr>
              <w:pStyle w:val="TableParagraph"/>
              <w:spacing w:line="322" w:lineRule="exact"/>
              <w:ind w:left="154"/>
              <w:rPr>
                <w:rFonts w:ascii="等线" w:eastAsia="等线" w:hint="eastAsia"/>
                <w:b/>
                <w:sz w:val="24"/>
              </w:rPr>
            </w:pPr>
            <w:r>
              <w:rPr>
                <w:rFonts w:ascii="等线" w:eastAsia="等线" w:hint="eastAsia"/>
                <w:b/>
                <w:sz w:val="24"/>
              </w:rPr>
              <w:t>的坏疽</w:t>
            </w:r>
          </w:p>
        </w:tc>
        <w:tc>
          <w:tcPr>
            <w:tcW w:w="6999" w:type="dxa"/>
          </w:tcPr>
          <w:p>
            <w:pPr>
              <w:pStyle w:val="TableParagraph"/>
              <w:spacing w:line="222" w:lineRule="exact"/>
              <w:rPr>
                <w:sz w:val="21"/>
              </w:rPr>
            </w:pPr>
            <w:r>
              <w:rPr>
                <w:sz w:val="21"/>
              </w:rPr>
              <w:t>指包围肢体或者躯干的浅筋膜或者深筋膜受到溶血性链球菌的感染，病情</w:t>
            </w:r>
          </w:p>
          <w:p>
            <w:pPr>
              <w:pStyle w:val="TableParagraph"/>
              <w:spacing w:line="273" w:lineRule="auto" w:before="37"/>
              <w:ind w:right="101"/>
              <w:rPr>
                <w:sz w:val="21"/>
              </w:rPr>
            </w:pPr>
            <w:r>
              <w:rPr>
                <w:sz w:val="21"/>
              </w:rPr>
              <w:t>在短时间内急剧恶化，且已经立刻进行了手术。最后的诊断必须由微生物或者病理学专家进行相关检查后证实。</w:t>
            </w:r>
          </w:p>
        </w:tc>
      </w:tr>
      <w:tr>
        <w:trPr>
          <w:trHeight w:val="1103" w:hRule="atLeast"/>
        </w:trPr>
        <w:tc>
          <w:tcPr>
            <w:tcW w:w="710" w:type="dxa"/>
            <w:tcBorders>
              <w:bottom w:val="single" w:sz="8" w:space="0" w:color="000000"/>
            </w:tcBorders>
          </w:tcPr>
          <w:p>
            <w:pPr>
              <w:pStyle w:val="TableParagraph"/>
              <w:spacing w:before="119"/>
              <w:ind w:left="199"/>
              <w:rPr>
                <w:rFonts w:ascii="Arial" w:hAnsi="Arial"/>
                <w:b/>
                <w:sz w:val="40"/>
              </w:rPr>
            </w:pPr>
            <w:r>
              <w:rPr>
                <w:rFonts w:ascii="Arial" w:hAnsi="Arial"/>
                <w:b/>
                <w:w w:val="119"/>
                <w:sz w:val="40"/>
              </w:rPr>
              <w:t></w:t>
            </w:r>
          </w:p>
        </w:tc>
        <w:tc>
          <w:tcPr>
            <w:tcW w:w="9369" w:type="dxa"/>
            <w:gridSpan w:val="2"/>
            <w:tcBorders>
              <w:bottom w:val="single" w:sz="8" w:space="0" w:color="000000"/>
            </w:tcBorders>
          </w:tcPr>
          <w:p>
            <w:pPr>
              <w:pStyle w:val="TableParagraph"/>
              <w:spacing w:before="118"/>
              <w:ind w:left="154"/>
              <w:rPr>
                <w:b/>
                <w:sz w:val="24"/>
              </w:rPr>
            </w:pPr>
            <w:r>
              <w:rPr>
                <w:b/>
                <w:w w:val="95"/>
                <w:sz w:val="24"/>
              </w:rPr>
              <w:t>需关注的其他内容</w:t>
            </w:r>
          </w:p>
          <w:p>
            <w:pPr>
              <w:pStyle w:val="TableParagraph"/>
              <w:spacing w:before="134"/>
              <w:ind w:left="154"/>
              <w:rPr>
                <w:sz w:val="24"/>
              </w:rPr>
            </w:pPr>
            <w:r>
              <w:rPr>
                <w:sz w:val="24"/>
              </w:rPr>
              <w:t>这部分讲的是您应当注意的其他事项。</w:t>
            </w:r>
          </w:p>
        </w:tc>
      </w:tr>
      <w:tr>
        <w:trPr>
          <w:trHeight w:val="676" w:hRule="atLeast"/>
        </w:trPr>
        <w:tc>
          <w:tcPr>
            <w:tcW w:w="710" w:type="dxa"/>
            <w:tcBorders>
              <w:top w:val="single" w:sz="8" w:space="0" w:color="000000"/>
            </w:tcBorders>
          </w:tcPr>
          <w:p>
            <w:pPr>
              <w:pStyle w:val="TableParagraph"/>
              <w:spacing w:before="4"/>
              <w:ind w:left="0"/>
              <w:rPr>
                <w:sz w:val="16"/>
              </w:rPr>
            </w:pPr>
          </w:p>
          <w:p>
            <w:pPr>
              <w:pStyle w:val="TableParagraph"/>
              <w:ind w:left="218"/>
              <w:rPr>
                <w:b/>
                <w:sz w:val="21"/>
              </w:rPr>
            </w:pPr>
            <w:r>
              <w:rPr>
                <w:b/>
                <w:sz w:val="21"/>
              </w:rPr>
              <w:t>9.1</w:t>
            </w:r>
          </w:p>
        </w:tc>
        <w:tc>
          <w:tcPr>
            <w:tcW w:w="2370" w:type="dxa"/>
            <w:tcBorders>
              <w:top w:val="single" w:sz="8" w:space="0" w:color="000000"/>
            </w:tcBorders>
          </w:tcPr>
          <w:p>
            <w:pPr>
              <w:pStyle w:val="TableParagraph"/>
              <w:spacing w:before="4"/>
              <w:ind w:left="0"/>
              <w:rPr>
                <w:sz w:val="16"/>
              </w:rPr>
            </w:pPr>
          </w:p>
          <w:p>
            <w:pPr>
              <w:pStyle w:val="TableParagraph"/>
              <w:ind w:left="154"/>
              <w:rPr>
                <w:b/>
                <w:sz w:val="21"/>
              </w:rPr>
            </w:pPr>
            <w:r>
              <w:rPr>
                <w:b/>
                <w:sz w:val="21"/>
              </w:rPr>
              <w:t>合同订立</w:t>
            </w:r>
          </w:p>
        </w:tc>
        <w:tc>
          <w:tcPr>
            <w:tcW w:w="6999" w:type="dxa"/>
            <w:tcBorders>
              <w:top w:val="single" w:sz="8" w:space="0" w:color="000000"/>
            </w:tcBorders>
          </w:tcPr>
          <w:p>
            <w:pPr>
              <w:pStyle w:val="TableParagraph"/>
              <w:spacing w:before="4"/>
              <w:ind w:left="0"/>
              <w:rPr>
                <w:sz w:val="16"/>
              </w:rPr>
            </w:pPr>
          </w:p>
          <w:p>
            <w:pPr>
              <w:pStyle w:val="TableParagraph"/>
              <w:rPr>
                <w:sz w:val="21"/>
              </w:rPr>
            </w:pPr>
            <w:r>
              <w:rPr>
                <w:sz w:val="21"/>
              </w:rPr>
              <w:t>本附加险合同由主险合同投保人提出申请，经我们同意而订立。</w:t>
            </w:r>
          </w:p>
        </w:tc>
      </w:tr>
      <w:tr>
        <w:trPr>
          <w:trHeight w:val="1191" w:hRule="atLeast"/>
        </w:trPr>
        <w:tc>
          <w:tcPr>
            <w:tcW w:w="710" w:type="dxa"/>
          </w:tcPr>
          <w:p>
            <w:pPr>
              <w:pStyle w:val="TableParagraph"/>
              <w:spacing w:before="106"/>
              <w:ind w:left="218"/>
              <w:rPr>
                <w:b/>
                <w:sz w:val="21"/>
              </w:rPr>
            </w:pPr>
            <w:r>
              <w:rPr>
                <w:b/>
                <w:sz w:val="21"/>
              </w:rPr>
              <w:t>9.2</w:t>
            </w:r>
          </w:p>
        </w:tc>
        <w:tc>
          <w:tcPr>
            <w:tcW w:w="2370" w:type="dxa"/>
          </w:tcPr>
          <w:p>
            <w:pPr>
              <w:pStyle w:val="TableParagraph"/>
              <w:spacing w:before="106"/>
              <w:ind w:left="154"/>
              <w:rPr>
                <w:b/>
                <w:sz w:val="21"/>
              </w:rPr>
            </w:pPr>
            <w:r>
              <w:rPr>
                <w:b/>
                <w:sz w:val="21"/>
              </w:rPr>
              <w:t>合同生效</w:t>
            </w:r>
          </w:p>
        </w:tc>
        <w:tc>
          <w:tcPr>
            <w:tcW w:w="6999" w:type="dxa"/>
          </w:tcPr>
          <w:p>
            <w:pPr>
              <w:pStyle w:val="TableParagraph"/>
              <w:spacing w:line="273" w:lineRule="auto" w:before="106"/>
              <w:ind w:right="3114"/>
              <w:rPr>
                <w:sz w:val="21"/>
              </w:rPr>
            </w:pPr>
            <w:r>
              <w:rPr>
                <w:spacing w:val="-3"/>
                <w:sz w:val="21"/>
              </w:rPr>
              <w:t>本附加险合同须与主险合同同时投保。 本附加险合同的生效日与主险合同相同。</w:t>
            </w:r>
          </w:p>
          <w:p>
            <w:pPr>
              <w:pStyle w:val="TableParagraph"/>
              <w:spacing w:before="7"/>
              <w:rPr>
                <w:sz w:val="21"/>
              </w:rPr>
            </w:pPr>
            <w:r>
              <w:rPr>
                <w:sz w:val="21"/>
              </w:rPr>
              <w:t>本附加险合同的保单周年日同主险合同的保单周年日。</w:t>
            </w:r>
          </w:p>
        </w:tc>
      </w:tr>
      <w:tr>
        <w:trPr>
          <w:trHeight w:val="878" w:hRule="atLeast"/>
        </w:trPr>
        <w:tc>
          <w:tcPr>
            <w:tcW w:w="710" w:type="dxa"/>
          </w:tcPr>
          <w:p>
            <w:pPr>
              <w:pStyle w:val="TableParagraph"/>
              <w:spacing w:before="105"/>
              <w:ind w:left="218"/>
              <w:rPr>
                <w:b/>
                <w:sz w:val="21"/>
              </w:rPr>
            </w:pPr>
            <w:r>
              <w:rPr>
                <w:b/>
                <w:sz w:val="21"/>
              </w:rPr>
              <w:t>9.3</w:t>
            </w:r>
          </w:p>
        </w:tc>
        <w:tc>
          <w:tcPr>
            <w:tcW w:w="2370" w:type="dxa"/>
          </w:tcPr>
          <w:p>
            <w:pPr>
              <w:pStyle w:val="TableParagraph"/>
              <w:spacing w:before="105"/>
              <w:ind w:left="154"/>
              <w:rPr>
                <w:b/>
                <w:sz w:val="21"/>
              </w:rPr>
            </w:pPr>
            <w:r>
              <w:rPr>
                <w:b/>
                <w:sz w:val="21"/>
              </w:rPr>
              <w:t>投保年龄</w:t>
            </w:r>
          </w:p>
        </w:tc>
        <w:tc>
          <w:tcPr>
            <w:tcW w:w="6999" w:type="dxa"/>
          </w:tcPr>
          <w:p>
            <w:pPr>
              <w:pStyle w:val="TableParagraph"/>
              <w:spacing w:line="273" w:lineRule="auto" w:before="105"/>
              <w:ind w:right="100"/>
              <w:rPr>
                <w:sz w:val="21"/>
              </w:rPr>
            </w:pPr>
            <w:r>
              <w:rPr>
                <w:sz w:val="21"/>
              </w:rPr>
              <w:t>指投保时被保险人的年龄，投保年龄以周岁计算。本附加险合同接受的投保年龄为 18 周岁至 55 周岁。</w:t>
            </w:r>
          </w:p>
        </w:tc>
      </w:tr>
      <w:tr>
        <w:trPr>
          <w:trHeight w:val="3686" w:hRule="atLeast"/>
        </w:trPr>
        <w:tc>
          <w:tcPr>
            <w:tcW w:w="710" w:type="dxa"/>
          </w:tcPr>
          <w:p>
            <w:pPr>
              <w:pStyle w:val="TableParagraph"/>
              <w:spacing w:before="105"/>
              <w:ind w:left="218"/>
              <w:rPr>
                <w:b/>
                <w:sz w:val="21"/>
              </w:rPr>
            </w:pPr>
            <w:r>
              <w:rPr>
                <w:b/>
                <w:sz w:val="21"/>
              </w:rPr>
              <w:t>9.4</w:t>
            </w:r>
          </w:p>
        </w:tc>
        <w:tc>
          <w:tcPr>
            <w:tcW w:w="2370" w:type="dxa"/>
          </w:tcPr>
          <w:p>
            <w:pPr>
              <w:pStyle w:val="TableParagraph"/>
              <w:spacing w:before="105"/>
              <w:ind w:left="154"/>
              <w:rPr>
                <w:b/>
                <w:sz w:val="21"/>
              </w:rPr>
            </w:pPr>
            <w:r>
              <w:rPr>
                <w:b/>
                <w:sz w:val="21"/>
              </w:rPr>
              <w:t>年龄错误</w:t>
            </w:r>
          </w:p>
        </w:tc>
        <w:tc>
          <w:tcPr>
            <w:tcW w:w="6999" w:type="dxa"/>
          </w:tcPr>
          <w:p>
            <w:pPr>
              <w:pStyle w:val="TableParagraph"/>
              <w:spacing w:line="273" w:lineRule="auto" w:before="105"/>
              <w:ind w:right="99"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01" w:right="100" w:hanging="504"/>
              <w:jc w:val="both"/>
              <w:rPr>
                <w:sz w:val="21"/>
              </w:rPr>
            </w:pPr>
            <w:r>
              <w:rPr>
                <w:spacing w:val="-6"/>
                <w:sz w:val="21"/>
              </w:rPr>
              <w:t>（1）</w:t>
            </w:r>
            <w:r>
              <w:rPr>
                <w:spacing w:val="-4"/>
                <w:sz w:val="21"/>
              </w:rPr>
              <w:t>您申报的被保险人年龄不真实，并且其真实年龄不符合本附加险合同</w:t>
            </w:r>
            <w:r>
              <w:rPr>
                <w:spacing w:val="-5"/>
                <w:sz w:val="21"/>
              </w:rPr>
              <w:t>约定投保年龄限制的，我们有权解除合同，并向您退还本附加险合同</w:t>
            </w:r>
            <w:r>
              <w:rPr>
                <w:spacing w:val="-3"/>
                <w:sz w:val="21"/>
              </w:rPr>
              <w:t>的现金价值。我们行使合同解除权适用“</w:t>
            </w:r>
            <w:r>
              <w:rPr>
                <w:sz w:val="21"/>
              </w:rPr>
              <w:t>9.6（2）</w:t>
            </w:r>
            <w:r>
              <w:rPr>
                <w:spacing w:val="-3"/>
                <w:sz w:val="21"/>
              </w:rPr>
              <w:t>明确说明与如实告知”中合同解除权限制的规定；</w:t>
            </w:r>
          </w:p>
          <w:p>
            <w:pPr>
              <w:pStyle w:val="TableParagraph"/>
              <w:spacing w:line="273" w:lineRule="auto" w:before="7"/>
              <w:ind w:left="601" w:right="-15" w:hanging="504"/>
              <w:rPr>
                <w:sz w:val="21"/>
              </w:rPr>
            </w:pPr>
            <w:r>
              <w:rPr>
                <w:spacing w:val="-24"/>
                <w:sz w:val="21"/>
              </w:rPr>
              <w:t>（2）</w:t>
            </w:r>
            <w:r>
              <w:rPr>
                <w:spacing w:val="-8"/>
                <w:sz w:val="21"/>
              </w:rPr>
              <w:t>您申报的被保险人年龄不真实，致使您实付保险费少于应付保险费的， </w:t>
            </w:r>
            <w:r>
              <w:rPr>
                <w:spacing w:val="2"/>
                <w:sz w:val="21"/>
              </w:rPr>
              <w:t>我们有权更正并要求您补交保险费或在给付保险金时扣除您欠交的</w:t>
            </w:r>
            <w:r>
              <w:rPr>
                <w:spacing w:val="-1"/>
                <w:sz w:val="21"/>
              </w:rPr>
              <w:t>保险费；</w:t>
            </w:r>
          </w:p>
          <w:p>
            <w:pPr>
              <w:pStyle w:val="TableParagraph"/>
              <w:spacing w:line="273" w:lineRule="auto" w:before="7"/>
              <w:ind w:left="601" w:right="-15" w:hanging="505"/>
              <w:rPr>
                <w:sz w:val="21"/>
              </w:rPr>
            </w:pPr>
            <w:r>
              <w:rPr>
                <w:spacing w:val="-24"/>
                <w:sz w:val="21"/>
              </w:rPr>
              <w:t>（3）</w:t>
            </w:r>
            <w:r>
              <w:rPr>
                <w:spacing w:val="-8"/>
                <w:sz w:val="21"/>
              </w:rPr>
              <w:t>您申报的被保险人年龄不真实，致使您实付保险费多于应付保险费的， </w:t>
            </w:r>
            <w:r>
              <w:rPr>
                <w:spacing w:val="-5"/>
                <w:sz w:val="21"/>
              </w:rPr>
              <w:t>我们会将多收的保险费退还给您。</w:t>
            </w:r>
          </w:p>
        </w:tc>
      </w:tr>
      <w:tr>
        <w:trPr>
          <w:trHeight w:val="1191" w:hRule="atLeast"/>
        </w:trPr>
        <w:tc>
          <w:tcPr>
            <w:tcW w:w="710" w:type="dxa"/>
          </w:tcPr>
          <w:p>
            <w:pPr>
              <w:pStyle w:val="TableParagraph"/>
              <w:spacing w:before="105"/>
              <w:ind w:left="218"/>
              <w:rPr>
                <w:b/>
                <w:sz w:val="21"/>
              </w:rPr>
            </w:pPr>
            <w:r>
              <w:rPr>
                <w:b/>
                <w:sz w:val="21"/>
              </w:rPr>
              <w:t>9.5</w:t>
            </w:r>
          </w:p>
        </w:tc>
        <w:tc>
          <w:tcPr>
            <w:tcW w:w="2370" w:type="dxa"/>
          </w:tcPr>
          <w:p>
            <w:pPr>
              <w:pStyle w:val="TableParagraph"/>
              <w:spacing w:before="105"/>
              <w:ind w:left="154"/>
              <w:rPr>
                <w:b/>
                <w:sz w:val="21"/>
              </w:rPr>
            </w:pPr>
            <w:r>
              <w:rPr>
                <w:b/>
                <w:sz w:val="21"/>
              </w:rPr>
              <w:t>效力终止</w:t>
            </w:r>
          </w:p>
        </w:tc>
        <w:tc>
          <w:tcPr>
            <w:tcW w:w="6999" w:type="dxa"/>
          </w:tcPr>
          <w:p>
            <w:pPr>
              <w:pStyle w:val="TableParagraph"/>
              <w:spacing w:before="105"/>
              <w:rPr>
                <w:sz w:val="21"/>
              </w:rPr>
            </w:pPr>
            <w:r>
              <w:rPr>
                <w:sz w:val="21"/>
              </w:rPr>
              <w:t>当发生下列情形之一时，本附加险合同效力终止：</w:t>
            </w:r>
          </w:p>
          <w:p>
            <w:pPr>
              <w:pStyle w:val="TableParagraph"/>
              <w:spacing w:before="37"/>
              <w:rPr>
                <w:sz w:val="21"/>
              </w:rPr>
            </w:pPr>
            <w:r>
              <w:rPr>
                <w:sz w:val="21"/>
              </w:rPr>
              <w:t>（1）主险合同效力终止；</w:t>
            </w:r>
          </w:p>
          <w:p>
            <w:pPr>
              <w:pStyle w:val="TableParagraph"/>
              <w:spacing w:before="37"/>
              <w:rPr>
                <w:sz w:val="21"/>
              </w:rPr>
            </w:pPr>
            <w:r>
              <w:rPr>
                <w:sz w:val="21"/>
              </w:rPr>
              <w:t>（2）您申请解除本附加险合同。</w:t>
            </w:r>
          </w:p>
        </w:tc>
      </w:tr>
      <w:tr>
        <w:trPr>
          <w:trHeight w:val="1949" w:hRule="atLeast"/>
        </w:trPr>
        <w:tc>
          <w:tcPr>
            <w:tcW w:w="710" w:type="dxa"/>
          </w:tcPr>
          <w:p>
            <w:pPr>
              <w:pStyle w:val="TableParagraph"/>
              <w:spacing w:before="106"/>
              <w:ind w:left="218"/>
              <w:rPr>
                <w:b/>
                <w:sz w:val="21"/>
              </w:rPr>
            </w:pPr>
            <w:r>
              <w:rPr>
                <w:b/>
                <w:sz w:val="21"/>
              </w:rPr>
              <w:t>9.6</w:t>
            </w:r>
          </w:p>
        </w:tc>
        <w:tc>
          <w:tcPr>
            <w:tcW w:w="2370" w:type="dxa"/>
          </w:tcPr>
          <w:p>
            <w:pPr>
              <w:pStyle w:val="TableParagraph"/>
              <w:spacing w:before="106"/>
              <w:ind w:left="154"/>
              <w:rPr>
                <w:b/>
                <w:sz w:val="21"/>
              </w:rPr>
            </w:pPr>
            <w:r>
              <w:rPr>
                <w:b/>
                <w:sz w:val="21"/>
              </w:rPr>
              <w:t>适用主险合同条款</w:t>
            </w:r>
          </w:p>
        </w:tc>
        <w:tc>
          <w:tcPr>
            <w:tcW w:w="6999" w:type="dxa"/>
          </w:tcPr>
          <w:p>
            <w:pPr>
              <w:pStyle w:val="TableParagraph"/>
              <w:spacing w:before="106"/>
              <w:rPr>
                <w:sz w:val="21"/>
              </w:rPr>
            </w:pPr>
            <w:r>
              <w:rPr>
                <w:sz w:val="21"/>
              </w:rPr>
              <w:t>下列各项条款，适用主险合同条款：</w:t>
            </w:r>
          </w:p>
          <w:p>
            <w:pPr>
              <w:pStyle w:val="TableParagraph"/>
              <w:spacing w:before="37"/>
              <w:rPr>
                <w:sz w:val="21"/>
              </w:rPr>
            </w:pPr>
            <w:r>
              <w:rPr>
                <w:sz w:val="21"/>
              </w:rPr>
              <w:t>（1）保险事故通知；</w:t>
            </w:r>
          </w:p>
          <w:p>
            <w:pPr>
              <w:pStyle w:val="TableParagraph"/>
              <w:spacing w:before="37"/>
              <w:rPr>
                <w:sz w:val="21"/>
              </w:rPr>
            </w:pPr>
            <w:r>
              <w:rPr>
                <w:sz w:val="21"/>
              </w:rPr>
              <w:t>（2）明确说明与如实告知；</w:t>
            </w:r>
          </w:p>
          <w:p>
            <w:pPr>
              <w:pStyle w:val="TableParagraph"/>
              <w:spacing w:before="37"/>
              <w:rPr>
                <w:sz w:val="21"/>
              </w:rPr>
            </w:pPr>
            <w:r>
              <w:rPr>
                <w:sz w:val="21"/>
              </w:rPr>
              <w:t>（3）未还款项；</w:t>
            </w:r>
          </w:p>
          <w:p>
            <w:pPr>
              <w:pStyle w:val="TableParagraph"/>
              <w:spacing w:before="37"/>
              <w:rPr>
                <w:sz w:val="21"/>
              </w:rPr>
            </w:pPr>
            <w:r>
              <w:rPr>
                <w:sz w:val="21"/>
              </w:rPr>
              <w:t>（4）合同内容变更；</w:t>
            </w:r>
          </w:p>
          <w:p>
            <w:pPr>
              <w:pStyle w:val="TableParagraph"/>
              <w:spacing w:line="264" w:lineRule="exact" w:before="37"/>
              <w:rPr>
                <w:sz w:val="21"/>
              </w:rPr>
            </w:pPr>
            <w:r>
              <w:rPr>
                <w:sz w:val="21"/>
              </w:rPr>
              <w:t>（5）争议处理。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2"/>
        </w:rPr>
      </w:pPr>
    </w:p>
    <w:p>
      <w:pPr>
        <w:pStyle w:val="BodyText"/>
        <w:spacing w:before="37"/>
        <w:ind w:left="3800" w:right="3800"/>
        <w:jc w:val="center"/>
      </w:pPr>
      <w:r>
        <w:rPr/>
        <w:t>（完）</w:t>
      </w:r>
    </w:p>
    <w:sectPr>
      <w:pgSz w:w="11910" w:h="16840"/>
      <w:pgMar w:top="144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等线">
    <w:altName w:val="等线"/>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75"/>
      <w:numFmt w:val="decimal"/>
      <w:lvlText w:val="%1"/>
      <w:lvlJc w:val="left"/>
      <w:pPr>
        <w:ind w:left="756" w:hanging="593"/>
        <w:jc w:val="left"/>
      </w:pPr>
      <w:rPr>
        <w:rFonts w:hint="default" w:ascii="宋体" w:hAnsi="宋体" w:eastAsia="宋体" w:cs="宋体"/>
        <w:b/>
        <w:bCs/>
        <w:w w:val="99"/>
        <w:sz w:val="21"/>
        <w:szCs w:val="21"/>
      </w:rPr>
    </w:lvl>
    <w:lvl w:ilvl="1">
      <w:start w:val="0"/>
      <w:numFmt w:val="bullet"/>
      <w:lvlText w:val="•"/>
      <w:lvlJc w:val="left"/>
      <w:pPr>
        <w:ind w:left="1690" w:hanging="593"/>
      </w:pPr>
      <w:rPr>
        <w:rFonts w:hint="default"/>
      </w:rPr>
    </w:lvl>
    <w:lvl w:ilvl="2">
      <w:start w:val="0"/>
      <w:numFmt w:val="bullet"/>
      <w:lvlText w:val="•"/>
      <w:lvlJc w:val="left"/>
      <w:pPr>
        <w:ind w:left="2621" w:hanging="593"/>
      </w:pPr>
      <w:rPr>
        <w:rFonts w:hint="default"/>
      </w:rPr>
    </w:lvl>
    <w:lvl w:ilvl="3">
      <w:start w:val="0"/>
      <w:numFmt w:val="bullet"/>
      <w:lvlText w:val="•"/>
      <w:lvlJc w:val="left"/>
      <w:pPr>
        <w:ind w:left="3551" w:hanging="593"/>
      </w:pPr>
      <w:rPr>
        <w:rFonts w:hint="default"/>
      </w:rPr>
    </w:lvl>
    <w:lvl w:ilvl="4">
      <w:start w:val="0"/>
      <w:numFmt w:val="bullet"/>
      <w:lvlText w:val="•"/>
      <w:lvlJc w:val="left"/>
      <w:pPr>
        <w:ind w:left="4482" w:hanging="593"/>
      </w:pPr>
      <w:rPr>
        <w:rFonts w:hint="default"/>
      </w:rPr>
    </w:lvl>
    <w:lvl w:ilvl="5">
      <w:start w:val="0"/>
      <w:numFmt w:val="bullet"/>
      <w:lvlText w:val="•"/>
      <w:lvlJc w:val="left"/>
      <w:pPr>
        <w:ind w:left="5413" w:hanging="593"/>
      </w:pPr>
      <w:rPr>
        <w:rFonts w:hint="default"/>
      </w:rPr>
    </w:lvl>
    <w:lvl w:ilvl="6">
      <w:start w:val="0"/>
      <w:numFmt w:val="bullet"/>
      <w:lvlText w:val="•"/>
      <w:lvlJc w:val="left"/>
      <w:pPr>
        <w:ind w:left="6343" w:hanging="593"/>
      </w:pPr>
      <w:rPr>
        <w:rFonts w:hint="default"/>
      </w:rPr>
    </w:lvl>
    <w:lvl w:ilvl="7">
      <w:start w:val="0"/>
      <w:numFmt w:val="bullet"/>
      <w:lvlText w:val="•"/>
      <w:lvlJc w:val="left"/>
      <w:pPr>
        <w:ind w:left="7274" w:hanging="593"/>
      </w:pPr>
      <w:rPr>
        <w:rFonts w:hint="default"/>
      </w:rPr>
    </w:lvl>
    <w:lvl w:ilvl="8">
      <w:start w:val="0"/>
      <w:numFmt w:val="bullet"/>
      <w:lvlText w:val="•"/>
      <w:lvlJc w:val="left"/>
      <w:pPr>
        <w:ind w:left="8205" w:hanging="593"/>
      </w:pPr>
      <w:rPr>
        <w:rFonts w:hint="default"/>
      </w:rPr>
    </w:lvl>
  </w:abstractNum>
  <w:abstractNum w:abstractNumId="9">
    <w:multiLevelType w:val="hybridMultilevel"/>
    <w:lvl w:ilvl="0">
      <w:start w:val="31"/>
      <w:numFmt w:val="decimal"/>
      <w:lvlText w:val="%1"/>
      <w:lvlJc w:val="left"/>
      <w:pPr>
        <w:ind w:left="696" w:hanging="593"/>
        <w:jc w:val="left"/>
      </w:pPr>
      <w:rPr>
        <w:rFonts w:hint="default" w:ascii="宋体" w:hAnsi="宋体" w:eastAsia="宋体" w:cs="宋体"/>
        <w:b/>
        <w:bCs/>
        <w:w w:val="99"/>
        <w:sz w:val="21"/>
        <w:szCs w:val="21"/>
      </w:rPr>
    </w:lvl>
    <w:lvl w:ilvl="1">
      <w:start w:val="0"/>
      <w:numFmt w:val="bullet"/>
      <w:lvlText w:val="•"/>
      <w:lvlJc w:val="left"/>
      <w:pPr>
        <w:ind w:left="911" w:hanging="593"/>
      </w:pPr>
      <w:rPr>
        <w:rFonts w:hint="default"/>
      </w:rPr>
    </w:lvl>
    <w:lvl w:ilvl="2">
      <w:start w:val="0"/>
      <w:numFmt w:val="bullet"/>
      <w:lvlText w:val="•"/>
      <w:lvlJc w:val="left"/>
      <w:pPr>
        <w:ind w:left="1123" w:hanging="593"/>
      </w:pPr>
      <w:rPr>
        <w:rFonts w:hint="default"/>
      </w:rPr>
    </w:lvl>
    <w:lvl w:ilvl="3">
      <w:start w:val="0"/>
      <w:numFmt w:val="bullet"/>
      <w:lvlText w:val="•"/>
      <w:lvlJc w:val="left"/>
      <w:pPr>
        <w:ind w:left="1334" w:hanging="593"/>
      </w:pPr>
      <w:rPr>
        <w:rFonts w:hint="default"/>
      </w:rPr>
    </w:lvl>
    <w:lvl w:ilvl="4">
      <w:start w:val="0"/>
      <w:numFmt w:val="bullet"/>
      <w:lvlText w:val="•"/>
      <w:lvlJc w:val="left"/>
      <w:pPr>
        <w:ind w:left="1546" w:hanging="593"/>
      </w:pPr>
      <w:rPr>
        <w:rFonts w:hint="default"/>
      </w:rPr>
    </w:lvl>
    <w:lvl w:ilvl="5">
      <w:start w:val="0"/>
      <w:numFmt w:val="bullet"/>
      <w:lvlText w:val="•"/>
      <w:lvlJc w:val="left"/>
      <w:pPr>
        <w:ind w:left="1757" w:hanging="593"/>
      </w:pPr>
      <w:rPr>
        <w:rFonts w:hint="default"/>
      </w:rPr>
    </w:lvl>
    <w:lvl w:ilvl="6">
      <w:start w:val="0"/>
      <w:numFmt w:val="bullet"/>
      <w:lvlText w:val="•"/>
      <w:lvlJc w:val="left"/>
      <w:pPr>
        <w:ind w:left="1969" w:hanging="593"/>
      </w:pPr>
      <w:rPr>
        <w:rFonts w:hint="default"/>
      </w:rPr>
    </w:lvl>
    <w:lvl w:ilvl="7">
      <w:start w:val="0"/>
      <w:numFmt w:val="bullet"/>
      <w:lvlText w:val="•"/>
      <w:lvlJc w:val="left"/>
      <w:pPr>
        <w:ind w:left="2180" w:hanging="593"/>
      </w:pPr>
      <w:rPr>
        <w:rFonts w:hint="default"/>
      </w:rPr>
    </w:lvl>
    <w:lvl w:ilvl="8">
      <w:start w:val="0"/>
      <w:numFmt w:val="bullet"/>
      <w:lvlText w:val="•"/>
      <w:lvlJc w:val="left"/>
      <w:pPr>
        <w:ind w:left="2392" w:hanging="593"/>
      </w:pPr>
      <w:rPr>
        <w:rFonts w:hint="default"/>
      </w:rPr>
    </w:lvl>
  </w:abstractNum>
  <w:abstractNum w:abstractNumId="8">
    <w:multiLevelType w:val="hybridMultilevel"/>
    <w:lvl w:ilvl="0">
      <w:start w:val="9"/>
      <w:numFmt w:val="decimal"/>
      <w:lvlText w:val="%1"/>
      <w:lvlJc w:val="left"/>
      <w:pPr>
        <w:ind w:left="3169" w:hanging="540"/>
        <w:jc w:val="left"/>
      </w:pPr>
      <w:rPr>
        <w:rFonts w:hint="default" w:ascii="宋体" w:hAnsi="宋体" w:eastAsia="宋体" w:cs="宋体"/>
        <w:b/>
        <w:bCs/>
        <w:w w:val="99"/>
        <w:sz w:val="21"/>
        <w:szCs w:val="21"/>
      </w:rPr>
    </w:lvl>
    <w:lvl w:ilvl="1">
      <w:start w:val="0"/>
      <w:numFmt w:val="bullet"/>
      <w:lvlText w:val="•"/>
      <w:lvlJc w:val="left"/>
      <w:pPr>
        <w:ind w:left="3856" w:hanging="540"/>
      </w:pPr>
      <w:rPr>
        <w:rFonts w:hint="default"/>
      </w:rPr>
    </w:lvl>
    <w:lvl w:ilvl="2">
      <w:start w:val="0"/>
      <w:numFmt w:val="bullet"/>
      <w:lvlText w:val="•"/>
      <w:lvlJc w:val="left"/>
      <w:pPr>
        <w:ind w:left="4553" w:hanging="540"/>
      </w:pPr>
      <w:rPr>
        <w:rFonts w:hint="default"/>
      </w:rPr>
    </w:lvl>
    <w:lvl w:ilvl="3">
      <w:start w:val="0"/>
      <w:numFmt w:val="bullet"/>
      <w:lvlText w:val="•"/>
      <w:lvlJc w:val="left"/>
      <w:pPr>
        <w:ind w:left="5249" w:hanging="540"/>
      </w:pPr>
      <w:rPr>
        <w:rFonts w:hint="default"/>
      </w:rPr>
    </w:lvl>
    <w:lvl w:ilvl="4">
      <w:start w:val="0"/>
      <w:numFmt w:val="bullet"/>
      <w:lvlText w:val="•"/>
      <w:lvlJc w:val="left"/>
      <w:pPr>
        <w:ind w:left="5946" w:hanging="540"/>
      </w:pPr>
      <w:rPr>
        <w:rFonts w:hint="default"/>
      </w:rPr>
    </w:lvl>
    <w:lvl w:ilvl="5">
      <w:start w:val="0"/>
      <w:numFmt w:val="bullet"/>
      <w:lvlText w:val="•"/>
      <w:lvlJc w:val="left"/>
      <w:pPr>
        <w:ind w:left="6643" w:hanging="540"/>
      </w:pPr>
      <w:rPr>
        <w:rFonts w:hint="default"/>
      </w:rPr>
    </w:lvl>
    <w:lvl w:ilvl="6">
      <w:start w:val="0"/>
      <w:numFmt w:val="bullet"/>
      <w:lvlText w:val="•"/>
      <w:lvlJc w:val="left"/>
      <w:pPr>
        <w:ind w:left="7339" w:hanging="540"/>
      </w:pPr>
      <w:rPr>
        <w:rFonts w:hint="default"/>
      </w:rPr>
    </w:lvl>
    <w:lvl w:ilvl="7">
      <w:start w:val="0"/>
      <w:numFmt w:val="bullet"/>
      <w:lvlText w:val="•"/>
      <w:lvlJc w:val="left"/>
      <w:pPr>
        <w:ind w:left="8036" w:hanging="540"/>
      </w:pPr>
      <w:rPr>
        <w:rFonts w:hint="default"/>
      </w:rPr>
    </w:lvl>
    <w:lvl w:ilvl="8">
      <w:start w:val="0"/>
      <w:numFmt w:val="bullet"/>
      <w:lvlText w:val="•"/>
      <w:lvlJc w:val="left"/>
      <w:pPr>
        <w:ind w:left="8733" w:hanging="540"/>
      </w:pPr>
      <w:rPr>
        <w:rFonts w:hint="default"/>
      </w:rPr>
    </w:lvl>
  </w:abstractNum>
  <w:abstractNum w:abstractNumId="7">
    <w:multiLevelType w:val="hybridMultilevel"/>
    <w:lvl w:ilvl="0">
      <w:start w:val="7"/>
      <w:numFmt w:val="decimal"/>
      <w:lvlText w:val="%1."/>
      <w:lvlJc w:val="left"/>
      <w:pPr>
        <w:ind w:left="720" w:hanging="317"/>
        <w:jc w:val="left"/>
      </w:pPr>
      <w:rPr>
        <w:rFonts w:hint="default" w:ascii="宋体" w:hAnsi="宋体" w:eastAsia="宋体" w:cs="宋体"/>
        <w:b/>
        <w:bCs/>
        <w:w w:val="99"/>
        <w:sz w:val="21"/>
        <w:szCs w:val="21"/>
      </w:rPr>
    </w:lvl>
    <w:lvl w:ilvl="1">
      <w:start w:val="1"/>
      <w:numFmt w:val="decimal"/>
      <w:lvlText w:val="%1.%2"/>
      <w:lvlJc w:val="left"/>
      <w:pPr>
        <w:ind w:left="1037" w:hanging="423"/>
        <w:jc w:val="left"/>
      </w:pPr>
      <w:rPr>
        <w:rFonts w:hint="default" w:ascii="宋体" w:hAnsi="宋体" w:eastAsia="宋体" w:cs="宋体"/>
        <w:w w:val="100"/>
        <w:sz w:val="21"/>
        <w:szCs w:val="21"/>
      </w:rPr>
    </w:lvl>
    <w:lvl w:ilvl="2">
      <w:start w:val="0"/>
      <w:numFmt w:val="bullet"/>
      <w:lvlText w:val="•"/>
      <w:lvlJc w:val="left"/>
      <w:pPr>
        <w:ind w:left="1345" w:hanging="423"/>
      </w:pPr>
      <w:rPr>
        <w:rFonts w:hint="default"/>
      </w:rPr>
    </w:lvl>
    <w:lvl w:ilvl="3">
      <w:start w:val="0"/>
      <w:numFmt w:val="bullet"/>
      <w:lvlText w:val="•"/>
      <w:lvlJc w:val="left"/>
      <w:pPr>
        <w:ind w:left="1650" w:hanging="423"/>
      </w:pPr>
      <w:rPr>
        <w:rFonts w:hint="default"/>
      </w:rPr>
    </w:lvl>
    <w:lvl w:ilvl="4">
      <w:start w:val="0"/>
      <w:numFmt w:val="bullet"/>
      <w:lvlText w:val="•"/>
      <w:lvlJc w:val="left"/>
      <w:pPr>
        <w:ind w:left="1955" w:hanging="423"/>
      </w:pPr>
      <w:rPr>
        <w:rFonts w:hint="default"/>
      </w:rPr>
    </w:lvl>
    <w:lvl w:ilvl="5">
      <w:start w:val="0"/>
      <w:numFmt w:val="bullet"/>
      <w:lvlText w:val="•"/>
      <w:lvlJc w:val="left"/>
      <w:pPr>
        <w:ind w:left="2261" w:hanging="423"/>
      </w:pPr>
      <w:rPr>
        <w:rFonts w:hint="default"/>
      </w:rPr>
    </w:lvl>
    <w:lvl w:ilvl="6">
      <w:start w:val="0"/>
      <w:numFmt w:val="bullet"/>
      <w:lvlText w:val="•"/>
      <w:lvlJc w:val="left"/>
      <w:pPr>
        <w:ind w:left="2566" w:hanging="423"/>
      </w:pPr>
      <w:rPr>
        <w:rFonts w:hint="default"/>
      </w:rPr>
    </w:lvl>
    <w:lvl w:ilvl="7">
      <w:start w:val="0"/>
      <w:numFmt w:val="bullet"/>
      <w:lvlText w:val="•"/>
      <w:lvlJc w:val="left"/>
      <w:pPr>
        <w:ind w:left="2871" w:hanging="423"/>
      </w:pPr>
      <w:rPr>
        <w:rFonts w:hint="default"/>
      </w:rPr>
    </w:lvl>
    <w:lvl w:ilvl="8">
      <w:start w:val="0"/>
      <w:numFmt w:val="bullet"/>
      <w:lvlText w:val="•"/>
      <w:lvlJc w:val="left"/>
      <w:pPr>
        <w:ind w:left="3177" w:hanging="423"/>
      </w:pPr>
      <w:rPr>
        <w:rFonts w:hint="default"/>
      </w:rPr>
    </w:lvl>
  </w:abstractNum>
  <w:abstractNum w:abstractNumId="6">
    <w:multiLevelType w:val="hybridMultilevel"/>
    <w:lvl w:ilvl="0">
      <w:start w:val="6"/>
      <w:numFmt w:val="decimal"/>
      <w:lvlText w:val="%1"/>
      <w:lvlJc w:val="left"/>
      <w:pPr>
        <w:ind w:left="1455" w:hanging="421"/>
        <w:jc w:val="left"/>
      </w:pPr>
      <w:rPr>
        <w:rFonts w:hint="default"/>
      </w:rPr>
    </w:lvl>
    <w:lvl w:ilvl="1">
      <w:start w:val="1"/>
      <w:numFmt w:val="decimal"/>
      <w:lvlText w:val="%1.%2"/>
      <w:lvlJc w:val="left"/>
      <w:pPr>
        <w:ind w:left="1455" w:hanging="421"/>
        <w:jc w:val="right"/>
      </w:pPr>
      <w:rPr>
        <w:rFonts w:hint="default" w:ascii="宋体" w:hAnsi="宋体" w:eastAsia="宋体" w:cs="宋体"/>
        <w:w w:val="100"/>
        <w:sz w:val="21"/>
        <w:szCs w:val="21"/>
      </w:rPr>
    </w:lvl>
    <w:lvl w:ilvl="2">
      <w:start w:val="0"/>
      <w:numFmt w:val="bullet"/>
      <w:lvlText w:val="•"/>
      <w:lvlJc w:val="left"/>
      <w:pPr>
        <w:ind w:left="1817" w:hanging="421"/>
      </w:pPr>
      <w:rPr>
        <w:rFonts w:hint="default"/>
      </w:rPr>
    </w:lvl>
    <w:lvl w:ilvl="3">
      <w:start w:val="0"/>
      <w:numFmt w:val="bullet"/>
      <w:lvlText w:val="•"/>
      <w:lvlJc w:val="left"/>
      <w:pPr>
        <w:ind w:left="1996" w:hanging="421"/>
      </w:pPr>
      <w:rPr>
        <w:rFonts w:hint="default"/>
      </w:rPr>
    </w:lvl>
    <w:lvl w:ilvl="4">
      <w:start w:val="0"/>
      <w:numFmt w:val="bullet"/>
      <w:lvlText w:val="•"/>
      <w:lvlJc w:val="left"/>
      <w:pPr>
        <w:ind w:left="2175" w:hanging="421"/>
      </w:pPr>
      <w:rPr>
        <w:rFonts w:hint="default"/>
      </w:rPr>
    </w:lvl>
    <w:lvl w:ilvl="5">
      <w:start w:val="0"/>
      <w:numFmt w:val="bullet"/>
      <w:lvlText w:val="•"/>
      <w:lvlJc w:val="left"/>
      <w:pPr>
        <w:ind w:left="2354" w:hanging="421"/>
      </w:pPr>
      <w:rPr>
        <w:rFonts w:hint="default"/>
      </w:rPr>
    </w:lvl>
    <w:lvl w:ilvl="6">
      <w:start w:val="0"/>
      <w:numFmt w:val="bullet"/>
      <w:lvlText w:val="•"/>
      <w:lvlJc w:val="left"/>
      <w:pPr>
        <w:ind w:left="2532" w:hanging="421"/>
      </w:pPr>
      <w:rPr>
        <w:rFonts w:hint="default"/>
      </w:rPr>
    </w:lvl>
    <w:lvl w:ilvl="7">
      <w:start w:val="0"/>
      <w:numFmt w:val="bullet"/>
      <w:lvlText w:val="•"/>
      <w:lvlJc w:val="left"/>
      <w:pPr>
        <w:ind w:left="2711" w:hanging="421"/>
      </w:pPr>
      <w:rPr>
        <w:rFonts w:hint="default"/>
      </w:rPr>
    </w:lvl>
    <w:lvl w:ilvl="8">
      <w:start w:val="0"/>
      <w:numFmt w:val="bullet"/>
      <w:lvlText w:val="•"/>
      <w:lvlJc w:val="left"/>
      <w:pPr>
        <w:ind w:left="2890" w:hanging="421"/>
      </w:pPr>
      <w:rPr>
        <w:rFonts w:hint="default"/>
      </w:rPr>
    </w:lvl>
  </w:abstractNum>
  <w:abstractNum w:abstractNumId="5">
    <w:multiLevelType w:val="hybridMultilevel"/>
    <w:lvl w:ilvl="0">
      <w:start w:val="5"/>
      <w:numFmt w:val="decimal"/>
      <w:lvlText w:val="%1"/>
      <w:lvlJc w:val="left"/>
      <w:pPr>
        <w:ind w:left="1455" w:hanging="423"/>
        <w:jc w:val="left"/>
      </w:pPr>
      <w:rPr>
        <w:rFonts w:hint="default"/>
      </w:rPr>
    </w:lvl>
    <w:lvl w:ilvl="1">
      <w:start w:val="1"/>
      <w:numFmt w:val="decimal"/>
      <w:lvlText w:val="%1.%2"/>
      <w:lvlJc w:val="left"/>
      <w:pPr>
        <w:ind w:left="1455" w:hanging="423"/>
        <w:jc w:val="left"/>
      </w:pPr>
      <w:rPr>
        <w:rFonts w:hint="default" w:ascii="宋体" w:hAnsi="宋体" w:eastAsia="宋体" w:cs="宋体"/>
        <w:w w:val="100"/>
        <w:sz w:val="21"/>
        <w:szCs w:val="21"/>
      </w:rPr>
    </w:lvl>
    <w:lvl w:ilvl="2">
      <w:start w:val="0"/>
      <w:numFmt w:val="bullet"/>
      <w:lvlText w:val="•"/>
      <w:lvlJc w:val="left"/>
      <w:pPr>
        <w:ind w:left="1817" w:hanging="423"/>
      </w:pPr>
      <w:rPr>
        <w:rFonts w:hint="default"/>
      </w:rPr>
    </w:lvl>
    <w:lvl w:ilvl="3">
      <w:start w:val="0"/>
      <w:numFmt w:val="bullet"/>
      <w:lvlText w:val="•"/>
      <w:lvlJc w:val="left"/>
      <w:pPr>
        <w:ind w:left="1996" w:hanging="423"/>
      </w:pPr>
      <w:rPr>
        <w:rFonts w:hint="default"/>
      </w:rPr>
    </w:lvl>
    <w:lvl w:ilvl="4">
      <w:start w:val="0"/>
      <w:numFmt w:val="bullet"/>
      <w:lvlText w:val="•"/>
      <w:lvlJc w:val="left"/>
      <w:pPr>
        <w:ind w:left="2175" w:hanging="423"/>
      </w:pPr>
      <w:rPr>
        <w:rFonts w:hint="default"/>
      </w:rPr>
    </w:lvl>
    <w:lvl w:ilvl="5">
      <w:start w:val="0"/>
      <w:numFmt w:val="bullet"/>
      <w:lvlText w:val="•"/>
      <w:lvlJc w:val="left"/>
      <w:pPr>
        <w:ind w:left="2354" w:hanging="423"/>
      </w:pPr>
      <w:rPr>
        <w:rFonts w:hint="default"/>
      </w:rPr>
    </w:lvl>
    <w:lvl w:ilvl="6">
      <w:start w:val="0"/>
      <w:numFmt w:val="bullet"/>
      <w:lvlText w:val="•"/>
      <w:lvlJc w:val="left"/>
      <w:pPr>
        <w:ind w:left="2532" w:hanging="423"/>
      </w:pPr>
      <w:rPr>
        <w:rFonts w:hint="default"/>
      </w:rPr>
    </w:lvl>
    <w:lvl w:ilvl="7">
      <w:start w:val="0"/>
      <w:numFmt w:val="bullet"/>
      <w:lvlText w:val="•"/>
      <w:lvlJc w:val="left"/>
      <w:pPr>
        <w:ind w:left="2711" w:hanging="423"/>
      </w:pPr>
      <w:rPr>
        <w:rFonts w:hint="default"/>
      </w:rPr>
    </w:lvl>
    <w:lvl w:ilvl="8">
      <w:start w:val="0"/>
      <w:numFmt w:val="bullet"/>
      <w:lvlText w:val="•"/>
      <w:lvlJc w:val="left"/>
      <w:pPr>
        <w:ind w:left="2890" w:hanging="423"/>
      </w:pPr>
      <w:rPr>
        <w:rFonts w:hint="default"/>
      </w:rPr>
    </w:lvl>
  </w:abstractNum>
  <w:abstractNum w:abstractNumId="4">
    <w:multiLevelType w:val="hybridMultilevel"/>
    <w:lvl w:ilvl="0">
      <w:start w:val="4"/>
      <w:numFmt w:val="decimal"/>
      <w:lvlText w:val="%1"/>
      <w:lvlJc w:val="left"/>
      <w:pPr>
        <w:ind w:left="1457" w:hanging="423"/>
        <w:jc w:val="left"/>
      </w:pPr>
      <w:rPr>
        <w:rFonts w:hint="default"/>
      </w:rPr>
    </w:lvl>
    <w:lvl w:ilvl="1">
      <w:start w:val="1"/>
      <w:numFmt w:val="decimal"/>
      <w:lvlText w:val="%1.%2"/>
      <w:lvlJc w:val="left"/>
      <w:pPr>
        <w:ind w:left="1457" w:hanging="423"/>
        <w:jc w:val="left"/>
      </w:pPr>
      <w:rPr>
        <w:rFonts w:hint="default" w:ascii="宋体" w:hAnsi="宋体" w:eastAsia="宋体" w:cs="宋体"/>
        <w:w w:val="100"/>
        <w:sz w:val="21"/>
        <w:szCs w:val="21"/>
      </w:rPr>
    </w:lvl>
    <w:lvl w:ilvl="2">
      <w:start w:val="0"/>
      <w:numFmt w:val="bullet"/>
      <w:lvlText w:val="•"/>
      <w:lvlJc w:val="left"/>
      <w:pPr>
        <w:ind w:left="1817" w:hanging="423"/>
      </w:pPr>
      <w:rPr>
        <w:rFonts w:hint="default"/>
      </w:rPr>
    </w:lvl>
    <w:lvl w:ilvl="3">
      <w:start w:val="0"/>
      <w:numFmt w:val="bullet"/>
      <w:lvlText w:val="•"/>
      <w:lvlJc w:val="left"/>
      <w:pPr>
        <w:ind w:left="1996" w:hanging="423"/>
      </w:pPr>
      <w:rPr>
        <w:rFonts w:hint="default"/>
      </w:rPr>
    </w:lvl>
    <w:lvl w:ilvl="4">
      <w:start w:val="0"/>
      <w:numFmt w:val="bullet"/>
      <w:lvlText w:val="•"/>
      <w:lvlJc w:val="left"/>
      <w:pPr>
        <w:ind w:left="2175" w:hanging="423"/>
      </w:pPr>
      <w:rPr>
        <w:rFonts w:hint="default"/>
      </w:rPr>
    </w:lvl>
    <w:lvl w:ilvl="5">
      <w:start w:val="0"/>
      <w:numFmt w:val="bullet"/>
      <w:lvlText w:val="•"/>
      <w:lvlJc w:val="left"/>
      <w:pPr>
        <w:ind w:left="2354" w:hanging="423"/>
      </w:pPr>
      <w:rPr>
        <w:rFonts w:hint="default"/>
      </w:rPr>
    </w:lvl>
    <w:lvl w:ilvl="6">
      <w:start w:val="0"/>
      <w:numFmt w:val="bullet"/>
      <w:lvlText w:val="•"/>
      <w:lvlJc w:val="left"/>
      <w:pPr>
        <w:ind w:left="2532" w:hanging="423"/>
      </w:pPr>
      <w:rPr>
        <w:rFonts w:hint="default"/>
      </w:rPr>
    </w:lvl>
    <w:lvl w:ilvl="7">
      <w:start w:val="0"/>
      <w:numFmt w:val="bullet"/>
      <w:lvlText w:val="•"/>
      <w:lvlJc w:val="left"/>
      <w:pPr>
        <w:ind w:left="2711" w:hanging="423"/>
      </w:pPr>
      <w:rPr>
        <w:rFonts w:hint="default"/>
      </w:rPr>
    </w:lvl>
    <w:lvl w:ilvl="8">
      <w:start w:val="0"/>
      <w:numFmt w:val="bullet"/>
      <w:lvlText w:val="•"/>
      <w:lvlJc w:val="left"/>
      <w:pPr>
        <w:ind w:left="2890" w:hanging="423"/>
      </w:pPr>
      <w:rPr>
        <w:rFonts w:hint="default"/>
      </w:rPr>
    </w:lvl>
  </w:abstractNum>
  <w:abstractNum w:abstractNumId="3">
    <w:multiLevelType w:val="hybridMultilevel"/>
    <w:lvl w:ilvl="0">
      <w:start w:val="3"/>
      <w:numFmt w:val="decimal"/>
      <w:lvlText w:val="%1"/>
      <w:lvlJc w:val="left"/>
      <w:pPr>
        <w:ind w:left="976" w:hanging="423"/>
        <w:jc w:val="right"/>
      </w:pPr>
      <w:rPr>
        <w:rFonts w:hint="default"/>
      </w:rPr>
    </w:lvl>
    <w:lvl w:ilvl="1">
      <w:start w:val="1"/>
      <w:numFmt w:val="decimal"/>
      <w:lvlText w:val="%1.%2"/>
      <w:lvlJc w:val="left"/>
      <w:pPr>
        <w:ind w:left="1531" w:hanging="423"/>
        <w:jc w:val="left"/>
      </w:pPr>
      <w:rPr>
        <w:rFonts w:hint="default" w:ascii="宋体" w:hAnsi="宋体" w:eastAsia="宋体" w:cs="宋体"/>
        <w:w w:val="100"/>
        <w:sz w:val="21"/>
        <w:szCs w:val="21"/>
      </w:rPr>
    </w:lvl>
    <w:lvl w:ilvl="2">
      <w:start w:val="0"/>
      <w:numFmt w:val="bullet"/>
      <w:lvlText w:val="•"/>
      <w:lvlJc w:val="left"/>
      <w:pPr>
        <w:ind w:left="1703" w:hanging="423"/>
      </w:pPr>
      <w:rPr>
        <w:rFonts w:hint="default"/>
      </w:rPr>
    </w:lvl>
    <w:lvl w:ilvl="3">
      <w:start w:val="0"/>
      <w:numFmt w:val="bullet"/>
      <w:lvlText w:val="•"/>
      <w:lvlJc w:val="left"/>
      <w:pPr>
        <w:ind w:left="1866" w:hanging="423"/>
      </w:pPr>
      <w:rPr>
        <w:rFonts w:hint="default"/>
      </w:rPr>
    </w:lvl>
    <w:lvl w:ilvl="4">
      <w:start w:val="0"/>
      <w:numFmt w:val="bullet"/>
      <w:lvlText w:val="•"/>
      <w:lvlJc w:val="left"/>
      <w:pPr>
        <w:ind w:left="2030" w:hanging="423"/>
      </w:pPr>
      <w:rPr>
        <w:rFonts w:hint="default"/>
      </w:rPr>
    </w:lvl>
    <w:lvl w:ilvl="5">
      <w:start w:val="0"/>
      <w:numFmt w:val="bullet"/>
      <w:lvlText w:val="•"/>
      <w:lvlJc w:val="left"/>
      <w:pPr>
        <w:ind w:left="2193" w:hanging="423"/>
      </w:pPr>
      <w:rPr>
        <w:rFonts w:hint="default"/>
      </w:rPr>
    </w:lvl>
    <w:lvl w:ilvl="6">
      <w:start w:val="0"/>
      <w:numFmt w:val="bullet"/>
      <w:lvlText w:val="•"/>
      <w:lvlJc w:val="left"/>
      <w:pPr>
        <w:ind w:left="2356" w:hanging="423"/>
      </w:pPr>
      <w:rPr>
        <w:rFonts w:hint="default"/>
      </w:rPr>
    </w:lvl>
    <w:lvl w:ilvl="7">
      <w:start w:val="0"/>
      <w:numFmt w:val="bullet"/>
      <w:lvlText w:val="•"/>
      <w:lvlJc w:val="left"/>
      <w:pPr>
        <w:ind w:left="2520" w:hanging="423"/>
      </w:pPr>
      <w:rPr>
        <w:rFonts w:hint="default"/>
      </w:rPr>
    </w:lvl>
    <w:lvl w:ilvl="8">
      <w:start w:val="0"/>
      <w:numFmt w:val="bullet"/>
      <w:lvlText w:val="•"/>
      <w:lvlJc w:val="left"/>
      <w:pPr>
        <w:ind w:left="2683" w:hanging="423"/>
      </w:pPr>
      <w:rPr>
        <w:rFonts w:hint="default"/>
      </w:rPr>
    </w:lvl>
  </w:abstractNum>
  <w:abstractNum w:abstractNumId="2">
    <w:multiLevelType w:val="hybridMultilevel"/>
    <w:lvl w:ilvl="0">
      <w:start w:val="2"/>
      <w:numFmt w:val="decimal"/>
      <w:lvlText w:val="%1"/>
      <w:lvlJc w:val="left"/>
      <w:pPr>
        <w:ind w:left="1532" w:hanging="423"/>
        <w:jc w:val="left"/>
      </w:pPr>
      <w:rPr>
        <w:rFonts w:hint="default"/>
      </w:rPr>
    </w:lvl>
    <w:lvl w:ilvl="1">
      <w:start w:val="1"/>
      <w:numFmt w:val="decimal"/>
      <w:lvlText w:val="%1.%2"/>
      <w:lvlJc w:val="left"/>
      <w:pPr>
        <w:ind w:left="1532" w:hanging="423"/>
        <w:jc w:val="left"/>
      </w:pPr>
      <w:rPr>
        <w:rFonts w:hint="default" w:ascii="宋体" w:hAnsi="宋体" w:eastAsia="宋体" w:cs="宋体"/>
        <w:w w:val="100"/>
        <w:sz w:val="21"/>
        <w:szCs w:val="21"/>
      </w:rPr>
    </w:lvl>
    <w:lvl w:ilvl="2">
      <w:start w:val="0"/>
      <w:numFmt w:val="bullet"/>
      <w:lvlText w:val="•"/>
      <w:lvlJc w:val="left"/>
      <w:pPr>
        <w:ind w:left="1834" w:hanging="423"/>
      </w:pPr>
      <w:rPr>
        <w:rFonts w:hint="default"/>
      </w:rPr>
    </w:lvl>
    <w:lvl w:ilvl="3">
      <w:start w:val="0"/>
      <w:numFmt w:val="bullet"/>
      <w:lvlText w:val="•"/>
      <w:lvlJc w:val="left"/>
      <w:pPr>
        <w:ind w:left="1981" w:hanging="423"/>
      </w:pPr>
      <w:rPr>
        <w:rFonts w:hint="default"/>
      </w:rPr>
    </w:lvl>
    <w:lvl w:ilvl="4">
      <w:start w:val="0"/>
      <w:numFmt w:val="bullet"/>
      <w:lvlText w:val="•"/>
      <w:lvlJc w:val="left"/>
      <w:pPr>
        <w:ind w:left="2128" w:hanging="423"/>
      </w:pPr>
      <w:rPr>
        <w:rFonts w:hint="default"/>
      </w:rPr>
    </w:lvl>
    <w:lvl w:ilvl="5">
      <w:start w:val="0"/>
      <w:numFmt w:val="bullet"/>
      <w:lvlText w:val="•"/>
      <w:lvlJc w:val="left"/>
      <w:pPr>
        <w:ind w:left="2275" w:hanging="423"/>
      </w:pPr>
      <w:rPr>
        <w:rFonts w:hint="default"/>
      </w:rPr>
    </w:lvl>
    <w:lvl w:ilvl="6">
      <w:start w:val="0"/>
      <w:numFmt w:val="bullet"/>
      <w:lvlText w:val="•"/>
      <w:lvlJc w:val="left"/>
      <w:pPr>
        <w:ind w:left="2422" w:hanging="423"/>
      </w:pPr>
      <w:rPr>
        <w:rFonts w:hint="default"/>
      </w:rPr>
    </w:lvl>
    <w:lvl w:ilvl="7">
      <w:start w:val="0"/>
      <w:numFmt w:val="bullet"/>
      <w:lvlText w:val="•"/>
      <w:lvlJc w:val="left"/>
      <w:pPr>
        <w:ind w:left="2569" w:hanging="423"/>
      </w:pPr>
      <w:rPr>
        <w:rFonts w:hint="default"/>
      </w:rPr>
    </w:lvl>
    <w:lvl w:ilvl="8">
      <w:start w:val="0"/>
      <w:numFmt w:val="bullet"/>
      <w:lvlText w:val="•"/>
      <w:lvlJc w:val="left"/>
      <w:pPr>
        <w:ind w:left="2716" w:hanging="423"/>
      </w:pPr>
      <w:rPr>
        <w:rFonts w:hint="default"/>
      </w:rPr>
    </w:lvl>
  </w:abstractNum>
  <w:abstractNum w:abstractNumId="1">
    <w:multiLevelType w:val="hybridMultilevel"/>
    <w:lvl w:ilvl="0">
      <w:start w:val="1"/>
      <w:numFmt w:val="decimal"/>
      <w:lvlText w:val="%1"/>
      <w:lvlJc w:val="left"/>
      <w:pPr>
        <w:ind w:left="1532" w:hanging="423"/>
        <w:jc w:val="left"/>
      </w:pPr>
      <w:rPr>
        <w:rFonts w:hint="default"/>
      </w:rPr>
    </w:lvl>
    <w:lvl w:ilvl="1">
      <w:start w:val="1"/>
      <w:numFmt w:val="decimal"/>
      <w:lvlText w:val="%1.%2"/>
      <w:lvlJc w:val="left"/>
      <w:pPr>
        <w:ind w:left="1532" w:hanging="423"/>
        <w:jc w:val="left"/>
      </w:pPr>
      <w:rPr>
        <w:rFonts w:hint="default" w:ascii="宋体" w:hAnsi="宋体" w:eastAsia="宋体" w:cs="宋体"/>
        <w:w w:val="100"/>
        <w:sz w:val="21"/>
        <w:szCs w:val="21"/>
      </w:rPr>
    </w:lvl>
    <w:lvl w:ilvl="2">
      <w:start w:val="0"/>
      <w:numFmt w:val="bullet"/>
      <w:lvlText w:val="•"/>
      <w:lvlJc w:val="left"/>
      <w:pPr>
        <w:ind w:left="1834" w:hanging="423"/>
      </w:pPr>
      <w:rPr>
        <w:rFonts w:hint="default"/>
      </w:rPr>
    </w:lvl>
    <w:lvl w:ilvl="3">
      <w:start w:val="0"/>
      <w:numFmt w:val="bullet"/>
      <w:lvlText w:val="•"/>
      <w:lvlJc w:val="left"/>
      <w:pPr>
        <w:ind w:left="1981" w:hanging="423"/>
      </w:pPr>
      <w:rPr>
        <w:rFonts w:hint="default"/>
      </w:rPr>
    </w:lvl>
    <w:lvl w:ilvl="4">
      <w:start w:val="0"/>
      <w:numFmt w:val="bullet"/>
      <w:lvlText w:val="•"/>
      <w:lvlJc w:val="left"/>
      <w:pPr>
        <w:ind w:left="2128" w:hanging="423"/>
      </w:pPr>
      <w:rPr>
        <w:rFonts w:hint="default"/>
      </w:rPr>
    </w:lvl>
    <w:lvl w:ilvl="5">
      <w:start w:val="0"/>
      <w:numFmt w:val="bullet"/>
      <w:lvlText w:val="•"/>
      <w:lvlJc w:val="left"/>
      <w:pPr>
        <w:ind w:left="2275" w:hanging="423"/>
      </w:pPr>
      <w:rPr>
        <w:rFonts w:hint="default"/>
      </w:rPr>
    </w:lvl>
    <w:lvl w:ilvl="6">
      <w:start w:val="0"/>
      <w:numFmt w:val="bullet"/>
      <w:lvlText w:val="•"/>
      <w:lvlJc w:val="left"/>
      <w:pPr>
        <w:ind w:left="2422" w:hanging="423"/>
      </w:pPr>
      <w:rPr>
        <w:rFonts w:hint="default"/>
      </w:rPr>
    </w:lvl>
    <w:lvl w:ilvl="7">
      <w:start w:val="0"/>
      <w:numFmt w:val="bullet"/>
      <w:lvlText w:val="•"/>
      <w:lvlJc w:val="left"/>
      <w:pPr>
        <w:ind w:left="2569" w:hanging="423"/>
      </w:pPr>
      <w:rPr>
        <w:rFonts w:hint="default"/>
      </w:rPr>
    </w:lvl>
    <w:lvl w:ilvl="8">
      <w:start w:val="0"/>
      <w:numFmt w:val="bullet"/>
      <w:lvlText w:val="•"/>
      <w:lvlJc w:val="left"/>
      <w:pPr>
        <w:ind w:left="2716" w:hanging="423"/>
      </w:pPr>
      <w:rPr>
        <w:rFonts w:hint="default"/>
      </w:rPr>
    </w:lvl>
  </w:abstractNum>
  <w:abstractNum w:abstractNumId="0">
    <w:multiLevelType w:val="hybridMultilevel"/>
    <w:lvl w:ilvl="0">
      <w:start w:val="0"/>
      <w:numFmt w:val="bullet"/>
      <w:lvlText w:val=""/>
      <w:lvlJc w:val="left"/>
      <w:pPr>
        <w:ind w:left="1191" w:hanging="420"/>
      </w:pPr>
      <w:rPr>
        <w:rFonts w:hint="default" w:ascii="Wingdings" w:hAnsi="Wingdings" w:eastAsia="Wingdings" w:cs="Wingdings"/>
        <w:w w:val="100"/>
        <w:sz w:val="21"/>
        <w:szCs w:val="21"/>
      </w:rPr>
    </w:lvl>
    <w:lvl w:ilvl="1">
      <w:start w:val="0"/>
      <w:numFmt w:val="bullet"/>
      <w:lvlText w:val="•"/>
      <w:lvlJc w:val="left"/>
      <w:pPr>
        <w:ind w:left="2098" w:hanging="420"/>
      </w:pPr>
      <w:rPr>
        <w:rFonts w:hint="default"/>
      </w:rPr>
    </w:lvl>
    <w:lvl w:ilvl="2">
      <w:start w:val="0"/>
      <w:numFmt w:val="bullet"/>
      <w:lvlText w:val="•"/>
      <w:lvlJc w:val="left"/>
      <w:pPr>
        <w:ind w:left="2997" w:hanging="420"/>
      </w:pPr>
      <w:rPr>
        <w:rFonts w:hint="default"/>
      </w:rPr>
    </w:lvl>
    <w:lvl w:ilvl="3">
      <w:start w:val="0"/>
      <w:numFmt w:val="bullet"/>
      <w:lvlText w:val="•"/>
      <w:lvlJc w:val="left"/>
      <w:pPr>
        <w:ind w:left="3895" w:hanging="420"/>
      </w:pPr>
      <w:rPr>
        <w:rFonts w:hint="default"/>
      </w:rPr>
    </w:lvl>
    <w:lvl w:ilvl="4">
      <w:start w:val="0"/>
      <w:numFmt w:val="bullet"/>
      <w:lvlText w:val="•"/>
      <w:lvlJc w:val="left"/>
      <w:pPr>
        <w:ind w:left="4794" w:hanging="420"/>
      </w:pPr>
      <w:rPr>
        <w:rFonts w:hint="default"/>
      </w:rPr>
    </w:lvl>
    <w:lvl w:ilvl="5">
      <w:start w:val="0"/>
      <w:numFmt w:val="bullet"/>
      <w:lvlText w:val="•"/>
      <w:lvlJc w:val="left"/>
      <w:pPr>
        <w:ind w:left="5693" w:hanging="420"/>
      </w:pPr>
      <w:rPr>
        <w:rFonts w:hint="default"/>
      </w:rPr>
    </w:lvl>
    <w:lvl w:ilvl="6">
      <w:start w:val="0"/>
      <w:numFmt w:val="bullet"/>
      <w:lvlText w:val="•"/>
      <w:lvlJc w:val="left"/>
      <w:pPr>
        <w:ind w:left="6591" w:hanging="420"/>
      </w:pPr>
      <w:rPr>
        <w:rFonts w:hint="default"/>
      </w:rPr>
    </w:lvl>
    <w:lvl w:ilvl="7">
      <w:start w:val="0"/>
      <w:numFmt w:val="bullet"/>
      <w:lvlText w:val="•"/>
      <w:lvlJc w:val="left"/>
      <w:pPr>
        <w:ind w:left="7490" w:hanging="420"/>
      </w:pPr>
      <w:rPr>
        <w:rFonts w:hint="default"/>
      </w:rPr>
    </w:lvl>
    <w:lvl w:ilvl="8">
      <w:start w:val="0"/>
      <w:numFmt w:val="bullet"/>
      <w:lvlText w:val="•"/>
      <w:lvlJc w:val="left"/>
      <w:pPr>
        <w:ind w:left="8389"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1"/>
      <w:ind w:left="756" w:hanging="593"/>
      <w:outlineLvl w:val="2"/>
    </w:pPr>
    <w:rPr>
      <w:rFonts w:ascii="等线" w:hAnsi="等线" w:eastAsia="等线" w:cs="等线"/>
      <w:b/>
      <w:bCs/>
      <w:sz w:val="24"/>
      <w:szCs w:val="24"/>
    </w:rPr>
  </w:style>
  <w:style w:styleId="Heading3" w:type="paragraph">
    <w:name w:val="Heading 3"/>
    <w:basedOn w:val="Normal"/>
    <w:uiPriority w:val="1"/>
    <w:qFormat/>
    <w:pPr>
      <w:ind w:left="24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756" w:hanging="420"/>
    </w:pPr>
    <w:rPr>
      <w:rFonts w:ascii="宋体" w:hAnsi="宋体" w:eastAsia="宋体" w:cs="宋体"/>
    </w:rPr>
  </w:style>
  <w:style w:styleId="TableParagraph" w:type="paragraph">
    <w:name w:val="Table Paragraph"/>
    <w:basedOn w:val="Normal"/>
    <w:uiPriority w:val="1"/>
    <w:qFormat/>
    <w:pPr>
      <w:ind w:left="9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2018-10-20T04:47:53Z</dcterms:created>
  <dcterms:modified xsi:type="dcterms:W3CDTF">2018-10-20T04:47:53Z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2017-10-30T00:00:00Z</vt:filetime>
  </property>
  <property fmtid="{D5CDD505-2E9C-101B-9397-08002B2CF9AE}" pid="3" name="Creator">
    <vt:lpwstr>Acrobat PDFMaker 11 Word 版</vt:lpwstr>
  </property>
  <property fmtid="{D5CDD505-2E9C-101B-9397-08002B2CF9AE}" pid="4" name="LastSaved">
    <vt:filetime>2018-10-19T00:00:00Z</vt:filetime>
  </property>
</Properties>
</file>