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7"/>
        <w:ind w:left="244" w:right="0" w:firstLine="0"/>
        <w:jc w:val="left"/>
        <w:rPr>
          <w:sz w:val="24"/>
        </w:rPr>
      </w:pPr>
      <w:r>
        <w:rPr>
          <w:spacing w:val="-25"/>
          <w:sz w:val="24"/>
        </w:rPr>
        <w:t>附件 </w:t>
      </w:r>
      <w:r>
        <w:rPr>
          <w:sz w:val="24"/>
        </w:rPr>
        <w:t>3-2</w:t>
      </w:r>
    </w:p>
    <w:p>
      <w:pPr>
        <w:pStyle w:val="BodyText"/>
        <w:spacing w:before="18"/>
        <w:ind w:left="5475"/>
        <w:rPr>
          <w:rFonts w:ascii="仿宋" w:eastAsia="仿宋" w:hint="eastAsia"/>
        </w:rPr>
      </w:pPr>
      <w:r>
        <w:rPr/>
        <w:br w:type="column"/>
      </w:r>
      <w:r>
        <w:rPr>
          <w:rFonts w:ascii="仿宋" w:eastAsia="仿宋" w:hint="eastAsia"/>
        </w:rPr>
        <w:t>长城人寿[2011]疾病保险 034 号</w:t>
      </w:r>
    </w:p>
    <w:p>
      <w:pPr>
        <w:pStyle w:val="BodyText"/>
        <w:rPr>
          <w:rFonts w:ascii="仿宋"/>
          <w:sz w:val="20"/>
        </w:rPr>
      </w:pPr>
    </w:p>
    <w:p>
      <w:pPr>
        <w:pStyle w:val="BodyText"/>
        <w:spacing w:before="8"/>
        <w:rPr>
          <w:rFonts w:ascii="仿宋"/>
          <w:sz w:val="19"/>
        </w:rPr>
      </w:pPr>
    </w:p>
    <w:p>
      <w:pPr>
        <w:spacing w:before="0"/>
        <w:ind w:left="244" w:right="0" w:firstLine="0"/>
        <w:jc w:val="left"/>
        <w:rPr>
          <w:rFonts w:ascii="微软雅黑" w:eastAsia="微软雅黑" w:hint="eastAsia"/>
          <w:b/>
          <w:sz w:val="32"/>
        </w:rPr>
      </w:pPr>
      <w:r>
        <w:rPr/>
        <w:drawing>
          <wp:anchor distT="0" distB="0" distL="0" distR="0" allowOverlap="1" layoutInCell="1" locked="0" behindDoc="0" simplePos="0" relativeHeight="1048">
            <wp:simplePos x="0" y="0"/>
            <wp:positionH relativeFrom="page">
              <wp:posOffset>6033770</wp:posOffset>
            </wp:positionH>
            <wp:positionV relativeFrom="paragraph">
              <wp:posOffset>-262301</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rFonts w:ascii="微软雅黑" w:eastAsia="微软雅黑" w:hint="eastAsia"/>
          <w:b/>
          <w:sz w:val="32"/>
        </w:rPr>
        <w:t>长城附加金鸿利保险费豁免重大疾病保险条款</w:t>
      </w:r>
    </w:p>
    <w:p>
      <w:pPr>
        <w:spacing w:after="0"/>
        <w:jc w:val="left"/>
        <w:rPr>
          <w:rFonts w:ascii="微软雅黑" w:eastAsia="微软雅黑" w:hint="eastAsia"/>
          <w:sz w:val="32"/>
        </w:rPr>
        <w:sectPr>
          <w:footerReference w:type="default" r:id="rId5"/>
          <w:type w:val="continuous"/>
          <w:pgSz w:w="11910" w:h="16840"/>
          <w:pgMar w:footer="995" w:top="620" w:bottom="1180" w:left="1060" w:right="760"/>
          <w:pgNumType w:start="1"/>
          <w:cols w:num="2" w:equalWidth="0">
            <w:col w:w="1132" w:space="427"/>
            <w:col w:w="8531"/>
          </w:cols>
        </w:sectPr>
      </w:pPr>
    </w:p>
    <w:p>
      <w:pPr>
        <w:spacing w:line="504"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4"/>
        <w:rPr>
          <w:rFonts w:ascii="微软雅黑"/>
          <w:b/>
          <w:sz w:val="12"/>
        </w:rPr>
      </w:pPr>
      <w:r>
        <w:rPr/>
        <w:br w:type="column"/>
      </w:r>
      <w:r>
        <w:rPr>
          <w:rFonts w:ascii="微软雅黑"/>
          <w:b/>
          <w:sz w:val="12"/>
        </w:rPr>
      </w:r>
    </w:p>
    <w:p>
      <w:pPr>
        <w:pStyle w:val="BodyText"/>
        <w:spacing w:before="1"/>
        <w:ind w:left="1877"/>
        <w:rPr>
          <w:rFonts w:ascii="仿宋" w:eastAsia="仿宋" w:hint="eastAsia"/>
        </w:rPr>
      </w:pPr>
      <w:r>
        <w:rPr>
          <w:rFonts w:ascii="仿宋" w:eastAsia="仿宋" w:hint="eastAsia"/>
        </w:rPr>
        <w:t>请扫描以查询验证条款</w:t>
      </w:r>
    </w:p>
    <w:p>
      <w:pPr>
        <w:spacing w:after="0"/>
        <w:rPr>
          <w:rFonts w:ascii="仿宋" w:eastAsia="仿宋" w:hint="eastAsia"/>
        </w:rPr>
        <w:sectPr>
          <w:type w:val="continuous"/>
          <w:pgSz w:w="11910" w:h="16840"/>
          <w:pgMar w:top="620" w:bottom="1180" w:left="1060" w:right="760"/>
          <w:cols w:num="2" w:equalWidth="0">
            <w:col w:w="5889" w:space="40"/>
            <w:col w:w="4161"/>
          </w:cols>
        </w:sectPr>
      </w:pPr>
    </w:p>
    <w:p>
      <w:pPr>
        <w:pStyle w:val="BodyText"/>
        <w:spacing w:before="3"/>
        <w:rPr>
          <w:rFonts w:ascii="仿宋"/>
          <w:sz w:val="14"/>
        </w:rPr>
      </w:pPr>
    </w:p>
    <w:p>
      <w:pPr>
        <w:pStyle w:val="BodyText"/>
        <w:spacing w:before="36"/>
        <w:ind w:left="1646" w:right="1714"/>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BodyText"/>
        <w:spacing w:before="5"/>
        <w:rPr>
          <w:sz w:val="30"/>
        </w:rPr>
      </w:pPr>
    </w:p>
    <w:p>
      <w:pPr>
        <w:spacing w:before="0"/>
        <w:ind w:left="244" w:right="0" w:firstLine="0"/>
        <w:jc w:val="left"/>
        <w:rPr>
          <w:b/>
          <w:sz w:val="21"/>
        </w:rPr>
      </w:pPr>
      <w:r>
        <w:rPr/>
        <w:pict>
          <v:group style="position:absolute;margin-left:58.32pt;margin-top:-2.25635pt;width:490.15pt;height:575.450pt;mso-position-horizontal-relative:page;mso-position-vertical-relative:paragraph;z-index:-32752" coordorigin="1166,-45" coordsize="9803,11509">
            <v:shape style="position:absolute;left:10778;top:5571;width:10;height:308" coordorigin="10778,5571" coordsize="10,308" path="m10788,5840l10778,5840,10778,5859,10778,5878,10788,5878,10788,5859,10788,5840m10788,5821l10778,5821,10778,5840,10788,5840,10788,5821m10788,5802l10778,5802,10778,5821,10788,5821,10788,5802m10788,5763l10778,5763,10778,5782,10778,5802,10788,5802,10788,5782,10788,5763m10788,5744l10778,5744,10778,5763,10788,5763,10788,5744m10788,5706l10778,5706,10778,5725,10778,5744,10788,5744,10788,5725,10788,5706m10788,5686l10778,5686,10778,5706,10788,5706,10788,5686m10788,5667l10778,5667,10778,5686,10788,5686,10788,5667m10788,5629l10778,5629,10778,5648,10778,5667,10788,5667,10788,5648,10788,5629m10788,5610l10778,5610,10778,5629,10788,5629,10788,5610m10788,5590l10778,5590,10778,5610,10788,5610,10788,5590m10788,5571l10778,5571,10778,5590,10788,5590,10788,5571e" filled="true" fillcolor="#000000" stroked="false">
              <v:path arrowok="t"/>
              <v:fill type="solid"/>
            </v:shape>
            <v:shape style="position:absolute;left:10778;top:5883;width:10;height:308" coordorigin="10778,5883" coordsize="10,308" path="m10788,6152l10778,6152,10778,6171,10778,6190,10788,6190,10788,6171,10788,6152m10788,6133l10778,6133,10778,6152,10788,6152,10788,6133m10788,6094l10778,6094,10778,6114,10778,6133,10788,6133,10788,6114,10788,6094m10788,6075l10778,6075,10778,6094,10788,6094,10788,6075m10788,6056l10778,6056,10778,6075,10788,6075,10788,6056m10788,6018l10778,6018,10778,6037,10778,6056,10788,6056,10788,6037,10788,6018m10788,5998l10778,5998,10778,6018,10788,6018,10788,5998m10788,5960l10778,5960,10778,5979,10778,5998,10788,5998,10788,5979,10788,5960m10788,5941l10778,5941,10778,5960,10788,5960,10788,5941m10788,5922l10778,5922,10778,5941,10788,5941,10788,5922m10788,5883l10778,5883,10778,5902,10778,5922,10788,5922,10788,5902,10788,5883e" filled="true" fillcolor="#000000" stroked="false">
              <v:path arrowok="t"/>
              <v:fill type="solid"/>
            </v:shape>
            <v:shape style="position:absolute;left:10778;top:6195;width:10;height:620" coordorigin="10778,6195" coordsize="10,620" path="m10788,6757l10778,6757,10778,6776,10778,6795,10778,6814,10788,6814,10788,6795,10788,6776,10788,6757m10788,6738l10778,6738,10778,6757,10788,6757,10788,6738m10788,6718l10778,6718,10778,6738,10788,6738,10788,6718m10788,6680l10778,6680,10778,6699,10778,6718,10788,6718,10788,6699,10788,6680m10788,6661l10778,6661,10778,6680,10788,6680,10788,6661m10788,6642l10778,6642,10778,6661,10788,6661,10788,6642m10788,6603l10778,6603,10778,6622,10778,6642,10788,6642,10788,6622,10788,6603m10788,6584l10778,6584,10778,6603,10788,6603,10788,6584m10788,6546l10778,6546,10778,6565,10778,6584,10788,6584,10788,6565,10788,6546m10788,6526l10778,6526,10778,6546,10788,6546,10788,6526m10788,6507l10778,6507,10778,6526,10788,6526,10788,6507m10788,6483l10778,6483,10778,6502,10778,6507,10788,6507,10788,6502,10788,6483m10788,6464l10778,6464,10778,6483,10788,6483,10788,6464m10788,6426l10778,6426,10778,6445,10778,6464,10788,6464,10788,6445,10788,6426m10788,6406l10778,6406,10778,6426,10788,6426,10788,6406m10788,6387l10778,6387,10778,6406,10788,6406,10788,6387m10788,6349l10778,6349,10778,6368,10778,6387,10788,6387,10788,6368,10788,6349m10788,6330l10778,6330,10778,6349,10788,6349,10788,6330m10788,6310l10778,6310,10778,6330,10788,6330,10788,6310m10788,6272l10778,6272,10778,6291,10778,6310,10788,6310,10788,6291,10788,6272m10788,6253l10778,6253,10778,6272,10788,6272,10788,6253m10788,6214l10778,6214,10778,6234,10778,6253,10788,6253,10788,6234,10788,6214m10788,6195l10778,6195,10778,6214,10788,6214,10788,6195e" filled="true" fillcolor="#000000" stroked="false">
              <v:path arrowok="t"/>
              <v:fill type="solid"/>
            </v:shape>
            <v:shape style="position:absolute;left:10778;top:6819;width:10;height:308" coordorigin="10778,6819" coordsize="10,308" path="m10788,7088l10778,7088,10778,7107,10778,7126,10788,7126,10788,7107,10788,7088m10788,7030l10778,7030,10778,7050,10778,7069,10778,7088,10788,7088,10788,7069,10788,7050,10788,7030m10788,6973l10778,6973,10778,6992,10778,7011,10778,7030,10788,7030,10788,7011,10788,6992,10788,6973m10788,6934l10778,6934,10778,6954,10778,6973,10788,6973,10788,6954,10788,6934m10788,6877l10778,6877,10778,6896,10778,6915,10778,6934,10788,6934,10788,6915,10788,6896,10788,6877m10788,6819l10778,6819,10778,6838,10778,6858,10778,6877,10788,6877,10788,6858,10788,6838,10788,6819e" filled="true" fillcolor="#000000" stroked="false">
              <v:path arrowok="t"/>
              <v:fill type="solid"/>
            </v:shape>
            <v:shape style="position:absolute;left:10778;top:7131;width:10;height:620" coordorigin="10778,7131" coordsize="10,620" path="m10788,7693l10778,7693,10778,7712,10778,7731,10778,7750,10788,7750,10788,7731,10788,7712,10788,7693m10788,7654l10778,7654,10778,7674,10778,7693,10788,7693,10788,7674,10788,7654m10788,7597l10778,7597,10778,7616,10778,7635,10778,7654,10788,7654,10788,7635,10788,7616,10788,7597m10788,7539l10778,7539,10778,7558,10778,7578,10778,7597,10788,7597,10788,7578,10788,7558,10788,7539m10788,7482l10778,7482,10778,7501,10778,7520,10778,7539,10788,7539,10788,7520,10788,7501,10788,7482m10788,7443l10778,7443,10778,7462,10778,7482,10788,7482,10788,7462,10788,7443m10788,7419l10778,7419,10778,7438,10778,7443,10788,7443,10788,7438,10788,7419m10788,7362l10778,7362,10778,7381,10778,7400,10778,7419,10788,7419,10788,7400,10788,7381,10788,7362m10788,7323l10778,7323,10778,7342,10778,7362,10788,7362,10788,7342,10788,7323m10788,7266l10778,7266,10778,7285,10778,7304,10778,7323,10788,7323,10788,7304,10788,7285,10788,7266m10788,7208l10778,7208,10778,7227,10778,7246,10778,7266,10788,7266,10788,7246,10788,7227,10788,7208m10788,7150l10778,7150,10778,7170,10778,7189,10778,7208,10788,7208,10788,7189,10788,7170,10788,7150m10788,7131l10778,7131,10778,7150,10788,7150,10788,7131e" filled="true" fillcolor="#000000" stroked="false">
              <v:path arrowok="t"/>
              <v:fill type="solid"/>
            </v:shape>
            <v:shape style="position:absolute;left:10778;top:7755;width:10;height:308" coordorigin="10778,7755" coordsize="10,308" path="m10788,8043l10778,8043,10778,8062,10788,8062,10788,8043m10788,7986l10778,7986,10778,8005,10778,8024,10778,8043,10788,8043,10788,8024,10788,8005,10788,7986m10788,7928l10778,7928,10778,7947,10778,7966,10778,7986,10788,7986,10788,7966,10788,7947,10788,7928m10788,7870l10778,7870,10778,7890,10778,7909,10778,7928,10788,7928,10788,7909,10788,7890,10788,7870m10788,7813l10778,7813,10778,7832,10778,7851,10778,7870,10788,7870,10788,7851,10788,7832,10788,7813m10788,7774l10778,7774,10778,7794,10778,7813,10788,7813,10788,7794,10788,7774m10788,7755l10778,7755,10778,7774,10788,7774,10788,7755e" filled="true" fillcolor="#000000" stroked="false">
              <v:path arrowok="t"/>
              <v:fill type="solid"/>
            </v:shape>
            <v:shape style="position:absolute;left:10778;top:8067;width:10;height:308" coordorigin="10778,8067" coordsize="10,308" path="m10788,8317l10778,8317,10778,8336,10778,8355,10778,8374,10788,8374,10788,8355,10788,8336,10788,8317m10788,8259l10778,8259,10778,8278,10778,8298,10778,8317,10788,8317,10788,8298,10788,8278,10788,8259m10788,8202l10778,8202,10778,8221,10778,8240,10778,8259,10788,8259,10788,8240,10788,8221,10788,8202m10788,8163l10778,8163,10778,8182,10778,8202,10788,8202,10788,8182,10788,8163m10788,8106l10778,8106,10778,8125,10778,8144,10778,8163,10788,8163,10788,8144,10788,8125,10788,8106m10788,8067l10778,8067,10778,8086,10778,8106,10788,8106,10788,8086,10788,8067e" filled="true" fillcolor="#000000" stroked="false">
              <v:path arrowok="t"/>
              <v:fill type="solid"/>
            </v:shape>
            <v:shape style="position:absolute;left:10778;top:8379;width:10;height:308" coordorigin="10778,8379" coordsize="10,308" path="m10788,8648l10778,8648,10778,8667,10778,8686,10788,8686,10788,8667,10788,8648m10788,8590l10778,8590,10778,8610,10778,8629,10778,8648,10788,8648,10788,8629,10788,8610,10788,8590m10788,8533l10778,8533,10778,8552,10778,8571,10778,8590,10788,8590,10788,8571,10788,8552,10788,8533m10788,8494l10778,8494,10778,8514,10778,8533,10788,8533,10788,8514,10788,8494m10788,8437l10778,8437,10778,8456,10778,8475,10778,8494,10788,8494,10788,8475,10788,8456,10788,8437m10788,8379l10778,8379,10778,8398,10778,8418,10778,8437,10788,8437,10788,8418,10788,8398,10788,8379e" filled="true" fillcolor="#000000" stroked="false">
              <v:path arrowok="t"/>
              <v:fill type="solid"/>
            </v:shape>
            <v:shape style="position:absolute;left:10778;top:8691;width:10;height:620" coordorigin="10778,8691" coordsize="10,620" path="m10788,9253l10778,9253,10778,9272,10778,9291,10778,9310,10788,9310,10788,9291,10788,9272,10788,9253m10788,9214l10778,9214,10778,9234,10778,9253,10788,9253,10788,9234,10788,9214m10788,9157l10778,9157,10778,9176,10778,9195,10778,9214,10788,9214,10788,9195,10788,9176,10788,9157m10788,9099l10778,9099,10778,9118,10778,9138,10778,9157,10788,9157,10788,9138,10788,9118,10788,9099m10788,9042l10778,9042,10778,9061,10778,9080,10778,9099,10788,9099,10788,9080,10788,9061,10788,9042m10788,9003l10778,9003,10778,9022,10778,9042,10788,9042,10788,9022,10788,9003m10788,8979l10778,8979,10778,8998,10778,9003,10788,9003,10788,8998,10788,8979m10788,8922l10778,8922,10778,8941,10778,8960,10778,8979,10788,8979,10788,8960,10788,8941,10788,8922m10788,8883l10778,8883,10778,8902,10778,8922,10788,8922,10788,8902,10788,8883m10788,8826l10778,8826,10778,8845,10778,8864,10778,8883,10788,8883,10788,8864,10788,8845,10788,8826m10788,8768l10778,8768,10778,8787,10778,8806,10778,8826,10788,8826,10788,8806,10788,8787,10788,8768m10788,8710l10778,8710,10778,8730,10778,8749,10778,8768,10788,8768,10788,8749,10788,8730,10788,8710m10788,8691l10778,8691,10778,8710,10788,8710,10788,8691e" filled="true" fillcolor="#000000" stroked="false">
              <v:path arrowok="t"/>
              <v:fill type="solid"/>
            </v:shape>
            <v:shape style="position:absolute;left:10778;top:9315;width:10;height:308" coordorigin="10778,9315" coordsize="10,308" path="m10788,9603l10778,9603,10778,9622,10788,9622,10788,9603m10788,9546l10778,9546,10778,9565,10778,9584,10778,9603,10788,9603,10788,9584,10788,9565,10788,9546m10788,9488l10778,9488,10778,9507,10778,9526,10778,9546,10788,9546,10788,9526,10788,9507,10788,9488m10788,9430l10778,9430,10778,9450,10778,9469,10778,9488,10788,9488,10788,9469,10788,9450,10788,9430m10788,9373l10778,9373,10778,9392,10778,9411,10778,9430,10788,9430,10788,9411,10788,9392,10788,9373m10788,9334l10778,9334,10778,9354,10778,9373,10788,9373,10788,9354,10788,9334m10788,9315l10778,9315,10778,9334,10788,9334,10788,9315e" filled="true" fillcolor="#000000" stroked="false">
              <v:path arrowok="t"/>
              <v:fill type="solid"/>
            </v:shape>
            <v:shape style="position:absolute;left:10778;top:9627;width:10;height:308" coordorigin="10778,9627" coordsize="10,308" path="m10788,9877l10778,9877,10778,9896,10778,9915,10778,9934,10788,9934,10788,9915,10788,9896,10788,9877m10788,9819l10778,9819,10778,9838,10778,9858,10778,9877,10788,9877,10788,9858,10788,9838,10788,9819m10788,9762l10778,9762,10778,9781,10778,9800,10778,9819,10788,9819,10788,9800,10788,9781,10788,9762m10788,9723l10778,9723,10778,9742,10778,9762,10788,9762,10788,9742,10788,9723m10788,9666l10778,9666,10778,9685,10778,9704,10778,9723,10788,9723,10788,9704,10788,9685,10788,9666m10788,9627l10778,9627,10778,9646,10778,9666,10788,9666,10788,9646,10788,9627e" filled="true" fillcolor="#000000" stroked="false">
              <v:path arrowok="t"/>
              <v:fill type="solid"/>
            </v:shape>
            <v:shape style="position:absolute;left:10778;top:9939;width:10;height:308" coordorigin="10778,9939" coordsize="10,308" path="m10788,10208l10778,10208,10778,10227,10778,10246,10788,10246,10788,10227,10788,10208m10788,10150l10778,10150,10778,10170,10778,10189,10778,10208,10788,10208,10788,10189,10788,10170,10788,10150m10788,10093l10778,10093,10778,10112,10778,10131,10778,10150,10788,10150,10788,10131,10788,10112,10788,10093m10788,10054l10778,10054,10778,10074,10778,10093,10788,10093,10788,10074,10788,10054m10788,9997l10778,9997,10778,10016,10778,10035,10778,10054,10788,10054,10788,10035,10788,10016,10788,9997m10788,9939l10778,9939,10778,9958,10778,9978,10778,9997,10788,9997,10788,9978,10788,9958,10788,9939e" filled="true" fillcolor="#000000" stroked="false">
              <v:path arrowok="t"/>
              <v:fill type="solid"/>
            </v:shape>
            <v:shape style="position:absolute;left:10778;top:10251;width:10;height:308" coordorigin="10778,10251" coordsize="10,308" path="m10788,10539l10778,10539,10778,10559,10788,10559,10788,10539m10788,10482l10778,10482,10778,10501,10778,10520,10778,10539,10788,10539,10788,10520,10788,10501,10788,10482m10788,10443l10778,10443,10778,10462,10778,10482,10788,10482,10788,10462,10788,10443m10788,10386l10778,10386,10778,10405,10778,10424,10778,10443,10788,10443,10788,10424,10788,10405,10788,10386m10788,10328l10778,10328,10778,10347,10778,10366,10778,10386,10788,10386,10788,10366,10788,10347,10788,10328m10788,10270l10778,10270,10778,10290,10778,10309,10778,10328,10788,10328,10788,10309,10788,10290,10788,10270m10788,10251l10778,10251,10778,10270,10788,10270,10788,10251e" filled="true" fillcolor="#000000" stroked="false">
              <v:path arrowok="t"/>
              <v:fill type="solid"/>
            </v:shape>
            <v:shape style="position:absolute;left:10778;top:10563;width:10;height:626" coordorigin="10778,10564" coordsize="10,626" path="m10788,11183l10778,11183,10778,11189,10788,11189,10788,11183m10788,11144l10778,11144,10778,11164,10778,11183,10788,11183,10788,11164,10788,11144m10788,11087l10778,11087,10778,11106,10778,11125,10778,11144,10788,11144,10788,11125,10788,11106,10788,11087m10788,11029l10778,11029,10778,11048,10778,11068,10778,11087,10788,11087,10788,11068,10788,11048,10788,11029m10788,10972l10778,10972,10778,10991,10778,11010,10778,11029,10788,11029,10788,11010,10788,10991,10788,10972m10788,10933l10778,10933,10778,10952,10778,10972,10788,10972,10788,10952,10788,10933m10788,10876l10778,10876,10778,10895,10778,10914,10778,10933,10788,10933,10788,10914,10788,10895,10788,10876m10788,10852l10778,10852,10778,10871,10778,10876,10788,10876,10788,10871,10788,10852m10788,10813l10778,10813,10778,10832,10778,10852,10788,10852,10788,10832,10788,10813m10788,10756l10778,10756,10778,10775,10778,10794,10778,10813,10788,10813,10788,10794,10788,10775,10788,10756m10788,10698l10778,10698,10778,10717,10778,10736,10778,10736,10778,10756,10788,10756,10788,10736,10788,10736,10788,10717,10788,10698m10788,10640l10778,10640,10778,10660,10778,10679,10778,10698,10788,10698,10788,10679,10788,10660,10788,10640m10788,10583l10778,10583,10778,10602,10778,10621,10778,10640,10788,10640,10788,10621,10788,10602,10788,10583m10788,10564l10778,10564,10778,10583,10788,10583,10788,10564e" filled="true" fillcolor="#000000" stroked="false">
              <v:path arrowok="t"/>
              <v:fill type="solid"/>
            </v:shape>
            <v:shape style="position:absolute;left:1356;top:11188;width:9432;height:10" type="#_x0000_t75" stroked="false">
              <v:imagedata r:id="rId7" o:title=""/>
            </v:shape>
            <v:rect style="position:absolute;left:10778;top:11188;width:10;height:10" filled="true" fillcolor="#000000" stroked="false">
              <v:fill type="solid"/>
            </v:rect>
            <v:shape style="position:absolute;left:1166;top:-46;width:9803;height:11509" type="#_x0000_t75" stroked="false">
              <v:imagedata r:id="rId8" o:title=""/>
            </v:shape>
            <w10:wrap type="none"/>
          </v:group>
        </w:pict>
      </w:r>
      <w:r>
        <w:rPr>
          <w:rFonts w:ascii="Wingdings" w:hAnsi="Wingdings" w:eastAsia="Wingdings"/>
          <w:b/>
          <w:sz w:val="21"/>
        </w:rPr>
        <w:t></w:t>
      </w:r>
      <w:r>
        <w:rPr>
          <w:rFonts w:ascii="Times New Roman" w:hAnsi="Times New Roman" w:eastAsia="Times New Roman"/>
          <w:b/>
          <w:spacing w:val="50"/>
          <w:sz w:val="21"/>
        </w:rPr>
        <w:t> </w:t>
      </w:r>
      <w:r>
        <w:rPr>
          <w:b/>
          <w:sz w:val="21"/>
        </w:rPr>
        <w:t>您拥有的重要权益</w:t>
      </w:r>
    </w:p>
    <w:p>
      <w:pPr>
        <w:pStyle w:val="ListParagraph"/>
        <w:numPr>
          <w:ilvl w:val="0"/>
          <w:numId w:val="1"/>
        </w:numPr>
        <w:tabs>
          <w:tab w:pos="1087" w:val="left" w:leader="none"/>
          <w:tab w:pos="1088" w:val="left" w:leader="none"/>
          <w:tab w:pos="9486" w:val="right" w:leader="dot"/>
        </w:tabs>
        <w:spacing w:line="240" w:lineRule="auto" w:before="84" w:after="0"/>
        <w:ind w:left="1087" w:right="0" w:hanging="420"/>
        <w:jc w:val="left"/>
        <w:rPr>
          <w:sz w:val="21"/>
        </w:rPr>
      </w:pPr>
      <w:r>
        <w:rPr>
          <w:sz w:val="21"/>
        </w:rPr>
        <w:t>收到保险单后</w:t>
      </w:r>
      <w:r>
        <w:rPr>
          <w:spacing w:val="-54"/>
          <w:sz w:val="21"/>
        </w:rPr>
        <w:t> </w:t>
      </w:r>
      <w:r>
        <w:rPr>
          <w:sz w:val="21"/>
        </w:rPr>
        <w:t>10</w:t>
      </w:r>
      <w:r>
        <w:rPr>
          <w:spacing w:val="-53"/>
          <w:sz w:val="21"/>
        </w:rPr>
        <w:t> </w:t>
      </w:r>
      <w:r>
        <w:rPr>
          <w:sz w:val="21"/>
        </w:rPr>
        <w:t>日内您可以要求退还全部保险费</w:t>
        <w:tab/>
        <w:t>1.5</w:t>
      </w:r>
    </w:p>
    <w:p>
      <w:pPr>
        <w:pStyle w:val="ListParagraph"/>
        <w:numPr>
          <w:ilvl w:val="0"/>
          <w:numId w:val="1"/>
        </w:numPr>
        <w:tabs>
          <w:tab w:pos="1087" w:val="left" w:leader="none"/>
          <w:tab w:pos="1088" w:val="left" w:leader="none"/>
          <w:tab w:pos="9486" w:val="right" w:leader="dot"/>
        </w:tabs>
        <w:spacing w:line="240" w:lineRule="auto" w:before="84" w:after="0"/>
        <w:ind w:left="1087" w:right="0" w:hanging="420"/>
        <w:jc w:val="left"/>
        <w:rPr>
          <w:sz w:val="21"/>
        </w:rPr>
      </w:pPr>
      <w:r>
        <w:rPr>
          <w:sz w:val="21"/>
        </w:rPr>
        <w:t>被保险人可以享受本附加险合同提供的保障</w:t>
        <w:tab/>
        <w:t>2.1</w:t>
      </w:r>
    </w:p>
    <w:p>
      <w:pPr>
        <w:pStyle w:val="ListParagraph"/>
        <w:numPr>
          <w:ilvl w:val="0"/>
          <w:numId w:val="1"/>
        </w:numPr>
        <w:tabs>
          <w:tab w:pos="1087" w:val="left" w:leader="none"/>
          <w:tab w:pos="1088" w:val="left" w:leader="none"/>
          <w:tab w:pos="9485" w:val="right" w:leader="dot"/>
        </w:tabs>
        <w:spacing w:line="240" w:lineRule="auto" w:before="83" w:after="0"/>
        <w:ind w:left="1087" w:right="0" w:hanging="420"/>
        <w:jc w:val="left"/>
        <w:rPr>
          <w:sz w:val="21"/>
        </w:rPr>
      </w:pPr>
      <w:r>
        <w:rPr>
          <w:sz w:val="21"/>
        </w:rPr>
        <w:t>您有退保的权利</w:t>
        <w:tab/>
        <w:t>6.1</w:t>
      </w:r>
    </w:p>
    <w:p>
      <w:pPr>
        <w:spacing w:before="84"/>
        <w:ind w:left="244" w:right="0" w:firstLine="0"/>
        <w:jc w:val="left"/>
        <w:rPr>
          <w:b/>
          <w:sz w:val="21"/>
        </w:rPr>
      </w:pPr>
      <w:r>
        <w:rPr>
          <w:rFonts w:ascii="Wingdings" w:hAnsi="Wingdings" w:eastAsia="Wingdings"/>
          <w:b/>
          <w:sz w:val="21"/>
        </w:rPr>
        <w:t></w:t>
      </w:r>
      <w:r>
        <w:rPr>
          <w:rFonts w:ascii="Times New Roman" w:hAnsi="Times New Roman" w:eastAsia="Times New Roman"/>
          <w:b/>
          <w:sz w:val="21"/>
        </w:rPr>
        <w:t> </w:t>
      </w:r>
      <w:r>
        <w:rPr>
          <w:b/>
          <w:sz w:val="21"/>
        </w:rPr>
        <w:t>您应当特别注意的事项</w:t>
      </w:r>
    </w:p>
    <w:p>
      <w:pPr>
        <w:pStyle w:val="ListParagraph"/>
        <w:numPr>
          <w:ilvl w:val="0"/>
          <w:numId w:val="1"/>
        </w:numPr>
        <w:tabs>
          <w:tab w:pos="1066" w:val="left" w:leader="none"/>
          <w:tab w:pos="1067" w:val="left" w:leader="none"/>
          <w:tab w:pos="9464" w:val="right" w:leader="dot"/>
        </w:tabs>
        <w:spacing w:line="240" w:lineRule="auto" w:before="84" w:after="0"/>
        <w:ind w:left="1066" w:right="0" w:hanging="399"/>
        <w:jc w:val="left"/>
        <w:rPr>
          <w:sz w:val="21"/>
        </w:rPr>
      </w:pPr>
      <w:r>
        <w:rPr>
          <w:sz w:val="21"/>
        </w:rPr>
        <w:t>在某些情况下，我们不承担保险责任</w:t>
        <w:tab/>
        <w:t>2.2</w:t>
      </w:r>
    </w:p>
    <w:p>
      <w:pPr>
        <w:pStyle w:val="ListParagraph"/>
        <w:numPr>
          <w:ilvl w:val="0"/>
          <w:numId w:val="1"/>
        </w:numPr>
        <w:tabs>
          <w:tab w:pos="1066" w:val="left" w:leader="none"/>
          <w:tab w:pos="1067" w:val="left" w:leader="none"/>
          <w:tab w:pos="9464" w:val="right" w:leader="dot"/>
        </w:tabs>
        <w:spacing w:line="240" w:lineRule="auto" w:before="83" w:after="0"/>
        <w:ind w:left="1066" w:right="0" w:hanging="399"/>
        <w:jc w:val="left"/>
        <w:rPr>
          <w:sz w:val="21"/>
        </w:rPr>
      </w:pPr>
      <w:r>
        <w:rPr>
          <w:sz w:val="21"/>
        </w:rPr>
        <w:t>您有及时向我们通知保险事故的责任</w:t>
        <w:tab/>
        <w:t>3.1</w:t>
      </w:r>
    </w:p>
    <w:p>
      <w:pPr>
        <w:pStyle w:val="ListParagraph"/>
        <w:numPr>
          <w:ilvl w:val="0"/>
          <w:numId w:val="1"/>
        </w:numPr>
        <w:tabs>
          <w:tab w:pos="1087" w:val="left" w:leader="none"/>
          <w:tab w:pos="1088" w:val="left" w:leader="none"/>
          <w:tab w:pos="9485" w:val="right" w:leader="dot"/>
        </w:tabs>
        <w:spacing w:line="240" w:lineRule="auto" w:before="84" w:after="0"/>
        <w:ind w:left="1087" w:right="0" w:hanging="420"/>
        <w:jc w:val="left"/>
        <w:rPr>
          <w:sz w:val="21"/>
        </w:rPr>
      </w:pPr>
      <w:r>
        <w:rPr>
          <w:sz w:val="21"/>
        </w:rPr>
        <w:t>您应当按时交纳保险费</w:t>
        <w:tab/>
        <w:t>4.1</w:t>
      </w:r>
    </w:p>
    <w:p>
      <w:pPr>
        <w:pStyle w:val="ListParagraph"/>
        <w:numPr>
          <w:ilvl w:val="0"/>
          <w:numId w:val="1"/>
        </w:numPr>
        <w:tabs>
          <w:tab w:pos="1087" w:val="left" w:leader="none"/>
          <w:tab w:pos="1088" w:val="left" w:leader="none"/>
          <w:tab w:pos="9485" w:val="right" w:leader="dot"/>
        </w:tabs>
        <w:spacing w:line="240" w:lineRule="auto" w:before="84" w:after="0"/>
        <w:ind w:left="1087" w:right="0" w:hanging="420"/>
        <w:jc w:val="left"/>
        <w:rPr>
          <w:sz w:val="21"/>
        </w:rPr>
      </w:pPr>
      <w:r>
        <w:rPr>
          <w:sz w:val="21"/>
        </w:rPr>
        <w:t>您有如实告知的义务</w:t>
        <w:tab/>
        <w:t>7.1</w:t>
      </w:r>
    </w:p>
    <w:p>
      <w:pPr>
        <w:pStyle w:val="ListParagraph"/>
        <w:numPr>
          <w:ilvl w:val="0"/>
          <w:numId w:val="1"/>
        </w:numPr>
        <w:tabs>
          <w:tab w:pos="1087" w:val="left" w:leader="none"/>
          <w:tab w:pos="1088" w:val="left" w:leader="none"/>
          <w:tab w:pos="9486" w:val="right" w:leader="dot"/>
        </w:tabs>
        <w:spacing w:line="240" w:lineRule="auto" w:before="83" w:after="0"/>
        <w:ind w:left="1087" w:right="0" w:hanging="420"/>
        <w:jc w:val="left"/>
        <w:rPr>
          <w:sz w:val="21"/>
        </w:rPr>
      </w:pPr>
      <w:r>
        <w:rPr>
          <w:sz w:val="21"/>
        </w:rPr>
        <w:t>主险合同的某些变动会导致本附加险合同效力终止</w:t>
        <w:tab/>
        <w:t>7.6</w:t>
      </w:r>
    </w:p>
    <w:p>
      <w:pPr>
        <w:pStyle w:val="ListParagraph"/>
        <w:numPr>
          <w:ilvl w:val="0"/>
          <w:numId w:val="1"/>
        </w:numPr>
        <w:tabs>
          <w:tab w:pos="1087" w:val="left" w:leader="none"/>
          <w:tab w:pos="1088" w:val="left" w:leader="none"/>
          <w:tab w:pos="9277" w:val="right" w:leader="dot"/>
        </w:tabs>
        <w:spacing w:line="240" w:lineRule="auto" w:before="84" w:after="0"/>
        <w:ind w:left="1087" w:right="0" w:hanging="420"/>
        <w:jc w:val="left"/>
        <w:rPr>
          <w:sz w:val="21"/>
        </w:rPr>
      </w:pPr>
      <w:r>
        <w:rPr>
          <w:sz w:val="21"/>
        </w:rPr>
        <w:t>我们对一些重要术语进行了解释，并作了显著标识，请您注意</w:t>
        <w:tab/>
        <w:t>8</w:t>
      </w:r>
    </w:p>
    <w:p>
      <w:pPr>
        <w:pStyle w:val="ListParagraph"/>
        <w:numPr>
          <w:ilvl w:val="0"/>
          <w:numId w:val="1"/>
        </w:numPr>
        <w:tabs>
          <w:tab w:pos="1087" w:val="left" w:leader="none"/>
          <w:tab w:pos="1088" w:val="left" w:leader="none"/>
          <w:tab w:pos="9486" w:val="right" w:leader="dot"/>
        </w:tabs>
        <w:spacing w:line="240" w:lineRule="auto" w:before="64" w:after="0"/>
        <w:ind w:left="1087" w:right="0" w:hanging="420"/>
        <w:jc w:val="left"/>
        <w:rPr>
          <w:sz w:val="21"/>
        </w:rPr>
      </w:pPr>
      <w:r>
        <w:rPr>
          <w:sz w:val="21"/>
        </w:rPr>
        <w:t>保险条款有关于重大疾病的释义，请您留意</w:t>
        <w:tab/>
        <w:t>8.3</w:t>
      </w:r>
    </w:p>
    <w:p>
      <w:pPr>
        <w:spacing w:before="95"/>
        <w:ind w:left="244" w:right="0" w:firstLine="0"/>
        <w:jc w:val="left"/>
        <w:rPr>
          <w:b/>
          <w:sz w:val="21"/>
        </w:rPr>
      </w:pPr>
      <w:r>
        <w:rPr>
          <w:rFonts w:ascii="Wingdings" w:hAnsi="Wingdings" w:eastAsia="Wingdings"/>
          <w:b/>
          <w:sz w:val="21"/>
        </w:rPr>
        <w:t></w:t>
      </w:r>
      <w:r>
        <w:rPr>
          <w:rFonts w:ascii="Times New Roman" w:hAnsi="Times New Roman" w:eastAsia="Times New Roman"/>
          <w:b/>
          <w:sz w:val="21"/>
        </w:rPr>
        <w:t> </w:t>
      </w:r>
      <w:r>
        <w:rPr>
          <w:b/>
          <w:sz w:val="21"/>
        </w:rPr>
        <w:t>条款是保险合同的重要内容，为充分保障您的权益，请您仔细阅读本条款。</w:t>
      </w:r>
    </w:p>
    <w:p>
      <w:pPr>
        <w:spacing w:before="114"/>
        <w:ind w:left="244" w:right="0" w:firstLine="0"/>
        <w:jc w:val="left"/>
        <w:rPr>
          <w:b/>
          <w:sz w:val="21"/>
        </w:rPr>
      </w:pPr>
      <w:r>
        <w:rPr>
          <w:rFonts w:ascii="Wingdings" w:hAnsi="Wingdings" w:eastAsia="Wingdings"/>
          <w:b/>
          <w:sz w:val="21"/>
        </w:rPr>
        <w:t></w:t>
      </w:r>
      <w:r>
        <w:rPr>
          <w:rFonts w:ascii="Times New Roman" w:hAnsi="Times New Roman" w:eastAsia="Times New Roman"/>
          <w:b/>
          <w:spacing w:val="50"/>
          <w:sz w:val="21"/>
        </w:rPr>
        <w:t> </w:t>
      </w:r>
      <w:r>
        <w:rPr>
          <w:b/>
          <w:sz w:val="21"/>
        </w:rPr>
        <w:t>条款目录</w:t>
      </w:r>
    </w:p>
    <w:p>
      <w:pPr>
        <w:pStyle w:val="BodyText"/>
        <w:spacing w:before="7"/>
        <w:rPr>
          <w:b/>
          <w:sz w:val="29"/>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3566"/>
        <w:gridCol w:w="3222"/>
      </w:tblGrid>
      <w:tr>
        <w:trPr>
          <w:trHeight w:val="310" w:hRule="atLeast"/>
        </w:trPr>
        <w:tc>
          <w:tcPr>
            <w:tcW w:w="2648" w:type="dxa"/>
            <w:tcBorders>
              <w:top w:val="single" w:sz="4" w:space="0" w:color="000000"/>
              <w:left w:val="single" w:sz="4" w:space="0" w:color="000000"/>
            </w:tcBorders>
          </w:tcPr>
          <w:p>
            <w:pPr>
              <w:pStyle w:val="TableParagraph"/>
              <w:spacing w:line="260" w:lineRule="exact"/>
              <w:ind w:left="107"/>
              <w:rPr>
                <w:b/>
                <w:sz w:val="21"/>
              </w:rPr>
            </w:pPr>
            <w:r>
              <w:rPr>
                <w:b/>
                <w:w w:val="95"/>
                <w:sz w:val="21"/>
              </w:rPr>
              <w:t>1．您与我们的合同</w:t>
            </w:r>
          </w:p>
        </w:tc>
        <w:tc>
          <w:tcPr>
            <w:tcW w:w="3566" w:type="dxa"/>
            <w:tcBorders>
              <w:top w:val="single" w:sz="4" w:space="0" w:color="000000"/>
            </w:tcBorders>
          </w:tcPr>
          <w:p>
            <w:pPr>
              <w:pStyle w:val="TableParagraph"/>
              <w:spacing w:line="260" w:lineRule="exact"/>
              <w:ind w:left="330"/>
              <w:rPr>
                <w:b/>
                <w:sz w:val="21"/>
              </w:rPr>
            </w:pPr>
            <w:r>
              <w:rPr>
                <w:b/>
                <w:w w:val="95"/>
                <w:sz w:val="21"/>
              </w:rPr>
              <w:t>5．现金价值权益</w:t>
            </w:r>
          </w:p>
        </w:tc>
        <w:tc>
          <w:tcPr>
            <w:tcW w:w="3222" w:type="dxa"/>
            <w:tcBorders>
              <w:top w:val="single" w:sz="4" w:space="0" w:color="000000"/>
            </w:tcBorders>
          </w:tcPr>
          <w:p>
            <w:pPr>
              <w:pStyle w:val="TableParagraph"/>
              <w:spacing w:line="260" w:lineRule="exact"/>
              <w:ind w:left="308"/>
              <w:rPr>
                <w:sz w:val="21"/>
              </w:rPr>
            </w:pPr>
            <w:r>
              <w:rPr>
                <w:sz w:val="21"/>
              </w:rPr>
              <w:t>8.5 毒品</w:t>
            </w:r>
          </w:p>
        </w:tc>
      </w:tr>
      <w:tr>
        <w:trPr>
          <w:trHeight w:val="312" w:hRule="atLeast"/>
        </w:trPr>
        <w:tc>
          <w:tcPr>
            <w:tcW w:w="2648" w:type="dxa"/>
            <w:tcBorders>
              <w:left w:val="single" w:sz="4" w:space="0" w:color="000000"/>
            </w:tcBorders>
          </w:tcPr>
          <w:p>
            <w:pPr>
              <w:pStyle w:val="TableParagraph"/>
              <w:spacing w:line="261" w:lineRule="exact"/>
              <w:ind w:left="318"/>
              <w:rPr>
                <w:sz w:val="21"/>
              </w:rPr>
            </w:pPr>
            <w:r>
              <w:rPr>
                <w:sz w:val="21"/>
              </w:rPr>
              <w:t>1.1 合同订立</w:t>
            </w:r>
          </w:p>
        </w:tc>
        <w:tc>
          <w:tcPr>
            <w:tcW w:w="3566" w:type="dxa"/>
          </w:tcPr>
          <w:p>
            <w:pPr>
              <w:pStyle w:val="TableParagraph"/>
              <w:spacing w:line="261" w:lineRule="exact"/>
              <w:ind w:left="540"/>
              <w:rPr>
                <w:sz w:val="21"/>
              </w:rPr>
            </w:pPr>
            <w:r>
              <w:rPr>
                <w:sz w:val="21"/>
              </w:rPr>
              <w:t>5.1 现金价值</w:t>
            </w:r>
          </w:p>
        </w:tc>
        <w:tc>
          <w:tcPr>
            <w:tcW w:w="3222" w:type="dxa"/>
          </w:tcPr>
          <w:p>
            <w:pPr>
              <w:pStyle w:val="TableParagraph"/>
              <w:spacing w:line="261" w:lineRule="exact"/>
              <w:ind w:left="308"/>
              <w:rPr>
                <w:sz w:val="21"/>
              </w:rPr>
            </w:pPr>
            <w:r>
              <w:rPr>
                <w:sz w:val="21"/>
              </w:rPr>
              <w:t>8.6 酒后驾驶</w:t>
            </w:r>
          </w:p>
        </w:tc>
      </w:tr>
      <w:tr>
        <w:trPr>
          <w:trHeight w:val="311" w:hRule="atLeast"/>
        </w:trPr>
        <w:tc>
          <w:tcPr>
            <w:tcW w:w="2648" w:type="dxa"/>
            <w:tcBorders>
              <w:left w:val="single" w:sz="4" w:space="0" w:color="000000"/>
            </w:tcBorders>
          </w:tcPr>
          <w:p>
            <w:pPr>
              <w:pStyle w:val="TableParagraph"/>
              <w:spacing w:line="261" w:lineRule="exact"/>
              <w:ind w:left="318"/>
              <w:rPr>
                <w:sz w:val="21"/>
              </w:rPr>
            </w:pPr>
            <w:r>
              <w:rPr>
                <w:sz w:val="21"/>
              </w:rPr>
              <w:t>1.2 合同成立与生效</w:t>
            </w:r>
          </w:p>
        </w:tc>
        <w:tc>
          <w:tcPr>
            <w:tcW w:w="3566" w:type="dxa"/>
          </w:tcPr>
          <w:p>
            <w:pPr>
              <w:pStyle w:val="TableParagraph"/>
              <w:spacing w:line="261" w:lineRule="exact"/>
              <w:ind w:left="540"/>
              <w:rPr>
                <w:sz w:val="21"/>
              </w:rPr>
            </w:pPr>
            <w:r>
              <w:rPr>
                <w:sz w:val="21"/>
              </w:rPr>
              <w:t>5.2 保险单借款</w:t>
            </w:r>
          </w:p>
        </w:tc>
        <w:tc>
          <w:tcPr>
            <w:tcW w:w="3222" w:type="dxa"/>
          </w:tcPr>
          <w:p>
            <w:pPr>
              <w:pStyle w:val="TableParagraph"/>
              <w:spacing w:line="261" w:lineRule="exact"/>
              <w:ind w:left="308"/>
              <w:rPr>
                <w:sz w:val="21"/>
              </w:rPr>
            </w:pPr>
            <w:r>
              <w:rPr>
                <w:sz w:val="21"/>
              </w:rPr>
              <w:t>8.7 无合法有效驾驶证驾驶</w:t>
            </w:r>
          </w:p>
        </w:tc>
      </w:tr>
      <w:tr>
        <w:trPr>
          <w:trHeight w:val="312" w:hRule="atLeast"/>
        </w:trPr>
        <w:tc>
          <w:tcPr>
            <w:tcW w:w="2648" w:type="dxa"/>
            <w:tcBorders>
              <w:left w:val="single" w:sz="4" w:space="0" w:color="000000"/>
            </w:tcBorders>
          </w:tcPr>
          <w:p>
            <w:pPr>
              <w:pStyle w:val="TableParagraph"/>
              <w:spacing w:line="261" w:lineRule="exact"/>
              <w:ind w:left="318"/>
              <w:rPr>
                <w:sz w:val="21"/>
              </w:rPr>
            </w:pPr>
            <w:r>
              <w:rPr>
                <w:sz w:val="21"/>
              </w:rPr>
              <w:t>1.3 投保年龄</w:t>
            </w:r>
          </w:p>
        </w:tc>
        <w:tc>
          <w:tcPr>
            <w:tcW w:w="3566" w:type="dxa"/>
          </w:tcPr>
          <w:p>
            <w:pPr>
              <w:pStyle w:val="TableParagraph"/>
              <w:spacing w:line="261" w:lineRule="exact"/>
              <w:ind w:left="330"/>
              <w:rPr>
                <w:b/>
                <w:sz w:val="21"/>
              </w:rPr>
            </w:pPr>
            <w:r>
              <w:rPr>
                <w:b/>
                <w:w w:val="95"/>
                <w:sz w:val="21"/>
              </w:rPr>
              <w:t>6．如何解除保险合同</w:t>
            </w:r>
          </w:p>
        </w:tc>
        <w:tc>
          <w:tcPr>
            <w:tcW w:w="3222" w:type="dxa"/>
          </w:tcPr>
          <w:p>
            <w:pPr>
              <w:pStyle w:val="TableParagraph"/>
              <w:spacing w:line="261" w:lineRule="exact"/>
              <w:ind w:left="308"/>
              <w:rPr>
                <w:sz w:val="21"/>
              </w:rPr>
            </w:pPr>
            <w:r>
              <w:rPr>
                <w:sz w:val="21"/>
              </w:rPr>
              <w:t>8.8 无有效行驶证</w:t>
            </w:r>
          </w:p>
        </w:tc>
      </w:tr>
      <w:tr>
        <w:trPr>
          <w:trHeight w:val="312" w:hRule="atLeast"/>
        </w:trPr>
        <w:tc>
          <w:tcPr>
            <w:tcW w:w="2648" w:type="dxa"/>
            <w:tcBorders>
              <w:left w:val="single" w:sz="4" w:space="0" w:color="000000"/>
            </w:tcBorders>
          </w:tcPr>
          <w:p>
            <w:pPr>
              <w:pStyle w:val="TableParagraph"/>
              <w:spacing w:line="261" w:lineRule="exact"/>
              <w:ind w:left="318"/>
              <w:rPr>
                <w:sz w:val="21"/>
              </w:rPr>
            </w:pPr>
            <w:r>
              <w:rPr>
                <w:sz w:val="21"/>
              </w:rPr>
              <w:t>1.4 投保对象</w:t>
            </w:r>
          </w:p>
        </w:tc>
        <w:tc>
          <w:tcPr>
            <w:tcW w:w="3566" w:type="dxa"/>
          </w:tcPr>
          <w:p>
            <w:pPr>
              <w:pStyle w:val="TableParagraph"/>
              <w:spacing w:line="261" w:lineRule="exact"/>
              <w:ind w:left="537"/>
              <w:rPr>
                <w:sz w:val="21"/>
              </w:rPr>
            </w:pPr>
            <w:r>
              <w:rPr>
                <w:sz w:val="21"/>
              </w:rPr>
              <w:t>6.1 您解除合同的手续及风险</w:t>
            </w:r>
          </w:p>
        </w:tc>
        <w:tc>
          <w:tcPr>
            <w:tcW w:w="3222" w:type="dxa"/>
          </w:tcPr>
          <w:p>
            <w:pPr>
              <w:pStyle w:val="TableParagraph"/>
              <w:spacing w:line="261" w:lineRule="exact"/>
              <w:ind w:left="308"/>
              <w:rPr>
                <w:sz w:val="21"/>
              </w:rPr>
            </w:pPr>
            <w:r>
              <w:rPr>
                <w:sz w:val="21"/>
              </w:rPr>
              <w:t>8.9 感染艾滋病病毒或患艾</w:t>
            </w:r>
          </w:p>
        </w:tc>
      </w:tr>
      <w:tr>
        <w:trPr>
          <w:trHeight w:val="311" w:hRule="atLeast"/>
        </w:trPr>
        <w:tc>
          <w:tcPr>
            <w:tcW w:w="2648" w:type="dxa"/>
            <w:tcBorders>
              <w:left w:val="single" w:sz="4" w:space="0" w:color="000000"/>
            </w:tcBorders>
          </w:tcPr>
          <w:p>
            <w:pPr>
              <w:pStyle w:val="TableParagraph"/>
              <w:spacing w:line="261" w:lineRule="exact"/>
              <w:ind w:left="318"/>
              <w:rPr>
                <w:sz w:val="21"/>
              </w:rPr>
            </w:pPr>
            <w:r>
              <w:rPr>
                <w:sz w:val="21"/>
              </w:rPr>
              <w:t>1.5 犹豫期</w:t>
            </w:r>
          </w:p>
        </w:tc>
        <w:tc>
          <w:tcPr>
            <w:tcW w:w="3566" w:type="dxa"/>
          </w:tcPr>
          <w:p>
            <w:pPr>
              <w:pStyle w:val="TableParagraph"/>
              <w:spacing w:line="261" w:lineRule="exact"/>
              <w:ind w:left="330"/>
              <w:rPr>
                <w:b/>
                <w:sz w:val="21"/>
              </w:rPr>
            </w:pPr>
            <w:r>
              <w:rPr>
                <w:b/>
                <w:sz w:val="21"/>
              </w:rPr>
              <w:t>7. 其他需要关注的事项</w:t>
            </w:r>
          </w:p>
        </w:tc>
        <w:tc>
          <w:tcPr>
            <w:tcW w:w="3222" w:type="dxa"/>
          </w:tcPr>
          <w:p>
            <w:pPr>
              <w:pStyle w:val="TableParagraph"/>
              <w:spacing w:line="261" w:lineRule="exact"/>
              <w:ind w:left="730"/>
              <w:rPr>
                <w:sz w:val="21"/>
              </w:rPr>
            </w:pPr>
            <w:r>
              <w:rPr>
                <w:sz w:val="21"/>
              </w:rPr>
              <w:t>滋病</w:t>
            </w:r>
          </w:p>
        </w:tc>
      </w:tr>
      <w:tr>
        <w:trPr>
          <w:trHeight w:val="312" w:hRule="atLeast"/>
        </w:trPr>
        <w:tc>
          <w:tcPr>
            <w:tcW w:w="2648" w:type="dxa"/>
            <w:tcBorders>
              <w:left w:val="single" w:sz="4" w:space="0" w:color="000000"/>
            </w:tcBorders>
          </w:tcPr>
          <w:p>
            <w:pPr>
              <w:pStyle w:val="TableParagraph"/>
              <w:spacing w:line="261" w:lineRule="exact"/>
              <w:ind w:left="318"/>
              <w:rPr>
                <w:sz w:val="21"/>
              </w:rPr>
            </w:pPr>
            <w:r>
              <w:rPr>
                <w:sz w:val="21"/>
              </w:rPr>
              <w:t>1.6 保险期间</w:t>
            </w:r>
          </w:p>
        </w:tc>
        <w:tc>
          <w:tcPr>
            <w:tcW w:w="3566" w:type="dxa"/>
          </w:tcPr>
          <w:p>
            <w:pPr>
              <w:pStyle w:val="TableParagraph"/>
              <w:spacing w:line="261" w:lineRule="exact"/>
              <w:ind w:left="540"/>
              <w:rPr>
                <w:sz w:val="21"/>
              </w:rPr>
            </w:pPr>
            <w:r>
              <w:rPr>
                <w:sz w:val="21"/>
              </w:rPr>
              <w:t>7.1 明确说明与如实告知</w:t>
            </w:r>
          </w:p>
        </w:tc>
        <w:tc>
          <w:tcPr>
            <w:tcW w:w="3222" w:type="dxa"/>
          </w:tcPr>
          <w:p>
            <w:pPr>
              <w:pStyle w:val="TableParagraph"/>
              <w:spacing w:line="261" w:lineRule="exact"/>
              <w:ind w:left="308"/>
              <w:rPr>
                <w:sz w:val="21"/>
              </w:rPr>
            </w:pPr>
            <w:r>
              <w:rPr>
                <w:sz w:val="21"/>
              </w:rPr>
              <w:t>8.10 遗传性疾病</w:t>
            </w:r>
          </w:p>
        </w:tc>
      </w:tr>
      <w:tr>
        <w:trPr>
          <w:trHeight w:val="312" w:hRule="atLeast"/>
        </w:trPr>
        <w:tc>
          <w:tcPr>
            <w:tcW w:w="2648" w:type="dxa"/>
            <w:tcBorders>
              <w:left w:val="single" w:sz="4" w:space="0" w:color="000000"/>
            </w:tcBorders>
          </w:tcPr>
          <w:p>
            <w:pPr>
              <w:pStyle w:val="TableParagraph"/>
              <w:spacing w:line="261" w:lineRule="exact"/>
              <w:ind w:left="107"/>
              <w:rPr>
                <w:b/>
                <w:sz w:val="21"/>
              </w:rPr>
            </w:pPr>
            <w:r>
              <w:rPr>
                <w:b/>
                <w:w w:val="95"/>
                <w:sz w:val="21"/>
              </w:rPr>
              <w:t>2．我们提供的保障</w:t>
            </w:r>
          </w:p>
        </w:tc>
        <w:tc>
          <w:tcPr>
            <w:tcW w:w="3566" w:type="dxa"/>
          </w:tcPr>
          <w:p>
            <w:pPr>
              <w:pStyle w:val="TableParagraph"/>
              <w:spacing w:line="261" w:lineRule="exact"/>
              <w:ind w:left="540"/>
              <w:rPr>
                <w:sz w:val="21"/>
              </w:rPr>
            </w:pPr>
            <w:r>
              <w:rPr>
                <w:sz w:val="21"/>
              </w:rPr>
              <w:t>7.2 我们合同解除权的限制</w:t>
            </w:r>
          </w:p>
        </w:tc>
        <w:tc>
          <w:tcPr>
            <w:tcW w:w="3222" w:type="dxa"/>
          </w:tcPr>
          <w:p>
            <w:pPr>
              <w:pStyle w:val="TableParagraph"/>
              <w:spacing w:line="261" w:lineRule="exact"/>
              <w:ind w:left="308"/>
              <w:rPr>
                <w:sz w:val="21"/>
              </w:rPr>
            </w:pPr>
            <w:r>
              <w:rPr>
                <w:sz w:val="21"/>
              </w:rPr>
              <w:t>8.11 先天性畸形、变形或染</w:t>
            </w:r>
          </w:p>
        </w:tc>
      </w:tr>
      <w:tr>
        <w:trPr>
          <w:trHeight w:val="311" w:hRule="atLeast"/>
        </w:trPr>
        <w:tc>
          <w:tcPr>
            <w:tcW w:w="2648" w:type="dxa"/>
            <w:tcBorders>
              <w:left w:val="single" w:sz="4" w:space="0" w:color="000000"/>
            </w:tcBorders>
          </w:tcPr>
          <w:p>
            <w:pPr>
              <w:pStyle w:val="TableParagraph"/>
              <w:spacing w:line="261" w:lineRule="exact"/>
              <w:ind w:left="318"/>
              <w:rPr>
                <w:sz w:val="21"/>
              </w:rPr>
            </w:pPr>
            <w:r>
              <w:rPr>
                <w:sz w:val="21"/>
              </w:rPr>
              <w:t>2.1 保险责任</w:t>
            </w:r>
          </w:p>
        </w:tc>
        <w:tc>
          <w:tcPr>
            <w:tcW w:w="3566" w:type="dxa"/>
          </w:tcPr>
          <w:p>
            <w:pPr>
              <w:pStyle w:val="TableParagraph"/>
              <w:spacing w:line="261" w:lineRule="exact"/>
              <w:ind w:left="540"/>
              <w:rPr>
                <w:sz w:val="21"/>
              </w:rPr>
            </w:pPr>
            <w:r>
              <w:rPr>
                <w:sz w:val="21"/>
              </w:rPr>
              <w:t>7.3 年龄错误</w:t>
            </w:r>
          </w:p>
        </w:tc>
        <w:tc>
          <w:tcPr>
            <w:tcW w:w="3222" w:type="dxa"/>
          </w:tcPr>
          <w:p>
            <w:pPr>
              <w:pStyle w:val="TableParagraph"/>
              <w:spacing w:line="261" w:lineRule="exact"/>
              <w:ind w:left="834"/>
              <w:rPr>
                <w:sz w:val="21"/>
              </w:rPr>
            </w:pPr>
            <w:r>
              <w:rPr>
                <w:sz w:val="21"/>
              </w:rPr>
              <w:t>色体异常</w:t>
            </w:r>
          </w:p>
        </w:tc>
      </w:tr>
      <w:tr>
        <w:trPr>
          <w:trHeight w:val="312" w:hRule="atLeast"/>
        </w:trPr>
        <w:tc>
          <w:tcPr>
            <w:tcW w:w="2648" w:type="dxa"/>
            <w:tcBorders>
              <w:left w:val="single" w:sz="4" w:space="0" w:color="000000"/>
            </w:tcBorders>
          </w:tcPr>
          <w:p>
            <w:pPr>
              <w:pStyle w:val="TableParagraph"/>
              <w:spacing w:line="261" w:lineRule="exact"/>
              <w:ind w:left="318"/>
              <w:rPr>
                <w:sz w:val="21"/>
              </w:rPr>
            </w:pPr>
            <w:r>
              <w:rPr>
                <w:sz w:val="21"/>
              </w:rPr>
              <w:t>2.2 责任免除</w:t>
            </w:r>
          </w:p>
        </w:tc>
        <w:tc>
          <w:tcPr>
            <w:tcW w:w="3566" w:type="dxa"/>
          </w:tcPr>
          <w:p>
            <w:pPr>
              <w:pStyle w:val="TableParagraph"/>
              <w:spacing w:line="261" w:lineRule="exact"/>
              <w:ind w:left="540"/>
              <w:rPr>
                <w:sz w:val="21"/>
              </w:rPr>
            </w:pPr>
            <w:r>
              <w:rPr>
                <w:sz w:val="21"/>
              </w:rPr>
              <w:t>7.4 未还款项</w:t>
            </w:r>
          </w:p>
        </w:tc>
        <w:tc>
          <w:tcPr>
            <w:tcW w:w="3222" w:type="dxa"/>
          </w:tcPr>
          <w:p>
            <w:pPr>
              <w:pStyle w:val="TableParagraph"/>
              <w:spacing w:line="261" w:lineRule="exact"/>
              <w:ind w:left="308"/>
              <w:rPr>
                <w:sz w:val="21"/>
              </w:rPr>
            </w:pPr>
            <w:r>
              <w:rPr>
                <w:sz w:val="21"/>
              </w:rPr>
              <w:t>8.12 现金价值</w:t>
            </w:r>
          </w:p>
        </w:tc>
      </w:tr>
      <w:tr>
        <w:trPr>
          <w:trHeight w:val="311" w:hRule="atLeast"/>
        </w:trPr>
        <w:tc>
          <w:tcPr>
            <w:tcW w:w="2648" w:type="dxa"/>
            <w:tcBorders>
              <w:left w:val="single" w:sz="4" w:space="0" w:color="000000"/>
            </w:tcBorders>
          </w:tcPr>
          <w:p>
            <w:pPr>
              <w:pStyle w:val="TableParagraph"/>
              <w:spacing w:line="261" w:lineRule="exact"/>
              <w:ind w:left="107"/>
              <w:rPr>
                <w:b/>
                <w:sz w:val="21"/>
              </w:rPr>
            </w:pPr>
            <w:r>
              <w:rPr>
                <w:b/>
                <w:w w:val="95"/>
                <w:sz w:val="21"/>
              </w:rPr>
              <w:t>3．如何申请保险费豁免</w:t>
            </w:r>
          </w:p>
        </w:tc>
        <w:tc>
          <w:tcPr>
            <w:tcW w:w="3566" w:type="dxa"/>
          </w:tcPr>
          <w:p>
            <w:pPr>
              <w:pStyle w:val="TableParagraph"/>
              <w:spacing w:line="261" w:lineRule="exact"/>
              <w:ind w:left="540"/>
              <w:rPr>
                <w:sz w:val="21"/>
              </w:rPr>
            </w:pPr>
            <w:r>
              <w:rPr>
                <w:sz w:val="21"/>
              </w:rPr>
              <w:t>7.5 合同内容变更</w:t>
            </w:r>
          </w:p>
        </w:tc>
        <w:tc>
          <w:tcPr>
            <w:tcW w:w="3222" w:type="dxa"/>
          </w:tcPr>
          <w:p>
            <w:pPr>
              <w:pStyle w:val="TableParagraph"/>
              <w:spacing w:line="261" w:lineRule="exact"/>
              <w:ind w:left="308"/>
              <w:rPr>
                <w:sz w:val="21"/>
              </w:rPr>
            </w:pPr>
            <w:r>
              <w:rPr>
                <w:sz w:val="21"/>
              </w:rPr>
              <w:t>8.13 医院</w:t>
            </w:r>
          </w:p>
        </w:tc>
      </w:tr>
      <w:tr>
        <w:trPr>
          <w:trHeight w:val="312" w:hRule="atLeast"/>
        </w:trPr>
        <w:tc>
          <w:tcPr>
            <w:tcW w:w="2648" w:type="dxa"/>
            <w:tcBorders>
              <w:left w:val="single" w:sz="4" w:space="0" w:color="000000"/>
            </w:tcBorders>
          </w:tcPr>
          <w:p>
            <w:pPr>
              <w:pStyle w:val="TableParagraph"/>
              <w:spacing w:line="261" w:lineRule="exact"/>
              <w:ind w:left="317"/>
              <w:rPr>
                <w:sz w:val="21"/>
              </w:rPr>
            </w:pPr>
            <w:r>
              <w:rPr>
                <w:sz w:val="21"/>
              </w:rPr>
              <w:t>3.1 保险事故通知</w:t>
            </w:r>
          </w:p>
        </w:tc>
        <w:tc>
          <w:tcPr>
            <w:tcW w:w="3566" w:type="dxa"/>
          </w:tcPr>
          <w:p>
            <w:pPr>
              <w:pStyle w:val="TableParagraph"/>
              <w:spacing w:line="261" w:lineRule="exact"/>
              <w:ind w:left="540"/>
              <w:rPr>
                <w:sz w:val="21"/>
              </w:rPr>
            </w:pPr>
            <w:r>
              <w:rPr>
                <w:sz w:val="21"/>
              </w:rPr>
              <w:t>7.6 效力终止</w:t>
            </w:r>
          </w:p>
        </w:tc>
        <w:tc>
          <w:tcPr>
            <w:tcW w:w="3222" w:type="dxa"/>
          </w:tcPr>
          <w:p>
            <w:pPr>
              <w:pStyle w:val="TableParagraph"/>
              <w:spacing w:line="261" w:lineRule="exact"/>
              <w:ind w:left="308"/>
              <w:rPr>
                <w:sz w:val="21"/>
              </w:rPr>
            </w:pPr>
            <w:r>
              <w:rPr>
                <w:sz w:val="21"/>
              </w:rPr>
              <w:t>8.14 肢体机能完全丧失</w:t>
            </w:r>
          </w:p>
        </w:tc>
      </w:tr>
      <w:tr>
        <w:trPr>
          <w:trHeight w:val="311" w:hRule="atLeast"/>
        </w:trPr>
        <w:tc>
          <w:tcPr>
            <w:tcW w:w="2648" w:type="dxa"/>
            <w:tcBorders>
              <w:left w:val="single" w:sz="4" w:space="0" w:color="000000"/>
            </w:tcBorders>
          </w:tcPr>
          <w:p>
            <w:pPr>
              <w:pStyle w:val="TableParagraph"/>
              <w:spacing w:line="261" w:lineRule="exact"/>
              <w:ind w:left="315"/>
              <w:rPr>
                <w:sz w:val="21"/>
              </w:rPr>
            </w:pPr>
            <w:r>
              <w:rPr>
                <w:sz w:val="21"/>
              </w:rPr>
              <w:t>3.2 保险费豁免申请</w:t>
            </w:r>
          </w:p>
        </w:tc>
        <w:tc>
          <w:tcPr>
            <w:tcW w:w="3566" w:type="dxa"/>
          </w:tcPr>
          <w:p>
            <w:pPr>
              <w:pStyle w:val="TableParagraph"/>
              <w:spacing w:line="261" w:lineRule="exact"/>
              <w:ind w:left="540"/>
              <w:rPr>
                <w:sz w:val="21"/>
              </w:rPr>
            </w:pPr>
            <w:r>
              <w:rPr>
                <w:sz w:val="21"/>
              </w:rPr>
              <w:t>7.7 适用主险合同条款</w:t>
            </w:r>
          </w:p>
        </w:tc>
        <w:tc>
          <w:tcPr>
            <w:tcW w:w="3222" w:type="dxa"/>
          </w:tcPr>
          <w:p>
            <w:pPr>
              <w:pStyle w:val="TableParagraph"/>
              <w:spacing w:line="261" w:lineRule="exact"/>
              <w:ind w:left="308"/>
              <w:rPr>
                <w:sz w:val="21"/>
              </w:rPr>
            </w:pPr>
            <w:r>
              <w:rPr>
                <w:sz w:val="21"/>
              </w:rPr>
              <w:t>8.15 语言能力或咀嚼吞咽能</w:t>
            </w:r>
          </w:p>
        </w:tc>
      </w:tr>
      <w:tr>
        <w:trPr>
          <w:trHeight w:val="311" w:hRule="atLeast"/>
        </w:trPr>
        <w:tc>
          <w:tcPr>
            <w:tcW w:w="2648" w:type="dxa"/>
            <w:tcBorders>
              <w:left w:val="single" w:sz="4" w:space="0" w:color="000000"/>
            </w:tcBorders>
          </w:tcPr>
          <w:p>
            <w:pPr>
              <w:pStyle w:val="TableParagraph"/>
              <w:spacing w:line="261" w:lineRule="exact"/>
              <w:ind w:left="318"/>
              <w:rPr>
                <w:sz w:val="21"/>
              </w:rPr>
            </w:pPr>
            <w:r>
              <w:rPr>
                <w:sz w:val="21"/>
              </w:rPr>
              <w:t>3.3 保险费的豁免</w:t>
            </w:r>
          </w:p>
        </w:tc>
        <w:tc>
          <w:tcPr>
            <w:tcW w:w="3566" w:type="dxa"/>
          </w:tcPr>
          <w:p>
            <w:pPr>
              <w:pStyle w:val="TableParagraph"/>
              <w:spacing w:line="261" w:lineRule="exact"/>
              <w:ind w:left="330"/>
              <w:rPr>
                <w:b/>
                <w:sz w:val="21"/>
              </w:rPr>
            </w:pPr>
            <w:r>
              <w:rPr>
                <w:b/>
                <w:w w:val="95"/>
                <w:sz w:val="21"/>
              </w:rPr>
              <w:t>8．释义</w:t>
            </w:r>
          </w:p>
        </w:tc>
        <w:tc>
          <w:tcPr>
            <w:tcW w:w="3222" w:type="dxa"/>
          </w:tcPr>
          <w:p>
            <w:pPr>
              <w:pStyle w:val="TableParagraph"/>
              <w:spacing w:line="261" w:lineRule="exact"/>
              <w:ind w:left="791"/>
              <w:rPr>
                <w:sz w:val="21"/>
              </w:rPr>
            </w:pPr>
            <w:r>
              <w:rPr>
                <w:sz w:val="21"/>
              </w:rPr>
              <w:t>力完全丧失</w:t>
            </w:r>
          </w:p>
        </w:tc>
      </w:tr>
      <w:tr>
        <w:trPr>
          <w:trHeight w:val="312" w:hRule="atLeast"/>
        </w:trPr>
        <w:tc>
          <w:tcPr>
            <w:tcW w:w="2648" w:type="dxa"/>
            <w:tcBorders>
              <w:left w:val="single" w:sz="4" w:space="0" w:color="000000"/>
            </w:tcBorders>
          </w:tcPr>
          <w:p>
            <w:pPr>
              <w:pStyle w:val="TableParagraph"/>
              <w:spacing w:line="261" w:lineRule="exact"/>
              <w:ind w:left="318"/>
              <w:rPr>
                <w:sz w:val="21"/>
              </w:rPr>
            </w:pPr>
            <w:r>
              <w:rPr>
                <w:sz w:val="21"/>
              </w:rPr>
              <w:t>3.4 诉讼时效</w:t>
            </w:r>
          </w:p>
        </w:tc>
        <w:tc>
          <w:tcPr>
            <w:tcW w:w="3566" w:type="dxa"/>
          </w:tcPr>
          <w:p>
            <w:pPr>
              <w:pStyle w:val="TableParagraph"/>
              <w:spacing w:line="261" w:lineRule="exact"/>
              <w:ind w:left="537"/>
              <w:rPr>
                <w:sz w:val="21"/>
              </w:rPr>
            </w:pPr>
            <w:r>
              <w:rPr>
                <w:sz w:val="21"/>
              </w:rPr>
              <w:t>8.1 周岁</w:t>
            </w:r>
          </w:p>
        </w:tc>
        <w:tc>
          <w:tcPr>
            <w:tcW w:w="3222" w:type="dxa"/>
          </w:tcPr>
          <w:p>
            <w:pPr>
              <w:pStyle w:val="TableParagraph"/>
              <w:spacing w:line="261" w:lineRule="exact"/>
              <w:ind w:left="308"/>
              <w:rPr>
                <w:sz w:val="21"/>
              </w:rPr>
            </w:pPr>
            <w:r>
              <w:rPr>
                <w:sz w:val="21"/>
              </w:rPr>
              <w:t>8.16 六项基本日常生活活动</w:t>
            </w:r>
          </w:p>
        </w:tc>
      </w:tr>
      <w:tr>
        <w:trPr>
          <w:trHeight w:val="312" w:hRule="atLeast"/>
        </w:trPr>
        <w:tc>
          <w:tcPr>
            <w:tcW w:w="2648" w:type="dxa"/>
            <w:tcBorders>
              <w:left w:val="single" w:sz="4" w:space="0" w:color="000000"/>
            </w:tcBorders>
          </w:tcPr>
          <w:p>
            <w:pPr>
              <w:pStyle w:val="TableParagraph"/>
              <w:spacing w:line="261" w:lineRule="exact"/>
              <w:ind w:left="107"/>
              <w:rPr>
                <w:b/>
                <w:sz w:val="21"/>
              </w:rPr>
            </w:pPr>
            <w:r>
              <w:rPr>
                <w:b/>
                <w:w w:val="95"/>
                <w:sz w:val="21"/>
              </w:rPr>
              <w:t>4．如何交纳保险费</w:t>
            </w:r>
          </w:p>
        </w:tc>
        <w:tc>
          <w:tcPr>
            <w:tcW w:w="3566" w:type="dxa"/>
          </w:tcPr>
          <w:p>
            <w:pPr>
              <w:pStyle w:val="TableParagraph"/>
              <w:spacing w:line="261" w:lineRule="exact"/>
              <w:ind w:left="540"/>
              <w:rPr>
                <w:sz w:val="21"/>
              </w:rPr>
            </w:pPr>
            <w:r>
              <w:rPr>
                <w:sz w:val="21"/>
              </w:rPr>
              <w:t>8.2 有效身份证件</w:t>
            </w:r>
          </w:p>
        </w:tc>
        <w:tc>
          <w:tcPr>
            <w:tcW w:w="3222" w:type="dxa"/>
          </w:tcPr>
          <w:p>
            <w:pPr>
              <w:pStyle w:val="TableParagraph"/>
              <w:spacing w:line="261" w:lineRule="exact"/>
              <w:ind w:left="308"/>
              <w:rPr>
                <w:sz w:val="21"/>
              </w:rPr>
            </w:pPr>
            <w:r>
              <w:rPr>
                <w:sz w:val="21"/>
              </w:rPr>
              <w:t>8.17 意外伤害</w:t>
            </w:r>
          </w:p>
        </w:tc>
      </w:tr>
      <w:tr>
        <w:trPr>
          <w:trHeight w:val="312" w:hRule="atLeast"/>
        </w:trPr>
        <w:tc>
          <w:tcPr>
            <w:tcW w:w="2648" w:type="dxa"/>
            <w:tcBorders>
              <w:left w:val="single" w:sz="4" w:space="0" w:color="000000"/>
            </w:tcBorders>
          </w:tcPr>
          <w:p>
            <w:pPr>
              <w:pStyle w:val="TableParagraph"/>
              <w:spacing w:line="261" w:lineRule="exact"/>
              <w:ind w:left="318"/>
              <w:rPr>
                <w:sz w:val="21"/>
              </w:rPr>
            </w:pPr>
            <w:r>
              <w:rPr>
                <w:sz w:val="21"/>
              </w:rPr>
              <w:t>4.1 保险费的交纳</w:t>
            </w:r>
          </w:p>
        </w:tc>
        <w:tc>
          <w:tcPr>
            <w:tcW w:w="3566" w:type="dxa"/>
          </w:tcPr>
          <w:p>
            <w:pPr>
              <w:pStyle w:val="TableParagraph"/>
              <w:spacing w:line="261" w:lineRule="exact"/>
              <w:ind w:left="540"/>
              <w:rPr>
                <w:sz w:val="21"/>
              </w:rPr>
            </w:pPr>
            <w:r>
              <w:rPr>
                <w:sz w:val="21"/>
              </w:rPr>
              <w:t>8.3 重大疾病</w:t>
            </w:r>
          </w:p>
        </w:tc>
        <w:tc>
          <w:tcPr>
            <w:tcW w:w="3222" w:type="dxa"/>
          </w:tcPr>
          <w:p>
            <w:pPr>
              <w:pStyle w:val="TableParagraph"/>
              <w:spacing w:line="261" w:lineRule="exact"/>
              <w:ind w:left="308"/>
              <w:rPr>
                <w:sz w:val="21"/>
              </w:rPr>
            </w:pPr>
            <w:r>
              <w:rPr>
                <w:sz w:val="21"/>
              </w:rPr>
              <w:t>8.18 永久不可逆</w:t>
            </w:r>
          </w:p>
        </w:tc>
      </w:tr>
      <w:tr>
        <w:trPr>
          <w:trHeight w:val="323" w:hRule="atLeast"/>
        </w:trPr>
        <w:tc>
          <w:tcPr>
            <w:tcW w:w="2648" w:type="dxa"/>
            <w:tcBorders>
              <w:left w:val="single" w:sz="4" w:space="0" w:color="000000"/>
            </w:tcBorders>
          </w:tcPr>
          <w:p>
            <w:pPr>
              <w:pStyle w:val="TableParagraph"/>
              <w:spacing w:line="261" w:lineRule="exact"/>
              <w:ind w:left="318"/>
              <w:rPr>
                <w:sz w:val="21"/>
              </w:rPr>
            </w:pPr>
            <w:r>
              <w:rPr>
                <w:sz w:val="21"/>
              </w:rPr>
              <w:t>4.2 宽限期</w:t>
            </w:r>
          </w:p>
        </w:tc>
        <w:tc>
          <w:tcPr>
            <w:tcW w:w="3566" w:type="dxa"/>
          </w:tcPr>
          <w:p>
            <w:pPr>
              <w:pStyle w:val="TableParagraph"/>
              <w:spacing w:line="261" w:lineRule="exact"/>
              <w:ind w:left="540"/>
              <w:rPr>
                <w:sz w:val="21"/>
              </w:rPr>
            </w:pPr>
            <w:r>
              <w:rPr>
                <w:sz w:val="21"/>
              </w:rPr>
              <w:t>8.4 专科医生</w:t>
            </w:r>
          </w:p>
        </w:tc>
        <w:tc>
          <w:tcPr>
            <w:tcW w:w="3222" w:type="dxa"/>
          </w:tcPr>
          <w:p>
            <w:pPr>
              <w:pStyle w:val="TableParagraph"/>
              <w:rPr>
                <w:rFonts w:ascii="Times New Roman"/>
                <w:sz w:val="20"/>
              </w:rPr>
            </w:pPr>
          </w:p>
        </w:tc>
      </w:tr>
    </w:tbl>
    <w:p>
      <w:pPr>
        <w:spacing w:after="0"/>
        <w:rPr>
          <w:rFonts w:ascii="Times New Roman"/>
          <w:sz w:val="20"/>
        </w:rPr>
        <w:sectPr>
          <w:type w:val="continuous"/>
          <w:pgSz w:w="11910" w:h="16840"/>
          <w:pgMar w:top="620" w:bottom="1180" w:left="1060" w:right="760"/>
        </w:sectPr>
      </w:pPr>
    </w:p>
    <w:p>
      <w:pPr>
        <w:pStyle w:val="BodyText"/>
        <w:spacing w:before="8"/>
        <w:rPr>
          <w:b/>
          <w:sz w:val="19"/>
        </w:rPr>
      </w:pPr>
    </w:p>
    <w:p>
      <w:pPr>
        <w:spacing w:line="564" w:lineRule="exact" w:before="0"/>
        <w:ind w:left="1849" w:right="1781" w:firstLine="0"/>
        <w:jc w:val="center"/>
        <w:rPr>
          <w:rFonts w:ascii="Microsoft JhengHei" w:eastAsia="Microsoft JhengHei" w:hint="eastAsia"/>
          <w:b/>
          <w:sz w:val="44"/>
        </w:rPr>
      </w:pPr>
      <w:r>
        <w:rPr>
          <w:rFonts w:ascii="Microsoft JhengHei" w:eastAsia="Microsoft JhengHei" w:hint="eastAsia"/>
          <w:b/>
          <w:sz w:val="44"/>
        </w:rPr>
        <w:t>长城人寿保险股份有限公司</w:t>
      </w:r>
    </w:p>
    <w:p>
      <w:pPr>
        <w:spacing w:before="367"/>
        <w:ind w:left="1849" w:right="1781" w:firstLine="0"/>
        <w:jc w:val="center"/>
        <w:rPr>
          <w:rFonts w:ascii="微软雅黑" w:eastAsia="微软雅黑" w:hint="eastAsia"/>
          <w:b/>
          <w:sz w:val="30"/>
        </w:rPr>
      </w:pPr>
      <w:r>
        <w:rPr>
          <w:rFonts w:ascii="微软雅黑" w:eastAsia="微软雅黑" w:hint="eastAsia"/>
          <w:b/>
          <w:sz w:val="30"/>
        </w:rPr>
        <w:t>长城附加金鸿利保险费豁免重大疾病保险条款</w:t>
      </w:r>
    </w:p>
    <w:p>
      <w:pPr>
        <w:pStyle w:val="BodyText"/>
        <w:rPr>
          <w:rFonts w:ascii="微软雅黑"/>
          <w:b/>
          <w:sz w:val="40"/>
        </w:rPr>
      </w:pPr>
    </w:p>
    <w:p>
      <w:pPr>
        <w:pStyle w:val="BodyText"/>
        <w:spacing w:before="15"/>
        <w:rPr>
          <w:rFonts w:ascii="微软雅黑"/>
          <w:b/>
          <w:sz w:val="20"/>
        </w:rPr>
      </w:pPr>
    </w:p>
    <w:p>
      <w:pPr>
        <w:pStyle w:val="BodyText"/>
        <w:ind w:left="314"/>
      </w:pPr>
      <w:r>
        <w:rPr>
          <w:spacing w:val="-23"/>
        </w:rPr>
        <w:t>在本条款中，“您”指投保人，“我们”、“本公司”均指长城人寿保险股份有限公司。</w:t>
      </w:r>
    </w:p>
    <w:p>
      <w:pPr>
        <w:pStyle w:val="BodyText"/>
        <w:rPr>
          <w:sz w:val="20"/>
        </w:rPr>
      </w:pPr>
    </w:p>
    <w:p>
      <w:pPr>
        <w:pStyle w:val="BodyText"/>
        <w:spacing w:before="9"/>
        <w:rPr>
          <w:sz w:val="10"/>
        </w:r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661"/>
        <w:gridCol w:w="6927"/>
      </w:tblGrid>
      <w:tr>
        <w:trPr>
          <w:trHeight w:val="586" w:hRule="atLeast"/>
        </w:trPr>
        <w:tc>
          <w:tcPr>
            <w:tcW w:w="759" w:type="dxa"/>
            <w:tcBorders>
              <w:bottom w:val="single" w:sz="6" w:space="0" w:color="000000"/>
            </w:tcBorders>
          </w:tcPr>
          <w:p>
            <w:pPr>
              <w:pStyle w:val="TableParagraph"/>
              <w:spacing w:line="548" w:lineRule="exact"/>
              <w:ind w:left="106"/>
              <w:rPr>
                <w:rFonts w:ascii="Arial" w:hAnsi="Arial"/>
                <w:b/>
                <w:sz w:val="52"/>
              </w:rPr>
            </w:pPr>
            <w:r>
              <w:rPr>
                <w:rFonts w:ascii="Arial" w:hAnsi="Arial"/>
                <w:b/>
                <w:w w:val="118"/>
                <w:sz w:val="52"/>
              </w:rPr>
              <w:t></w:t>
            </w:r>
          </w:p>
        </w:tc>
        <w:tc>
          <w:tcPr>
            <w:tcW w:w="8588" w:type="dxa"/>
            <w:gridSpan w:val="2"/>
            <w:tcBorders>
              <w:bottom w:val="single" w:sz="6" w:space="0" w:color="000000"/>
            </w:tcBorders>
          </w:tcPr>
          <w:p>
            <w:pPr>
              <w:pStyle w:val="TableParagraph"/>
              <w:spacing w:before="46"/>
              <w:ind w:left="188"/>
              <w:rPr>
                <w:b/>
                <w:sz w:val="28"/>
              </w:rPr>
            </w:pPr>
            <w:r>
              <w:rPr>
                <w:b/>
                <w:w w:val="95"/>
                <w:sz w:val="28"/>
              </w:rPr>
              <w:t>您与我们的合同</w:t>
            </w:r>
          </w:p>
        </w:tc>
      </w:tr>
      <w:tr>
        <w:trPr>
          <w:trHeight w:val="1387" w:hRule="atLeast"/>
        </w:trPr>
        <w:tc>
          <w:tcPr>
            <w:tcW w:w="759" w:type="dxa"/>
            <w:tcBorders>
              <w:top w:val="single" w:sz="6" w:space="0" w:color="000000"/>
            </w:tcBorders>
          </w:tcPr>
          <w:p>
            <w:pPr>
              <w:pStyle w:val="TableParagraph"/>
              <w:spacing w:before="6"/>
              <w:rPr>
                <w:sz w:val="21"/>
              </w:rPr>
            </w:pPr>
          </w:p>
          <w:p>
            <w:pPr>
              <w:pStyle w:val="TableParagraph"/>
              <w:ind w:left="106"/>
              <w:rPr>
                <w:b/>
                <w:sz w:val="21"/>
              </w:rPr>
            </w:pPr>
            <w:r>
              <w:rPr>
                <w:b/>
                <w:sz w:val="21"/>
              </w:rPr>
              <w:t>1.1</w:t>
            </w:r>
          </w:p>
        </w:tc>
        <w:tc>
          <w:tcPr>
            <w:tcW w:w="1661" w:type="dxa"/>
            <w:tcBorders>
              <w:top w:val="single" w:sz="6" w:space="0" w:color="000000"/>
            </w:tcBorders>
          </w:tcPr>
          <w:p>
            <w:pPr>
              <w:pStyle w:val="TableParagraph"/>
              <w:spacing w:before="6"/>
              <w:rPr>
                <w:sz w:val="21"/>
              </w:rPr>
            </w:pPr>
          </w:p>
          <w:p>
            <w:pPr>
              <w:pStyle w:val="TableParagraph"/>
              <w:ind w:left="188"/>
              <w:rPr>
                <w:b/>
                <w:sz w:val="21"/>
              </w:rPr>
            </w:pPr>
            <w:r>
              <w:rPr>
                <w:b/>
                <w:sz w:val="21"/>
              </w:rPr>
              <w:t>合同订立</w:t>
            </w:r>
          </w:p>
        </w:tc>
        <w:tc>
          <w:tcPr>
            <w:tcW w:w="6927" w:type="dxa"/>
            <w:tcBorders>
              <w:top w:val="single" w:sz="6" w:space="0" w:color="000000"/>
            </w:tcBorders>
          </w:tcPr>
          <w:p>
            <w:pPr>
              <w:pStyle w:val="TableParagraph"/>
              <w:spacing w:before="6"/>
              <w:rPr>
                <w:sz w:val="21"/>
              </w:rPr>
            </w:pPr>
          </w:p>
          <w:p>
            <w:pPr>
              <w:pStyle w:val="TableParagraph"/>
              <w:spacing w:line="273" w:lineRule="auto"/>
              <w:ind w:left="207" w:right="110"/>
              <w:jc w:val="both"/>
              <w:rPr>
                <w:sz w:val="21"/>
              </w:rPr>
            </w:pPr>
            <w:r>
              <w:rPr>
                <w:spacing w:val="-5"/>
                <w:sz w:val="21"/>
              </w:rPr>
              <w:t>“长城附加金鸿利保险费豁免重大疾病保险合同”</w:t>
            </w:r>
            <w:r>
              <w:rPr>
                <w:sz w:val="21"/>
              </w:rPr>
              <w:t>（</w:t>
            </w:r>
            <w:r>
              <w:rPr>
                <w:spacing w:val="-2"/>
                <w:sz w:val="21"/>
              </w:rPr>
              <w:t>以下简称“本附加险</w:t>
            </w:r>
            <w:r>
              <w:rPr>
                <w:spacing w:val="-33"/>
                <w:sz w:val="21"/>
              </w:rPr>
              <w:t>合同”</w:t>
            </w:r>
            <w:r>
              <w:rPr>
                <w:spacing w:val="2"/>
                <w:sz w:val="21"/>
              </w:rPr>
              <w:t>）</w:t>
            </w:r>
            <w:r>
              <w:rPr>
                <w:sz w:val="21"/>
              </w:rPr>
              <w:t>由主保险合同</w:t>
            </w:r>
            <w:r>
              <w:rPr>
                <w:spacing w:val="1"/>
                <w:sz w:val="21"/>
              </w:rPr>
              <w:t>（</w:t>
            </w:r>
            <w:r>
              <w:rPr>
                <w:spacing w:val="-11"/>
                <w:sz w:val="21"/>
              </w:rPr>
              <w:t>以下简称“主险合同”</w:t>
            </w:r>
            <w:r>
              <w:rPr>
                <w:spacing w:val="1"/>
                <w:sz w:val="21"/>
              </w:rPr>
              <w:t>）</w:t>
            </w:r>
            <w:r>
              <w:rPr>
                <w:sz w:val="21"/>
              </w:rPr>
              <w:t>投保人提出申请，经我们同意而订立。</w:t>
            </w:r>
          </w:p>
        </w:tc>
      </w:tr>
      <w:tr>
        <w:trPr>
          <w:trHeight w:val="936" w:hRule="atLeast"/>
        </w:trPr>
        <w:tc>
          <w:tcPr>
            <w:tcW w:w="759" w:type="dxa"/>
          </w:tcPr>
          <w:p>
            <w:pPr>
              <w:pStyle w:val="TableParagraph"/>
              <w:spacing w:before="142"/>
              <w:ind w:left="106"/>
              <w:rPr>
                <w:b/>
                <w:sz w:val="21"/>
              </w:rPr>
            </w:pPr>
            <w:r>
              <w:rPr>
                <w:b/>
                <w:sz w:val="21"/>
              </w:rPr>
              <w:t>1.2</w:t>
            </w:r>
          </w:p>
        </w:tc>
        <w:tc>
          <w:tcPr>
            <w:tcW w:w="1661" w:type="dxa"/>
          </w:tcPr>
          <w:p>
            <w:pPr>
              <w:pStyle w:val="TableParagraph"/>
              <w:spacing w:line="273" w:lineRule="auto" w:before="142"/>
              <w:ind w:left="188" w:right="207"/>
              <w:rPr>
                <w:b/>
                <w:sz w:val="21"/>
              </w:rPr>
            </w:pPr>
            <w:r>
              <w:rPr>
                <w:b/>
                <w:sz w:val="21"/>
              </w:rPr>
              <w:t>合同成立与生效</w:t>
            </w:r>
          </w:p>
        </w:tc>
        <w:tc>
          <w:tcPr>
            <w:tcW w:w="6927" w:type="dxa"/>
          </w:tcPr>
          <w:p>
            <w:pPr>
              <w:pStyle w:val="TableParagraph"/>
              <w:spacing w:line="273" w:lineRule="auto" w:before="142"/>
              <w:ind w:left="207" w:right="107"/>
              <w:rPr>
                <w:sz w:val="21"/>
              </w:rPr>
            </w:pPr>
            <w:r>
              <w:rPr>
                <w:sz w:val="21"/>
              </w:rPr>
              <w:t>本附加险合同应与主险合同同时投保，本附加险合同的成立日、生效日与主险合同的成立日、生效日相同。</w:t>
            </w:r>
          </w:p>
        </w:tc>
      </w:tr>
      <w:tr>
        <w:trPr>
          <w:trHeight w:val="1248" w:hRule="atLeast"/>
        </w:trPr>
        <w:tc>
          <w:tcPr>
            <w:tcW w:w="759" w:type="dxa"/>
          </w:tcPr>
          <w:p>
            <w:pPr>
              <w:pStyle w:val="TableParagraph"/>
              <w:spacing w:before="142"/>
              <w:ind w:left="106"/>
              <w:rPr>
                <w:b/>
                <w:sz w:val="21"/>
              </w:rPr>
            </w:pPr>
            <w:r>
              <w:rPr>
                <w:b/>
                <w:sz w:val="21"/>
              </w:rPr>
              <w:t>1.3</w:t>
            </w:r>
          </w:p>
        </w:tc>
        <w:tc>
          <w:tcPr>
            <w:tcW w:w="1661" w:type="dxa"/>
          </w:tcPr>
          <w:p>
            <w:pPr>
              <w:pStyle w:val="TableParagraph"/>
              <w:spacing w:before="142"/>
              <w:ind w:left="188"/>
              <w:rPr>
                <w:b/>
                <w:sz w:val="21"/>
              </w:rPr>
            </w:pPr>
            <w:r>
              <w:rPr>
                <w:b/>
                <w:sz w:val="21"/>
              </w:rPr>
              <w:t>投保年龄</w:t>
            </w:r>
          </w:p>
        </w:tc>
        <w:tc>
          <w:tcPr>
            <w:tcW w:w="6927" w:type="dxa"/>
          </w:tcPr>
          <w:p>
            <w:pPr>
              <w:pStyle w:val="TableParagraph"/>
              <w:spacing w:line="273" w:lineRule="auto" w:before="142"/>
              <w:ind w:left="207" w:right="108"/>
              <w:rPr>
                <w:sz w:val="21"/>
              </w:rPr>
            </w:pPr>
            <w:r>
              <w:rPr>
                <w:sz w:val="21"/>
              </w:rPr>
              <w:t>指投保时被保险人的年龄，投保年龄以</w:t>
            </w:r>
            <w:r>
              <w:rPr>
                <w:b/>
                <w:spacing w:val="0"/>
                <w:sz w:val="21"/>
              </w:rPr>
              <w:t>周岁</w:t>
            </w:r>
            <w:r>
              <w:rPr>
                <w:sz w:val="21"/>
              </w:rPr>
              <w:t>计算，本附加险合同接受的</w:t>
            </w:r>
            <w:r>
              <w:rPr>
                <w:spacing w:val="-9"/>
                <w:sz w:val="21"/>
              </w:rPr>
              <w:t>投保年龄为 </w:t>
            </w:r>
            <w:r>
              <w:rPr>
                <w:sz w:val="21"/>
              </w:rPr>
              <w:t>0</w:t>
            </w:r>
            <w:r>
              <w:rPr>
                <w:spacing w:val="-43"/>
                <w:sz w:val="21"/>
              </w:rPr>
              <w:t> 周岁</w:t>
            </w:r>
            <w:r>
              <w:rPr>
                <w:sz w:val="21"/>
              </w:rPr>
              <w:t>（</w:t>
            </w:r>
            <w:r>
              <w:rPr>
                <w:spacing w:val="-11"/>
                <w:sz w:val="21"/>
              </w:rPr>
              <w:t>指出生满 </w:t>
            </w:r>
            <w:r>
              <w:rPr>
                <w:sz w:val="21"/>
              </w:rPr>
              <w:t>30</w:t>
            </w:r>
            <w:r>
              <w:rPr>
                <w:spacing w:val="-8"/>
                <w:sz w:val="21"/>
              </w:rPr>
              <w:t> 日且已健康出院的婴儿</w:t>
            </w:r>
            <w:r>
              <w:rPr>
                <w:spacing w:val="-74"/>
                <w:sz w:val="21"/>
              </w:rPr>
              <w:t>）</w:t>
            </w:r>
            <w:r>
              <w:rPr>
                <w:spacing w:val="-27"/>
                <w:sz w:val="21"/>
              </w:rPr>
              <w:t>至 </w:t>
            </w:r>
            <w:r>
              <w:rPr>
                <w:sz w:val="21"/>
              </w:rPr>
              <w:t>50</w:t>
            </w:r>
            <w:r>
              <w:rPr>
                <w:spacing w:val="-22"/>
                <w:sz w:val="21"/>
              </w:rPr>
              <w:t> 周岁， 且</w:t>
            </w:r>
          </w:p>
          <w:p>
            <w:pPr>
              <w:pStyle w:val="TableParagraph"/>
              <w:spacing w:before="8"/>
              <w:ind w:left="207"/>
              <w:rPr>
                <w:sz w:val="21"/>
              </w:rPr>
            </w:pPr>
            <w:r>
              <w:rPr>
                <w:sz w:val="21"/>
              </w:rPr>
              <w:t>投保本附加险时的年龄与主险剩余交费年期之和小于或等于 70 周岁。</w:t>
            </w:r>
          </w:p>
        </w:tc>
      </w:tr>
      <w:tr>
        <w:trPr>
          <w:trHeight w:val="624" w:hRule="atLeast"/>
        </w:trPr>
        <w:tc>
          <w:tcPr>
            <w:tcW w:w="759" w:type="dxa"/>
          </w:tcPr>
          <w:p>
            <w:pPr>
              <w:pStyle w:val="TableParagraph"/>
              <w:spacing w:before="142"/>
              <w:ind w:left="106"/>
              <w:rPr>
                <w:b/>
                <w:sz w:val="21"/>
              </w:rPr>
            </w:pPr>
            <w:r>
              <w:rPr>
                <w:b/>
                <w:sz w:val="21"/>
              </w:rPr>
              <w:t>1.4</w:t>
            </w:r>
          </w:p>
        </w:tc>
        <w:tc>
          <w:tcPr>
            <w:tcW w:w="1661" w:type="dxa"/>
          </w:tcPr>
          <w:p>
            <w:pPr>
              <w:pStyle w:val="TableParagraph"/>
              <w:spacing w:before="142"/>
              <w:ind w:left="188"/>
              <w:rPr>
                <w:b/>
                <w:sz w:val="21"/>
              </w:rPr>
            </w:pPr>
            <w:r>
              <w:rPr>
                <w:b/>
                <w:sz w:val="21"/>
              </w:rPr>
              <w:t>投保对象</w:t>
            </w:r>
          </w:p>
        </w:tc>
        <w:tc>
          <w:tcPr>
            <w:tcW w:w="6927" w:type="dxa"/>
          </w:tcPr>
          <w:p>
            <w:pPr>
              <w:pStyle w:val="TableParagraph"/>
              <w:spacing w:before="142"/>
              <w:ind w:left="207"/>
              <w:rPr>
                <w:sz w:val="21"/>
              </w:rPr>
            </w:pPr>
            <w:r>
              <w:rPr>
                <w:sz w:val="21"/>
              </w:rPr>
              <w:t>主险合同的被保险人作为本附加险合同的被保险人。</w:t>
            </w:r>
          </w:p>
        </w:tc>
      </w:tr>
      <w:tr>
        <w:trPr>
          <w:trHeight w:val="2495" w:hRule="atLeast"/>
        </w:trPr>
        <w:tc>
          <w:tcPr>
            <w:tcW w:w="759" w:type="dxa"/>
          </w:tcPr>
          <w:p>
            <w:pPr>
              <w:pStyle w:val="TableParagraph"/>
              <w:spacing w:before="142"/>
              <w:ind w:left="106"/>
              <w:rPr>
                <w:b/>
                <w:sz w:val="21"/>
              </w:rPr>
            </w:pPr>
            <w:r>
              <w:rPr>
                <w:b/>
                <w:sz w:val="21"/>
              </w:rPr>
              <w:t>1.5</w:t>
            </w:r>
          </w:p>
        </w:tc>
        <w:tc>
          <w:tcPr>
            <w:tcW w:w="1661" w:type="dxa"/>
          </w:tcPr>
          <w:p>
            <w:pPr>
              <w:pStyle w:val="TableParagraph"/>
              <w:spacing w:before="142"/>
              <w:ind w:left="188"/>
              <w:rPr>
                <w:b/>
                <w:sz w:val="21"/>
              </w:rPr>
            </w:pPr>
            <w:r>
              <w:rPr>
                <w:b/>
                <w:sz w:val="21"/>
              </w:rPr>
              <w:t>犹豫期</w:t>
            </w:r>
          </w:p>
        </w:tc>
        <w:tc>
          <w:tcPr>
            <w:tcW w:w="6927" w:type="dxa"/>
          </w:tcPr>
          <w:p>
            <w:pPr>
              <w:pStyle w:val="TableParagraph"/>
              <w:spacing w:line="273" w:lineRule="auto" w:before="142"/>
              <w:ind w:left="207" w:right="108"/>
              <w:jc w:val="both"/>
              <w:rPr>
                <w:sz w:val="21"/>
              </w:rPr>
            </w:pPr>
            <w:r>
              <w:rPr>
                <w:spacing w:val="-5"/>
                <w:sz w:val="21"/>
              </w:rPr>
              <w:t>自您签收本附加险合同之日起，有 </w:t>
            </w:r>
            <w:r>
              <w:rPr>
                <w:sz w:val="21"/>
              </w:rPr>
              <w:t>10</w:t>
            </w:r>
            <w:r>
              <w:rPr>
                <w:spacing w:val="-8"/>
                <w:sz w:val="21"/>
              </w:rPr>
              <w:t> 日的犹豫期。在此期间请您认真审视本附加险合同，如果您认为本附加险合同与您的需求不相符，您可以在此期间提出解除本附加险合同，我们将无息退还您所交纳的全部保险费。</w:t>
            </w:r>
          </w:p>
          <w:p>
            <w:pPr>
              <w:pStyle w:val="TableParagraph"/>
              <w:spacing w:line="273" w:lineRule="auto" w:before="7"/>
              <w:ind w:left="207" w:right="108"/>
              <w:jc w:val="both"/>
              <w:rPr>
                <w:sz w:val="21"/>
              </w:rPr>
            </w:pPr>
            <w:r>
              <w:rPr>
                <w:sz w:val="21"/>
              </w:rPr>
              <w:t>解除本附加险合同时，您需要填写申请书，并提供您的保险合同及</w:t>
            </w:r>
            <w:r>
              <w:rPr>
                <w:b/>
                <w:sz w:val="21"/>
              </w:rPr>
              <w:t>有效身份证件</w:t>
            </w:r>
            <w:r>
              <w:rPr>
                <w:sz w:val="21"/>
              </w:rPr>
              <w:t>。自我们收到您解除合同的书面申请时起，本附加险合同即被解除，合同解除前发生的保险事故我们不承担保险责任。</w:t>
            </w:r>
          </w:p>
        </w:tc>
      </w:tr>
      <w:tr>
        <w:trPr>
          <w:trHeight w:val="1554" w:hRule="atLeast"/>
        </w:trPr>
        <w:tc>
          <w:tcPr>
            <w:tcW w:w="759" w:type="dxa"/>
          </w:tcPr>
          <w:p>
            <w:pPr>
              <w:pStyle w:val="TableParagraph"/>
              <w:spacing w:before="142"/>
              <w:ind w:left="106"/>
              <w:rPr>
                <w:b/>
                <w:sz w:val="21"/>
              </w:rPr>
            </w:pPr>
            <w:r>
              <w:rPr>
                <w:b/>
                <w:sz w:val="21"/>
              </w:rPr>
              <w:t>1.6</w:t>
            </w:r>
          </w:p>
        </w:tc>
        <w:tc>
          <w:tcPr>
            <w:tcW w:w="1661" w:type="dxa"/>
          </w:tcPr>
          <w:p>
            <w:pPr>
              <w:pStyle w:val="TableParagraph"/>
              <w:spacing w:before="142"/>
              <w:ind w:left="188"/>
              <w:rPr>
                <w:b/>
                <w:sz w:val="21"/>
              </w:rPr>
            </w:pPr>
            <w:r>
              <w:rPr>
                <w:b/>
                <w:sz w:val="21"/>
              </w:rPr>
              <w:t>保险期间</w:t>
            </w:r>
          </w:p>
        </w:tc>
        <w:tc>
          <w:tcPr>
            <w:tcW w:w="6927" w:type="dxa"/>
          </w:tcPr>
          <w:p>
            <w:pPr>
              <w:pStyle w:val="TableParagraph"/>
              <w:spacing w:before="142"/>
              <w:ind w:left="207"/>
              <w:rPr>
                <w:sz w:val="21"/>
              </w:rPr>
            </w:pPr>
            <w:r>
              <w:rPr>
                <w:sz w:val="21"/>
              </w:rPr>
              <w:t>本附加险可附加于交费期间超过一年的主险合同及其附加险合同。</w:t>
            </w:r>
          </w:p>
          <w:p>
            <w:pPr>
              <w:pStyle w:val="TableParagraph"/>
              <w:spacing w:line="273" w:lineRule="auto" w:before="37"/>
              <w:ind w:left="207" w:right="111"/>
              <w:jc w:val="both"/>
              <w:rPr>
                <w:sz w:val="21"/>
              </w:rPr>
            </w:pPr>
            <w:r>
              <w:rPr>
                <w:sz w:val="21"/>
              </w:rPr>
              <w:t>本附加险合同的保险期间自本附加险合同生效之日起至主险合同最后一</w:t>
            </w:r>
            <w:r>
              <w:rPr>
                <w:spacing w:val="-3"/>
                <w:sz w:val="21"/>
              </w:rPr>
              <w:t>期保险费的约定交费日零时止，且终止日不超过被保险人年满 </w:t>
            </w:r>
            <w:r>
              <w:rPr>
                <w:sz w:val="21"/>
              </w:rPr>
              <w:t>70</w:t>
            </w:r>
            <w:r>
              <w:rPr>
                <w:spacing w:val="-14"/>
                <w:sz w:val="21"/>
              </w:rPr>
              <w:t> 周岁的保险单周年日。</w:t>
            </w:r>
          </w:p>
        </w:tc>
      </w:tr>
      <w:tr>
        <w:trPr>
          <w:trHeight w:val="786" w:hRule="atLeast"/>
        </w:trPr>
        <w:tc>
          <w:tcPr>
            <w:tcW w:w="759" w:type="dxa"/>
            <w:tcBorders>
              <w:bottom w:val="single" w:sz="4" w:space="0" w:color="000000"/>
            </w:tcBorders>
          </w:tcPr>
          <w:p>
            <w:pPr>
              <w:pStyle w:val="TableParagraph"/>
              <w:spacing w:before="151"/>
              <w:ind w:left="106"/>
              <w:rPr>
                <w:rFonts w:ascii="Arial" w:hAnsi="Arial"/>
                <w:b/>
                <w:sz w:val="52"/>
              </w:rPr>
            </w:pPr>
            <w:r>
              <w:rPr>
                <w:rFonts w:ascii="Arial" w:hAnsi="Arial"/>
                <w:b/>
                <w:w w:val="118"/>
                <w:sz w:val="52"/>
              </w:rPr>
              <w:t></w:t>
            </w:r>
          </w:p>
        </w:tc>
        <w:tc>
          <w:tcPr>
            <w:tcW w:w="8588" w:type="dxa"/>
            <w:gridSpan w:val="2"/>
            <w:tcBorders>
              <w:bottom w:val="single" w:sz="4" w:space="0" w:color="000000"/>
            </w:tcBorders>
          </w:tcPr>
          <w:p>
            <w:pPr>
              <w:pStyle w:val="TableParagraph"/>
              <w:spacing w:before="247"/>
              <w:ind w:left="188"/>
              <w:rPr>
                <w:b/>
                <w:sz w:val="28"/>
              </w:rPr>
            </w:pPr>
            <w:r>
              <w:rPr>
                <w:b/>
                <w:w w:val="95"/>
                <w:sz w:val="28"/>
              </w:rPr>
              <w:t>我们提供的保障</w:t>
            </w:r>
          </w:p>
        </w:tc>
      </w:tr>
      <w:tr>
        <w:trPr>
          <w:trHeight w:val="572" w:hRule="atLeast"/>
        </w:trPr>
        <w:tc>
          <w:tcPr>
            <w:tcW w:w="759" w:type="dxa"/>
            <w:tcBorders>
              <w:top w:val="single" w:sz="4" w:space="0" w:color="000000"/>
            </w:tcBorders>
          </w:tcPr>
          <w:p>
            <w:pPr>
              <w:pStyle w:val="TableParagraph"/>
              <w:spacing w:before="10"/>
              <w:rPr>
                <w:sz w:val="22"/>
              </w:rPr>
            </w:pPr>
          </w:p>
          <w:p>
            <w:pPr>
              <w:pStyle w:val="TableParagraph"/>
              <w:spacing w:line="255" w:lineRule="exact"/>
              <w:ind w:left="106"/>
              <w:rPr>
                <w:b/>
                <w:sz w:val="21"/>
              </w:rPr>
            </w:pPr>
            <w:r>
              <w:rPr>
                <w:b/>
                <w:sz w:val="21"/>
              </w:rPr>
              <w:t>2.1</w:t>
            </w:r>
          </w:p>
        </w:tc>
        <w:tc>
          <w:tcPr>
            <w:tcW w:w="1661" w:type="dxa"/>
            <w:tcBorders>
              <w:top w:val="single" w:sz="4" w:space="0" w:color="000000"/>
            </w:tcBorders>
          </w:tcPr>
          <w:p>
            <w:pPr>
              <w:pStyle w:val="TableParagraph"/>
              <w:spacing w:before="10"/>
              <w:rPr>
                <w:sz w:val="22"/>
              </w:rPr>
            </w:pPr>
          </w:p>
          <w:p>
            <w:pPr>
              <w:pStyle w:val="TableParagraph"/>
              <w:spacing w:line="255" w:lineRule="exact"/>
              <w:ind w:left="188"/>
              <w:rPr>
                <w:b/>
                <w:sz w:val="21"/>
              </w:rPr>
            </w:pPr>
            <w:r>
              <w:rPr>
                <w:b/>
                <w:sz w:val="21"/>
              </w:rPr>
              <w:t>保险责任</w:t>
            </w:r>
          </w:p>
        </w:tc>
        <w:tc>
          <w:tcPr>
            <w:tcW w:w="6927" w:type="dxa"/>
            <w:tcBorders>
              <w:top w:val="single" w:sz="4" w:space="0" w:color="000000"/>
            </w:tcBorders>
          </w:tcPr>
          <w:p>
            <w:pPr>
              <w:pStyle w:val="TableParagraph"/>
              <w:spacing w:before="10"/>
              <w:rPr>
                <w:sz w:val="22"/>
              </w:rPr>
            </w:pPr>
          </w:p>
          <w:p>
            <w:pPr>
              <w:pStyle w:val="TableParagraph"/>
              <w:spacing w:line="255" w:lineRule="exact"/>
              <w:ind w:left="207"/>
              <w:rPr>
                <w:sz w:val="21"/>
              </w:rPr>
            </w:pPr>
            <w:r>
              <w:rPr>
                <w:sz w:val="21"/>
              </w:rPr>
              <w:t>在本附加险合同有效期内，我们承担如下保险责任：</w:t>
            </w:r>
          </w:p>
        </w:tc>
      </w:tr>
    </w:tbl>
    <w:p>
      <w:pPr>
        <w:spacing w:after="0" w:line="255" w:lineRule="exact"/>
        <w:rPr>
          <w:sz w:val="21"/>
        </w:rPr>
        <w:sectPr>
          <w:headerReference w:type="default" r:id="rId9"/>
          <w:pgSz w:w="11910" w:h="16840"/>
          <w:pgMar w:header="899" w:footer="995" w:top="1220" w:bottom="1180" w:left="1200" w:right="1040"/>
        </w:sectPr>
      </w:pPr>
    </w:p>
    <w:p>
      <w:pPr>
        <w:pStyle w:val="BodyText"/>
        <w:spacing w:before="4" w:after="1"/>
        <w:rPr>
          <w:rFonts w:ascii="Times New Roman"/>
          <w:sz w:val="28"/>
        </w:r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660"/>
        <w:gridCol w:w="6924"/>
      </w:tblGrid>
      <w:tr>
        <w:trPr>
          <w:trHeight w:val="3536" w:hRule="atLeast"/>
        </w:trPr>
        <w:tc>
          <w:tcPr>
            <w:tcW w:w="759" w:type="dxa"/>
          </w:tcPr>
          <w:p>
            <w:pPr>
              <w:pStyle w:val="TableParagraph"/>
              <w:rPr>
                <w:rFonts w:ascii="Times New Roman"/>
                <w:sz w:val="20"/>
              </w:rPr>
            </w:pPr>
          </w:p>
        </w:tc>
        <w:tc>
          <w:tcPr>
            <w:tcW w:w="1660" w:type="dxa"/>
          </w:tcPr>
          <w:p>
            <w:pPr>
              <w:pStyle w:val="TableParagraph"/>
              <w:spacing w:line="408" w:lineRule="auto" w:before="34"/>
              <w:ind w:left="188" w:right="209"/>
              <w:rPr>
                <w:rFonts w:ascii="Microsoft JhengHei" w:eastAsia="Microsoft JhengHei" w:hint="eastAsia"/>
                <w:b/>
                <w:sz w:val="21"/>
              </w:rPr>
            </w:pPr>
            <w:r>
              <w:rPr>
                <w:rFonts w:ascii="Microsoft JhengHei" w:eastAsia="Microsoft JhengHei" w:hint="eastAsia"/>
                <w:b/>
                <w:sz w:val="21"/>
              </w:rPr>
              <w:t>重大疾病保险费豁免</w:t>
            </w:r>
          </w:p>
        </w:tc>
        <w:tc>
          <w:tcPr>
            <w:tcW w:w="6924" w:type="dxa"/>
          </w:tcPr>
          <w:p>
            <w:pPr>
              <w:pStyle w:val="TableParagraph"/>
              <w:spacing w:line="210" w:lineRule="exact"/>
              <w:ind w:left="208"/>
              <w:rPr>
                <w:sz w:val="21"/>
              </w:rPr>
            </w:pPr>
            <w:r>
              <w:rPr>
                <w:sz w:val="21"/>
              </w:rPr>
              <w:t>自本附加险合同生效之日起一年内（含），被保险人发生本附加险合同</w:t>
            </w:r>
          </w:p>
          <w:p>
            <w:pPr>
              <w:pStyle w:val="TableParagraph"/>
              <w:spacing w:line="273" w:lineRule="auto" w:before="36"/>
              <w:ind w:left="208" w:right="103"/>
              <w:rPr>
                <w:sz w:val="21"/>
              </w:rPr>
            </w:pPr>
            <w:r>
              <w:rPr>
                <w:sz w:val="21"/>
              </w:rPr>
              <w:t>约定的</w:t>
            </w:r>
            <w:r>
              <w:rPr>
                <w:b/>
                <w:sz w:val="21"/>
              </w:rPr>
              <w:t>重大疾病</w:t>
            </w:r>
            <w:r>
              <w:rPr>
                <w:sz w:val="21"/>
              </w:rPr>
              <w:t>或因导致重大疾病的相关疾病就诊，我们不承担保险责任，但无息退还您已交本附加险合同的保险费，本附加险合同终止。 自本附加险合同生效之日起一年后，被保险人经</w:t>
            </w:r>
            <w:r>
              <w:rPr>
                <w:b/>
                <w:sz w:val="21"/>
              </w:rPr>
              <w:t>专科医生</w:t>
            </w:r>
            <w:r>
              <w:rPr>
                <w:sz w:val="21"/>
              </w:rPr>
              <w:t>明确诊断初次发生本附加险合同约定的重大疾病（在本附加险合同生效日之前已患的</w:t>
            </w:r>
          </w:p>
          <w:p>
            <w:pPr>
              <w:pStyle w:val="TableParagraph"/>
              <w:spacing w:line="273" w:lineRule="auto" w:before="7"/>
              <w:ind w:left="208" w:right="1"/>
              <w:rPr>
                <w:sz w:val="21"/>
              </w:rPr>
            </w:pPr>
            <w:r>
              <w:rPr>
                <w:sz w:val="21"/>
              </w:rPr>
              <w:t>有关疾病或症状除外</w:t>
            </w:r>
            <w:r>
              <w:rPr>
                <w:spacing w:val="-105"/>
                <w:sz w:val="21"/>
              </w:rPr>
              <w:t>）</w:t>
            </w:r>
            <w:r>
              <w:rPr>
                <w:spacing w:val="-12"/>
                <w:sz w:val="21"/>
              </w:rPr>
              <w:t>，且确诊 </w:t>
            </w:r>
            <w:r>
              <w:rPr>
                <w:spacing w:val="-1"/>
                <w:sz w:val="21"/>
              </w:rPr>
              <w:t>1</w:t>
            </w:r>
            <w:r>
              <w:rPr>
                <w:sz w:val="21"/>
              </w:rPr>
              <w:t>5</w:t>
            </w:r>
            <w:r>
              <w:rPr>
                <w:spacing w:val="-8"/>
                <w:sz w:val="21"/>
              </w:rPr>
              <w:t> 天后仍生存，自被保险人确诊之日起，</w:t>
            </w:r>
            <w:r>
              <w:rPr>
                <w:spacing w:val="-7"/>
                <w:sz w:val="21"/>
              </w:rPr>
              <w:t>本公司豁免主险合同交费期内的主险合同及本公司同意承保的其他附加险合同的以后各期保险费，本附加险合同终止。</w:t>
            </w:r>
          </w:p>
          <w:p>
            <w:pPr>
              <w:pStyle w:val="TableParagraph"/>
              <w:spacing w:before="7"/>
              <w:ind w:left="208"/>
              <w:rPr>
                <w:sz w:val="21"/>
              </w:rPr>
            </w:pPr>
            <w:r>
              <w:rPr>
                <w:sz w:val="21"/>
              </w:rPr>
              <w:t>豁免期间至下列任何一种情形发生之日止：</w:t>
            </w:r>
          </w:p>
          <w:p>
            <w:pPr>
              <w:pStyle w:val="TableParagraph"/>
              <w:spacing w:before="37"/>
              <w:ind w:left="208"/>
              <w:rPr>
                <w:sz w:val="21"/>
              </w:rPr>
            </w:pPr>
            <w:r>
              <w:rPr>
                <w:sz w:val="21"/>
              </w:rPr>
              <w:t>（1）主险合同被保险人身故；</w:t>
            </w:r>
          </w:p>
          <w:p>
            <w:pPr>
              <w:pStyle w:val="TableParagraph"/>
              <w:spacing w:before="37"/>
              <w:ind w:left="208"/>
              <w:rPr>
                <w:sz w:val="21"/>
              </w:rPr>
            </w:pPr>
            <w:r>
              <w:rPr>
                <w:sz w:val="21"/>
              </w:rPr>
              <w:t>（2）本附加险合同保险满期。</w:t>
            </w:r>
          </w:p>
        </w:tc>
      </w:tr>
      <w:tr>
        <w:trPr>
          <w:trHeight w:val="5688" w:hRule="atLeast"/>
        </w:trPr>
        <w:tc>
          <w:tcPr>
            <w:tcW w:w="759" w:type="dxa"/>
          </w:tcPr>
          <w:p>
            <w:pPr>
              <w:pStyle w:val="TableParagraph"/>
              <w:spacing w:before="142"/>
              <w:ind w:left="106"/>
              <w:rPr>
                <w:b/>
                <w:sz w:val="21"/>
              </w:rPr>
            </w:pPr>
            <w:r>
              <w:rPr>
                <w:b/>
                <w:sz w:val="21"/>
              </w:rPr>
              <w:t>2.2</w:t>
            </w:r>
          </w:p>
        </w:tc>
        <w:tc>
          <w:tcPr>
            <w:tcW w:w="1660" w:type="dxa"/>
          </w:tcPr>
          <w:p>
            <w:pPr>
              <w:pStyle w:val="TableParagraph"/>
              <w:spacing w:before="142"/>
              <w:ind w:left="188"/>
              <w:rPr>
                <w:rFonts w:ascii="黑体" w:eastAsia="黑体" w:hint="eastAsia"/>
                <w:b/>
                <w:sz w:val="21"/>
              </w:rPr>
            </w:pPr>
            <w:r>
              <w:rPr>
                <w:rFonts w:ascii="黑体" w:eastAsia="黑体" w:hint="eastAsia"/>
                <w:b/>
                <w:sz w:val="21"/>
              </w:rPr>
              <w:t>责任免除</w:t>
            </w:r>
          </w:p>
        </w:tc>
        <w:tc>
          <w:tcPr>
            <w:tcW w:w="6924" w:type="dxa"/>
          </w:tcPr>
          <w:p>
            <w:pPr>
              <w:pStyle w:val="TableParagraph"/>
              <w:spacing w:line="273" w:lineRule="auto" w:before="142"/>
              <w:ind w:left="208" w:right="115"/>
              <w:rPr>
                <w:rFonts w:ascii="黑体" w:eastAsia="黑体" w:hint="eastAsia"/>
                <w:sz w:val="21"/>
              </w:rPr>
            </w:pPr>
            <w:r>
              <w:rPr>
                <w:rFonts w:ascii="黑体" w:eastAsia="黑体" w:hint="eastAsia"/>
                <w:sz w:val="21"/>
              </w:rPr>
              <w:t>因下列情形之一，导致被保险人初次发Th疾病、达到疾病状态或进行手术的，我们不承担保险费豁免的责任：</w:t>
            </w:r>
          </w:p>
          <w:p>
            <w:pPr>
              <w:pStyle w:val="TableParagraph"/>
              <w:numPr>
                <w:ilvl w:val="0"/>
                <w:numId w:val="2"/>
              </w:numPr>
              <w:tabs>
                <w:tab w:pos="839" w:val="left" w:leader="none"/>
              </w:tabs>
              <w:spacing w:line="240" w:lineRule="auto" w:before="7" w:after="0"/>
              <w:ind w:left="838" w:right="0" w:hanging="630"/>
              <w:jc w:val="left"/>
              <w:rPr>
                <w:rFonts w:ascii="黑体" w:eastAsia="黑体" w:hint="eastAsia"/>
                <w:sz w:val="21"/>
              </w:rPr>
            </w:pPr>
            <w:r>
              <w:rPr>
                <w:rFonts w:ascii="黑体" w:eastAsia="黑体" w:hint="eastAsia"/>
                <w:sz w:val="21"/>
              </w:rPr>
              <w:t>投保人对被保险人的故意杀害、故意伤害；</w:t>
            </w:r>
          </w:p>
          <w:p>
            <w:pPr>
              <w:pStyle w:val="TableParagraph"/>
              <w:numPr>
                <w:ilvl w:val="0"/>
                <w:numId w:val="2"/>
              </w:numPr>
              <w:tabs>
                <w:tab w:pos="839" w:val="left" w:leader="none"/>
              </w:tabs>
              <w:spacing w:line="240" w:lineRule="auto" w:before="36" w:after="0"/>
              <w:ind w:left="838" w:right="0" w:hanging="630"/>
              <w:jc w:val="left"/>
              <w:rPr>
                <w:rFonts w:ascii="黑体" w:eastAsia="黑体" w:hint="eastAsia"/>
                <w:sz w:val="21"/>
              </w:rPr>
            </w:pPr>
            <w:r>
              <w:rPr>
                <w:rFonts w:ascii="黑体" w:eastAsia="黑体" w:hint="eastAsia"/>
                <w:sz w:val="21"/>
              </w:rPr>
              <w:t>被保险人故意自伤、故意犯罪或抗拒依法采取的刑事强制措施；</w:t>
            </w:r>
          </w:p>
          <w:p>
            <w:pPr>
              <w:pStyle w:val="TableParagraph"/>
              <w:numPr>
                <w:ilvl w:val="0"/>
                <w:numId w:val="2"/>
              </w:numPr>
              <w:tabs>
                <w:tab w:pos="839" w:val="left" w:leader="none"/>
              </w:tabs>
              <w:spacing w:line="240" w:lineRule="auto" w:before="36" w:after="0"/>
              <w:ind w:left="838" w:right="0" w:hanging="630"/>
              <w:jc w:val="left"/>
              <w:rPr>
                <w:rFonts w:ascii="黑体" w:eastAsia="黑体" w:hint="eastAsia"/>
                <w:sz w:val="21"/>
              </w:rPr>
            </w:pPr>
            <w:r>
              <w:rPr>
                <w:rFonts w:ascii="黑体" w:eastAsia="黑体" w:hint="eastAsia"/>
                <w:sz w:val="21"/>
              </w:rPr>
              <w:t>被保险人服用、吸食或注射</w:t>
            </w:r>
            <w:r>
              <w:rPr>
                <w:rFonts w:ascii="黑体" w:eastAsia="黑体" w:hint="eastAsia"/>
                <w:b/>
                <w:sz w:val="21"/>
              </w:rPr>
              <w:t>毒品</w:t>
            </w:r>
            <w:r>
              <w:rPr>
                <w:rFonts w:ascii="黑体" w:eastAsia="黑体" w:hint="eastAsia"/>
                <w:sz w:val="21"/>
              </w:rPr>
              <w:t>；</w:t>
            </w:r>
          </w:p>
          <w:p>
            <w:pPr>
              <w:pStyle w:val="TableParagraph"/>
              <w:numPr>
                <w:ilvl w:val="0"/>
                <w:numId w:val="2"/>
              </w:numPr>
              <w:tabs>
                <w:tab w:pos="849" w:val="left" w:leader="none"/>
              </w:tabs>
              <w:spacing w:line="273" w:lineRule="auto" w:before="36" w:after="0"/>
              <w:ind w:left="838" w:right="103" w:hanging="630"/>
              <w:jc w:val="left"/>
              <w:rPr>
                <w:rFonts w:ascii="黑体" w:eastAsia="黑体" w:hint="eastAsia"/>
                <w:sz w:val="21"/>
              </w:rPr>
            </w:pPr>
            <w:r>
              <w:rPr>
                <w:rFonts w:ascii="黑体" w:eastAsia="黑体" w:hint="eastAsia"/>
                <w:sz w:val="21"/>
              </w:rPr>
              <w:t>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pStyle w:val="TableParagraph"/>
              <w:numPr>
                <w:ilvl w:val="0"/>
                <w:numId w:val="2"/>
              </w:numPr>
              <w:tabs>
                <w:tab w:pos="839" w:val="left" w:leader="none"/>
              </w:tabs>
              <w:spacing w:line="240" w:lineRule="auto" w:before="7" w:after="0"/>
              <w:ind w:left="838" w:right="0" w:hanging="630"/>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p>
          <w:p>
            <w:pPr>
              <w:pStyle w:val="TableParagraph"/>
              <w:numPr>
                <w:ilvl w:val="0"/>
                <w:numId w:val="2"/>
              </w:numPr>
              <w:tabs>
                <w:tab w:pos="839" w:val="left" w:leader="none"/>
              </w:tabs>
              <w:spacing w:line="240" w:lineRule="auto" w:before="37" w:after="0"/>
              <w:ind w:left="838" w:right="0" w:hanging="630"/>
              <w:jc w:val="left"/>
              <w:rPr>
                <w:rFonts w:ascii="黑体" w:eastAsia="黑体" w:hint="eastAsia"/>
                <w:sz w:val="21"/>
              </w:rPr>
            </w:pPr>
            <w:r>
              <w:rPr>
                <w:rFonts w:ascii="黑体" w:eastAsia="黑体" w:hint="eastAsia"/>
                <w:sz w:val="21"/>
              </w:rPr>
              <w:t>战争、军事冲突、暴乱或武装叛乱；</w:t>
            </w:r>
          </w:p>
          <w:p>
            <w:pPr>
              <w:pStyle w:val="TableParagraph"/>
              <w:numPr>
                <w:ilvl w:val="0"/>
                <w:numId w:val="2"/>
              </w:numPr>
              <w:tabs>
                <w:tab w:pos="839" w:val="left" w:leader="none"/>
              </w:tabs>
              <w:spacing w:line="240" w:lineRule="auto" w:before="37" w:after="0"/>
              <w:ind w:left="838" w:right="0" w:hanging="630"/>
              <w:jc w:val="left"/>
              <w:rPr>
                <w:rFonts w:ascii="黑体" w:eastAsia="黑体" w:hint="eastAsia"/>
                <w:sz w:val="21"/>
              </w:rPr>
            </w:pPr>
            <w:r>
              <w:rPr>
                <w:rFonts w:ascii="黑体" w:eastAsia="黑体" w:hint="eastAsia"/>
                <w:sz w:val="21"/>
              </w:rPr>
              <w:t>核爆炸、核辐射或核污染；</w:t>
            </w:r>
          </w:p>
          <w:p>
            <w:pPr>
              <w:pStyle w:val="TableParagraph"/>
              <w:numPr>
                <w:ilvl w:val="0"/>
                <w:numId w:val="2"/>
              </w:numPr>
              <w:tabs>
                <w:tab w:pos="839" w:val="left" w:leader="none"/>
              </w:tabs>
              <w:spacing w:line="240" w:lineRule="auto" w:before="37" w:after="0"/>
              <w:ind w:left="838" w:right="0" w:hanging="630"/>
              <w:jc w:val="left"/>
              <w:rPr>
                <w:rFonts w:ascii="黑体" w:eastAsia="黑体" w:hint="eastAsia"/>
                <w:sz w:val="21"/>
              </w:rPr>
            </w:pP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TableParagraph"/>
              <w:spacing w:before="8"/>
              <w:rPr>
                <w:rFonts w:ascii="Times New Roman"/>
                <w:sz w:val="16"/>
              </w:rPr>
            </w:pPr>
          </w:p>
          <w:p>
            <w:pPr>
              <w:pStyle w:val="TableParagraph"/>
              <w:spacing w:line="273" w:lineRule="auto" w:before="1"/>
              <w:ind w:left="208" w:right="106"/>
              <w:jc w:val="both"/>
              <w:rPr>
                <w:rFonts w:ascii="黑体" w:eastAsia="黑体" w:hint="eastAsia"/>
                <w:sz w:val="21"/>
              </w:rPr>
            </w:pPr>
            <w:r>
              <w:rPr>
                <w:rFonts w:ascii="黑体" w:eastAsia="黑体" w:hint="eastAsia"/>
                <w:spacing w:val="-1"/>
                <w:sz w:val="21"/>
              </w:rPr>
              <w:t>发</w:t>
            </w:r>
            <w:r>
              <w:rPr>
                <w:rFonts w:ascii="黑体" w:eastAsia="黑体" w:hint="eastAsia"/>
                <w:sz w:val="21"/>
              </w:rPr>
              <w:t>Th</w:t>
            </w:r>
            <w:r>
              <w:rPr>
                <w:rFonts w:ascii="黑体" w:eastAsia="黑体" w:hint="eastAsia"/>
                <w:spacing w:val="-1"/>
                <w:sz w:val="21"/>
              </w:rPr>
              <w:t>上述第</w:t>
            </w:r>
            <w:r>
              <w:rPr>
                <w:rFonts w:ascii="黑体" w:eastAsia="黑体" w:hint="eastAsia"/>
                <w:sz w:val="21"/>
              </w:rPr>
              <w:t>（1）项情形导致被保险人发Th</w:t>
            </w:r>
            <w:r>
              <w:rPr>
                <w:rFonts w:ascii="黑体" w:eastAsia="黑体" w:hint="eastAsia"/>
                <w:spacing w:val="-1"/>
                <w:sz w:val="21"/>
              </w:rPr>
              <w:t>重大疾病的，本附加险合同终止，您已交足两年以上保险费的，我们向其他权利人退还本附加险合同</w:t>
            </w:r>
            <w:r>
              <w:rPr>
                <w:rFonts w:ascii="黑体" w:eastAsia="黑体" w:hint="eastAsia"/>
                <w:spacing w:val="-1"/>
                <w:w w:val="95"/>
                <w:sz w:val="21"/>
              </w:rPr>
              <w:t>的</w:t>
            </w:r>
            <w:r>
              <w:rPr>
                <w:rFonts w:ascii="黑体" w:eastAsia="黑体" w:hint="eastAsia"/>
                <w:b/>
                <w:spacing w:val="-1"/>
                <w:w w:val="95"/>
                <w:sz w:val="21"/>
              </w:rPr>
              <w:t>现金价值</w:t>
            </w:r>
            <w:r>
              <w:rPr>
                <w:rFonts w:ascii="黑体" w:eastAsia="黑体" w:hint="eastAsia"/>
                <w:spacing w:val="-1"/>
                <w:w w:val="95"/>
                <w:sz w:val="21"/>
              </w:rPr>
              <w:t>。</w:t>
            </w:r>
          </w:p>
          <w:p>
            <w:pPr>
              <w:pStyle w:val="TableParagraph"/>
              <w:spacing w:line="273" w:lineRule="auto" w:before="164"/>
              <w:ind w:left="208" w:right="112"/>
              <w:rPr>
                <w:rFonts w:ascii="黑体" w:eastAsia="黑体" w:hint="eastAsia"/>
                <w:sz w:val="21"/>
              </w:rPr>
            </w:pPr>
            <w:r>
              <w:rPr>
                <w:rFonts w:ascii="黑体" w:eastAsia="黑体" w:hint="eastAsia"/>
                <w:sz w:val="21"/>
              </w:rPr>
              <w:t>发Th上述其他情形导致被保险人发Th重大疾病的，本附加险合同终止， 我们向投保人退还本附加险合同的现金价值。</w:t>
            </w:r>
          </w:p>
        </w:tc>
      </w:tr>
      <w:tr>
        <w:trPr>
          <w:trHeight w:val="864" w:hRule="atLeast"/>
        </w:trPr>
        <w:tc>
          <w:tcPr>
            <w:tcW w:w="759" w:type="dxa"/>
            <w:tcBorders>
              <w:bottom w:val="single" w:sz="4" w:space="0" w:color="000000"/>
            </w:tcBorders>
          </w:tcPr>
          <w:p>
            <w:pPr>
              <w:pStyle w:val="TableParagraph"/>
              <w:spacing w:before="229"/>
              <w:ind w:left="106"/>
              <w:rPr>
                <w:rFonts w:ascii="Arial" w:hAnsi="Arial"/>
                <w:b/>
                <w:sz w:val="52"/>
              </w:rPr>
            </w:pPr>
            <w:r>
              <w:rPr>
                <w:rFonts w:ascii="Arial" w:hAnsi="Arial"/>
                <w:b/>
                <w:w w:val="118"/>
                <w:sz w:val="52"/>
              </w:rPr>
              <w:t></w:t>
            </w:r>
          </w:p>
        </w:tc>
        <w:tc>
          <w:tcPr>
            <w:tcW w:w="8584" w:type="dxa"/>
            <w:gridSpan w:val="2"/>
            <w:tcBorders>
              <w:bottom w:val="single" w:sz="4" w:space="0" w:color="000000"/>
            </w:tcBorders>
          </w:tcPr>
          <w:p>
            <w:pPr>
              <w:pStyle w:val="TableParagraph"/>
              <w:spacing w:before="3"/>
              <w:rPr>
                <w:rFonts w:ascii="Times New Roman"/>
                <w:sz w:val="28"/>
              </w:rPr>
            </w:pPr>
          </w:p>
          <w:p>
            <w:pPr>
              <w:pStyle w:val="TableParagraph"/>
              <w:ind w:left="188"/>
              <w:rPr>
                <w:b/>
                <w:sz w:val="28"/>
              </w:rPr>
            </w:pPr>
            <w:r>
              <w:rPr>
                <w:b/>
                <w:w w:val="95"/>
                <w:sz w:val="28"/>
              </w:rPr>
              <w:t>如何申请保险费豁免</w:t>
            </w:r>
          </w:p>
        </w:tc>
      </w:tr>
      <w:tr>
        <w:trPr>
          <w:trHeight w:val="2340" w:hRule="atLeast"/>
        </w:trPr>
        <w:tc>
          <w:tcPr>
            <w:tcW w:w="759" w:type="dxa"/>
            <w:tcBorders>
              <w:top w:val="single" w:sz="4" w:space="0" w:color="000000"/>
            </w:tcBorders>
          </w:tcPr>
          <w:p>
            <w:pPr>
              <w:pStyle w:val="TableParagraph"/>
              <w:spacing w:before="10"/>
              <w:rPr>
                <w:rFonts w:ascii="Times New Roman"/>
                <w:sz w:val="25"/>
              </w:rPr>
            </w:pPr>
          </w:p>
          <w:p>
            <w:pPr>
              <w:pStyle w:val="TableParagraph"/>
              <w:ind w:left="106"/>
              <w:rPr>
                <w:b/>
                <w:sz w:val="21"/>
              </w:rPr>
            </w:pPr>
            <w:r>
              <w:rPr>
                <w:b/>
                <w:sz w:val="21"/>
              </w:rPr>
              <w:t>3.1</w:t>
            </w:r>
          </w:p>
        </w:tc>
        <w:tc>
          <w:tcPr>
            <w:tcW w:w="1660" w:type="dxa"/>
            <w:tcBorders>
              <w:top w:val="single" w:sz="4" w:space="0" w:color="000000"/>
            </w:tcBorders>
          </w:tcPr>
          <w:p>
            <w:pPr>
              <w:pStyle w:val="TableParagraph"/>
              <w:spacing w:before="10"/>
              <w:rPr>
                <w:rFonts w:ascii="Times New Roman"/>
                <w:sz w:val="25"/>
              </w:rPr>
            </w:pPr>
          </w:p>
          <w:p>
            <w:pPr>
              <w:pStyle w:val="TableParagraph"/>
              <w:ind w:left="188"/>
              <w:rPr>
                <w:b/>
                <w:sz w:val="21"/>
              </w:rPr>
            </w:pPr>
            <w:r>
              <w:rPr>
                <w:b/>
                <w:w w:val="95"/>
                <w:sz w:val="21"/>
              </w:rPr>
              <w:t>保险事故通知</w:t>
            </w:r>
          </w:p>
        </w:tc>
        <w:tc>
          <w:tcPr>
            <w:tcW w:w="6924" w:type="dxa"/>
            <w:tcBorders>
              <w:top w:val="single" w:sz="4" w:space="0" w:color="000000"/>
            </w:tcBorders>
          </w:tcPr>
          <w:p>
            <w:pPr>
              <w:pStyle w:val="TableParagraph"/>
              <w:spacing w:before="10"/>
              <w:rPr>
                <w:rFonts w:ascii="Times New Roman"/>
                <w:sz w:val="25"/>
              </w:rPr>
            </w:pPr>
          </w:p>
          <w:p>
            <w:pPr>
              <w:pStyle w:val="TableParagraph"/>
              <w:ind w:left="208"/>
              <w:rPr>
                <w:sz w:val="21"/>
              </w:rPr>
            </w:pPr>
            <w:r>
              <w:rPr>
                <w:sz w:val="21"/>
              </w:rPr>
              <w:t>您或被保险人应在知道保险事故发生之日起 10 日内通知我们。</w:t>
            </w:r>
          </w:p>
          <w:p>
            <w:pPr>
              <w:pStyle w:val="TableParagraph"/>
              <w:spacing w:line="273" w:lineRule="auto" w:before="36"/>
              <w:ind w:left="208" w:right="108"/>
              <w:jc w:val="both"/>
              <w:rPr>
                <w:sz w:val="21"/>
              </w:rPr>
            </w:pPr>
            <w:r>
              <w:rPr>
                <w:sz w:val="21"/>
              </w:rPr>
              <w:t>如果您或被保险人故意或者因重大过失未及时通知，致使保险事故的性质、原因、损失程度等难以确定的，我们对无法确定的部分，不承担豁免保险费的责任，但我们通过其他途径已经及时知道或者应当及时知道保险事故发生或者虽未及时通知但不影响本公司确定保险事故的性质、原因、损失程度的除外。</w:t>
            </w:r>
          </w:p>
        </w:tc>
      </w:tr>
      <w:tr>
        <w:trPr>
          <w:trHeight w:val="729" w:hRule="atLeast"/>
        </w:trPr>
        <w:tc>
          <w:tcPr>
            <w:tcW w:w="759" w:type="dxa"/>
          </w:tcPr>
          <w:p>
            <w:pPr>
              <w:pStyle w:val="TableParagraph"/>
              <w:spacing w:before="142"/>
              <w:ind w:left="106"/>
              <w:rPr>
                <w:b/>
                <w:sz w:val="21"/>
              </w:rPr>
            </w:pPr>
            <w:r>
              <w:rPr>
                <w:b/>
                <w:sz w:val="21"/>
              </w:rPr>
              <w:t>3.2</w:t>
            </w:r>
          </w:p>
        </w:tc>
        <w:tc>
          <w:tcPr>
            <w:tcW w:w="1660" w:type="dxa"/>
          </w:tcPr>
          <w:p>
            <w:pPr>
              <w:pStyle w:val="TableParagraph"/>
              <w:spacing w:line="310" w:lineRule="atLeast" w:before="107"/>
              <w:ind w:left="188" w:right="206"/>
              <w:rPr>
                <w:b/>
                <w:sz w:val="21"/>
              </w:rPr>
            </w:pPr>
            <w:r>
              <w:rPr>
                <w:b/>
                <w:sz w:val="21"/>
              </w:rPr>
              <w:t>保险费豁免申请</w:t>
            </w:r>
          </w:p>
        </w:tc>
        <w:tc>
          <w:tcPr>
            <w:tcW w:w="6924" w:type="dxa"/>
          </w:tcPr>
          <w:p>
            <w:pPr>
              <w:pStyle w:val="TableParagraph"/>
              <w:spacing w:before="142"/>
              <w:ind w:left="208"/>
              <w:rPr>
                <w:sz w:val="21"/>
              </w:rPr>
            </w:pPr>
            <w:r>
              <w:rPr>
                <w:sz w:val="21"/>
              </w:rPr>
              <w:t>在申请保险费豁免时，请按照下列方式办理：</w:t>
            </w:r>
          </w:p>
        </w:tc>
      </w:tr>
    </w:tbl>
    <w:p>
      <w:pPr>
        <w:spacing w:after="0"/>
        <w:rPr>
          <w:sz w:val="21"/>
        </w:rPr>
        <w:sectPr>
          <w:pgSz w:w="11910" w:h="16840"/>
          <w:pgMar w:header="899" w:footer="995" w:top="1220" w:bottom="1180" w:left="1200" w:right="1040"/>
        </w:sectPr>
      </w:pPr>
    </w:p>
    <w:p>
      <w:pPr>
        <w:pStyle w:val="BodyText"/>
        <w:spacing w:before="4" w:after="1"/>
        <w:rPr>
          <w:rFonts w:ascii="Times New Roman"/>
          <w:sz w:val="28"/>
        </w:r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660"/>
        <w:gridCol w:w="6924"/>
      </w:tblGrid>
      <w:tr>
        <w:trPr>
          <w:trHeight w:val="2288" w:hRule="atLeast"/>
        </w:trPr>
        <w:tc>
          <w:tcPr>
            <w:tcW w:w="759" w:type="dxa"/>
          </w:tcPr>
          <w:p>
            <w:pPr>
              <w:pStyle w:val="TableParagraph"/>
              <w:rPr>
                <w:rFonts w:ascii="Times New Roman"/>
                <w:sz w:val="20"/>
              </w:rPr>
            </w:pPr>
          </w:p>
        </w:tc>
        <w:tc>
          <w:tcPr>
            <w:tcW w:w="1660" w:type="dxa"/>
          </w:tcPr>
          <w:p>
            <w:pPr>
              <w:pStyle w:val="TableParagraph"/>
              <w:spacing w:line="408" w:lineRule="auto" w:before="34"/>
              <w:ind w:left="188" w:right="209"/>
              <w:rPr>
                <w:rFonts w:ascii="Microsoft JhengHei" w:eastAsia="Microsoft JhengHei" w:hint="eastAsia"/>
                <w:b/>
                <w:sz w:val="21"/>
              </w:rPr>
            </w:pPr>
            <w:r>
              <w:rPr>
                <w:rFonts w:ascii="Microsoft JhengHei" w:eastAsia="Microsoft JhengHei" w:hint="eastAsia"/>
                <w:b/>
                <w:sz w:val="21"/>
              </w:rPr>
              <w:t>重大疾病保险费豁免申请</w:t>
            </w:r>
          </w:p>
        </w:tc>
        <w:tc>
          <w:tcPr>
            <w:tcW w:w="6924" w:type="dxa"/>
          </w:tcPr>
          <w:p>
            <w:pPr>
              <w:pStyle w:val="TableParagraph"/>
              <w:spacing w:line="210" w:lineRule="exact"/>
              <w:ind w:left="208"/>
              <w:rPr>
                <w:sz w:val="21"/>
              </w:rPr>
            </w:pPr>
            <w:r>
              <w:rPr>
                <w:sz w:val="21"/>
              </w:rPr>
              <w:t>由被保险人作为申请人填写保险费豁免申请书，并须提供下列证明和资</w:t>
            </w:r>
          </w:p>
          <w:p>
            <w:pPr>
              <w:pStyle w:val="TableParagraph"/>
              <w:spacing w:before="36"/>
              <w:ind w:left="208"/>
              <w:rPr>
                <w:sz w:val="21"/>
              </w:rPr>
            </w:pPr>
            <w:r>
              <w:rPr>
                <w:sz w:val="21"/>
              </w:rPr>
              <w:t>料：</w:t>
            </w:r>
          </w:p>
          <w:p>
            <w:pPr>
              <w:pStyle w:val="TableParagraph"/>
              <w:spacing w:before="37"/>
              <w:ind w:left="208"/>
              <w:rPr>
                <w:sz w:val="21"/>
              </w:rPr>
            </w:pPr>
            <w:r>
              <w:rPr>
                <w:sz w:val="21"/>
              </w:rPr>
              <w:t>（1）保险合同；</w:t>
            </w:r>
          </w:p>
          <w:p>
            <w:pPr>
              <w:pStyle w:val="TableParagraph"/>
              <w:spacing w:before="37"/>
              <w:ind w:left="208"/>
              <w:rPr>
                <w:sz w:val="21"/>
              </w:rPr>
            </w:pPr>
            <w:r>
              <w:rPr>
                <w:sz w:val="21"/>
              </w:rPr>
              <w:t>（2）申请人的有效身份证件；</w:t>
            </w:r>
          </w:p>
          <w:p>
            <w:pPr>
              <w:pStyle w:val="TableParagraph"/>
              <w:spacing w:line="273" w:lineRule="auto" w:before="37"/>
              <w:ind w:left="696" w:right="62" w:hanging="489"/>
              <w:rPr>
                <w:sz w:val="21"/>
              </w:rPr>
            </w:pPr>
            <w:r>
              <w:rPr>
                <w:sz w:val="21"/>
              </w:rPr>
              <w:t>（3）</w:t>
            </w:r>
            <w:r>
              <w:rPr>
                <w:b/>
                <w:sz w:val="21"/>
              </w:rPr>
              <w:t>医院</w:t>
            </w:r>
            <w:r>
              <w:rPr>
                <w:sz w:val="21"/>
              </w:rPr>
              <w:t>出具的附有病理显微镜检查、血液检验及其他科学方法检验报告的被保险人疾病诊断证明；</w:t>
            </w:r>
          </w:p>
          <w:p>
            <w:pPr>
              <w:pStyle w:val="TableParagraph"/>
              <w:spacing w:before="7"/>
              <w:ind w:left="208"/>
              <w:rPr>
                <w:sz w:val="21"/>
              </w:rPr>
            </w:pPr>
            <w:r>
              <w:rPr>
                <w:sz w:val="21"/>
              </w:rPr>
              <w:t>（4）所能提供的与确认保险事故性质、原因等有关的其他证明和资料。</w:t>
            </w:r>
          </w:p>
        </w:tc>
      </w:tr>
      <w:tr>
        <w:trPr>
          <w:trHeight w:val="1092" w:hRule="atLeast"/>
        </w:trPr>
        <w:tc>
          <w:tcPr>
            <w:tcW w:w="759" w:type="dxa"/>
          </w:tcPr>
          <w:p>
            <w:pPr>
              <w:pStyle w:val="TableParagraph"/>
              <w:rPr>
                <w:rFonts w:ascii="Times New Roman"/>
                <w:sz w:val="20"/>
              </w:rPr>
            </w:pPr>
          </w:p>
        </w:tc>
        <w:tc>
          <w:tcPr>
            <w:tcW w:w="1660" w:type="dxa"/>
          </w:tcPr>
          <w:p>
            <w:pPr>
              <w:pStyle w:val="TableParagraph"/>
              <w:rPr>
                <w:rFonts w:ascii="Times New Roman"/>
                <w:sz w:val="20"/>
              </w:rPr>
            </w:pPr>
          </w:p>
        </w:tc>
        <w:tc>
          <w:tcPr>
            <w:tcW w:w="6924" w:type="dxa"/>
          </w:tcPr>
          <w:p>
            <w:pPr>
              <w:pStyle w:val="TableParagraph"/>
              <w:spacing w:line="273" w:lineRule="auto" w:before="142"/>
              <w:ind w:left="208" w:right="108"/>
              <w:rPr>
                <w:sz w:val="21"/>
              </w:rPr>
            </w:pPr>
            <w:r>
              <w:rPr>
                <w:sz w:val="21"/>
              </w:rPr>
              <w:t>以上重大疾病保险费豁免申请所需证明和资料不完整的，我们将及时一次性书面通知申请人补充提供有关的证明和资料。</w:t>
            </w:r>
          </w:p>
        </w:tc>
      </w:tr>
      <w:tr>
        <w:trPr>
          <w:trHeight w:val="3897" w:hRule="atLeast"/>
        </w:trPr>
        <w:tc>
          <w:tcPr>
            <w:tcW w:w="759" w:type="dxa"/>
          </w:tcPr>
          <w:p>
            <w:pPr>
              <w:pStyle w:val="TableParagraph"/>
              <w:spacing w:before="10"/>
              <w:rPr>
                <w:rFonts w:ascii="Times New Roman"/>
                <w:sz w:val="25"/>
              </w:rPr>
            </w:pPr>
          </w:p>
          <w:p>
            <w:pPr>
              <w:pStyle w:val="TableParagraph"/>
              <w:ind w:left="106"/>
              <w:rPr>
                <w:b/>
                <w:sz w:val="21"/>
              </w:rPr>
            </w:pPr>
            <w:r>
              <w:rPr>
                <w:b/>
                <w:sz w:val="21"/>
              </w:rPr>
              <w:t>3.3</w:t>
            </w:r>
          </w:p>
        </w:tc>
        <w:tc>
          <w:tcPr>
            <w:tcW w:w="1660" w:type="dxa"/>
          </w:tcPr>
          <w:p>
            <w:pPr>
              <w:pStyle w:val="TableParagraph"/>
              <w:spacing w:before="10"/>
              <w:rPr>
                <w:rFonts w:ascii="Times New Roman"/>
                <w:sz w:val="25"/>
              </w:rPr>
            </w:pPr>
          </w:p>
          <w:p>
            <w:pPr>
              <w:pStyle w:val="TableParagraph"/>
              <w:ind w:left="188"/>
              <w:rPr>
                <w:b/>
                <w:sz w:val="21"/>
              </w:rPr>
            </w:pPr>
            <w:r>
              <w:rPr>
                <w:b/>
                <w:w w:val="95"/>
                <w:sz w:val="21"/>
              </w:rPr>
              <w:t>保险费的豁免</w:t>
            </w:r>
          </w:p>
        </w:tc>
        <w:tc>
          <w:tcPr>
            <w:tcW w:w="6924" w:type="dxa"/>
          </w:tcPr>
          <w:p>
            <w:pPr>
              <w:pStyle w:val="TableParagraph"/>
              <w:spacing w:before="10"/>
              <w:rPr>
                <w:rFonts w:ascii="Times New Roman"/>
                <w:sz w:val="25"/>
              </w:rPr>
            </w:pPr>
          </w:p>
          <w:p>
            <w:pPr>
              <w:pStyle w:val="TableParagraph"/>
              <w:ind w:left="208"/>
              <w:rPr>
                <w:sz w:val="21"/>
              </w:rPr>
            </w:pPr>
            <w:r>
              <w:rPr>
                <w:sz w:val="21"/>
              </w:rPr>
              <w:t>我们在收到申请人的保险费豁免申请书及有关证明和资料后，将在 5 日</w:t>
            </w:r>
          </w:p>
          <w:p>
            <w:pPr>
              <w:pStyle w:val="TableParagraph"/>
              <w:spacing w:before="36"/>
              <w:ind w:left="208"/>
              <w:rPr>
                <w:sz w:val="21"/>
              </w:rPr>
            </w:pPr>
            <w:r>
              <w:rPr>
                <w:sz w:val="21"/>
              </w:rPr>
              <w:t>内作出核定；情形复杂的，在 30 日内作出核定。</w:t>
            </w:r>
          </w:p>
          <w:p>
            <w:pPr>
              <w:pStyle w:val="TableParagraph"/>
              <w:spacing w:line="273" w:lineRule="auto" w:before="36"/>
              <w:ind w:left="208" w:right="98"/>
              <w:jc w:val="both"/>
              <w:rPr>
                <w:sz w:val="21"/>
              </w:rPr>
            </w:pPr>
            <w:r>
              <w:rPr>
                <w:spacing w:val="-2"/>
                <w:sz w:val="21"/>
              </w:rPr>
              <w:t>对属于保险责任的，我们在与申请人达成豁免保险费的协议后 </w:t>
            </w:r>
            <w:r>
              <w:rPr>
                <w:sz w:val="21"/>
              </w:rPr>
              <w:t>10</w:t>
            </w:r>
            <w:r>
              <w:rPr>
                <w:spacing w:val="-14"/>
                <w:sz w:val="21"/>
              </w:rPr>
              <w:t> 日内， 履行豁免保险费义务。</w:t>
            </w:r>
          </w:p>
          <w:p>
            <w:pPr>
              <w:pStyle w:val="TableParagraph"/>
              <w:spacing w:line="273" w:lineRule="auto" w:before="7"/>
              <w:ind w:left="208" w:right="110"/>
              <w:jc w:val="both"/>
              <w:rPr>
                <w:sz w:val="21"/>
              </w:rPr>
            </w:pPr>
            <w:r>
              <w:rPr>
                <w:sz w:val="21"/>
              </w:rPr>
              <w:t>我们未及时履行前款规定义务的，除豁免保险费外，应当赔偿申请人因此受到的损失。</w:t>
            </w:r>
          </w:p>
          <w:p>
            <w:pPr>
              <w:pStyle w:val="TableParagraph"/>
              <w:spacing w:line="273" w:lineRule="auto" w:before="7"/>
              <w:ind w:left="208" w:right="105"/>
              <w:jc w:val="both"/>
              <w:rPr>
                <w:sz w:val="21"/>
              </w:rPr>
            </w:pPr>
            <w:r>
              <w:rPr>
                <w:spacing w:val="-1"/>
                <w:sz w:val="21"/>
              </w:rPr>
              <w:t>对不属于保险责任的，我们自作出核定之日起 </w:t>
            </w:r>
            <w:r>
              <w:rPr>
                <w:sz w:val="21"/>
              </w:rPr>
              <w:t>3</w:t>
            </w:r>
            <w:r>
              <w:rPr>
                <w:spacing w:val="-2"/>
                <w:sz w:val="21"/>
              </w:rPr>
              <w:t> 日内向申请人发出拒绝豁免保险费通知书并说明理由。</w:t>
            </w:r>
          </w:p>
          <w:p>
            <w:pPr>
              <w:pStyle w:val="TableParagraph"/>
              <w:spacing w:line="273" w:lineRule="auto" w:before="7"/>
              <w:ind w:left="208" w:right="108"/>
              <w:jc w:val="both"/>
              <w:rPr>
                <w:sz w:val="21"/>
              </w:rPr>
            </w:pPr>
            <w:r>
              <w:rPr>
                <w:spacing w:val="-3"/>
                <w:sz w:val="21"/>
              </w:rPr>
              <w:t>我们在收到保险费豁免申请书及有关证明和资料之日起 </w:t>
            </w:r>
            <w:r>
              <w:rPr>
                <w:sz w:val="21"/>
              </w:rPr>
              <w:t>60</w:t>
            </w:r>
            <w:r>
              <w:rPr>
                <w:spacing w:val="-10"/>
                <w:sz w:val="21"/>
              </w:rPr>
              <w:t> 日内，对豁免保险费的数额不能确定的，根据已有证明和资料可以确定的数额先予豁免；我们最终确定豁免保险费的数额后，将支付相应的差额。</w:t>
            </w:r>
          </w:p>
        </w:tc>
      </w:tr>
      <w:tr>
        <w:trPr>
          <w:trHeight w:val="933" w:hRule="atLeast"/>
        </w:trPr>
        <w:tc>
          <w:tcPr>
            <w:tcW w:w="759" w:type="dxa"/>
          </w:tcPr>
          <w:p>
            <w:pPr>
              <w:pStyle w:val="TableParagraph"/>
              <w:spacing w:before="145"/>
              <w:ind w:left="106"/>
              <w:rPr>
                <w:b/>
                <w:sz w:val="21"/>
              </w:rPr>
            </w:pPr>
            <w:r>
              <w:rPr>
                <w:b/>
                <w:sz w:val="21"/>
              </w:rPr>
              <w:t>3.4</w:t>
            </w:r>
          </w:p>
        </w:tc>
        <w:tc>
          <w:tcPr>
            <w:tcW w:w="1660" w:type="dxa"/>
          </w:tcPr>
          <w:p>
            <w:pPr>
              <w:pStyle w:val="TableParagraph"/>
              <w:spacing w:before="145"/>
              <w:ind w:left="188"/>
              <w:rPr>
                <w:b/>
                <w:sz w:val="21"/>
              </w:rPr>
            </w:pPr>
            <w:r>
              <w:rPr>
                <w:b/>
                <w:sz w:val="21"/>
              </w:rPr>
              <w:t>诉讼时效</w:t>
            </w:r>
          </w:p>
        </w:tc>
        <w:tc>
          <w:tcPr>
            <w:tcW w:w="6924" w:type="dxa"/>
          </w:tcPr>
          <w:p>
            <w:pPr>
              <w:pStyle w:val="TableParagraph"/>
              <w:spacing w:line="256" w:lineRule="auto" w:before="145"/>
              <w:ind w:left="208" w:right="138"/>
              <w:rPr>
                <w:sz w:val="21"/>
              </w:rPr>
            </w:pPr>
            <w:r>
              <w:rPr>
                <w:sz w:val="21"/>
              </w:rPr>
              <w:t>您或被保险人对我们请求豁免保险费的诉讼时效期间为 </w:t>
            </w:r>
            <w:r>
              <w:rPr>
                <w:rFonts w:ascii="Times New Roman" w:eastAsia="Times New Roman"/>
                <w:sz w:val="21"/>
              </w:rPr>
              <w:t>5 </w:t>
            </w:r>
            <w:r>
              <w:rPr>
                <w:sz w:val="21"/>
              </w:rPr>
              <w:t>年，自其知道或者应当知道保险事故发生之日起计算。</w:t>
            </w:r>
          </w:p>
        </w:tc>
      </w:tr>
      <w:tr>
        <w:trPr>
          <w:trHeight w:val="786" w:hRule="atLeast"/>
        </w:trPr>
        <w:tc>
          <w:tcPr>
            <w:tcW w:w="759" w:type="dxa"/>
            <w:tcBorders>
              <w:bottom w:val="single" w:sz="4" w:space="0" w:color="000000"/>
            </w:tcBorders>
          </w:tcPr>
          <w:p>
            <w:pPr>
              <w:pStyle w:val="TableParagraph"/>
              <w:spacing w:before="172"/>
              <w:ind w:left="106"/>
              <w:rPr>
                <w:rFonts w:ascii="Wingdings" w:hAnsi="Wingdings"/>
                <w:sz w:val="52"/>
              </w:rPr>
            </w:pPr>
            <w:r>
              <w:rPr>
                <w:rFonts w:ascii="Wingdings" w:hAnsi="Wingdings"/>
                <w:w w:val="84"/>
                <w:sz w:val="52"/>
              </w:rPr>
              <w:t></w:t>
            </w:r>
          </w:p>
        </w:tc>
        <w:tc>
          <w:tcPr>
            <w:tcW w:w="8584" w:type="dxa"/>
            <w:gridSpan w:val="2"/>
            <w:tcBorders>
              <w:bottom w:val="single" w:sz="4" w:space="0" w:color="000000"/>
            </w:tcBorders>
          </w:tcPr>
          <w:p>
            <w:pPr>
              <w:pStyle w:val="TableParagraph"/>
              <w:spacing w:before="247"/>
              <w:ind w:left="188"/>
              <w:rPr>
                <w:b/>
                <w:sz w:val="28"/>
              </w:rPr>
            </w:pPr>
            <w:r>
              <w:rPr>
                <w:b/>
                <w:w w:val="95"/>
                <w:sz w:val="28"/>
              </w:rPr>
              <w:t>如何交纳保险费</w:t>
            </w:r>
          </w:p>
        </w:tc>
      </w:tr>
      <w:tr>
        <w:trPr>
          <w:trHeight w:val="2651" w:hRule="atLeast"/>
        </w:trPr>
        <w:tc>
          <w:tcPr>
            <w:tcW w:w="759" w:type="dxa"/>
            <w:tcBorders>
              <w:top w:val="single" w:sz="4" w:space="0" w:color="000000"/>
            </w:tcBorders>
          </w:tcPr>
          <w:p>
            <w:pPr>
              <w:pStyle w:val="TableParagraph"/>
              <w:spacing w:before="10"/>
              <w:rPr>
                <w:rFonts w:ascii="Times New Roman"/>
                <w:sz w:val="25"/>
              </w:rPr>
            </w:pPr>
          </w:p>
          <w:p>
            <w:pPr>
              <w:pStyle w:val="TableParagraph"/>
              <w:ind w:left="106"/>
              <w:rPr>
                <w:b/>
                <w:sz w:val="21"/>
              </w:rPr>
            </w:pPr>
            <w:r>
              <w:rPr>
                <w:b/>
                <w:sz w:val="21"/>
              </w:rPr>
              <w:t>4.1</w:t>
            </w:r>
          </w:p>
        </w:tc>
        <w:tc>
          <w:tcPr>
            <w:tcW w:w="1660" w:type="dxa"/>
            <w:tcBorders>
              <w:top w:val="single" w:sz="4" w:space="0" w:color="000000"/>
            </w:tcBorders>
          </w:tcPr>
          <w:p>
            <w:pPr>
              <w:pStyle w:val="TableParagraph"/>
              <w:spacing w:before="10"/>
              <w:rPr>
                <w:rFonts w:ascii="Times New Roman"/>
                <w:sz w:val="25"/>
              </w:rPr>
            </w:pPr>
          </w:p>
          <w:p>
            <w:pPr>
              <w:pStyle w:val="TableParagraph"/>
              <w:ind w:left="188"/>
              <w:rPr>
                <w:b/>
                <w:sz w:val="21"/>
              </w:rPr>
            </w:pPr>
            <w:r>
              <w:rPr>
                <w:b/>
                <w:w w:val="95"/>
                <w:sz w:val="21"/>
              </w:rPr>
              <w:t>保险费的交纳</w:t>
            </w:r>
          </w:p>
        </w:tc>
        <w:tc>
          <w:tcPr>
            <w:tcW w:w="6924" w:type="dxa"/>
            <w:tcBorders>
              <w:top w:val="single" w:sz="4" w:space="0" w:color="000000"/>
            </w:tcBorders>
          </w:tcPr>
          <w:p>
            <w:pPr>
              <w:pStyle w:val="TableParagraph"/>
              <w:spacing w:before="10"/>
              <w:rPr>
                <w:rFonts w:ascii="Times New Roman"/>
                <w:sz w:val="25"/>
              </w:rPr>
            </w:pPr>
          </w:p>
          <w:p>
            <w:pPr>
              <w:pStyle w:val="TableParagraph"/>
              <w:spacing w:line="273" w:lineRule="auto"/>
              <w:ind w:left="208" w:right="114"/>
              <w:jc w:val="both"/>
              <w:rPr>
                <w:sz w:val="21"/>
              </w:rPr>
            </w:pPr>
            <w:r>
              <w:rPr>
                <w:sz w:val="21"/>
              </w:rPr>
              <w:t>本附加险合同的交费方式和交费期间由您和我们约定并在保险单上载明。</w:t>
            </w:r>
          </w:p>
          <w:p>
            <w:pPr>
              <w:pStyle w:val="TableParagraph"/>
              <w:spacing w:line="273" w:lineRule="auto" w:before="7"/>
              <w:ind w:left="208" w:right="112"/>
              <w:jc w:val="both"/>
              <w:rPr>
                <w:sz w:val="21"/>
              </w:rPr>
            </w:pPr>
            <w:r>
              <w:rPr>
                <w:sz w:val="21"/>
              </w:rPr>
              <w:t>分期交纳保险费的，在交纳首期保险费后，您应当按约定的交费日期交纳其余各期的保险费。本附加险合同的保险费必须随主险合同保险费一同支付，不能单独交纳。</w:t>
            </w:r>
          </w:p>
          <w:p>
            <w:pPr>
              <w:pStyle w:val="TableParagraph"/>
              <w:spacing w:line="273" w:lineRule="auto" w:before="7"/>
              <w:ind w:left="208" w:right="115"/>
              <w:jc w:val="both"/>
              <w:rPr>
                <w:sz w:val="21"/>
              </w:rPr>
            </w:pPr>
            <w:r>
              <w:rPr>
                <w:sz w:val="21"/>
              </w:rPr>
              <w:t>在本附加险合同有效期内，主险合同或其他附加险合同的保险费发生变化的，本附加险合同的保险费也相应调整。</w:t>
            </w:r>
          </w:p>
        </w:tc>
      </w:tr>
      <w:tr>
        <w:trPr>
          <w:trHeight w:val="1665" w:hRule="atLeast"/>
        </w:trPr>
        <w:tc>
          <w:tcPr>
            <w:tcW w:w="759" w:type="dxa"/>
          </w:tcPr>
          <w:p>
            <w:pPr>
              <w:pStyle w:val="TableParagraph"/>
              <w:spacing w:before="142"/>
              <w:ind w:left="106"/>
              <w:rPr>
                <w:b/>
                <w:sz w:val="21"/>
              </w:rPr>
            </w:pPr>
            <w:r>
              <w:rPr>
                <w:b/>
                <w:sz w:val="21"/>
              </w:rPr>
              <w:t>4.2</w:t>
            </w:r>
          </w:p>
        </w:tc>
        <w:tc>
          <w:tcPr>
            <w:tcW w:w="1660" w:type="dxa"/>
          </w:tcPr>
          <w:p>
            <w:pPr>
              <w:pStyle w:val="TableParagraph"/>
              <w:spacing w:before="142"/>
              <w:ind w:left="188"/>
              <w:rPr>
                <w:b/>
                <w:sz w:val="21"/>
              </w:rPr>
            </w:pPr>
            <w:r>
              <w:rPr>
                <w:b/>
                <w:sz w:val="21"/>
              </w:rPr>
              <w:t>宽限期</w:t>
            </w:r>
          </w:p>
        </w:tc>
        <w:tc>
          <w:tcPr>
            <w:tcW w:w="6924" w:type="dxa"/>
          </w:tcPr>
          <w:p>
            <w:pPr>
              <w:pStyle w:val="TableParagraph"/>
              <w:spacing w:line="273" w:lineRule="auto" w:before="142"/>
              <w:ind w:left="208" w:right="108"/>
              <w:jc w:val="both"/>
              <w:rPr>
                <w:sz w:val="21"/>
              </w:rPr>
            </w:pPr>
            <w:r>
              <w:rPr>
                <w:spacing w:val="-3"/>
                <w:sz w:val="21"/>
              </w:rPr>
              <w:t>如果您到期未交纳保险费，自保险单所约定的交费日的次日零时起 </w:t>
            </w:r>
            <w:r>
              <w:rPr>
                <w:sz w:val="21"/>
              </w:rPr>
              <w:t>60</w:t>
            </w:r>
            <w:r>
              <w:rPr>
                <w:spacing w:val="-27"/>
                <w:sz w:val="21"/>
              </w:rPr>
              <w:t> 天为宽限期。宽限期内发生的保险事故，我们仍会承担保险责任，但您应补交所欠的保险费。</w:t>
            </w:r>
          </w:p>
          <w:p>
            <w:pPr>
              <w:pStyle w:val="TableParagraph"/>
              <w:spacing w:line="312" w:lineRule="exact" w:before="3"/>
              <w:ind w:left="208" w:right="1"/>
              <w:rPr>
                <w:sz w:val="21"/>
              </w:rPr>
            </w:pPr>
            <w:r>
              <w:rPr>
                <w:spacing w:val="-1"/>
                <w:sz w:val="21"/>
              </w:rPr>
              <w:t>如果您在宽限期结束之后仍未交纳保险费，除非本附加险合同另有约定， 否则本附加险合同自宽限期满的次日零时起效力终止。</w:t>
            </w:r>
          </w:p>
        </w:tc>
      </w:tr>
    </w:tbl>
    <w:p>
      <w:pPr>
        <w:spacing w:after="0" w:line="312" w:lineRule="exact"/>
        <w:rPr>
          <w:sz w:val="21"/>
        </w:rPr>
        <w:sectPr>
          <w:pgSz w:w="11910" w:h="16840"/>
          <w:pgMar w:header="899" w:footer="995" w:top="1220" w:bottom="1180" w:left="1200" w:right="1040"/>
        </w:sectPr>
      </w:pPr>
    </w:p>
    <w:p>
      <w:pPr>
        <w:pStyle w:val="BodyText"/>
        <w:spacing w:before="4"/>
        <w:rPr>
          <w:rFonts w:ascii="Times New Roman"/>
          <w:sz w:val="27"/>
        </w:r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660"/>
        <w:gridCol w:w="6924"/>
      </w:tblGrid>
      <w:tr>
        <w:trPr>
          <w:trHeight w:val="747" w:hRule="atLeast"/>
        </w:trPr>
        <w:tc>
          <w:tcPr>
            <w:tcW w:w="759" w:type="dxa"/>
          </w:tcPr>
          <w:p>
            <w:pPr>
              <w:pStyle w:val="TableParagraph"/>
              <w:spacing w:line="548" w:lineRule="exact"/>
              <w:ind w:left="106"/>
              <w:rPr>
                <w:rFonts w:ascii="Wingdings" w:hAnsi="Wingdings"/>
                <w:sz w:val="52"/>
              </w:rPr>
            </w:pPr>
            <w:r>
              <w:rPr>
                <w:rFonts w:ascii="Wingdings" w:hAnsi="Wingdings"/>
                <w:w w:val="84"/>
                <w:sz w:val="52"/>
              </w:rPr>
              <w:t></w:t>
            </w:r>
          </w:p>
        </w:tc>
        <w:tc>
          <w:tcPr>
            <w:tcW w:w="8584" w:type="dxa"/>
            <w:gridSpan w:val="2"/>
          </w:tcPr>
          <w:p>
            <w:pPr>
              <w:pStyle w:val="TableParagraph"/>
              <w:spacing w:before="46"/>
              <w:ind w:left="188"/>
              <w:rPr>
                <w:b/>
                <w:sz w:val="28"/>
              </w:rPr>
            </w:pPr>
            <w:r>
              <w:rPr>
                <w:b/>
                <w:w w:val="95"/>
                <w:sz w:val="28"/>
              </w:rPr>
              <w:t>现金价值权益</w:t>
            </w:r>
          </w:p>
        </w:tc>
      </w:tr>
      <w:tr>
        <w:trPr>
          <w:trHeight w:val="1864" w:hRule="atLeast"/>
        </w:trPr>
        <w:tc>
          <w:tcPr>
            <w:tcW w:w="759" w:type="dxa"/>
          </w:tcPr>
          <w:p>
            <w:pPr>
              <w:pStyle w:val="TableParagraph"/>
              <w:spacing w:before="134"/>
              <w:ind w:left="106"/>
              <w:rPr>
                <w:b/>
                <w:sz w:val="21"/>
              </w:rPr>
            </w:pPr>
            <w:r>
              <w:rPr>
                <w:b/>
                <w:sz w:val="21"/>
              </w:rPr>
              <w:t>5.1</w:t>
            </w:r>
          </w:p>
        </w:tc>
        <w:tc>
          <w:tcPr>
            <w:tcW w:w="1660" w:type="dxa"/>
          </w:tcPr>
          <w:p>
            <w:pPr>
              <w:pStyle w:val="TableParagraph"/>
              <w:spacing w:before="134"/>
              <w:ind w:left="188"/>
              <w:rPr>
                <w:b/>
                <w:sz w:val="21"/>
              </w:rPr>
            </w:pPr>
            <w:r>
              <w:rPr>
                <w:b/>
                <w:sz w:val="21"/>
              </w:rPr>
              <w:t>现金价值</w:t>
            </w:r>
          </w:p>
        </w:tc>
        <w:tc>
          <w:tcPr>
            <w:tcW w:w="6924" w:type="dxa"/>
          </w:tcPr>
          <w:p>
            <w:pPr>
              <w:pStyle w:val="TableParagraph"/>
              <w:spacing w:line="273" w:lineRule="auto" w:before="134"/>
              <w:ind w:left="208" w:right="115"/>
              <w:jc w:val="both"/>
              <w:rPr>
                <w:sz w:val="21"/>
              </w:rPr>
            </w:pPr>
            <w:r>
              <w:rPr>
                <w:sz w:val="21"/>
              </w:rPr>
              <w:t>本附加险合同保险单年度末的现金价值会在保险单上载明，保险单年度内的现金价值，您可以向我们咨询。</w:t>
            </w:r>
          </w:p>
          <w:p>
            <w:pPr>
              <w:pStyle w:val="TableParagraph"/>
              <w:spacing w:line="273" w:lineRule="auto" w:before="7"/>
              <w:ind w:left="208" w:right="109"/>
              <w:jc w:val="both"/>
              <w:rPr>
                <w:sz w:val="21"/>
              </w:rPr>
            </w:pPr>
            <w:r>
              <w:rPr>
                <w:sz w:val="21"/>
              </w:rPr>
              <w:t>如果被保险人被确诊患有本附加险合同约定的重大疾病，且本公司已经开始履行保险费豁免责任，自本公司履行保险费豁免责任时刻起，本附加险合同的现金价值为零。</w:t>
            </w:r>
          </w:p>
        </w:tc>
      </w:tr>
      <w:tr>
        <w:trPr>
          <w:trHeight w:val="1242" w:hRule="atLeast"/>
        </w:trPr>
        <w:tc>
          <w:tcPr>
            <w:tcW w:w="759" w:type="dxa"/>
          </w:tcPr>
          <w:p>
            <w:pPr>
              <w:pStyle w:val="TableParagraph"/>
              <w:spacing w:before="142"/>
              <w:ind w:left="106"/>
              <w:rPr>
                <w:b/>
                <w:sz w:val="21"/>
              </w:rPr>
            </w:pPr>
            <w:r>
              <w:rPr>
                <w:b/>
                <w:sz w:val="21"/>
              </w:rPr>
              <w:t>5.2</w:t>
            </w:r>
          </w:p>
        </w:tc>
        <w:tc>
          <w:tcPr>
            <w:tcW w:w="1660" w:type="dxa"/>
          </w:tcPr>
          <w:p>
            <w:pPr>
              <w:pStyle w:val="TableParagraph"/>
              <w:spacing w:before="142"/>
              <w:ind w:left="188"/>
              <w:rPr>
                <w:b/>
                <w:sz w:val="21"/>
              </w:rPr>
            </w:pPr>
            <w:r>
              <w:rPr>
                <w:b/>
                <w:w w:val="95"/>
                <w:sz w:val="21"/>
              </w:rPr>
              <w:t>保险单借款</w:t>
            </w:r>
          </w:p>
        </w:tc>
        <w:tc>
          <w:tcPr>
            <w:tcW w:w="6924" w:type="dxa"/>
          </w:tcPr>
          <w:p>
            <w:pPr>
              <w:pStyle w:val="TableParagraph"/>
              <w:spacing w:line="273" w:lineRule="auto" w:before="142"/>
              <w:ind w:left="208" w:right="1"/>
              <w:rPr>
                <w:sz w:val="21"/>
              </w:rPr>
            </w:pPr>
            <w:r>
              <w:rPr>
                <w:spacing w:val="-1"/>
                <w:sz w:val="21"/>
              </w:rPr>
              <w:t>您对主险合同申请保险单借款时，本附加险合同应同时进行保险单借款， 借款比例和利息计算方式与主险一致，并适用主险合同“保险单借款” 的相关规定。您不能单独对本附加险合同进行保险单借款。</w:t>
            </w:r>
          </w:p>
        </w:tc>
      </w:tr>
      <w:tr>
        <w:trPr>
          <w:trHeight w:val="786" w:hRule="atLeast"/>
        </w:trPr>
        <w:tc>
          <w:tcPr>
            <w:tcW w:w="759" w:type="dxa"/>
            <w:tcBorders>
              <w:bottom w:val="single" w:sz="8" w:space="0" w:color="000000"/>
            </w:tcBorders>
          </w:tcPr>
          <w:p>
            <w:pPr>
              <w:pStyle w:val="TableParagraph"/>
              <w:spacing w:before="172"/>
              <w:ind w:left="106"/>
              <w:rPr>
                <w:rFonts w:ascii="Wingdings" w:hAnsi="Wingdings"/>
                <w:sz w:val="52"/>
              </w:rPr>
            </w:pPr>
            <w:r>
              <w:rPr>
                <w:rFonts w:ascii="Wingdings" w:hAnsi="Wingdings"/>
                <w:w w:val="99"/>
                <w:sz w:val="52"/>
              </w:rPr>
              <w:t></w:t>
            </w:r>
          </w:p>
        </w:tc>
        <w:tc>
          <w:tcPr>
            <w:tcW w:w="8584" w:type="dxa"/>
            <w:gridSpan w:val="2"/>
            <w:tcBorders>
              <w:bottom w:val="single" w:sz="8" w:space="0" w:color="000000"/>
            </w:tcBorders>
          </w:tcPr>
          <w:p>
            <w:pPr>
              <w:pStyle w:val="TableParagraph"/>
              <w:spacing w:before="247"/>
              <w:ind w:left="188"/>
              <w:rPr>
                <w:b/>
                <w:sz w:val="28"/>
              </w:rPr>
            </w:pPr>
            <w:r>
              <w:rPr>
                <w:b/>
                <w:w w:val="95"/>
                <w:sz w:val="28"/>
              </w:rPr>
              <w:t>如何解除保险合同</w:t>
            </w:r>
          </w:p>
        </w:tc>
      </w:tr>
      <w:tr>
        <w:trPr>
          <w:trHeight w:val="2958" w:hRule="atLeast"/>
        </w:trPr>
        <w:tc>
          <w:tcPr>
            <w:tcW w:w="759" w:type="dxa"/>
            <w:tcBorders>
              <w:top w:val="single" w:sz="8" w:space="0" w:color="000000"/>
            </w:tcBorders>
          </w:tcPr>
          <w:p>
            <w:pPr>
              <w:pStyle w:val="TableParagraph"/>
              <w:spacing w:before="10"/>
              <w:rPr>
                <w:rFonts w:ascii="Times New Roman"/>
                <w:sz w:val="25"/>
              </w:rPr>
            </w:pPr>
          </w:p>
          <w:p>
            <w:pPr>
              <w:pStyle w:val="TableParagraph"/>
              <w:ind w:left="106"/>
              <w:rPr>
                <w:b/>
                <w:sz w:val="21"/>
              </w:rPr>
            </w:pPr>
            <w:r>
              <w:rPr>
                <w:b/>
                <w:sz w:val="21"/>
              </w:rPr>
              <w:t>6.1</w:t>
            </w:r>
          </w:p>
        </w:tc>
        <w:tc>
          <w:tcPr>
            <w:tcW w:w="1660" w:type="dxa"/>
            <w:tcBorders>
              <w:top w:val="single" w:sz="8" w:space="0" w:color="000000"/>
            </w:tcBorders>
          </w:tcPr>
          <w:p>
            <w:pPr>
              <w:pStyle w:val="TableParagraph"/>
              <w:spacing w:before="10"/>
              <w:rPr>
                <w:rFonts w:ascii="Times New Roman"/>
                <w:sz w:val="25"/>
              </w:rPr>
            </w:pPr>
          </w:p>
          <w:p>
            <w:pPr>
              <w:pStyle w:val="TableParagraph"/>
              <w:spacing w:line="273" w:lineRule="auto"/>
              <w:ind w:left="188" w:right="206"/>
              <w:rPr>
                <w:b/>
                <w:sz w:val="21"/>
              </w:rPr>
            </w:pPr>
            <w:r>
              <w:rPr>
                <w:b/>
                <w:sz w:val="21"/>
              </w:rPr>
              <w:t>您解除合同的</w:t>
            </w:r>
            <w:r>
              <w:rPr>
                <w:b/>
                <w:w w:val="95"/>
                <w:sz w:val="21"/>
              </w:rPr>
              <w:t>手续及风险</w:t>
            </w:r>
          </w:p>
        </w:tc>
        <w:tc>
          <w:tcPr>
            <w:tcW w:w="6924" w:type="dxa"/>
            <w:tcBorders>
              <w:top w:val="single" w:sz="8" w:space="0" w:color="000000"/>
            </w:tcBorders>
          </w:tcPr>
          <w:p>
            <w:pPr>
              <w:pStyle w:val="TableParagraph"/>
              <w:spacing w:before="10"/>
              <w:rPr>
                <w:rFonts w:ascii="Times New Roman"/>
                <w:sz w:val="25"/>
              </w:rPr>
            </w:pPr>
          </w:p>
          <w:p>
            <w:pPr>
              <w:pStyle w:val="TableParagraph"/>
              <w:spacing w:line="273" w:lineRule="auto"/>
              <w:ind w:left="208" w:right="203"/>
              <w:rPr>
                <w:sz w:val="21"/>
              </w:rPr>
            </w:pPr>
            <w:r>
              <w:rPr>
                <w:sz w:val="21"/>
              </w:rPr>
              <w:t>您在犹豫期后，可以书面通知要求解除本附加险合同，并向我们提供下列证明和资料：</w:t>
            </w:r>
          </w:p>
          <w:p>
            <w:pPr>
              <w:pStyle w:val="TableParagraph"/>
              <w:numPr>
                <w:ilvl w:val="0"/>
                <w:numId w:val="3"/>
              </w:numPr>
              <w:tabs>
                <w:tab w:pos="840" w:val="left" w:leader="none"/>
              </w:tabs>
              <w:spacing w:line="240" w:lineRule="auto" w:before="7" w:after="0"/>
              <w:ind w:left="839" w:right="0" w:hanging="631"/>
              <w:jc w:val="left"/>
              <w:rPr>
                <w:sz w:val="21"/>
              </w:rPr>
            </w:pPr>
            <w:r>
              <w:rPr>
                <w:spacing w:val="-1"/>
                <w:sz w:val="21"/>
              </w:rPr>
              <w:t>保险合同；</w:t>
            </w:r>
          </w:p>
          <w:p>
            <w:pPr>
              <w:pStyle w:val="TableParagraph"/>
              <w:numPr>
                <w:ilvl w:val="0"/>
                <w:numId w:val="3"/>
              </w:numPr>
              <w:tabs>
                <w:tab w:pos="840" w:val="left" w:leader="none"/>
              </w:tabs>
              <w:spacing w:line="240" w:lineRule="auto" w:before="37" w:after="0"/>
              <w:ind w:left="839" w:right="0" w:hanging="631"/>
              <w:jc w:val="left"/>
              <w:rPr>
                <w:sz w:val="21"/>
              </w:rPr>
            </w:pPr>
            <w:r>
              <w:rPr>
                <w:spacing w:val="-1"/>
                <w:sz w:val="21"/>
              </w:rPr>
              <w:t>解除合同申请书；</w:t>
            </w:r>
          </w:p>
          <w:p>
            <w:pPr>
              <w:pStyle w:val="TableParagraph"/>
              <w:numPr>
                <w:ilvl w:val="0"/>
                <w:numId w:val="3"/>
              </w:numPr>
              <w:tabs>
                <w:tab w:pos="840" w:val="left" w:leader="none"/>
              </w:tabs>
              <w:spacing w:line="240" w:lineRule="auto" w:before="37" w:after="0"/>
              <w:ind w:left="839" w:right="0" w:hanging="631"/>
              <w:jc w:val="left"/>
              <w:rPr>
                <w:sz w:val="21"/>
              </w:rPr>
            </w:pPr>
            <w:r>
              <w:rPr>
                <w:spacing w:val="-1"/>
                <w:sz w:val="21"/>
              </w:rPr>
              <w:t>您的有效身份证件。</w:t>
            </w:r>
          </w:p>
          <w:p>
            <w:pPr>
              <w:pStyle w:val="TableParagraph"/>
              <w:spacing w:line="273" w:lineRule="auto" w:before="37"/>
              <w:ind w:left="208" w:right="203"/>
              <w:rPr>
                <w:sz w:val="21"/>
              </w:rPr>
            </w:pPr>
            <w:r>
              <w:rPr>
                <w:sz w:val="21"/>
              </w:rPr>
              <w:t>自我们收到解除合同申请书时起，本附加险合同终止。我们在收到上述证明和资料之日起 30 日内向您退还本附加险合同现金价值。</w:t>
            </w:r>
          </w:p>
          <w:p>
            <w:pPr>
              <w:pStyle w:val="TableParagraph"/>
              <w:spacing w:before="8"/>
              <w:ind w:left="208"/>
              <w:rPr>
                <w:sz w:val="21"/>
              </w:rPr>
            </w:pPr>
            <w:r>
              <w:rPr>
                <w:sz w:val="21"/>
              </w:rPr>
              <w:t>您在犹豫期后解除本附加险合同会遭受一定损失。</w:t>
            </w:r>
          </w:p>
        </w:tc>
      </w:tr>
      <w:tr>
        <w:trPr>
          <w:trHeight w:val="786" w:hRule="atLeast"/>
        </w:trPr>
        <w:tc>
          <w:tcPr>
            <w:tcW w:w="759" w:type="dxa"/>
            <w:tcBorders>
              <w:bottom w:val="single" w:sz="4" w:space="0" w:color="000000"/>
            </w:tcBorders>
          </w:tcPr>
          <w:p>
            <w:pPr>
              <w:pStyle w:val="TableParagraph"/>
              <w:spacing w:before="172"/>
              <w:ind w:left="106"/>
              <w:rPr>
                <w:rFonts w:ascii="Wingdings" w:hAnsi="Wingdings"/>
                <w:sz w:val="52"/>
              </w:rPr>
            </w:pPr>
            <w:r>
              <w:rPr>
                <w:rFonts w:ascii="Wingdings" w:hAnsi="Wingdings"/>
                <w:w w:val="99"/>
                <w:sz w:val="52"/>
              </w:rPr>
              <w:t></w:t>
            </w:r>
          </w:p>
        </w:tc>
        <w:tc>
          <w:tcPr>
            <w:tcW w:w="8584" w:type="dxa"/>
            <w:gridSpan w:val="2"/>
            <w:tcBorders>
              <w:bottom w:val="single" w:sz="4" w:space="0" w:color="000000"/>
            </w:tcBorders>
          </w:tcPr>
          <w:p>
            <w:pPr>
              <w:pStyle w:val="TableParagraph"/>
              <w:spacing w:before="247"/>
              <w:ind w:left="188"/>
              <w:rPr>
                <w:b/>
                <w:sz w:val="28"/>
              </w:rPr>
            </w:pPr>
            <w:r>
              <w:rPr>
                <w:b/>
                <w:w w:val="95"/>
                <w:sz w:val="28"/>
              </w:rPr>
              <w:t>其他需要关注的事项</w:t>
            </w:r>
          </w:p>
        </w:tc>
      </w:tr>
      <w:tr>
        <w:trPr>
          <w:trHeight w:val="5252" w:hRule="atLeast"/>
        </w:trPr>
        <w:tc>
          <w:tcPr>
            <w:tcW w:w="759" w:type="dxa"/>
            <w:tcBorders>
              <w:top w:val="single" w:sz="4" w:space="0" w:color="000000"/>
            </w:tcBorders>
          </w:tcPr>
          <w:p>
            <w:pPr>
              <w:pStyle w:val="TableParagraph"/>
              <w:spacing w:before="9"/>
              <w:rPr>
                <w:rFonts w:ascii="Times New Roman"/>
                <w:sz w:val="25"/>
              </w:rPr>
            </w:pPr>
          </w:p>
          <w:p>
            <w:pPr>
              <w:pStyle w:val="TableParagraph"/>
              <w:ind w:left="106"/>
              <w:rPr>
                <w:b/>
                <w:sz w:val="21"/>
              </w:rPr>
            </w:pPr>
            <w:r>
              <w:rPr>
                <w:b/>
                <w:sz w:val="21"/>
              </w:rPr>
              <w:t>7.1</w:t>
            </w:r>
          </w:p>
        </w:tc>
        <w:tc>
          <w:tcPr>
            <w:tcW w:w="1660" w:type="dxa"/>
            <w:tcBorders>
              <w:top w:val="single" w:sz="4" w:space="0" w:color="000000"/>
            </w:tcBorders>
          </w:tcPr>
          <w:p>
            <w:pPr>
              <w:pStyle w:val="TableParagraph"/>
              <w:spacing w:before="9"/>
              <w:rPr>
                <w:rFonts w:ascii="Times New Roman"/>
                <w:sz w:val="25"/>
              </w:rPr>
            </w:pPr>
          </w:p>
          <w:p>
            <w:pPr>
              <w:pStyle w:val="TableParagraph"/>
              <w:spacing w:line="273" w:lineRule="auto"/>
              <w:ind w:left="188" w:right="206"/>
              <w:rPr>
                <w:b/>
                <w:sz w:val="21"/>
              </w:rPr>
            </w:pPr>
            <w:r>
              <w:rPr>
                <w:b/>
                <w:sz w:val="21"/>
              </w:rPr>
              <w:t>明确说明与如实告知</w:t>
            </w:r>
          </w:p>
        </w:tc>
        <w:tc>
          <w:tcPr>
            <w:tcW w:w="6924" w:type="dxa"/>
            <w:tcBorders>
              <w:top w:val="single" w:sz="4" w:space="0" w:color="000000"/>
            </w:tcBorders>
          </w:tcPr>
          <w:p>
            <w:pPr>
              <w:pStyle w:val="TableParagraph"/>
              <w:spacing w:before="9"/>
              <w:rPr>
                <w:rFonts w:ascii="Times New Roman"/>
                <w:sz w:val="25"/>
              </w:rPr>
            </w:pPr>
          </w:p>
          <w:p>
            <w:pPr>
              <w:pStyle w:val="TableParagraph"/>
              <w:ind w:left="208"/>
              <w:rPr>
                <w:sz w:val="21"/>
              </w:rPr>
            </w:pPr>
            <w:r>
              <w:rPr>
                <w:sz w:val="21"/>
              </w:rPr>
              <w:t>订立本附加险合同时，我们应向您说明本附加险合同的内容。</w:t>
            </w:r>
          </w:p>
          <w:p>
            <w:pPr>
              <w:pStyle w:val="TableParagraph"/>
              <w:spacing w:line="273" w:lineRule="auto" w:before="36"/>
              <w:ind w:left="208" w:right="112"/>
              <w:jc w:val="both"/>
              <w:rPr>
                <w:sz w:val="21"/>
              </w:rPr>
            </w:pPr>
            <w:r>
              <w:rPr>
                <w:sz w:val="21"/>
              </w:rPr>
              <w:t>对保险条款中免除我们责任的条款，我们在订立本附加险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7"/>
              <w:ind w:left="208"/>
              <w:rPr>
                <w:sz w:val="21"/>
              </w:rPr>
            </w:pPr>
            <w:r>
              <w:rPr>
                <w:sz w:val="21"/>
              </w:rPr>
              <w:t>我们就您和被保险人的有关情况提出询问，您应当如实告知。</w:t>
            </w:r>
          </w:p>
          <w:p>
            <w:pPr>
              <w:pStyle w:val="TableParagraph"/>
              <w:spacing w:line="273" w:lineRule="auto" w:before="37"/>
              <w:ind w:left="208" w:right="115"/>
              <w:jc w:val="both"/>
              <w:rPr>
                <w:sz w:val="21"/>
              </w:rPr>
            </w:pPr>
            <w:r>
              <w:rPr>
                <w:sz w:val="21"/>
              </w:rPr>
              <w:t>如果您故意或者因重大过失未履行前款规定的如实告知义务，足以影响我们决定是否同意承保或者提高保险费率的，我们有权解除本附加险合同。</w:t>
            </w:r>
          </w:p>
          <w:p>
            <w:pPr>
              <w:pStyle w:val="TableParagraph"/>
              <w:spacing w:line="273" w:lineRule="auto" w:before="7"/>
              <w:ind w:left="208" w:right="115"/>
              <w:jc w:val="both"/>
              <w:rPr>
                <w:sz w:val="21"/>
              </w:rPr>
            </w:pPr>
            <w:r>
              <w:rPr>
                <w:sz w:val="21"/>
              </w:rPr>
              <w:t>如果您故意不履行如实告知义务，对于本附加险合同解除前发生的保险事故，我们不承担豁免保险费的责任，并不退还保险费。</w:t>
            </w:r>
          </w:p>
          <w:p>
            <w:pPr>
              <w:pStyle w:val="TableParagraph"/>
              <w:spacing w:line="273" w:lineRule="auto" w:before="7"/>
              <w:ind w:left="208" w:right="109"/>
              <w:jc w:val="both"/>
              <w:rPr>
                <w:sz w:val="21"/>
              </w:rPr>
            </w:pPr>
            <w:r>
              <w:rPr>
                <w:sz w:val="21"/>
              </w:rPr>
              <w:t>如果您因重大过失未履行如实告知义务，对保险事故的发生有严重影响的，对于本附加险合同解除前发生的保险事故，我们不承担豁免保险费的责任，但应当退还保险费。</w:t>
            </w:r>
          </w:p>
          <w:p>
            <w:pPr>
              <w:pStyle w:val="TableParagraph"/>
              <w:spacing w:line="312" w:lineRule="exact" w:before="3"/>
              <w:ind w:left="208" w:right="115"/>
              <w:jc w:val="both"/>
              <w:rPr>
                <w:sz w:val="21"/>
              </w:rPr>
            </w:pPr>
            <w:r>
              <w:rPr>
                <w:sz w:val="21"/>
              </w:rPr>
              <w:t>我们在本附加险合同订立时已经知道您未如实告知的情况的，我们不得解除本附加险合同；发生保险事故的，我们承担豁免保险费的责任。</w:t>
            </w:r>
          </w:p>
        </w:tc>
      </w:tr>
    </w:tbl>
    <w:p>
      <w:pPr>
        <w:spacing w:after="0" w:line="312" w:lineRule="exact"/>
        <w:jc w:val="both"/>
        <w:rPr>
          <w:sz w:val="21"/>
        </w:rPr>
        <w:sectPr>
          <w:pgSz w:w="11910" w:h="16840"/>
          <w:pgMar w:header="899" w:footer="995" w:top="1220" w:bottom="1180" w:left="1200" w:right="104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15"/>
        </w:r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660"/>
        <w:gridCol w:w="6924"/>
      </w:tblGrid>
      <w:tr>
        <w:trPr>
          <w:trHeight w:val="1041" w:hRule="atLeast"/>
        </w:trPr>
        <w:tc>
          <w:tcPr>
            <w:tcW w:w="759" w:type="dxa"/>
          </w:tcPr>
          <w:p>
            <w:pPr>
              <w:pStyle w:val="TableParagraph"/>
              <w:spacing w:line="210" w:lineRule="exact"/>
              <w:ind w:left="106"/>
              <w:rPr>
                <w:b/>
                <w:sz w:val="21"/>
              </w:rPr>
            </w:pPr>
            <w:r>
              <w:rPr>
                <w:b/>
                <w:sz w:val="21"/>
              </w:rPr>
              <w:t>7.2</w:t>
            </w:r>
          </w:p>
        </w:tc>
        <w:tc>
          <w:tcPr>
            <w:tcW w:w="1660" w:type="dxa"/>
          </w:tcPr>
          <w:p>
            <w:pPr>
              <w:pStyle w:val="TableParagraph"/>
              <w:spacing w:line="210" w:lineRule="exact"/>
              <w:ind w:left="188"/>
              <w:rPr>
                <w:b/>
                <w:sz w:val="21"/>
              </w:rPr>
            </w:pPr>
            <w:r>
              <w:rPr>
                <w:b/>
                <w:w w:val="95"/>
                <w:sz w:val="21"/>
              </w:rPr>
              <w:t>我们合同解除</w:t>
            </w:r>
          </w:p>
          <w:p>
            <w:pPr>
              <w:pStyle w:val="TableParagraph"/>
              <w:spacing w:before="37"/>
              <w:ind w:left="188"/>
              <w:rPr>
                <w:b/>
                <w:sz w:val="21"/>
              </w:rPr>
            </w:pPr>
            <w:r>
              <w:rPr>
                <w:b/>
                <w:sz w:val="21"/>
              </w:rPr>
              <w:t>权的限制</w:t>
            </w:r>
          </w:p>
        </w:tc>
        <w:tc>
          <w:tcPr>
            <w:tcW w:w="6924" w:type="dxa"/>
          </w:tcPr>
          <w:p>
            <w:pPr>
              <w:pStyle w:val="TableParagraph"/>
              <w:spacing w:line="210" w:lineRule="exact"/>
              <w:ind w:left="208"/>
              <w:rPr>
                <w:sz w:val="21"/>
              </w:rPr>
            </w:pPr>
            <w:r>
              <w:rPr>
                <w:spacing w:val="-8"/>
                <w:sz w:val="21"/>
              </w:rPr>
              <w:t>前条</w:t>
            </w:r>
            <w:r>
              <w:rPr>
                <w:sz w:val="21"/>
              </w:rPr>
              <w:t>（7.1</w:t>
            </w:r>
            <w:r>
              <w:rPr>
                <w:spacing w:val="-27"/>
                <w:sz w:val="21"/>
              </w:rPr>
              <w:t> 条</w:t>
            </w:r>
            <w:r>
              <w:rPr>
                <w:spacing w:val="-16"/>
                <w:sz w:val="21"/>
              </w:rPr>
              <w:t>）</w:t>
            </w:r>
            <w:r>
              <w:rPr>
                <w:spacing w:val="-3"/>
                <w:sz w:val="21"/>
              </w:rPr>
              <w:t>规定的合同解除权，自我们知道有解除事由之日起，超过</w:t>
            </w:r>
          </w:p>
          <w:p>
            <w:pPr>
              <w:pStyle w:val="TableParagraph"/>
              <w:spacing w:line="273" w:lineRule="auto" w:before="37"/>
              <w:ind w:left="208" w:right="105"/>
              <w:rPr>
                <w:sz w:val="21"/>
              </w:rPr>
            </w:pPr>
            <w:r>
              <w:rPr>
                <w:sz w:val="21"/>
              </w:rPr>
              <w:t>30</w:t>
            </w:r>
            <w:r>
              <w:rPr>
                <w:spacing w:val="-9"/>
                <w:sz w:val="21"/>
              </w:rPr>
              <w:t> 日不行使而消灭。自本附加险合同成立之日起超过 </w:t>
            </w:r>
            <w:r>
              <w:rPr>
                <w:sz w:val="21"/>
              </w:rPr>
              <w:t>2</w:t>
            </w:r>
            <w:r>
              <w:rPr>
                <w:spacing w:val="-7"/>
                <w:sz w:val="21"/>
              </w:rPr>
              <w:t> 年的，我们不得解除合同；发生保险事故的，我们承担豁免保险费的责任。</w:t>
            </w:r>
          </w:p>
        </w:tc>
      </w:tr>
      <w:tr>
        <w:trPr>
          <w:trHeight w:val="3744" w:hRule="atLeast"/>
        </w:trPr>
        <w:tc>
          <w:tcPr>
            <w:tcW w:w="759" w:type="dxa"/>
          </w:tcPr>
          <w:p>
            <w:pPr>
              <w:pStyle w:val="TableParagraph"/>
              <w:spacing w:before="142"/>
              <w:ind w:left="106"/>
              <w:rPr>
                <w:b/>
                <w:sz w:val="21"/>
              </w:rPr>
            </w:pPr>
            <w:r>
              <w:rPr>
                <w:b/>
                <w:sz w:val="21"/>
              </w:rPr>
              <w:t>7.3</w:t>
            </w:r>
          </w:p>
        </w:tc>
        <w:tc>
          <w:tcPr>
            <w:tcW w:w="1660" w:type="dxa"/>
          </w:tcPr>
          <w:p>
            <w:pPr>
              <w:pStyle w:val="TableParagraph"/>
              <w:spacing w:before="142"/>
              <w:ind w:left="188"/>
              <w:rPr>
                <w:b/>
                <w:sz w:val="21"/>
              </w:rPr>
            </w:pPr>
            <w:r>
              <w:rPr>
                <w:b/>
                <w:sz w:val="21"/>
              </w:rPr>
              <w:t>年龄错误</w:t>
            </w:r>
          </w:p>
        </w:tc>
        <w:tc>
          <w:tcPr>
            <w:tcW w:w="6924" w:type="dxa"/>
          </w:tcPr>
          <w:p>
            <w:pPr>
              <w:pStyle w:val="TableParagraph"/>
              <w:spacing w:line="273" w:lineRule="auto" w:before="142"/>
              <w:ind w:left="208" w:right="115"/>
              <w:rPr>
                <w:sz w:val="21"/>
              </w:rPr>
            </w:pPr>
            <w:r>
              <w:rPr>
                <w:sz w:val="21"/>
              </w:rPr>
              <w:t>您在申请投保时，应将与有效身份证件相符的被保险人的出生日期在投保书上填明，如果发生错误按照下列方式办理：</w:t>
            </w:r>
          </w:p>
          <w:p>
            <w:pPr>
              <w:pStyle w:val="TableParagraph"/>
              <w:spacing w:line="266" w:lineRule="auto" w:before="7"/>
              <w:ind w:left="696" w:right="106" w:hanging="489"/>
              <w:jc w:val="both"/>
              <w:rPr>
                <w:sz w:val="21"/>
              </w:rPr>
            </w:pPr>
            <w:r>
              <w:rPr>
                <w:spacing w:val="-1"/>
                <w:sz w:val="21"/>
              </w:rPr>
              <w:t>（</w:t>
            </w:r>
            <w:r>
              <w:rPr>
                <w:rFonts w:ascii="Times New Roman" w:hAnsi="Times New Roman" w:eastAsia="Times New Roman"/>
                <w:spacing w:val="-1"/>
                <w:sz w:val="21"/>
              </w:rPr>
              <w:t>1</w:t>
            </w:r>
            <w:r>
              <w:rPr>
                <w:spacing w:val="-1"/>
                <w:sz w:val="21"/>
              </w:rPr>
              <w:t>）您申报的被保险人年龄不真实，并且其真实年龄不符合本附加险合同约定投保年龄限制的，在保险事故发生之前我们有权解除合同。我们行使合同解除权适用“我们合同解除权的限制”的规定。对于解除合同的，我们向您退还本附加险合同的现金价值。</w:t>
            </w:r>
          </w:p>
          <w:p>
            <w:pPr>
              <w:pStyle w:val="TableParagraph"/>
              <w:spacing w:line="264" w:lineRule="auto" w:before="13"/>
              <w:ind w:left="696" w:right="106" w:hanging="489"/>
              <w:jc w:val="both"/>
              <w:rPr>
                <w:sz w:val="21"/>
              </w:rPr>
            </w:pPr>
            <w:r>
              <w:rPr>
                <w:spacing w:val="-1"/>
                <w:sz w:val="21"/>
              </w:rPr>
              <w:t>（</w:t>
            </w:r>
            <w:r>
              <w:rPr>
                <w:rFonts w:ascii="Times New Roman" w:eastAsia="Times New Roman"/>
                <w:spacing w:val="-1"/>
                <w:sz w:val="21"/>
              </w:rPr>
              <w:t>2</w:t>
            </w:r>
            <w:r>
              <w:rPr>
                <w:spacing w:val="-1"/>
                <w:sz w:val="21"/>
              </w:rPr>
              <w:t>）您申报的被保险人年龄不真实，致使您支付的保险费少于应交保险费的，我们有权更正并要求您补交保险费。若已经发生保险事故， 在豁免保险费时按实交保险费和应交保险费的比例承担。</w:t>
            </w:r>
          </w:p>
          <w:p>
            <w:pPr>
              <w:pStyle w:val="TableParagraph"/>
              <w:spacing w:line="256" w:lineRule="auto" w:before="15"/>
              <w:ind w:left="696" w:right="106" w:hanging="489"/>
              <w:jc w:val="both"/>
              <w:rPr>
                <w:sz w:val="21"/>
              </w:rPr>
            </w:pPr>
            <w:r>
              <w:rPr>
                <w:spacing w:val="-1"/>
                <w:sz w:val="21"/>
              </w:rPr>
              <w:t>（</w:t>
            </w:r>
            <w:r>
              <w:rPr>
                <w:rFonts w:ascii="Times New Roman" w:eastAsia="Times New Roman"/>
                <w:spacing w:val="-1"/>
                <w:sz w:val="21"/>
              </w:rPr>
              <w:t>3</w:t>
            </w:r>
            <w:r>
              <w:rPr>
                <w:spacing w:val="-1"/>
                <w:sz w:val="21"/>
              </w:rPr>
              <w:t>）您申报的被保险人年龄不真实，致使您支付的保险费多于应交保险费的，我们会将多收的保险费无息退还给您。</w:t>
            </w:r>
          </w:p>
        </w:tc>
      </w:tr>
      <w:tr>
        <w:trPr>
          <w:trHeight w:val="936" w:hRule="atLeast"/>
        </w:trPr>
        <w:tc>
          <w:tcPr>
            <w:tcW w:w="759" w:type="dxa"/>
          </w:tcPr>
          <w:p>
            <w:pPr>
              <w:pStyle w:val="TableParagraph"/>
              <w:spacing w:before="142"/>
              <w:ind w:left="106"/>
              <w:rPr>
                <w:b/>
                <w:sz w:val="21"/>
              </w:rPr>
            </w:pPr>
            <w:r>
              <w:rPr>
                <w:b/>
                <w:sz w:val="21"/>
              </w:rPr>
              <w:t>7.4</w:t>
            </w:r>
          </w:p>
        </w:tc>
        <w:tc>
          <w:tcPr>
            <w:tcW w:w="1660" w:type="dxa"/>
          </w:tcPr>
          <w:p>
            <w:pPr>
              <w:pStyle w:val="TableParagraph"/>
              <w:spacing w:before="142"/>
              <w:ind w:left="188"/>
              <w:rPr>
                <w:b/>
                <w:sz w:val="21"/>
              </w:rPr>
            </w:pPr>
            <w:r>
              <w:rPr>
                <w:b/>
                <w:sz w:val="21"/>
              </w:rPr>
              <w:t>未还款项</w:t>
            </w:r>
          </w:p>
        </w:tc>
        <w:tc>
          <w:tcPr>
            <w:tcW w:w="6924" w:type="dxa"/>
          </w:tcPr>
          <w:p>
            <w:pPr>
              <w:pStyle w:val="TableParagraph"/>
              <w:spacing w:line="273" w:lineRule="auto" w:before="142"/>
              <w:ind w:left="208" w:right="115"/>
              <w:rPr>
                <w:sz w:val="21"/>
              </w:rPr>
            </w:pPr>
            <w:r>
              <w:rPr>
                <w:sz w:val="21"/>
              </w:rPr>
              <w:t>我们在豁免保险费时，如果您有欠交的保险费或其他未还清款项，您应先补交上述欠款。</w:t>
            </w:r>
          </w:p>
        </w:tc>
      </w:tr>
      <w:tr>
        <w:trPr>
          <w:trHeight w:val="1872" w:hRule="atLeast"/>
        </w:trPr>
        <w:tc>
          <w:tcPr>
            <w:tcW w:w="759" w:type="dxa"/>
          </w:tcPr>
          <w:p>
            <w:pPr>
              <w:pStyle w:val="TableParagraph"/>
              <w:spacing w:before="142"/>
              <w:ind w:left="106"/>
              <w:rPr>
                <w:b/>
                <w:sz w:val="21"/>
              </w:rPr>
            </w:pPr>
            <w:r>
              <w:rPr>
                <w:b/>
                <w:sz w:val="21"/>
              </w:rPr>
              <w:t>7.5</w:t>
            </w:r>
          </w:p>
        </w:tc>
        <w:tc>
          <w:tcPr>
            <w:tcW w:w="1660" w:type="dxa"/>
          </w:tcPr>
          <w:p>
            <w:pPr>
              <w:pStyle w:val="TableParagraph"/>
              <w:spacing w:before="142"/>
              <w:ind w:left="188"/>
              <w:rPr>
                <w:b/>
                <w:sz w:val="21"/>
              </w:rPr>
            </w:pPr>
            <w:r>
              <w:rPr>
                <w:b/>
                <w:w w:val="95"/>
                <w:sz w:val="21"/>
              </w:rPr>
              <w:t>合同内容变更</w:t>
            </w:r>
          </w:p>
        </w:tc>
        <w:tc>
          <w:tcPr>
            <w:tcW w:w="6924" w:type="dxa"/>
          </w:tcPr>
          <w:p>
            <w:pPr>
              <w:pStyle w:val="TableParagraph"/>
              <w:spacing w:line="273" w:lineRule="auto" w:before="142"/>
              <w:ind w:left="208" w:right="110"/>
              <w:jc w:val="both"/>
              <w:rPr>
                <w:sz w:val="21"/>
              </w:rPr>
            </w:pPr>
            <w:r>
              <w:rPr>
                <w:sz w:val="21"/>
              </w:rPr>
              <w:t>在本附加险合同有效期内，经您和我们协商一致，可以变更本附加险合同的有关内容。变更本附加险合同的，由我们对保险合同批注或者附贴批单，或者由您与我们订立书面的变更协议。</w:t>
            </w:r>
          </w:p>
          <w:p>
            <w:pPr>
              <w:pStyle w:val="TableParagraph"/>
              <w:spacing w:line="273" w:lineRule="auto" w:before="7"/>
              <w:ind w:left="208" w:right="115"/>
              <w:jc w:val="both"/>
              <w:rPr>
                <w:sz w:val="21"/>
              </w:rPr>
            </w:pPr>
            <w:r>
              <w:rPr>
                <w:sz w:val="21"/>
              </w:rPr>
              <w:t>保险费已被豁免的，您不得变更主险合同及附加险合同的保险金额、保险期间、交费年期、档次等。</w:t>
            </w:r>
          </w:p>
        </w:tc>
      </w:tr>
      <w:tr>
        <w:trPr>
          <w:trHeight w:val="2495" w:hRule="atLeast"/>
        </w:trPr>
        <w:tc>
          <w:tcPr>
            <w:tcW w:w="759" w:type="dxa"/>
          </w:tcPr>
          <w:p>
            <w:pPr>
              <w:pStyle w:val="TableParagraph"/>
              <w:spacing w:before="142"/>
              <w:ind w:left="106"/>
              <w:rPr>
                <w:b/>
                <w:sz w:val="21"/>
              </w:rPr>
            </w:pPr>
            <w:r>
              <w:rPr>
                <w:b/>
                <w:sz w:val="21"/>
              </w:rPr>
              <w:t>7.6</w:t>
            </w:r>
          </w:p>
        </w:tc>
        <w:tc>
          <w:tcPr>
            <w:tcW w:w="1660" w:type="dxa"/>
          </w:tcPr>
          <w:p>
            <w:pPr>
              <w:pStyle w:val="TableParagraph"/>
              <w:spacing w:before="142"/>
              <w:ind w:left="188"/>
              <w:rPr>
                <w:b/>
                <w:sz w:val="21"/>
              </w:rPr>
            </w:pPr>
            <w:r>
              <w:rPr>
                <w:b/>
                <w:sz w:val="21"/>
              </w:rPr>
              <w:t>效力终止</w:t>
            </w:r>
          </w:p>
        </w:tc>
        <w:tc>
          <w:tcPr>
            <w:tcW w:w="6924" w:type="dxa"/>
          </w:tcPr>
          <w:p>
            <w:pPr>
              <w:pStyle w:val="TableParagraph"/>
              <w:spacing w:before="142"/>
              <w:ind w:left="208"/>
              <w:rPr>
                <w:sz w:val="21"/>
              </w:rPr>
            </w:pPr>
            <w:r>
              <w:rPr>
                <w:sz w:val="21"/>
              </w:rPr>
              <w:t>发生下列情况之一时，本附加险合同效力终止：</w:t>
            </w:r>
          </w:p>
          <w:p>
            <w:pPr>
              <w:pStyle w:val="TableParagraph"/>
              <w:numPr>
                <w:ilvl w:val="0"/>
                <w:numId w:val="4"/>
              </w:numPr>
              <w:tabs>
                <w:tab w:pos="840" w:val="left" w:leader="none"/>
              </w:tabs>
              <w:spacing w:line="240" w:lineRule="auto" w:before="37" w:after="0"/>
              <w:ind w:left="839" w:right="0" w:hanging="631"/>
              <w:jc w:val="left"/>
              <w:rPr>
                <w:sz w:val="21"/>
              </w:rPr>
            </w:pPr>
            <w:r>
              <w:rPr>
                <w:spacing w:val="-1"/>
                <w:sz w:val="21"/>
              </w:rPr>
              <w:t>主险合同效力终止；</w:t>
            </w:r>
          </w:p>
          <w:p>
            <w:pPr>
              <w:pStyle w:val="TableParagraph"/>
              <w:numPr>
                <w:ilvl w:val="0"/>
                <w:numId w:val="4"/>
              </w:numPr>
              <w:tabs>
                <w:tab w:pos="840" w:val="left" w:leader="none"/>
              </w:tabs>
              <w:spacing w:line="240" w:lineRule="auto" w:before="37" w:after="0"/>
              <w:ind w:left="839" w:right="0" w:hanging="631"/>
              <w:jc w:val="left"/>
              <w:rPr>
                <w:sz w:val="21"/>
              </w:rPr>
            </w:pPr>
            <w:r>
              <w:rPr>
                <w:spacing w:val="-1"/>
                <w:sz w:val="21"/>
              </w:rPr>
              <w:t>您申请解除主险合同；</w:t>
            </w:r>
          </w:p>
          <w:p>
            <w:pPr>
              <w:pStyle w:val="TableParagraph"/>
              <w:numPr>
                <w:ilvl w:val="0"/>
                <w:numId w:val="4"/>
              </w:numPr>
              <w:tabs>
                <w:tab w:pos="840" w:val="left" w:leader="none"/>
              </w:tabs>
              <w:spacing w:line="240" w:lineRule="auto" w:before="37" w:after="0"/>
              <w:ind w:left="839" w:right="0" w:hanging="631"/>
              <w:jc w:val="left"/>
              <w:rPr>
                <w:sz w:val="21"/>
              </w:rPr>
            </w:pPr>
            <w:r>
              <w:rPr>
                <w:spacing w:val="-1"/>
                <w:sz w:val="21"/>
              </w:rPr>
              <w:t>本附加险合同满期；</w:t>
            </w:r>
          </w:p>
          <w:p>
            <w:pPr>
              <w:pStyle w:val="TableParagraph"/>
              <w:numPr>
                <w:ilvl w:val="0"/>
                <w:numId w:val="4"/>
              </w:numPr>
              <w:tabs>
                <w:tab w:pos="840" w:val="left" w:leader="none"/>
              </w:tabs>
              <w:spacing w:line="240" w:lineRule="auto" w:before="37" w:after="0"/>
              <w:ind w:left="839" w:right="0" w:hanging="631"/>
              <w:jc w:val="left"/>
              <w:rPr>
                <w:sz w:val="21"/>
              </w:rPr>
            </w:pPr>
            <w:r>
              <w:rPr>
                <w:spacing w:val="-1"/>
                <w:sz w:val="21"/>
              </w:rPr>
              <w:t>宽限期结束之时仍未交纳保险费；</w:t>
            </w:r>
          </w:p>
          <w:p>
            <w:pPr>
              <w:pStyle w:val="TableParagraph"/>
              <w:numPr>
                <w:ilvl w:val="0"/>
                <w:numId w:val="4"/>
              </w:numPr>
              <w:tabs>
                <w:tab w:pos="840" w:val="left" w:leader="none"/>
              </w:tabs>
              <w:spacing w:line="240" w:lineRule="auto" w:before="37" w:after="0"/>
              <w:ind w:left="839" w:right="0" w:hanging="631"/>
              <w:jc w:val="left"/>
              <w:rPr>
                <w:sz w:val="21"/>
              </w:rPr>
            </w:pPr>
            <w:r>
              <w:rPr>
                <w:spacing w:val="-1"/>
                <w:sz w:val="21"/>
              </w:rPr>
              <w:t>被保险人初次发生本附加险合同约定的重大疾病；</w:t>
            </w:r>
          </w:p>
          <w:p>
            <w:pPr>
              <w:pStyle w:val="TableParagraph"/>
              <w:numPr>
                <w:ilvl w:val="0"/>
                <w:numId w:val="4"/>
              </w:numPr>
              <w:tabs>
                <w:tab w:pos="840" w:val="left" w:leader="none"/>
              </w:tabs>
              <w:spacing w:line="240" w:lineRule="auto" w:before="37" w:after="0"/>
              <w:ind w:left="839" w:right="0" w:hanging="631"/>
              <w:jc w:val="left"/>
              <w:rPr>
                <w:sz w:val="21"/>
              </w:rPr>
            </w:pPr>
            <w:r>
              <w:rPr>
                <w:spacing w:val="-1"/>
                <w:sz w:val="21"/>
              </w:rPr>
              <w:t>主险合同或本附加险合同约定的其他终止情形。</w:t>
            </w:r>
          </w:p>
        </w:tc>
      </w:tr>
      <w:tr>
        <w:trPr>
          <w:trHeight w:val="1866" w:hRule="atLeast"/>
        </w:trPr>
        <w:tc>
          <w:tcPr>
            <w:tcW w:w="759" w:type="dxa"/>
          </w:tcPr>
          <w:p>
            <w:pPr>
              <w:pStyle w:val="TableParagraph"/>
              <w:spacing w:before="142"/>
              <w:ind w:left="106"/>
              <w:rPr>
                <w:b/>
                <w:sz w:val="21"/>
              </w:rPr>
            </w:pPr>
            <w:r>
              <w:rPr>
                <w:b/>
                <w:sz w:val="21"/>
              </w:rPr>
              <w:t>7.7</w:t>
            </w:r>
          </w:p>
        </w:tc>
        <w:tc>
          <w:tcPr>
            <w:tcW w:w="1660" w:type="dxa"/>
          </w:tcPr>
          <w:p>
            <w:pPr>
              <w:pStyle w:val="TableParagraph"/>
              <w:spacing w:line="273" w:lineRule="auto" w:before="142"/>
              <w:ind w:left="188" w:right="206"/>
              <w:rPr>
                <w:b/>
                <w:sz w:val="21"/>
              </w:rPr>
            </w:pPr>
            <w:r>
              <w:rPr>
                <w:b/>
                <w:sz w:val="21"/>
              </w:rPr>
              <w:t>适用主险合同条款</w:t>
            </w:r>
          </w:p>
        </w:tc>
        <w:tc>
          <w:tcPr>
            <w:tcW w:w="6924" w:type="dxa"/>
          </w:tcPr>
          <w:p>
            <w:pPr>
              <w:pStyle w:val="TableParagraph"/>
              <w:spacing w:before="142"/>
              <w:ind w:left="208"/>
              <w:rPr>
                <w:sz w:val="21"/>
              </w:rPr>
            </w:pPr>
            <w:r>
              <w:rPr>
                <w:sz w:val="21"/>
              </w:rPr>
              <w:t>下列各项条款，适用主险合同条款：</w:t>
            </w:r>
          </w:p>
          <w:p>
            <w:pPr>
              <w:pStyle w:val="TableParagraph"/>
              <w:numPr>
                <w:ilvl w:val="0"/>
                <w:numId w:val="5"/>
              </w:numPr>
              <w:tabs>
                <w:tab w:pos="840" w:val="left" w:leader="none"/>
              </w:tabs>
              <w:spacing w:line="240" w:lineRule="auto" w:before="37" w:after="0"/>
              <w:ind w:left="839" w:right="0" w:hanging="631"/>
              <w:jc w:val="left"/>
              <w:rPr>
                <w:sz w:val="21"/>
              </w:rPr>
            </w:pPr>
            <w:r>
              <w:rPr>
                <w:spacing w:val="-1"/>
                <w:sz w:val="21"/>
              </w:rPr>
              <w:t>利率与利息；</w:t>
            </w:r>
          </w:p>
          <w:p>
            <w:pPr>
              <w:pStyle w:val="TableParagraph"/>
              <w:numPr>
                <w:ilvl w:val="0"/>
                <w:numId w:val="5"/>
              </w:numPr>
              <w:tabs>
                <w:tab w:pos="840" w:val="left" w:leader="none"/>
              </w:tabs>
              <w:spacing w:line="240" w:lineRule="auto" w:before="37" w:after="0"/>
              <w:ind w:left="839" w:right="0" w:hanging="631"/>
              <w:jc w:val="left"/>
              <w:rPr>
                <w:sz w:val="21"/>
              </w:rPr>
            </w:pPr>
            <w:r>
              <w:rPr>
                <w:spacing w:val="-1"/>
                <w:sz w:val="21"/>
              </w:rPr>
              <w:t>联系方式变更；</w:t>
            </w:r>
          </w:p>
          <w:p>
            <w:pPr>
              <w:pStyle w:val="TableParagraph"/>
              <w:numPr>
                <w:ilvl w:val="0"/>
                <w:numId w:val="5"/>
              </w:numPr>
              <w:tabs>
                <w:tab w:pos="840" w:val="left" w:leader="none"/>
              </w:tabs>
              <w:spacing w:line="240" w:lineRule="auto" w:before="37" w:after="0"/>
              <w:ind w:left="839" w:right="0" w:hanging="631"/>
              <w:jc w:val="left"/>
              <w:rPr>
                <w:sz w:val="21"/>
              </w:rPr>
            </w:pPr>
            <w:r>
              <w:rPr>
                <w:spacing w:val="-1"/>
                <w:sz w:val="21"/>
              </w:rPr>
              <w:t>争议处理；</w:t>
            </w:r>
          </w:p>
          <w:p>
            <w:pPr>
              <w:pStyle w:val="TableParagraph"/>
              <w:numPr>
                <w:ilvl w:val="0"/>
                <w:numId w:val="5"/>
              </w:numPr>
              <w:tabs>
                <w:tab w:pos="840" w:val="left" w:leader="none"/>
              </w:tabs>
              <w:spacing w:line="240" w:lineRule="auto" w:before="37" w:after="0"/>
              <w:ind w:left="839" w:right="0" w:hanging="631"/>
              <w:jc w:val="left"/>
              <w:rPr>
                <w:sz w:val="21"/>
              </w:rPr>
            </w:pPr>
            <w:r>
              <w:rPr>
                <w:spacing w:val="-1"/>
                <w:sz w:val="21"/>
              </w:rPr>
              <w:t>本附加险合同中其他未明事项。</w:t>
            </w:r>
          </w:p>
        </w:tc>
      </w:tr>
      <w:tr>
        <w:trPr>
          <w:trHeight w:val="786" w:hRule="atLeast"/>
        </w:trPr>
        <w:tc>
          <w:tcPr>
            <w:tcW w:w="759" w:type="dxa"/>
            <w:tcBorders>
              <w:bottom w:val="single" w:sz="8" w:space="0" w:color="000000"/>
            </w:tcBorders>
          </w:tcPr>
          <w:p>
            <w:pPr>
              <w:pStyle w:val="TableParagraph"/>
              <w:spacing w:before="151"/>
              <w:ind w:left="106"/>
              <w:rPr>
                <w:rFonts w:ascii="Arial" w:hAnsi="Arial"/>
                <w:b/>
                <w:sz w:val="52"/>
              </w:rPr>
            </w:pPr>
            <w:r>
              <w:rPr>
                <w:rFonts w:ascii="Arial" w:hAnsi="Arial"/>
                <w:b/>
                <w:w w:val="118"/>
                <w:sz w:val="52"/>
              </w:rPr>
              <w:t></w:t>
            </w:r>
          </w:p>
        </w:tc>
        <w:tc>
          <w:tcPr>
            <w:tcW w:w="1660" w:type="dxa"/>
            <w:tcBorders>
              <w:bottom w:val="single" w:sz="8" w:space="0" w:color="000000"/>
            </w:tcBorders>
          </w:tcPr>
          <w:p>
            <w:pPr>
              <w:pStyle w:val="TableParagraph"/>
              <w:spacing w:before="247"/>
              <w:ind w:left="188"/>
              <w:rPr>
                <w:b/>
                <w:sz w:val="28"/>
              </w:rPr>
            </w:pPr>
            <w:r>
              <w:rPr>
                <w:b/>
                <w:w w:val="95"/>
                <w:sz w:val="28"/>
              </w:rPr>
              <w:t>释义</w:t>
            </w:r>
          </w:p>
        </w:tc>
        <w:tc>
          <w:tcPr>
            <w:tcW w:w="6924" w:type="dxa"/>
            <w:tcBorders>
              <w:bottom w:val="single" w:sz="8" w:space="0" w:color="000000"/>
            </w:tcBorders>
          </w:tcPr>
          <w:p>
            <w:pPr>
              <w:pStyle w:val="TableParagraph"/>
              <w:rPr>
                <w:rFonts w:ascii="Times New Roman"/>
                <w:sz w:val="20"/>
              </w:rPr>
            </w:pPr>
          </w:p>
        </w:tc>
      </w:tr>
      <w:tr>
        <w:trPr>
          <w:trHeight w:val="572" w:hRule="atLeast"/>
        </w:trPr>
        <w:tc>
          <w:tcPr>
            <w:tcW w:w="759" w:type="dxa"/>
            <w:tcBorders>
              <w:top w:val="single" w:sz="8" w:space="0" w:color="000000"/>
            </w:tcBorders>
          </w:tcPr>
          <w:p>
            <w:pPr>
              <w:pStyle w:val="TableParagraph"/>
              <w:spacing w:before="10"/>
              <w:rPr>
                <w:rFonts w:ascii="Times New Roman"/>
                <w:sz w:val="25"/>
              </w:rPr>
            </w:pPr>
          </w:p>
          <w:p>
            <w:pPr>
              <w:pStyle w:val="TableParagraph"/>
              <w:spacing w:line="255" w:lineRule="exact"/>
              <w:ind w:left="106"/>
              <w:rPr>
                <w:b/>
                <w:sz w:val="21"/>
              </w:rPr>
            </w:pPr>
            <w:r>
              <w:rPr>
                <w:b/>
                <w:sz w:val="21"/>
              </w:rPr>
              <w:t>8.1</w:t>
            </w:r>
          </w:p>
        </w:tc>
        <w:tc>
          <w:tcPr>
            <w:tcW w:w="1660" w:type="dxa"/>
            <w:tcBorders>
              <w:top w:val="single" w:sz="8" w:space="0" w:color="000000"/>
            </w:tcBorders>
          </w:tcPr>
          <w:p>
            <w:pPr>
              <w:pStyle w:val="TableParagraph"/>
              <w:spacing w:before="10"/>
              <w:rPr>
                <w:rFonts w:ascii="Times New Roman"/>
                <w:sz w:val="25"/>
              </w:rPr>
            </w:pPr>
          </w:p>
          <w:p>
            <w:pPr>
              <w:pStyle w:val="TableParagraph"/>
              <w:spacing w:line="255" w:lineRule="exact"/>
              <w:ind w:left="188"/>
              <w:rPr>
                <w:b/>
                <w:sz w:val="21"/>
              </w:rPr>
            </w:pPr>
            <w:r>
              <w:rPr>
                <w:b/>
                <w:sz w:val="21"/>
              </w:rPr>
              <w:t>周岁</w:t>
            </w:r>
          </w:p>
        </w:tc>
        <w:tc>
          <w:tcPr>
            <w:tcW w:w="6924" w:type="dxa"/>
            <w:tcBorders>
              <w:top w:val="single" w:sz="8" w:space="0" w:color="000000"/>
            </w:tcBorders>
          </w:tcPr>
          <w:p>
            <w:pPr>
              <w:pStyle w:val="TableParagraph"/>
              <w:spacing w:before="10"/>
              <w:rPr>
                <w:rFonts w:ascii="Times New Roman"/>
                <w:sz w:val="25"/>
              </w:rPr>
            </w:pPr>
          </w:p>
          <w:p>
            <w:pPr>
              <w:pStyle w:val="TableParagraph"/>
              <w:spacing w:line="255" w:lineRule="exact"/>
              <w:ind w:left="208"/>
              <w:rPr>
                <w:sz w:val="21"/>
              </w:rPr>
            </w:pPr>
            <w:r>
              <w:rPr>
                <w:sz w:val="21"/>
              </w:rPr>
              <w:t>指按有效身份证件中记载的出生日期计算的年龄，自出生之日起为零周</w:t>
            </w:r>
          </w:p>
        </w:tc>
      </w:tr>
    </w:tbl>
    <w:p>
      <w:pPr>
        <w:spacing w:after="0" w:line="255" w:lineRule="exact"/>
        <w:rPr>
          <w:sz w:val="21"/>
        </w:rPr>
        <w:sectPr>
          <w:pgSz w:w="11910" w:h="16840"/>
          <w:pgMar w:header="899" w:footer="995" w:top="1220" w:bottom="1180" w:left="1200" w:right="1040"/>
        </w:sectPr>
      </w:pPr>
    </w:p>
    <w:p>
      <w:pPr>
        <w:pStyle w:val="BodyText"/>
        <w:spacing w:before="4" w:after="1"/>
        <w:rPr>
          <w:rFonts w:ascii="Times New Roman"/>
          <w:sz w:val="2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732"/>
        <w:gridCol w:w="7122"/>
      </w:tblGrid>
      <w:tr>
        <w:trPr>
          <w:trHeight w:val="416" w:hRule="atLeast"/>
        </w:trPr>
        <w:tc>
          <w:tcPr>
            <w:tcW w:w="780" w:type="dxa"/>
          </w:tcPr>
          <w:p>
            <w:pPr>
              <w:pStyle w:val="TableParagraph"/>
              <w:rPr>
                <w:rFonts w:ascii="Times New Roman"/>
                <w:sz w:val="20"/>
              </w:rPr>
            </w:pPr>
          </w:p>
        </w:tc>
        <w:tc>
          <w:tcPr>
            <w:tcW w:w="1732" w:type="dxa"/>
          </w:tcPr>
          <w:p>
            <w:pPr>
              <w:pStyle w:val="TableParagraph"/>
              <w:rPr>
                <w:rFonts w:ascii="Times New Roman"/>
                <w:sz w:val="20"/>
              </w:rPr>
            </w:pPr>
          </w:p>
        </w:tc>
        <w:tc>
          <w:tcPr>
            <w:tcW w:w="7122" w:type="dxa"/>
          </w:tcPr>
          <w:p>
            <w:pPr>
              <w:pStyle w:val="TableParagraph"/>
              <w:spacing w:line="210" w:lineRule="exact"/>
              <w:ind w:left="208"/>
              <w:rPr>
                <w:sz w:val="21"/>
              </w:rPr>
            </w:pPr>
            <w:r>
              <w:rPr>
                <w:sz w:val="21"/>
              </w:rPr>
              <w:t>岁，每经过一年增加一岁，不足一年的不计。</w:t>
            </w:r>
          </w:p>
        </w:tc>
      </w:tr>
      <w:tr>
        <w:trPr>
          <w:trHeight w:val="1247" w:hRule="atLeast"/>
        </w:trPr>
        <w:tc>
          <w:tcPr>
            <w:tcW w:w="780" w:type="dxa"/>
          </w:tcPr>
          <w:p>
            <w:pPr>
              <w:pStyle w:val="TableParagraph"/>
              <w:spacing w:before="141"/>
              <w:ind w:left="180" w:right="240"/>
              <w:jc w:val="center"/>
              <w:rPr>
                <w:b/>
                <w:sz w:val="21"/>
              </w:rPr>
            </w:pPr>
            <w:r>
              <w:rPr>
                <w:b/>
                <w:sz w:val="21"/>
              </w:rPr>
              <w:t>8.2</w:t>
            </w:r>
          </w:p>
        </w:tc>
        <w:tc>
          <w:tcPr>
            <w:tcW w:w="1732" w:type="dxa"/>
          </w:tcPr>
          <w:p>
            <w:pPr>
              <w:pStyle w:val="TableParagraph"/>
              <w:spacing w:before="141"/>
              <w:ind w:left="260"/>
              <w:rPr>
                <w:b/>
                <w:sz w:val="21"/>
              </w:rPr>
            </w:pPr>
            <w:r>
              <w:rPr>
                <w:b/>
                <w:w w:val="95"/>
                <w:sz w:val="21"/>
              </w:rPr>
              <w:t>有效身份证件</w:t>
            </w:r>
          </w:p>
        </w:tc>
        <w:tc>
          <w:tcPr>
            <w:tcW w:w="7122" w:type="dxa"/>
          </w:tcPr>
          <w:p>
            <w:pPr>
              <w:pStyle w:val="TableParagraph"/>
              <w:spacing w:line="273" w:lineRule="auto" w:before="141"/>
              <w:ind w:left="208" w:right="307"/>
              <w:jc w:val="both"/>
              <w:rPr>
                <w:sz w:val="21"/>
              </w:rPr>
            </w:pPr>
            <w:r>
              <w:rPr>
                <w:sz w:val="21"/>
              </w:rPr>
              <w:t>指由政府主管部门规定的证明其身份的证件，如：居民身份证、按规定可使用的有效护照、军官证、警官证、士兵证、居民户口簿（仅限未成年人）等证件。</w:t>
            </w:r>
          </w:p>
        </w:tc>
      </w:tr>
      <w:tr>
        <w:trPr>
          <w:trHeight w:val="623" w:hRule="atLeast"/>
        </w:trPr>
        <w:tc>
          <w:tcPr>
            <w:tcW w:w="780" w:type="dxa"/>
          </w:tcPr>
          <w:p>
            <w:pPr>
              <w:pStyle w:val="TableParagraph"/>
              <w:spacing w:before="142"/>
              <w:ind w:left="181" w:right="239"/>
              <w:jc w:val="center"/>
              <w:rPr>
                <w:b/>
                <w:sz w:val="21"/>
              </w:rPr>
            </w:pPr>
            <w:r>
              <w:rPr>
                <w:b/>
                <w:sz w:val="21"/>
              </w:rPr>
              <w:t>8.3</w:t>
            </w:r>
          </w:p>
        </w:tc>
        <w:tc>
          <w:tcPr>
            <w:tcW w:w="1732" w:type="dxa"/>
          </w:tcPr>
          <w:p>
            <w:pPr>
              <w:pStyle w:val="TableParagraph"/>
              <w:spacing w:before="142"/>
              <w:ind w:left="260"/>
              <w:rPr>
                <w:b/>
                <w:sz w:val="21"/>
              </w:rPr>
            </w:pPr>
            <w:r>
              <w:rPr>
                <w:b/>
                <w:sz w:val="21"/>
              </w:rPr>
              <w:t>重大疾病</w:t>
            </w:r>
          </w:p>
        </w:tc>
        <w:tc>
          <w:tcPr>
            <w:tcW w:w="7122" w:type="dxa"/>
          </w:tcPr>
          <w:p>
            <w:pPr>
              <w:pStyle w:val="TableParagraph"/>
              <w:spacing w:before="142"/>
              <w:ind w:left="208"/>
              <w:rPr>
                <w:sz w:val="21"/>
              </w:rPr>
            </w:pPr>
            <w:r>
              <w:rPr>
                <w:sz w:val="21"/>
              </w:rPr>
              <w:t>指下面列出的 30 种重大疾病：</w:t>
            </w:r>
          </w:p>
        </w:tc>
      </w:tr>
      <w:tr>
        <w:trPr>
          <w:trHeight w:val="3744" w:hRule="atLeast"/>
        </w:trPr>
        <w:tc>
          <w:tcPr>
            <w:tcW w:w="780" w:type="dxa"/>
          </w:tcPr>
          <w:p>
            <w:pPr>
              <w:pStyle w:val="TableParagraph"/>
              <w:rPr>
                <w:rFonts w:ascii="Times New Roman"/>
                <w:sz w:val="20"/>
              </w:rPr>
            </w:pPr>
          </w:p>
        </w:tc>
        <w:tc>
          <w:tcPr>
            <w:tcW w:w="1732" w:type="dxa"/>
          </w:tcPr>
          <w:p>
            <w:pPr>
              <w:pStyle w:val="TableParagraph"/>
              <w:spacing w:before="241"/>
              <w:ind w:left="260"/>
              <w:rPr>
                <w:rFonts w:ascii="Microsoft JhengHei" w:eastAsia="Microsoft JhengHei" w:hint="eastAsia"/>
                <w:b/>
                <w:sz w:val="21"/>
              </w:rPr>
            </w:pPr>
            <w:r>
              <w:rPr>
                <w:rFonts w:ascii="Microsoft JhengHei" w:eastAsia="Microsoft JhengHei" w:hint="eastAsia"/>
                <w:b/>
                <w:sz w:val="21"/>
              </w:rPr>
              <w:t>恶性肿瘤</w:t>
            </w:r>
          </w:p>
        </w:tc>
        <w:tc>
          <w:tcPr>
            <w:tcW w:w="7122" w:type="dxa"/>
          </w:tcPr>
          <w:p>
            <w:pPr>
              <w:pStyle w:val="TableParagraph"/>
              <w:spacing w:line="273" w:lineRule="auto" w:before="142"/>
              <w:ind w:left="208" w:right="313"/>
              <w:jc w:val="both"/>
              <w:rPr>
                <w:sz w:val="21"/>
              </w:rPr>
            </w:pPr>
            <w:r>
              <w:rPr>
                <w:sz w:val="21"/>
              </w:rPr>
              <w:t>指恶性细胞不受控制的进行性增长和扩散，浸润和破坏周围正常组织， 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7"/>
              <w:ind w:left="208"/>
              <w:jc w:val="both"/>
              <w:rPr>
                <w:sz w:val="21"/>
              </w:rPr>
            </w:pPr>
            <w:r>
              <w:rPr>
                <w:sz w:val="21"/>
              </w:rPr>
              <w:t>下列疾病不在保障范围内：</w:t>
            </w:r>
          </w:p>
          <w:p>
            <w:pPr>
              <w:pStyle w:val="TableParagraph"/>
              <w:numPr>
                <w:ilvl w:val="0"/>
                <w:numId w:val="6"/>
              </w:numPr>
              <w:tabs>
                <w:tab w:pos="840" w:val="left" w:leader="none"/>
              </w:tabs>
              <w:spacing w:line="240" w:lineRule="auto" w:before="36" w:after="0"/>
              <w:ind w:left="839" w:right="0" w:hanging="631"/>
              <w:jc w:val="both"/>
              <w:rPr>
                <w:sz w:val="21"/>
              </w:rPr>
            </w:pPr>
            <w:r>
              <w:rPr>
                <w:spacing w:val="-1"/>
                <w:sz w:val="21"/>
              </w:rPr>
              <w:t>原位癌；</w:t>
            </w:r>
          </w:p>
          <w:p>
            <w:pPr>
              <w:pStyle w:val="TableParagraph"/>
              <w:numPr>
                <w:ilvl w:val="0"/>
                <w:numId w:val="6"/>
              </w:numPr>
              <w:tabs>
                <w:tab w:pos="840" w:val="left" w:leader="none"/>
              </w:tabs>
              <w:spacing w:line="240" w:lineRule="auto" w:before="36" w:after="0"/>
              <w:ind w:left="839" w:right="0" w:hanging="631"/>
              <w:jc w:val="both"/>
              <w:rPr>
                <w:sz w:val="21"/>
              </w:rPr>
            </w:pPr>
            <w:r>
              <w:rPr>
                <w:spacing w:val="-14"/>
                <w:sz w:val="21"/>
              </w:rPr>
              <w:t>相当于 </w:t>
            </w:r>
            <w:r>
              <w:rPr>
                <w:sz w:val="21"/>
              </w:rPr>
              <w:t>Binet</w:t>
            </w:r>
            <w:r>
              <w:rPr>
                <w:spacing w:val="-20"/>
                <w:sz w:val="21"/>
              </w:rPr>
              <w:t> 分期方案 </w:t>
            </w:r>
            <w:r>
              <w:rPr>
                <w:sz w:val="21"/>
              </w:rPr>
              <w:t>A</w:t>
            </w:r>
            <w:r>
              <w:rPr>
                <w:spacing w:val="-8"/>
                <w:sz w:val="21"/>
              </w:rPr>
              <w:t> 期程度的慢性淋巴细胞白血病；</w:t>
            </w:r>
          </w:p>
          <w:p>
            <w:pPr>
              <w:pStyle w:val="TableParagraph"/>
              <w:numPr>
                <w:ilvl w:val="0"/>
                <w:numId w:val="6"/>
              </w:numPr>
              <w:tabs>
                <w:tab w:pos="840" w:val="left" w:leader="none"/>
              </w:tabs>
              <w:spacing w:line="240" w:lineRule="auto" w:before="36" w:after="0"/>
              <w:ind w:left="839" w:right="0" w:hanging="631"/>
              <w:jc w:val="both"/>
              <w:rPr>
                <w:sz w:val="21"/>
              </w:rPr>
            </w:pPr>
            <w:r>
              <w:rPr>
                <w:spacing w:val="-14"/>
                <w:sz w:val="21"/>
              </w:rPr>
              <w:t>相当于 </w:t>
            </w:r>
            <w:r>
              <w:rPr>
                <w:sz w:val="21"/>
              </w:rPr>
              <w:t>Ann</w:t>
            </w:r>
            <w:r>
              <w:rPr>
                <w:spacing w:val="-1"/>
                <w:sz w:val="21"/>
              </w:rPr>
              <w:t> </w:t>
            </w:r>
            <w:r>
              <w:rPr>
                <w:sz w:val="21"/>
              </w:rPr>
              <w:t>Arbor</w:t>
            </w:r>
            <w:r>
              <w:rPr>
                <w:spacing w:val="-20"/>
                <w:sz w:val="21"/>
              </w:rPr>
              <w:t> 分期方案 </w:t>
            </w:r>
            <w:r>
              <w:rPr>
                <w:sz w:val="21"/>
              </w:rPr>
              <w:t>I</w:t>
            </w:r>
            <w:r>
              <w:rPr>
                <w:spacing w:val="-8"/>
                <w:sz w:val="21"/>
              </w:rPr>
              <w:t> 期程度的何杰金氏病；</w:t>
            </w:r>
          </w:p>
          <w:p>
            <w:pPr>
              <w:pStyle w:val="TableParagraph"/>
              <w:numPr>
                <w:ilvl w:val="0"/>
                <w:numId w:val="6"/>
              </w:numPr>
              <w:tabs>
                <w:tab w:pos="840" w:val="left" w:leader="none"/>
              </w:tabs>
              <w:spacing w:line="240" w:lineRule="auto" w:before="36" w:after="0"/>
              <w:ind w:left="839" w:right="0" w:hanging="631"/>
              <w:jc w:val="both"/>
              <w:rPr>
                <w:sz w:val="21"/>
              </w:rPr>
            </w:pPr>
            <w:r>
              <w:rPr>
                <w:spacing w:val="-1"/>
                <w:sz w:val="21"/>
              </w:rPr>
              <w:t>皮肤癌</w:t>
            </w:r>
            <w:r>
              <w:rPr>
                <w:sz w:val="21"/>
              </w:rPr>
              <w:t>（不包括恶性黑色素瘤及已发生转移的皮肤癌</w:t>
            </w:r>
            <w:r>
              <w:rPr>
                <w:spacing w:val="-105"/>
                <w:sz w:val="21"/>
              </w:rPr>
              <w:t>）</w:t>
            </w:r>
            <w:r>
              <w:rPr>
                <w:sz w:val="21"/>
              </w:rPr>
              <w:t>；</w:t>
            </w:r>
          </w:p>
          <w:p>
            <w:pPr>
              <w:pStyle w:val="TableParagraph"/>
              <w:numPr>
                <w:ilvl w:val="0"/>
                <w:numId w:val="6"/>
              </w:numPr>
              <w:tabs>
                <w:tab w:pos="839" w:val="left" w:leader="none"/>
              </w:tabs>
              <w:spacing w:line="240" w:lineRule="auto" w:before="36" w:after="0"/>
              <w:ind w:left="838" w:right="0" w:hanging="630"/>
              <w:jc w:val="both"/>
              <w:rPr>
                <w:sz w:val="21"/>
              </w:rPr>
            </w:pPr>
            <w:r>
              <w:rPr>
                <w:sz w:val="21"/>
              </w:rPr>
              <w:t>TNM</w:t>
            </w:r>
            <w:r>
              <w:rPr>
                <w:spacing w:val="-22"/>
                <w:sz w:val="21"/>
              </w:rPr>
              <w:t> 分期为 </w:t>
            </w:r>
            <w:r>
              <w:rPr>
                <w:sz w:val="21"/>
              </w:rPr>
              <w:t>T1N0M0</w:t>
            </w:r>
            <w:r>
              <w:rPr>
                <w:spacing w:val="-8"/>
                <w:sz w:val="21"/>
              </w:rPr>
              <w:t> 期或更轻分期的前列腺癌；</w:t>
            </w:r>
          </w:p>
          <w:p>
            <w:pPr>
              <w:pStyle w:val="TableParagraph"/>
              <w:numPr>
                <w:ilvl w:val="0"/>
                <w:numId w:val="6"/>
              </w:numPr>
              <w:tabs>
                <w:tab w:pos="840" w:val="left" w:leader="none"/>
              </w:tabs>
              <w:spacing w:line="240" w:lineRule="auto" w:before="36" w:after="0"/>
              <w:ind w:left="839" w:right="0" w:hanging="631"/>
              <w:jc w:val="both"/>
              <w:rPr>
                <w:sz w:val="21"/>
              </w:rPr>
            </w:pPr>
            <w:r>
              <w:rPr>
                <w:spacing w:val="-1"/>
                <w:sz w:val="21"/>
              </w:rPr>
              <w:t>感染艾滋病病毒或患艾滋病期间所患恶性肿瘤。</w:t>
            </w:r>
          </w:p>
        </w:tc>
      </w:tr>
      <w:tr>
        <w:trPr>
          <w:trHeight w:val="2808" w:hRule="atLeast"/>
        </w:trPr>
        <w:tc>
          <w:tcPr>
            <w:tcW w:w="780" w:type="dxa"/>
          </w:tcPr>
          <w:p>
            <w:pPr>
              <w:pStyle w:val="TableParagraph"/>
              <w:rPr>
                <w:rFonts w:ascii="Times New Roman"/>
                <w:sz w:val="20"/>
              </w:rPr>
            </w:pPr>
          </w:p>
        </w:tc>
        <w:tc>
          <w:tcPr>
            <w:tcW w:w="1732" w:type="dxa"/>
          </w:tcPr>
          <w:p>
            <w:pPr>
              <w:pStyle w:val="TableParagraph"/>
              <w:spacing w:before="241"/>
              <w:ind w:left="260"/>
              <w:rPr>
                <w:rFonts w:ascii="Microsoft JhengHei" w:eastAsia="Microsoft JhengHei" w:hint="eastAsia"/>
                <w:b/>
                <w:sz w:val="21"/>
              </w:rPr>
            </w:pPr>
            <w:r>
              <w:rPr>
                <w:rFonts w:ascii="Microsoft JhengHei" w:eastAsia="Microsoft JhengHei" w:hint="eastAsia"/>
                <w:b/>
                <w:sz w:val="21"/>
              </w:rPr>
              <w:t>急性心肌梗塞</w:t>
            </w:r>
          </w:p>
        </w:tc>
        <w:tc>
          <w:tcPr>
            <w:tcW w:w="7122" w:type="dxa"/>
          </w:tcPr>
          <w:p>
            <w:pPr>
              <w:pStyle w:val="TableParagraph"/>
              <w:spacing w:line="273" w:lineRule="auto" w:before="142"/>
              <w:ind w:left="208" w:right="313"/>
              <w:rPr>
                <w:sz w:val="21"/>
              </w:rPr>
            </w:pPr>
            <w:r>
              <w:rPr>
                <w:sz w:val="21"/>
              </w:rPr>
              <w:t>指因冠状动脉阻塞导致的相应区域供血不足造成部分心肌坏死。须满足下列至少三项条件：</w:t>
            </w:r>
          </w:p>
          <w:p>
            <w:pPr>
              <w:pStyle w:val="TableParagraph"/>
              <w:numPr>
                <w:ilvl w:val="0"/>
                <w:numId w:val="7"/>
              </w:numPr>
              <w:tabs>
                <w:tab w:pos="840" w:val="left" w:leader="none"/>
              </w:tabs>
              <w:spacing w:line="240" w:lineRule="auto" w:before="8" w:after="0"/>
              <w:ind w:left="838" w:right="0" w:hanging="630"/>
              <w:jc w:val="left"/>
              <w:rPr>
                <w:sz w:val="21"/>
              </w:rPr>
            </w:pPr>
            <w:r>
              <w:rPr>
                <w:spacing w:val="-1"/>
                <w:sz w:val="21"/>
              </w:rPr>
              <w:t>典型临床表现，例如急性胸痛等；</w:t>
            </w:r>
          </w:p>
          <w:p>
            <w:pPr>
              <w:pStyle w:val="TableParagraph"/>
              <w:numPr>
                <w:ilvl w:val="0"/>
                <w:numId w:val="7"/>
              </w:numPr>
              <w:tabs>
                <w:tab w:pos="840" w:val="left" w:leader="none"/>
              </w:tabs>
              <w:spacing w:line="240" w:lineRule="auto" w:before="37" w:after="0"/>
              <w:ind w:left="838" w:right="0" w:hanging="630"/>
              <w:jc w:val="left"/>
              <w:rPr>
                <w:sz w:val="21"/>
              </w:rPr>
            </w:pPr>
            <w:r>
              <w:rPr>
                <w:spacing w:val="-1"/>
                <w:sz w:val="21"/>
              </w:rPr>
              <w:t>新近的心电图改变提示急性心肌梗塞；</w:t>
            </w:r>
          </w:p>
          <w:p>
            <w:pPr>
              <w:pStyle w:val="TableParagraph"/>
              <w:numPr>
                <w:ilvl w:val="0"/>
                <w:numId w:val="7"/>
              </w:numPr>
              <w:tabs>
                <w:tab w:pos="852" w:val="left" w:leader="none"/>
              </w:tabs>
              <w:spacing w:line="273" w:lineRule="auto" w:before="37" w:after="0"/>
              <w:ind w:left="838" w:right="311" w:hanging="630"/>
              <w:jc w:val="left"/>
              <w:rPr>
                <w:sz w:val="21"/>
              </w:rPr>
            </w:pPr>
            <w:r>
              <w:rPr>
                <w:sz w:val="21"/>
              </w:rPr>
              <w:t>心肌酶或肌钙蛋白有诊断意义的升高，或呈符合急性心肌梗塞的动态性变化；</w:t>
            </w:r>
          </w:p>
          <w:p>
            <w:pPr>
              <w:pStyle w:val="TableParagraph"/>
              <w:numPr>
                <w:ilvl w:val="0"/>
                <w:numId w:val="7"/>
              </w:numPr>
              <w:tabs>
                <w:tab w:pos="838" w:val="left" w:leader="none"/>
              </w:tabs>
              <w:spacing w:line="273" w:lineRule="auto" w:before="7" w:after="0"/>
              <w:ind w:left="838" w:right="303" w:hanging="630"/>
              <w:jc w:val="left"/>
              <w:rPr>
                <w:sz w:val="21"/>
              </w:rPr>
            </w:pPr>
            <w:r>
              <w:rPr>
                <w:spacing w:val="-19"/>
                <w:sz w:val="21"/>
              </w:rPr>
              <w:t>发病 </w:t>
            </w:r>
            <w:r>
              <w:rPr>
                <w:sz w:val="21"/>
              </w:rPr>
              <w:t>90</w:t>
            </w:r>
            <w:r>
              <w:rPr>
                <w:spacing w:val="-8"/>
                <w:sz w:val="21"/>
              </w:rPr>
              <w:t> 天后，经检查证实左心室功能降低，如左心室射血分数低</w:t>
            </w:r>
            <w:r>
              <w:rPr>
                <w:spacing w:val="-30"/>
                <w:sz w:val="21"/>
              </w:rPr>
              <w:t>于 </w:t>
            </w:r>
            <w:r>
              <w:rPr>
                <w:sz w:val="21"/>
              </w:rPr>
              <w:t>50%。</w:t>
            </w:r>
          </w:p>
        </w:tc>
      </w:tr>
      <w:tr>
        <w:trPr>
          <w:trHeight w:val="2496" w:hRule="atLeast"/>
        </w:trPr>
        <w:tc>
          <w:tcPr>
            <w:tcW w:w="780" w:type="dxa"/>
          </w:tcPr>
          <w:p>
            <w:pPr>
              <w:pStyle w:val="TableParagraph"/>
              <w:rPr>
                <w:rFonts w:ascii="Times New Roman"/>
                <w:sz w:val="20"/>
              </w:rPr>
            </w:pPr>
          </w:p>
        </w:tc>
        <w:tc>
          <w:tcPr>
            <w:tcW w:w="1732" w:type="dxa"/>
          </w:tcPr>
          <w:p>
            <w:pPr>
              <w:pStyle w:val="TableParagraph"/>
              <w:spacing w:before="241"/>
              <w:ind w:left="260"/>
              <w:rPr>
                <w:rFonts w:ascii="Microsoft JhengHei" w:eastAsia="Microsoft JhengHei" w:hint="eastAsia"/>
                <w:b/>
                <w:sz w:val="21"/>
              </w:rPr>
            </w:pPr>
            <w:r>
              <w:rPr>
                <w:rFonts w:ascii="Microsoft JhengHei" w:eastAsia="Microsoft JhengHei" w:hint="eastAsia"/>
                <w:b/>
                <w:sz w:val="21"/>
              </w:rPr>
              <w:t>脑中风后遗症</w:t>
            </w:r>
          </w:p>
        </w:tc>
        <w:tc>
          <w:tcPr>
            <w:tcW w:w="7122" w:type="dxa"/>
          </w:tcPr>
          <w:p>
            <w:pPr>
              <w:pStyle w:val="TableParagraph"/>
              <w:spacing w:line="273" w:lineRule="auto" w:before="142"/>
              <w:ind w:left="208" w:right="198"/>
              <w:rPr>
                <w:sz w:val="21"/>
              </w:rPr>
            </w:pPr>
            <w:r>
              <w:rPr>
                <w:sz w:val="21"/>
              </w:rPr>
              <w:t>指因脑血管的突发病变引起脑血管出血、栓塞或梗塞，并导致神经系统</w:t>
            </w:r>
            <w:r>
              <w:rPr>
                <w:spacing w:val="-4"/>
                <w:sz w:val="21"/>
              </w:rPr>
              <w:t>永久性的功能障碍。神经系统永久性的功能障碍，指疾病确诊 </w:t>
            </w:r>
            <w:r>
              <w:rPr>
                <w:sz w:val="21"/>
              </w:rPr>
              <w:t>180</w:t>
            </w:r>
            <w:r>
              <w:rPr>
                <w:spacing w:val="-14"/>
                <w:sz w:val="21"/>
              </w:rPr>
              <w:t> 天后， 仍遗留下列一种或一种以上障碍：</w:t>
            </w:r>
          </w:p>
          <w:p>
            <w:pPr>
              <w:pStyle w:val="TableParagraph"/>
              <w:numPr>
                <w:ilvl w:val="0"/>
                <w:numId w:val="8"/>
              </w:numPr>
              <w:tabs>
                <w:tab w:pos="840" w:val="left" w:leader="none"/>
              </w:tabs>
              <w:spacing w:line="240" w:lineRule="auto" w:before="7" w:after="0"/>
              <w:ind w:left="838" w:right="0" w:hanging="630"/>
              <w:jc w:val="left"/>
              <w:rPr>
                <w:sz w:val="21"/>
              </w:rPr>
            </w:pPr>
            <w:r>
              <w:rPr>
                <w:w w:val="95"/>
                <w:sz w:val="21"/>
              </w:rPr>
              <w:t>一肢或一肢以上</w:t>
            </w:r>
            <w:r>
              <w:rPr>
                <w:b/>
                <w:w w:val="95"/>
                <w:sz w:val="21"/>
              </w:rPr>
              <w:t>肢体机能完全丧失</w:t>
            </w:r>
            <w:r>
              <w:rPr>
                <w:w w:val="95"/>
                <w:sz w:val="21"/>
              </w:rPr>
              <w:t>；</w:t>
            </w:r>
          </w:p>
          <w:p>
            <w:pPr>
              <w:pStyle w:val="TableParagraph"/>
              <w:numPr>
                <w:ilvl w:val="0"/>
                <w:numId w:val="8"/>
              </w:numPr>
              <w:tabs>
                <w:tab w:pos="840" w:val="left" w:leader="none"/>
              </w:tabs>
              <w:spacing w:line="240" w:lineRule="auto" w:before="36" w:after="0"/>
              <w:ind w:left="838" w:right="0" w:hanging="630"/>
              <w:jc w:val="left"/>
              <w:rPr>
                <w:sz w:val="21"/>
              </w:rPr>
            </w:pPr>
            <w:r>
              <w:rPr>
                <w:b/>
                <w:w w:val="95"/>
                <w:sz w:val="21"/>
              </w:rPr>
              <w:t>语言能力或咀嚼吞咽能力完全丧失</w:t>
            </w:r>
            <w:r>
              <w:rPr>
                <w:w w:val="95"/>
                <w:sz w:val="21"/>
              </w:rPr>
              <w:t>；</w:t>
            </w:r>
          </w:p>
          <w:p>
            <w:pPr>
              <w:pStyle w:val="TableParagraph"/>
              <w:numPr>
                <w:ilvl w:val="0"/>
                <w:numId w:val="8"/>
              </w:numPr>
              <w:tabs>
                <w:tab w:pos="850" w:val="left" w:leader="none"/>
              </w:tabs>
              <w:spacing w:line="273" w:lineRule="auto" w:before="36" w:after="0"/>
              <w:ind w:left="838" w:right="304" w:hanging="630"/>
              <w:jc w:val="left"/>
              <w:rPr>
                <w:sz w:val="21"/>
              </w:rPr>
            </w:pPr>
            <w:r>
              <w:rPr>
                <w:sz w:val="21"/>
              </w:rPr>
              <w:t>自主生活能力完全丧失，无法独立完成</w:t>
            </w:r>
            <w:r>
              <w:rPr>
                <w:b/>
                <w:sz w:val="21"/>
              </w:rPr>
              <w:t>六项基本日常生活活动</w:t>
            </w:r>
            <w:r>
              <w:rPr>
                <w:sz w:val="21"/>
              </w:rPr>
              <w:t>中的三项或三项以上。</w:t>
            </w:r>
          </w:p>
        </w:tc>
      </w:tr>
      <w:tr>
        <w:trPr>
          <w:trHeight w:val="1858" w:hRule="atLeast"/>
        </w:trPr>
        <w:tc>
          <w:tcPr>
            <w:tcW w:w="780" w:type="dxa"/>
          </w:tcPr>
          <w:p>
            <w:pPr>
              <w:pStyle w:val="TableParagraph"/>
              <w:rPr>
                <w:rFonts w:ascii="Times New Roman"/>
                <w:sz w:val="20"/>
              </w:rPr>
            </w:pPr>
          </w:p>
        </w:tc>
        <w:tc>
          <w:tcPr>
            <w:tcW w:w="1732" w:type="dxa"/>
          </w:tcPr>
          <w:p>
            <w:pPr>
              <w:pStyle w:val="TableParagraph"/>
              <w:spacing w:before="241"/>
              <w:ind w:left="260"/>
              <w:rPr>
                <w:rFonts w:ascii="Microsoft JhengHei" w:eastAsia="Microsoft JhengHei" w:hint="eastAsia"/>
                <w:b/>
                <w:sz w:val="21"/>
              </w:rPr>
            </w:pPr>
            <w:r>
              <w:rPr>
                <w:rFonts w:ascii="Microsoft JhengHei" w:eastAsia="Microsoft JhengHei" w:hint="eastAsia"/>
                <w:b/>
                <w:sz w:val="21"/>
              </w:rPr>
              <w:t>重大器官移植</w:t>
            </w:r>
          </w:p>
          <w:p>
            <w:pPr>
              <w:pStyle w:val="TableParagraph"/>
              <w:spacing w:line="620" w:lineRule="atLeast" w:before="4"/>
              <w:ind w:left="260" w:right="209"/>
              <w:rPr>
                <w:rFonts w:ascii="Microsoft JhengHei" w:eastAsia="Microsoft JhengHei" w:hint="eastAsia"/>
                <w:b/>
                <w:sz w:val="21"/>
              </w:rPr>
            </w:pPr>
            <w:r>
              <w:rPr>
                <w:rFonts w:ascii="Microsoft JhengHei" w:eastAsia="Microsoft JhengHei" w:hint="eastAsia"/>
                <w:b/>
                <w:sz w:val="21"/>
              </w:rPr>
              <w:t>术或造血干细胞移植术</w:t>
            </w:r>
          </w:p>
        </w:tc>
        <w:tc>
          <w:tcPr>
            <w:tcW w:w="7122" w:type="dxa"/>
          </w:tcPr>
          <w:p>
            <w:pPr>
              <w:pStyle w:val="TableParagraph"/>
              <w:spacing w:line="273" w:lineRule="auto" w:before="142"/>
              <w:ind w:left="208" w:right="313"/>
              <w:jc w:val="both"/>
              <w:rPr>
                <w:sz w:val="21"/>
              </w:rPr>
            </w:pPr>
            <w:r>
              <w:rPr>
                <w:sz w:val="21"/>
              </w:rPr>
              <w:t>重大器官移植术，指因相应器官功能衰竭，已经实施了肾脏、肝脏、心脏或肺脏的异体移植手术。</w:t>
            </w:r>
          </w:p>
          <w:p>
            <w:pPr>
              <w:pStyle w:val="TableParagraph"/>
              <w:spacing w:line="273" w:lineRule="auto" w:before="7"/>
              <w:ind w:left="208" w:right="30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bl>
    <w:p>
      <w:pPr>
        <w:spacing w:after="0" w:line="273" w:lineRule="auto"/>
        <w:jc w:val="both"/>
        <w:rPr>
          <w:sz w:val="21"/>
        </w:rPr>
        <w:sectPr>
          <w:pgSz w:w="11910" w:h="16840"/>
          <w:pgMar w:header="899" w:footer="995" w:top="1220" w:bottom="1180" w:left="1200" w:right="8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6"/>
        <w:gridCol w:w="7017"/>
      </w:tblGrid>
      <w:tr>
        <w:trPr>
          <w:trHeight w:val="2073" w:hRule="atLeast"/>
        </w:trPr>
        <w:tc>
          <w:tcPr>
            <w:tcW w:w="1776" w:type="dxa"/>
          </w:tcPr>
          <w:p>
            <w:pPr>
              <w:pStyle w:val="TableParagraph"/>
              <w:spacing w:line="410" w:lineRule="auto" w:before="34"/>
              <w:ind w:left="200" w:right="102"/>
              <w:rPr>
                <w:rFonts w:ascii="Microsoft JhengHei" w:eastAsia="Microsoft JhengHei" w:hint="eastAsia"/>
                <w:b/>
                <w:sz w:val="21"/>
              </w:rPr>
            </w:pPr>
            <w:r>
              <w:rPr>
                <w:rFonts w:ascii="Microsoft JhengHei" w:eastAsia="Microsoft JhengHei" w:hint="eastAsia"/>
                <w:b/>
                <w:sz w:val="21"/>
              </w:rPr>
              <w:t>冠状动脉搭桥 </w:t>
            </w:r>
            <w:r>
              <w:rPr>
                <w:rFonts w:ascii="Microsoft JhengHei" w:eastAsia="Microsoft JhengHei" w:hint="eastAsia"/>
                <w:b/>
                <w:spacing w:val="-7"/>
                <w:sz w:val="21"/>
              </w:rPr>
              <w:t>术</w:t>
            </w:r>
            <w:r>
              <w:rPr>
                <w:rFonts w:ascii="Microsoft JhengHei" w:eastAsia="Microsoft JhengHei" w:hint="eastAsia"/>
                <w:b/>
                <w:sz w:val="21"/>
              </w:rPr>
              <w:t>（或称冠状动脉旁路移植术）</w:t>
            </w:r>
          </w:p>
        </w:tc>
        <w:tc>
          <w:tcPr>
            <w:tcW w:w="7017" w:type="dxa"/>
          </w:tcPr>
          <w:p>
            <w:pPr>
              <w:pStyle w:val="TableParagraph"/>
              <w:spacing w:line="210" w:lineRule="exact"/>
              <w:ind w:left="104"/>
              <w:rPr>
                <w:sz w:val="21"/>
              </w:rPr>
            </w:pPr>
            <w:r>
              <w:rPr>
                <w:sz w:val="21"/>
              </w:rPr>
              <w:t>指为治疗严重的冠心病，实际实施了开胸进行的冠状动脉血管旁路移植</w:t>
            </w:r>
          </w:p>
          <w:p>
            <w:pPr>
              <w:pStyle w:val="TableParagraph"/>
              <w:spacing w:before="37"/>
              <w:ind w:left="104"/>
              <w:rPr>
                <w:sz w:val="21"/>
              </w:rPr>
            </w:pPr>
            <w:r>
              <w:rPr>
                <w:sz w:val="21"/>
              </w:rPr>
              <w:t>的手术。</w:t>
            </w:r>
          </w:p>
          <w:p>
            <w:pPr>
              <w:pStyle w:val="TableParagraph"/>
              <w:spacing w:line="273" w:lineRule="auto" w:before="37"/>
              <w:ind w:left="104" w:right="312"/>
              <w:rPr>
                <w:sz w:val="21"/>
              </w:rPr>
            </w:pPr>
            <w:r>
              <w:rPr>
                <w:sz w:val="21"/>
              </w:rPr>
              <w:t>冠状动脉支架植入术、心导管球囊扩张术、激光射频技术及其它非开胸的介入手术、腔镜手术不在保障范围内。</w:t>
            </w:r>
          </w:p>
        </w:tc>
      </w:tr>
      <w:tr>
        <w:trPr>
          <w:trHeight w:val="2495"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pacing w:val="-2"/>
                <w:sz w:val="21"/>
              </w:rPr>
              <w:t>终末期肾病</w:t>
            </w:r>
            <w:r>
              <w:rPr>
                <w:rFonts w:ascii="Microsoft JhengHei" w:eastAsia="Microsoft JhengHei" w:hint="eastAsia"/>
                <w:b/>
                <w:sz w:val="21"/>
              </w:rPr>
              <w:t>（或称慢性肾功能 衰竭尿毒症期）</w:t>
            </w:r>
          </w:p>
        </w:tc>
        <w:tc>
          <w:tcPr>
            <w:tcW w:w="7017" w:type="dxa"/>
          </w:tcPr>
          <w:p>
            <w:pPr>
              <w:pStyle w:val="TableParagraph"/>
              <w:rPr>
                <w:rFonts w:ascii="Times New Roman"/>
                <w:sz w:val="20"/>
              </w:rPr>
            </w:pPr>
          </w:p>
          <w:p>
            <w:pPr>
              <w:pStyle w:val="TableParagraph"/>
              <w:spacing w:line="273" w:lineRule="auto" w:before="127"/>
              <w:ind w:left="104" w:right="312"/>
              <w:rPr>
                <w:sz w:val="21"/>
              </w:rPr>
            </w:pPr>
            <w:r>
              <w:rPr>
                <w:sz w:val="21"/>
              </w:rPr>
              <w:t>指双肾功能慢性不可逆性衰竭，达到尿毒症期，经诊断后已经进行了至少 90 天的规律性透析治疗或实施了肾脏移植手术。</w:t>
            </w:r>
          </w:p>
        </w:tc>
      </w:tr>
      <w:tr>
        <w:trPr>
          <w:trHeight w:val="1307" w:hRule="atLeast"/>
        </w:trPr>
        <w:tc>
          <w:tcPr>
            <w:tcW w:w="1776" w:type="dxa"/>
          </w:tcPr>
          <w:p>
            <w:pPr>
              <w:pStyle w:val="TableParagraph"/>
              <w:spacing w:before="8"/>
              <w:rPr>
                <w:rFonts w:ascii="Times New Roman"/>
                <w:sz w:val="39"/>
              </w:rPr>
            </w:pPr>
          </w:p>
          <w:p>
            <w:pPr>
              <w:pStyle w:val="TableParagraph"/>
              <w:ind w:left="200"/>
              <w:rPr>
                <w:rFonts w:ascii="Microsoft JhengHei" w:eastAsia="Microsoft JhengHei" w:hint="eastAsia"/>
                <w:b/>
                <w:sz w:val="21"/>
              </w:rPr>
            </w:pPr>
            <w:r>
              <w:rPr>
                <w:rFonts w:ascii="Microsoft JhengHei" w:eastAsia="Microsoft JhengHei" w:hint="eastAsia"/>
                <w:b/>
                <w:sz w:val="21"/>
              </w:rPr>
              <w:t>多个肢体缺失</w:t>
            </w:r>
          </w:p>
        </w:tc>
        <w:tc>
          <w:tcPr>
            <w:tcW w:w="7017" w:type="dxa"/>
          </w:tcPr>
          <w:p>
            <w:pPr>
              <w:pStyle w:val="TableParagraph"/>
              <w:rPr>
                <w:rFonts w:ascii="Times New Roman"/>
                <w:sz w:val="20"/>
              </w:rPr>
            </w:pPr>
          </w:p>
          <w:p>
            <w:pPr>
              <w:pStyle w:val="TableParagraph"/>
              <w:spacing w:before="127"/>
              <w:ind w:left="104"/>
              <w:rPr>
                <w:sz w:val="21"/>
              </w:rPr>
            </w:pPr>
            <w:r>
              <w:rPr>
                <w:sz w:val="21"/>
              </w:rPr>
              <w:t>指因疾病或</w:t>
            </w:r>
            <w:r>
              <w:rPr>
                <w:b/>
                <w:sz w:val="21"/>
              </w:rPr>
              <w:t>意外伤害</w:t>
            </w:r>
            <w:r>
              <w:rPr>
                <w:sz w:val="21"/>
              </w:rPr>
              <w:t>导致两个或两个以上肢体自腕关节或踝关节近端</w:t>
            </w:r>
          </w:p>
          <w:p>
            <w:pPr>
              <w:pStyle w:val="TableParagraph"/>
              <w:spacing w:before="36"/>
              <w:ind w:left="104"/>
              <w:rPr>
                <w:sz w:val="21"/>
              </w:rPr>
            </w:pPr>
            <w:r>
              <w:rPr>
                <w:sz w:val="21"/>
              </w:rPr>
              <w:t>（靠近躯干端）以上完全性断离。</w:t>
            </w:r>
          </w:p>
        </w:tc>
      </w:tr>
      <w:tr>
        <w:trPr>
          <w:trHeight w:val="2496" w:hRule="atLeast"/>
        </w:trPr>
        <w:tc>
          <w:tcPr>
            <w:tcW w:w="1776" w:type="dxa"/>
          </w:tcPr>
          <w:p>
            <w:pPr>
              <w:pStyle w:val="TableParagraph"/>
              <w:spacing w:before="6"/>
              <w:rPr>
                <w:rFonts w:ascii="Times New Roman"/>
                <w:sz w:val="34"/>
              </w:rPr>
            </w:pPr>
          </w:p>
          <w:p>
            <w:pPr>
              <w:pStyle w:val="TableParagraph"/>
              <w:spacing w:line="410" w:lineRule="auto"/>
              <w:ind w:left="200" w:right="315"/>
              <w:rPr>
                <w:rFonts w:ascii="Microsoft JhengHei" w:eastAsia="Microsoft JhengHei" w:hint="eastAsia"/>
                <w:b/>
                <w:sz w:val="21"/>
              </w:rPr>
            </w:pPr>
            <w:r>
              <w:rPr>
                <w:rFonts w:ascii="Microsoft JhengHei" w:eastAsia="Microsoft JhengHei" w:hint="eastAsia"/>
                <w:b/>
                <w:sz w:val="21"/>
              </w:rPr>
              <w:t>急性或亚急性重症肝炎</w:t>
            </w:r>
          </w:p>
        </w:tc>
        <w:tc>
          <w:tcPr>
            <w:tcW w:w="7017" w:type="dxa"/>
          </w:tcPr>
          <w:p>
            <w:pPr>
              <w:pStyle w:val="TableParagraph"/>
              <w:spacing w:before="10"/>
              <w:rPr>
                <w:rFonts w:ascii="Times New Roman"/>
                <w:sz w:val="25"/>
              </w:rPr>
            </w:pPr>
          </w:p>
          <w:p>
            <w:pPr>
              <w:pStyle w:val="TableParagraph"/>
              <w:spacing w:line="273" w:lineRule="auto" w:before="1"/>
              <w:ind w:left="104" w:right="312"/>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9"/>
              </w:numPr>
              <w:tabs>
                <w:tab w:pos="736" w:val="left" w:leader="none"/>
              </w:tabs>
              <w:spacing w:line="240" w:lineRule="auto" w:before="8" w:after="0"/>
              <w:ind w:left="735" w:right="0" w:hanging="631"/>
              <w:jc w:val="left"/>
              <w:rPr>
                <w:sz w:val="21"/>
              </w:rPr>
            </w:pPr>
            <w:r>
              <w:rPr>
                <w:spacing w:val="-1"/>
                <w:sz w:val="21"/>
              </w:rPr>
              <w:t>重度黄疸或黄疸迅速加重；</w:t>
            </w:r>
          </w:p>
          <w:p>
            <w:pPr>
              <w:pStyle w:val="TableParagraph"/>
              <w:numPr>
                <w:ilvl w:val="0"/>
                <w:numId w:val="9"/>
              </w:numPr>
              <w:tabs>
                <w:tab w:pos="736" w:val="left" w:leader="none"/>
              </w:tabs>
              <w:spacing w:line="240" w:lineRule="auto" w:before="37" w:after="0"/>
              <w:ind w:left="735" w:right="0" w:hanging="631"/>
              <w:jc w:val="left"/>
              <w:rPr>
                <w:sz w:val="21"/>
              </w:rPr>
            </w:pPr>
            <w:r>
              <w:rPr>
                <w:spacing w:val="-1"/>
                <w:sz w:val="21"/>
              </w:rPr>
              <w:t>肝性脑病；</w:t>
            </w:r>
          </w:p>
          <w:p>
            <w:pPr>
              <w:pStyle w:val="TableParagraph"/>
              <w:numPr>
                <w:ilvl w:val="0"/>
                <w:numId w:val="9"/>
              </w:numPr>
              <w:tabs>
                <w:tab w:pos="734" w:val="left" w:leader="none"/>
              </w:tabs>
              <w:spacing w:line="240" w:lineRule="auto" w:before="37" w:after="0"/>
              <w:ind w:left="734" w:right="0" w:hanging="630"/>
              <w:jc w:val="left"/>
              <w:rPr>
                <w:sz w:val="21"/>
              </w:rPr>
            </w:pPr>
            <w:r>
              <w:rPr>
                <w:sz w:val="21"/>
              </w:rPr>
              <w:t>B</w:t>
            </w:r>
            <w:r>
              <w:rPr>
                <w:spacing w:val="-8"/>
                <w:sz w:val="21"/>
              </w:rPr>
              <w:t> 超或其它影像学检查显示肝脏体积急速萎缩；</w:t>
            </w:r>
          </w:p>
          <w:p>
            <w:pPr>
              <w:pStyle w:val="TableParagraph"/>
              <w:numPr>
                <w:ilvl w:val="0"/>
                <w:numId w:val="9"/>
              </w:numPr>
              <w:tabs>
                <w:tab w:pos="736" w:val="left" w:leader="none"/>
              </w:tabs>
              <w:spacing w:line="240" w:lineRule="auto" w:before="37" w:after="0"/>
              <w:ind w:left="735" w:right="0" w:hanging="631"/>
              <w:jc w:val="left"/>
              <w:rPr>
                <w:sz w:val="21"/>
              </w:rPr>
            </w:pPr>
            <w:r>
              <w:rPr>
                <w:spacing w:val="-1"/>
                <w:sz w:val="21"/>
              </w:rPr>
              <w:t>肝功能指标进行性恶化。</w:t>
            </w:r>
          </w:p>
        </w:tc>
      </w:tr>
      <w:tr>
        <w:trPr>
          <w:trHeight w:val="2808" w:hRule="atLeast"/>
        </w:trPr>
        <w:tc>
          <w:tcPr>
            <w:tcW w:w="1776"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良性脑肿瘤</w:t>
            </w:r>
          </w:p>
        </w:tc>
        <w:tc>
          <w:tcPr>
            <w:tcW w:w="7017" w:type="dxa"/>
          </w:tcPr>
          <w:p>
            <w:pPr>
              <w:pStyle w:val="TableParagraph"/>
              <w:spacing w:before="10"/>
              <w:rPr>
                <w:rFonts w:ascii="Times New Roman"/>
                <w:sz w:val="25"/>
              </w:rPr>
            </w:pPr>
          </w:p>
          <w:p>
            <w:pPr>
              <w:pStyle w:val="TableParagraph"/>
              <w:spacing w:line="273" w:lineRule="auto"/>
              <w:ind w:left="104" w:right="198"/>
              <w:rPr>
                <w:sz w:val="21"/>
              </w:rPr>
            </w:pPr>
            <w:r>
              <w:rPr>
                <w:sz w:val="21"/>
              </w:rPr>
              <w:t>指脑的良性肿瘤，已经引起颅内压增高，临床表现为视神经乳头水肿、</w:t>
            </w:r>
            <w:r>
              <w:rPr>
                <w:spacing w:val="-21"/>
                <w:sz w:val="21"/>
              </w:rPr>
              <w:t>精神症状、癫痫及运动感觉障碍等，并危及生命。须由头颅断层扫描</w:t>
            </w:r>
            <w:r>
              <w:rPr>
                <w:sz w:val="21"/>
              </w:rPr>
              <w:t>（C</w:t>
            </w:r>
            <w:r>
              <w:rPr>
                <w:spacing w:val="-1"/>
                <w:sz w:val="21"/>
              </w:rPr>
              <w:t>T</w:t>
            </w:r>
            <w:r>
              <w:rPr>
                <w:spacing w:val="-105"/>
                <w:sz w:val="21"/>
              </w:rPr>
              <w:t>）、</w:t>
            </w:r>
            <w:r>
              <w:rPr>
                <w:spacing w:val="-2"/>
                <w:sz w:val="21"/>
              </w:rPr>
              <w:t>核磁共振检查</w:t>
            </w:r>
            <w:r>
              <w:rPr>
                <w:sz w:val="21"/>
              </w:rPr>
              <w:t>（MRI）</w:t>
            </w:r>
            <w:r>
              <w:rPr>
                <w:spacing w:val="-1"/>
                <w:sz w:val="21"/>
              </w:rPr>
              <w:t>或正电子发射断层扫描</w:t>
            </w:r>
            <w:r>
              <w:rPr>
                <w:sz w:val="21"/>
              </w:rPr>
              <w:t>（PET）等影像学检查证实， 并须满足下列至少一项条件：</w:t>
            </w:r>
          </w:p>
          <w:p>
            <w:pPr>
              <w:pStyle w:val="TableParagraph"/>
              <w:numPr>
                <w:ilvl w:val="0"/>
                <w:numId w:val="10"/>
              </w:numPr>
              <w:tabs>
                <w:tab w:pos="736" w:val="left" w:leader="none"/>
              </w:tabs>
              <w:spacing w:line="240" w:lineRule="auto" w:before="7" w:after="0"/>
              <w:ind w:left="735" w:right="0" w:hanging="631"/>
              <w:jc w:val="left"/>
              <w:rPr>
                <w:sz w:val="21"/>
              </w:rPr>
            </w:pPr>
            <w:r>
              <w:rPr>
                <w:spacing w:val="-1"/>
                <w:sz w:val="21"/>
              </w:rPr>
              <w:t>实际实施了开颅进行的脑肿瘤完全切除或部分切除的手术；</w:t>
            </w:r>
          </w:p>
          <w:p>
            <w:pPr>
              <w:pStyle w:val="TableParagraph"/>
              <w:numPr>
                <w:ilvl w:val="0"/>
                <w:numId w:val="10"/>
              </w:numPr>
              <w:tabs>
                <w:tab w:pos="736" w:val="left" w:leader="none"/>
              </w:tabs>
              <w:spacing w:line="240" w:lineRule="auto" w:before="37" w:after="0"/>
              <w:ind w:left="735" w:right="0" w:hanging="631"/>
              <w:jc w:val="left"/>
              <w:rPr>
                <w:sz w:val="21"/>
              </w:rPr>
            </w:pPr>
            <w:r>
              <w:rPr>
                <w:spacing w:val="-1"/>
                <w:sz w:val="21"/>
              </w:rPr>
              <w:t>实际实施了对脑肿瘤进行的放射治疗。</w:t>
            </w:r>
          </w:p>
          <w:p>
            <w:pPr>
              <w:pStyle w:val="TableParagraph"/>
              <w:spacing w:before="37"/>
              <w:ind w:left="714" w:right="1432"/>
              <w:jc w:val="center"/>
              <w:rPr>
                <w:sz w:val="21"/>
              </w:rPr>
            </w:pPr>
            <w:r>
              <w:rPr>
                <w:sz w:val="21"/>
              </w:rPr>
              <w:t>脑垂体瘤、脑囊肿、脑血管性疾病不在保障范围内。</w:t>
            </w:r>
          </w:p>
        </w:tc>
      </w:tr>
      <w:tr>
        <w:trPr>
          <w:trHeight w:val="1821" w:hRule="atLeast"/>
        </w:trPr>
        <w:tc>
          <w:tcPr>
            <w:tcW w:w="1776" w:type="dxa"/>
          </w:tcPr>
          <w:p>
            <w:pPr>
              <w:pStyle w:val="TableParagraph"/>
              <w:spacing w:before="6"/>
              <w:rPr>
                <w:rFonts w:ascii="Times New Roman"/>
                <w:sz w:val="34"/>
              </w:rPr>
            </w:pPr>
          </w:p>
          <w:p>
            <w:pPr>
              <w:pStyle w:val="TableParagraph"/>
              <w:spacing w:line="410" w:lineRule="auto"/>
              <w:ind w:left="200" w:right="315"/>
              <w:rPr>
                <w:rFonts w:ascii="Microsoft JhengHei" w:eastAsia="Microsoft JhengHei" w:hint="eastAsia"/>
                <w:b/>
                <w:sz w:val="21"/>
              </w:rPr>
            </w:pPr>
            <w:r>
              <w:rPr>
                <w:rFonts w:ascii="Microsoft JhengHei" w:eastAsia="Microsoft JhengHei" w:hint="eastAsia"/>
                <w:b/>
                <w:sz w:val="21"/>
              </w:rPr>
              <w:t>慢性肝功能衰竭失代偿期</w:t>
            </w:r>
          </w:p>
        </w:tc>
        <w:tc>
          <w:tcPr>
            <w:tcW w:w="7017" w:type="dxa"/>
          </w:tcPr>
          <w:p>
            <w:pPr>
              <w:pStyle w:val="TableParagraph"/>
              <w:spacing w:before="10"/>
              <w:rPr>
                <w:rFonts w:ascii="Times New Roman"/>
                <w:sz w:val="25"/>
              </w:rPr>
            </w:pPr>
          </w:p>
          <w:p>
            <w:pPr>
              <w:pStyle w:val="TableParagraph"/>
              <w:ind w:left="104"/>
              <w:rPr>
                <w:sz w:val="21"/>
              </w:rPr>
            </w:pPr>
            <w:r>
              <w:rPr>
                <w:sz w:val="21"/>
              </w:rPr>
              <w:t>指因慢性肝脏疾病导致肝功能衰竭。须满足下列全部条件：</w:t>
            </w:r>
          </w:p>
          <w:p>
            <w:pPr>
              <w:pStyle w:val="TableParagraph"/>
              <w:numPr>
                <w:ilvl w:val="0"/>
                <w:numId w:val="11"/>
              </w:numPr>
              <w:tabs>
                <w:tab w:pos="736" w:val="left" w:leader="none"/>
              </w:tabs>
              <w:spacing w:line="240" w:lineRule="auto" w:before="37" w:after="0"/>
              <w:ind w:left="735" w:right="0" w:hanging="631"/>
              <w:jc w:val="left"/>
              <w:rPr>
                <w:sz w:val="21"/>
              </w:rPr>
            </w:pPr>
            <w:r>
              <w:rPr>
                <w:spacing w:val="-1"/>
                <w:sz w:val="21"/>
              </w:rPr>
              <w:t>持续性黄疸；</w:t>
            </w:r>
          </w:p>
          <w:p>
            <w:pPr>
              <w:pStyle w:val="TableParagraph"/>
              <w:numPr>
                <w:ilvl w:val="0"/>
                <w:numId w:val="11"/>
              </w:numPr>
              <w:tabs>
                <w:tab w:pos="736" w:val="left" w:leader="none"/>
              </w:tabs>
              <w:spacing w:line="240" w:lineRule="auto" w:before="37" w:after="0"/>
              <w:ind w:left="735" w:right="0" w:hanging="631"/>
              <w:jc w:val="left"/>
              <w:rPr>
                <w:sz w:val="21"/>
              </w:rPr>
            </w:pPr>
            <w:r>
              <w:rPr>
                <w:spacing w:val="-1"/>
                <w:sz w:val="21"/>
              </w:rPr>
              <w:t>腹水；</w:t>
            </w:r>
          </w:p>
          <w:p>
            <w:pPr>
              <w:pStyle w:val="TableParagraph"/>
              <w:numPr>
                <w:ilvl w:val="0"/>
                <w:numId w:val="11"/>
              </w:numPr>
              <w:tabs>
                <w:tab w:pos="736" w:val="left" w:leader="none"/>
              </w:tabs>
              <w:spacing w:line="240" w:lineRule="auto" w:before="37" w:after="0"/>
              <w:ind w:left="735" w:right="0" w:hanging="631"/>
              <w:jc w:val="left"/>
              <w:rPr>
                <w:sz w:val="21"/>
              </w:rPr>
            </w:pPr>
            <w:r>
              <w:rPr>
                <w:spacing w:val="-1"/>
                <w:sz w:val="21"/>
              </w:rPr>
              <w:t>肝性脑病；</w:t>
            </w:r>
          </w:p>
          <w:p>
            <w:pPr>
              <w:pStyle w:val="TableParagraph"/>
              <w:numPr>
                <w:ilvl w:val="0"/>
                <w:numId w:val="11"/>
              </w:numPr>
              <w:tabs>
                <w:tab w:pos="736" w:val="left" w:leader="none"/>
              </w:tabs>
              <w:spacing w:line="255" w:lineRule="exact" w:before="37" w:after="0"/>
              <w:ind w:left="735" w:right="0" w:hanging="631"/>
              <w:jc w:val="left"/>
              <w:rPr>
                <w:sz w:val="21"/>
              </w:rPr>
            </w:pPr>
            <w:r>
              <w:rPr>
                <w:spacing w:val="-1"/>
                <w:sz w:val="21"/>
              </w:rPr>
              <w:t>充血性脾肿大伴脾功能亢进或食管胃底静脉曲张。</w:t>
            </w:r>
          </w:p>
        </w:tc>
      </w:tr>
    </w:tbl>
    <w:p>
      <w:pPr>
        <w:spacing w:after="0" w:line="255" w:lineRule="exact"/>
        <w:jc w:val="left"/>
        <w:rPr>
          <w:sz w:val="21"/>
        </w:rPr>
        <w:sectPr>
          <w:pgSz w:w="11910" w:h="16840"/>
          <w:pgMar w:header="899" w:footer="995" w:top="1220" w:bottom="1180" w:left="1200" w:right="840"/>
        </w:sectPr>
      </w:pPr>
    </w:p>
    <w:p>
      <w:pPr>
        <w:pStyle w:val="BodyText"/>
        <w:spacing w:before="4" w:after="1"/>
        <w:rPr>
          <w:rFonts w:ascii="Times New Roman"/>
          <w:sz w:val="28"/>
        </w:r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23"/>
      </w:tblGrid>
      <w:tr>
        <w:trPr>
          <w:trHeight w:val="572" w:hRule="atLeast"/>
        </w:trPr>
        <w:tc>
          <w:tcPr>
            <w:tcW w:w="1670" w:type="dxa"/>
          </w:tcPr>
          <w:p>
            <w:pPr>
              <w:pStyle w:val="TableParagraph"/>
              <w:rPr>
                <w:rFonts w:ascii="Times New Roman"/>
                <w:sz w:val="20"/>
              </w:rPr>
            </w:pPr>
          </w:p>
        </w:tc>
        <w:tc>
          <w:tcPr>
            <w:tcW w:w="7123" w:type="dxa"/>
          </w:tcPr>
          <w:p>
            <w:pPr>
              <w:pStyle w:val="TableParagraph"/>
              <w:spacing w:line="210" w:lineRule="exact"/>
              <w:ind w:left="210"/>
              <w:rPr>
                <w:sz w:val="21"/>
              </w:rPr>
            </w:pPr>
            <w:r>
              <w:rPr>
                <w:sz w:val="21"/>
              </w:rPr>
              <w:t>因酗酒或药物滥用导致的肝功能衰竭不在保障范围内。</w:t>
            </w:r>
          </w:p>
        </w:tc>
      </w:tr>
      <w:tr>
        <w:trPr>
          <w:trHeight w:val="2495" w:hRule="atLeast"/>
        </w:trPr>
        <w:tc>
          <w:tcPr>
            <w:tcW w:w="1670" w:type="dxa"/>
          </w:tcPr>
          <w:p>
            <w:pPr>
              <w:pStyle w:val="TableParagraph"/>
              <w:spacing w:before="5"/>
              <w:rPr>
                <w:rFonts w:ascii="Times New Roman"/>
                <w:sz w:val="34"/>
              </w:rPr>
            </w:pPr>
          </w:p>
          <w:p>
            <w:pPr>
              <w:pStyle w:val="TableParagraph"/>
              <w:spacing w:line="410" w:lineRule="auto" w:before="1"/>
              <w:ind w:left="200" w:right="209"/>
              <w:rPr>
                <w:rFonts w:ascii="Microsoft JhengHei" w:eastAsia="Microsoft JhengHei" w:hint="eastAsia"/>
                <w:b/>
                <w:sz w:val="21"/>
              </w:rPr>
            </w:pPr>
            <w:r>
              <w:rPr>
                <w:rFonts w:ascii="Microsoft JhengHei" w:eastAsia="Microsoft JhengHei" w:hint="eastAsia"/>
                <w:b/>
                <w:sz w:val="21"/>
              </w:rPr>
              <w:t>脑炎后遗症或脑膜炎后遗症</w:t>
            </w:r>
          </w:p>
        </w:tc>
        <w:tc>
          <w:tcPr>
            <w:tcW w:w="7123" w:type="dxa"/>
          </w:tcPr>
          <w:p>
            <w:pPr>
              <w:pStyle w:val="TableParagraph"/>
              <w:spacing w:before="10"/>
              <w:rPr>
                <w:rFonts w:ascii="Times New Roman"/>
                <w:sz w:val="25"/>
              </w:rPr>
            </w:pPr>
          </w:p>
          <w:p>
            <w:pPr>
              <w:pStyle w:val="TableParagraph"/>
              <w:spacing w:line="273" w:lineRule="auto"/>
              <w:ind w:left="210" w:right="155"/>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2"/>
              </w:numPr>
              <w:tabs>
                <w:tab w:pos="842" w:val="left" w:leader="none"/>
              </w:tabs>
              <w:spacing w:line="240" w:lineRule="auto" w:before="7" w:after="0"/>
              <w:ind w:left="840" w:right="0" w:hanging="630"/>
              <w:jc w:val="left"/>
              <w:rPr>
                <w:sz w:val="21"/>
              </w:rPr>
            </w:pPr>
            <w:r>
              <w:rPr>
                <w:spacing w:val="-1"/>
                <w:sz w:val="21"/>
              </w:rPr>
              <w:t>一肢或一肢以上肢体机能完全丧失；</w:t>
            </w:r>
          </w:p>
          <w:p>
            <w:pPr>
              <w:pStyle w:val="TableParagraph"/>
              <w:numPr>
                <w:ilvl w:val="0"/>
                <w:numId w:val="12"/>
              </w:numPr>
              <w:tabs>
                <w:tab w:pos="842" w:val="left" w:leader="none"/>
              </w:tabs>
              <w:spacing w:line="240" w:lineRule="auto" w:before="36" w:after="0"/>
              <w:ind w:left="840" w:right="0" w:hanging="630"/>
              <w:jc w:val="left"/>
              <w:rPr>
                <w:sz w:val="21"/>
              </w:rPr>
            </w:pPr>
            <w:r>
              <w:rPr>
                <w:spacing w:val="-1"/>
                <w:sz w:val="21"/>
              </w:rPr>
              <w:t>语言能力或咀嚼吞咽能力完全丧失；</w:t>
            </w:r>
          </w:p>
          <w:p>
            <w:pPr>
              <w:pStyle w:val="TableParagraph"/>
              <w:numPr>
                <w:ilvl w:val="0"/>
                <w:numId w:val="12"/>
              </w:numPr>
              <w:tabs>
                <w:tab w:pos="854" w:val="left" w:leader="none"/>
              </w:tabs>
              <w:spacing w:line="273" w:lineRule="auto" w:before="36" w:after="0"/>
              <w:ind w:left="840" w:right="310" w:hanging="630"/>
              <w:jc w:val="left"/>
              <w:rPr>
                <w:sz w:val="21"/>
              </w:rPr>
            </w:pPr>
            <w:r>
              <w:rPr>
                <w:sz w:val="21"/>
              </w:rPr>
              <w:t>自主生活能力完全丧失，无法独立完成六项基本日常生活活动中的三项或三项以上。</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深度昏迷</w:t>
            </w:r>
          </w:p>
        </w:tc>
        <w:tc>
          <w:tcPr>
            <w:tcW w:w="7123" w:type="dxa"/>
          </w:tcPr>
          <w:p>
            <w:pPr>
              <w:pStyle w:val="TableParagraph"/>
              <w:spacing w:before="10"/>
              <w:rPr>
                <w:rFonts w:ascii="Times New Roman"/>
                <w:sz w:val="25"/>
              </w:rPr>
            </w:pPr>
          </w:p>
          <w:p>
            <w:pPr>
              <w:pStyle w:val="TableParagraph"/>
              <w:spacing w:line="273" w:lineRule="auto"/>
              <w:ind w:left="210" w:right="260"/>
              <w:rPr>
                <w:sz w:val="21"/>
              </w:rPr>
            </w:pPr>
            <w:r>
              <w:rPr>
                <w:sz w:val="21"/>
              </w:rPr>
              <w:t>指因疾病或意外伤害导致意识丧失,对外界刺激和体内需求均无反应,昏迷程度按照格拉斯哥昏迷分级（Glasgow coma scale）结果为 5 分或 5</w:t>
            </w:r>
          </w:p>
          <w:p>
            <w:pPr>
              <w:pStyle w:val="TableParagraph"/>
              <w:spacing w:line="273" w:lineRule="auto" w:before="7"/>
              <w:ind w:left="210" w:right="715"/>
              <w:rPr>
                <w:sz w:val="21"/>
              </w:rPr>
            </w:pPr>
            <w:r>
              <w:rPr>
                <w:spacing w:val="-3"/>
                <w:sz w:val="21"/>
              </w:rPr>
              <w:t>分以下，且已经持续使用呼吸机及其它生命维持系统 </w:t>
            </w:r>
            <w:r>
              <w:rPr>
                <w:sz w:val="21"/>
              </w:rPr>
              <w:t>96</w:t>
            </w:r>
            <w:r>
              <w:rPr>
                <w:spacing w:val="-10"/>
                <w:sz w:val="21"/>
              </w:rPr>
              <w:t> 小时以上。因酗酒或药物滥用导致的深度昏迷不在保障范围内。</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双耳失聪</w:t>
            </w:r>
          </w:p>
        </w:tc>
        <w:tc>
          <w:tcPr>
            <w:tcW w:w="7123" w:type="dxa"/>
          </w:tcPr>
          <w:p>
            <w:pPr>
              <w:pStyle w:val="TableParagraph"/>
              <w:spacing w:before="10"/>
              <w:rPr>
                <w:rFonts w:ascii="Times New Roman"/>
                <w:sz w:val="25"/>
              </w:rPr>
            </w:pPr>
          </w:p>
          <w:p>
            <w:pPr>
              <w:pStyle w:val="TableParagraph"/>
              <w:ind w:left="210"/>
              <w:rPr>
                <w:sz w:val="21"/>
              </w:rPr>
            </w:pPr>
            <w:r>
              <w:rPr>
                <w:sz w:val="21"/>
              </w:rPr>
              <w:t>指因疾病或意外伤害导致双耳听力</w:t>
            </w:r>
            <w:r>
              <w:rPr>
                <w:b/>
                <w:sz w:val="21"/>
              </w:rPr>
              <w:t>永久不可逆</w:t>
            </w:r>
            <w:r>
              <w:rPr>
                <w:sz w:val="21"/>
              </w:rPr>
              <w:t>性丧失，在 500 赫兹、1000</w:t>
            </w:r>
          </w:p>
          <w:p>
            <w:pPr>
              <w:pStyle w:val="TableParagraph"/>
              <w:spacing w:line="273" w:lineRule="auto" w:before="36"/>
              <w:ind w:left="210" w:right="304"/>
              <w:rPr>
                <w:sz w:val="21"/>
              </w:rPr>
            </w:pPr>
            <w:r>
              <w:rPr>
                <w:spacing w:val="-8"/>
                <w:sz w:val="21"/>
              </w:rPr>
              <w:t>赫兹和 </w:t>
            </w:r>
            <w:r>
              <w:rPr>
                <w:sz w:val="21"/>
              </w:rPr>
              <w:t>2000</w:t>
            </w:r>
            <w:r>
              <w:rPr>
                <w:spacing w:val="-8"/>
                <w:sz w:val="21"/>
              </w:rPr>
              <w:t> 赫兹语音频率下，平均听阈大于 </w:t>
            </w:r>
            <w:r>
              <w:rPr>
                <w:sz w:val="21"/>
              </w:rPr>
              <w:t>90</w:t>
            </w:r>
            <w:r>
              <w:rPr>
                <w:spacing w:val="-6"/>
                <w:sz w:val="21"/>
              </w:rPr>
              <w:t> 分贝，且经纯音听力测试、声导抗检测或听觉诱发电位检测等证实。</w:t>
            </w:r>
          </w:p>
          <w:p>
            <w:pPr>
              <w:pStyle w:val="TableParagraph"/>
              <w:spacing w:before="7"/>
              <w:ind w:left="210"/>
              <w:rPr>
                <w:sz w:val="21"/>
              </w:rPr>
            </w:pPr>
            <w:r>
              <w:rPr>
                <w:sz w:val="21"/>
              </w:rPr>
              <w:t>在 0 周岁至 3 周岁的保险单周年日期间，被保险人初患双耳失聪除外。</w:t>
            </w:r>
          </w:p>
        </w:tc>
      </w:tr>
      <w:tr>
        <w:trPr>
          <w:trHeight w:val="249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双目失明</w:t>
            </w:r>
          </w:p>
        </w:tc>
        <w:tc>
          <w:tcPr>
            <w:tcW w:w="7123" w:type="dxa"/>
          </w:tcPr>
          <w:p>
            <w:pPr>
              <w:pStyle w:val="TableParagraph"/>
              <w:spacing w:before="10"/>
              <w:rPr>
                <w:rFonts w:ascii="Times New Roman"/>
                <w:sz w:val="25"/>
              </w:rPr>
            </w:pPr>
          </w:p>
          <w:p>
            <w:pPr>
              <w:pStyle w:val="TableParagraph"/>
              <w:spacing w:line="273" w:lineRule="auto" w:before="1"/>
              <w:ind w:left="210" w:right="312"/>
              <w:rPr>
                <w:sz w:val="21"/>
              </w:rPr>
            </w:pPr>
            <w:r>
              <w:rPr>
                <w:sz w:val="21"/>
              </w:rPr>
              <w:t>指因疾病或意外伤害导致双眼视力永久不可逆性丧失，双眼中较好眼须满足下列至少一项条件：</w:t>
            </w:r>
          </w:p>
          <w:p>
            <w:pPr>
              <w:pStyle w:val="TableParagraph"/>
              <w:numPr>
                <w:ilvl w:val="0"/>
                <w:numId w:val="13"/>
              </w:numPr>
              <w:tabs>
                <w:tab w:pos="842" w:val="left" w:leader="none"/>
              </w:tabs>
              <w:spacing w:line="240" w:lineRule="auto" w:before="8" w:after="0"/>
              <w:ind w:left="840" w:right="0" w:hanging="630"/>
              <w:jc w:val="left"/>
              <w:rPr>
                <w:sz w:val="21"/>
              </w:rPr>
            </w:pPr>
            <w:r>
              <w:rPr>
                <w:spacing w:val="-1"/>
                <w:sz w:val="21"/>
              </w:rPr>
              <w:t>眼球缺失或摘除；</w:t>
            </w:r>
          </w:p>
          <w:p>
            <w:pPr>
              <w:pStyle w:val="TableParagraph"/>
              <w:numPr>
                <w:ilvl w:val="0"/>
                <w:numId w:val="13"/>
              </w:numPr>
              <w:tabs>
                <w:tab w:pos="842" w:val="left" w:leader="none"/>
              </w:tabs>
              <w:spacing w:line="273" w:lineRule="auto" w:before="37" w:after="0"/>
              <w:ind w:left="840" w:right="303" w:hanging="630"/>
              <w:jc w:val="left"/>
              <w:rPr>
                <w:sz w:val="21"/>
              </w:rPr>
            </w:pPr>
            <w:r>
              <w:rPr>
                <w:spacing w:val="-2"/>
                <w:sz w:val="21"/>
              </w:rPr>
              <w:t>矫正视力低于 </w:t>
            </w:r>
            <w:r>
              <w:rPr>
                <w:sz w:val="21"/>
              </w:rPr>
              <w:t>0.02（采用国际标准视力表，如果使用其它视力表应进行换算</w:t>
            </w:r>
            <w:r>
              <w:rPr>
                <w:spacing w:val="-106"/>
                <w:sz w:val="21"/>
              </w:rPr>
              <w:t>）</w:t>
            </w:r>
            <w:r>
              <w:rPr>
                <w:sz w:val="21"/>
              </w:rPr>
              <w:t>；</w:t>
            </w:r>
          </w:p>
          <w:p>
            <w:pPr>
              <w:pStyle w:val="TableParagraph"/>
              <w:numPr>
                <w:ilvl w:val="0"/>
                <w:numId w:val="13"/>
              </w:numPr>
              <w:tabs>
                <w:tab w:pos="842" w:val="left" w:leader="none"/>
              </w:tabs>
              <w:spacing w:line="240" w:lineRule="auto" w:before="7" w:after="0"/>
              <w:ind w:left="840" w:right="0" w:hanging="630"/>
              <w:jc w:val="left"/>
              <w:rPr>
                <w:sz w:val="21"/>
              </w:rPr>
            </w:pPr>
            <w:r>
              <w:rPr>
                <w:spacing w:val="-8"/>
                <w:sz w:val="21"/>
              </w:rPr>
              <w:t>视野半径小于 </w:t>
            </w:r>
            <w:r>
              <w:rPr>
                <w:sz w:val="21"/>
              </w:rPr>
              <w:t>5</w:t>
            </w:r>
            <w:r>
              <w:rPr>
                <w:spacing w:val="-18"/>
                <w:sz w:val="21"/>
              </w:rPr>
              <w:t> 度。</w:t>
            </w:r>
          </w:p>
        </w:tc>
      </w:tr>
      <w:tr>
        <w:trPr>
          <w:trHeight w:val="1560"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瘫痪</w:t>
            </w:r>
          </w:p>
        </w:tc>
        <w:tc>
          <w:tcPr>
            <w:tcW w:w="7123" w:type="dxa"/>
          </w:tcPr>
          <w:p>
            <w:pPr>
              <w:pStyle w:val="TableParagraph"/>
              <w:spacing w:before="10"/>
              <w:rPr>
                <w:rFonts w:ascii="Times New Roman"/>
                <w:sz w:val="25"/>
              </w:rPr>
            </w:pPr>
          </w:p>
          <w:p>
            <w:pPr>
              <w:pStyle w:val="TableParagraph"/>
              <w:spacing w:line="273" w:lineRule="auto"/>
              <w:ind w:left="210" w:right="304"/>
              <w:jc w:val="both"/>
              <w:rPr>
                <w:sz w:val="21"/>
              </w:rPr>
            </w:pPr>
            <w:r>
              <w:rPr>
                <w:sz w:val="21"/>
              </w:rPr>
              <w:t>指因疾病或意外伤害导致两肢或两肢以上肢体机能永久完全丧失。肢体</w:t>
            </w:r>
            <w:r>
              <w:rPr>
                <w:spacing w:val="-2"/>
                <w:sz w:val="21"/>
              </w:rPr>
              <w:t>机能永久完全丧失，指疾病确诊 </w:t>
            </w:r>
            <w:r>
              <w:rPr>
                <w:sz w:val="21"/>
              </w:rPr>
              <w:t>180</w:t>
            </w:r>
            <w:r>
              <w:rPr>
                <w:spacing w:val="-9"/>
                <w:sz w:val="21"/>
              </w:rPr>
              <w:t> 天后或意外伤害发生 </w:t>
            </w:r>
            <w:r>
              <w:rPr>
                <w:sz w:val="21"/>
              </w:rPr>
              <w:t>180</w:t>
            </w:r>
            <w:r>
              <w:rPr>
                <w:spacing w:val="-7"/>
                <w:sz w:val="21"/>
              </w:rPr>
              <w:t> 天后，每肢三大关节中的两大关节仍然完全僵硬，或不能随意识活动。</w:t>
            </w:r>
          </w:p>
        </w:tc>
      </w:tr>
      <w:tr>
        <w:trPr>
          <w:trHeight w:val="1248"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心脏瓣膜手术</w:t>
            </w:r>
          </w:p>
        </w:tc>
        <w:tc>
          <w:tcPr>
            <w:tcW w:w="7123" w:type="dxa"/>
          </w:tcPr>
          <w:p>
            <w:pPr>
              <w:pStyle w:val="TableParagraph"/>
              <w:spacing w:before="10"/>
              <w:rPr>
                <w:rFonts w:ascii="Times New Roman"/>
                <w:sz w:val="25"/>
              </w:rPr>
            </w:pPr>
          </w:p>
          <w:p>
            <w:pPr>
              <w:pStyle w:val="TableParagraph"/>
              <w:spacing w:line="273" w:lineRule="auto"/>
              <w:ind w:left="210" w:right="312"/>
              <w:rPr>
                <w:sz w:val="21"/>
              </w:rPr>
            </w:pPr>
            <w:r>
              <w:rPr>
                <w:sz w:val="21"/>
              </w:rPr>
              <w:t>指为治疗心脏瓣膜疾病，实际实施了开胸进行的心脏瓣膜置换或修复的手术。</w:t>
            </w:r>
          </w:p>
        </w:tc>
      </w:tr>
      <w:tr>
        <w:trPr>
          <w:trHeight w:val="1509" w:hRule="atLeast"/>
        </w:trPr>
        <w:tc>
          <w:tcPr>
            <w:tcW w:w="1670" w:type="dxa"/>
          </w:tcPr>
          <w:p>
            <w:pPr>
              <w:pStyle w:val="TableParagraph"/>
              <w:spacing w:line="620" w:lineRule="atLeast" w:before="142"/>
              <w:ind w:left="200" w:right="209"/>
              <w:rPr>
                <w:rFonts w:ascii="Microsoft JhengHei" w:eastAsia="Microsoft JhengHei" w:hint="eastAsia"/>
                <w:b/>
                <w:sz w:val="21"/>
              </w:rPr>
            </w:pPr>
            <w:r>
              <w:rPr>
                <w:rFonts w:ascii="Microsoft JhengHei" w:eastAsia="Microsoft JhengHei" w:hint="eastAsia"/>
                <w:b/>
                <w:sz w:val="21"/>
              </w:rPr>
              <w:t>严重阿尔茨海默病</w:t>
            </w:r>
          </w:p>
        </w:tc>
        <w:tc>
          <w:tcPr>
            <w:tcW w:w="7123" w:type="dxa"/>
          </w:tcPr>
          <w:p>
            <w:pPr>
              <w:pStyle w:val="TableParagraph"/>
              <w:spacing w:before="10"/>
              <w:rPr>
                <w:rFonts w:ascii="Times New Roman"/>
                <w:sz w:val="22"/>
              </w:rPr>
            </w:pPr>
          </w:p>
          <w:p>
            <w:pPr>
              <w:pStyle w:val="TableParagraph"/>
              <w:spacing w:line="310" w:lineRule="atLeast"/>
              <w:ind w:left="210" w:right="296"/>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spacing w:val="6"/>
                <w:sz w:val="21"/>
              </w:rPr>
              <w:t>（</w:t>
            </w:r>
            <w:r>
              <w:rPr>
                <w:spacing w:val="-1"/>
                <w:sz w:val="21"/>
              </w:rPr>
              <w:t>C</w:t>
            </w:r>
            <w:r>
              <w:rPr>
                <w:spacing w:val="3"/>
                <w:sz w:val="21"/>
              </w:rPr>
              <w:t>T</w:t>
            </w:r>
            <w:r>
              <w:rPr>
                <w:spacing w:val="-103"/>
                <w:sz w:val="21"/>
              </w:rPr>
              <w:t>）</w:t>
            </w:r>
            <w:r>
              <w:rPr>
                <w:sz w:val="21"/>
              </w:rPr>
              <w:t>、核磁共振检查</w:t>
            </w:r>
            <w:r>
              <w:rPr>
                <w:spacing w:val="5"/>
                <w:sz w:val="21"/>
              </w:rPr>
              <w:t>（</w:t>
            </w:r>
            <w:r>
              <w:rPr>
                <w:sz w:val="21"/>
              </w:rPr>
              <w:t>MR</w:t>
            </w:r>
            <w:r>
              <w:rPr>
                <w:spacing w:val="2"/>
                <w:sz w:val="21"/>
              </w:rPr>
              <w:t>I）或正电</w:t>
            </w:r>
            <w:r>
              <w:rPr>
                <w:spacing w:val="-1"/>
                <w:sz w:val="21"/>
              </w:rPr>
              <w:t>子发射断层扫描</w:t>
            </w:r>
            <w:r>
              <w:rPr>
                <w:sz w:val="21"/>
              </w:rPr>
              <w:t>（PET）等影像学检查证实，且自主生活能力完全丧失，</w:t>
            </w:r>
          </w:p>
        </w:tc>
      </w:tr>
    </w:tbl>
    <w:p>
      <w:pPr>
        <w:spacing w:after="0" w:line="310" w:lineRule="atLeast"/>
        <w:jc w:val="both"/>
        <w:rPr>
          <w:sz w:val="21"/>
        </w:rPr>
        <w:sectPr>
          <w:pgSz w:w="11910" w:h="16840"/>
          <w:pgMar w:header="899" w:footer="995" w:top="1220" w:bottom="1180" w:left="1200" w:right="840"/>
        </w:sectPr>
      </w:pPr>
    </w:p>
    <w:p>
      <w:pPr>
        <w:pStyle w:val="BodyText"/>
        <w:spacing w:before="4" w:after="1"/>
        <w:rPr>
          <w:rFonts w:ascii="Times New Roman"/>
          <w:sz w:val="28"/>
        </w:r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23"/>
      </w:tblGrid>
      <w:tr>
        <w:trPr>
          <w:trHeight w:val="884" w:hRule="atLeast"/>
        </w:trPr>
        <w:tc>
          <w:tcPr>
            <w:tcW w:w="1670" w:type="dxa"/>
          </w:tcPr>
          <w:p>
            <w:pPr>
              <w:pStyle w:val="TableParagraph"/>
              <w:rPr>
                <w:rFonts w:ascii="Times New Roman"/>
                <w:sz w:val="20"/>
              </w:rPr>
            </w:pPr>
          </w:p>
        </w:tc>
        <w:tc>
          <w:tcPr>
            <w:tcW w:w="7123" w:type="dxa"/>
          </w:tcPr>
          <w:p>
            <w:pPr>
              <w:pStyle w:val="TableParagraph"/>
              <w:spacing w:line="210" w:lineRule="exact"/>
              <w:ind w:left="210"/>
              <w:rPr>
                <w:sz w:val="21"/>
              </w:rPr>
            </w:pPr>
            <w:r>
              <w:rPr>
                <w:sz w:val="21"/>
              </w:rPr>
              <w:t>无法独立完成六项基本日常生活活动中的三项或三项以上。</w:t>
            </w:r>
          </w:p>
          <w:p>
            <w:pPr>
              <w:pStyle w:val="TableParagraph"/>
              <w:spacing w:before="36"/>
              <w:ind w:left="210"/>
              <w:rPr>
                <w:sz w:val="21"/>
              </w:rPr>
            </w:pPr>
            <w:r>
              <w:rPr>
                <w:sz w:val="21"/>
              </w:rPr>
              <w:t>神经官能症和精神疾病不在保障范围内。</w:t>
            </w:r>
          </w:p>
        </w:tc>
      </w:tr>
      <w:tr>
        <w:trPr>
          <w:trHeight w:val="3120"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严重脑损伤</w:t>
            </w:r>
          </w:p>
        </w:tc>
        <w:tc>
          <w:tcPr>
            <w:tcW w:w="7123" w:type="dxa"/>
          </w:tcPr>
          <w:p>
            <w:pPr>
              <w:pStyle w:val="TableParagraph"/>
              <w:spacing w:before="10"/>
              <w:rPr>
                <w:rFonts w:ascii="Times New Roman"/>
                <w:sz w:val="25"/>
              </w:rPr>
            </w:pPr>
          </w:p>
          <w:p>
            <w:pPr>
              <w:pStyle w:val="TableParagraph"/>
              <w:spacing w:line="273" w:lineRule="auto" w:before="1"/>
              <w:ind w:left="210" w:right="296"/>
              <w:jc w:val="both"/>
              <w:rPr>
                <w:sz w:val="21"/>
              </w:rPr>
            </w:pPr>
            <w:r>
              <w:rPr>
                <w:sz w:val="21"/>
              </w:rPr>
              <w:t>指因头部遭受机械性外力，引起脑重要部位损伤，导致神经系统永久性的功能障碍。须由头颅断层扫描</w:t>
            </w:r>
            <w:r>
              <w:rPr>
                <w:spacing w:val="6"/>
                <w:sz w:val="21"/>
              </w:rPr>
              <w:t>（</w:t>
            </w:r>
            <w:r>
              <w:rPr>
                <w:spacing w:val="-1"/>
                <w:sz w:val="21"/>
              </w:rPr>
              <w:t>C</w:t>
            </w:r>
            <w:r>
              <w:rPr>
                <w:spacing w:val="3"/>
                <w:sz w:val="21"/>
              </w:rPr>
              <w:t>T</w:t>
            </w:r>
            <w:r>
              <w:rPr>
                <w:spacing w:val="-103"/>
                <w:sz w:val="21"/>
              </w:rPr>
              <w:t>）</w:t>
            </w:r>
            <w:r>
              <w:rPr>
                <w:sz w:val="21"/>
              </w:rPr>
              <w:t>、核磁共振检查</w:t>
            </w:r>
            <w:r>
              <w:rPr>
                <w:spacing w:val="3"/>
                <w:sz w:val="21"/>
              </w:rPr>
              <w:t>（</w:t>
            </w:r>
            <w:r>
              <w:rPr>
                <w:sz w:val="21"/>
              </w:rPr>
              <w:t>MR</w:t>
            </w:r>
            <w:r>
              <w:rPr>
                <w:spacing w:val="2"/>
                <w:sz w:val="21"/>
              </w:rPr>
              <w:t>I）或正电子</w:t>
            </w:r>
            <w:r>
              <w:rPr>
                <w:sz w:val="21"/>
              </w:rPr>
              <w:t>发射断层扫描（PET）等影像学检查证实。神经系统永久性的功能障碍，</w:t>
            </w:r>
            <w:r>
              <w:rPr>
                <w:spacing w:val="-11"/>
                <w:sz w:val="21"/>
              </w:rPr>
              <w:t>指脑损伤 </w:t>
            </w:r>
            <w:r>
              <w:rPr>
                <w:sz w:val="21"/>
              </w:rPr>
              <w:t>180</w:t>
            </w:r>
            <w:r>
              <w:rPr>
                <w:spacing w:val="-8"/>
                <w:sz w:val="21"/>
              </w:rPr>
              <w:t> 天后，仍遗留下列一种或一种以上障碍：</w:t>
            </w:r>
          </w:p>
          <w:p>
            <w:pPr>
              <w:pStyle w:val="TableParagraph"/>
              <w:numPr>
                <w:ilvl w:val="0"/>
                <w:numId w:val="14"/>
              </w:numPr>
              <w:tabs>
                <w:tab w:pos="842" w:val="left" w:leader="none"/>
              </w:tabs>
              <w:spacing w:line="240" w:lineRule="auto" w:before="8" w:after="0"/>
              <w:ind w:left="840" w:right="0" w:hanging="630"/>
              <w:jc w:val="left"/>
              <w:rPr>
                <w:sz w:val="21"/>
              </w:rPr>
            </w:pPr>
            <w:r>
              <w:rPr>
                <w:spacing w:val="-1"/>
                <w:sz w:val="21"/>
              </w:rPr>
              <w:t>一肢或一肢以上肢体机能完全丧失；</w:t>
            </w:r>
          </w:p>
          <w:p>
            <w:pPr>
              <w:pStyle w:val="TableParagraph"/>
              <w:numPr>
                <w:ilvl w:val="0"/>
                <w:numId w:val="14"/>
              </w:numPr>
              <w:tabs>
                <w:tab w:pos="842" w:val="left" w:leader="none"/>
              </w:tabs>
              <w:spacing w:line="240" w:lineRule="auto" w:before="37" w:after="0"/>
              <w:ind w:left="840" w:right="0" w:hanging="630"/>
              <w:jc w:val="left"/>
              <w:rPr>
                <w:sz w:val="21"/>
              </w:rPr>
            </w:pPr>
            <w:r>
              <w:rPr>
                <w:spacing w:val="-1"/>
                <w:sz w:val="21"/>
              </w:rPr>
              <w:t>语言能力或咀嚼吞咽能力完全丧失；</w:t>
            </w:r>
          </w:p>
          <w:p>
            <w:pPr>
              <w:pStyle w:val="TableParagraph"/>
              <w:numPr>
                <w:ilvl w:val="0"/>
                <w:numId w:val="14"/>
              </w:numPr>
              <w:tabs>
                <w:tab w:pos="854" w:val="left" w:leader="none"/>
              </w:tabs>
              <w:spacing w:line="273" w:lineRule="auto" w:before="37" w:after="0"/>
              <w:ind w:left="840" w:right="310" w:hanging="630"/>
              <w:jc w:val="left"/>
              <w:rPr>
                <w:sz w:val="21"/>
              </w:rPr>
            </w:pPr>
            <w:r>
              <w:rPr>
                <w:sz w:val="21"/>
              </w:rPr>
              <w:t>自主生活能力完全丧失，无法独立完成六项基本日常生活活动中的三项或三项以上。</w:t>
            </w:r>
          </w:p>
        </w:tc>
      </w:tr>
      <w:tr>
        <w:trPr>
          <w:trHeight w:val="249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严重帕金森病</w:t>
            </w:r>
          </w:p>
        </w:tc>
        <w:tc>
          <w:tcPr>
            <w:tcW w:w="7123" w:type="dxa"/>
          </w:tcPr>
          <w:p>
            <w:pPr>
              <w:pStyle w:val="TableParagraph"/>
              <w:spacing w:before="10"/>
              <w:rPr>
                <w:rFonts w:ascii="Times New Roman"/>
                <w:sz w:val="25"/>
              </w:rPr>
            </w:pPr>
          </w:p>
          <w:p>
            <w:pPr>
              <w:pStyle w:val="TableParagraph"/>
              <w:spacing w:line="273" w:lineRule="auto"/>
              <w:ind w:left="210" w:right="155"/>
              <w:rPr>
                <w:sz w:val="21"/>
              </w:rPr>
            </w:pPr>
            <w:r>
              <w:rPr>
                <w:sz w:val="21"/>
              </w:rPr>
              <w:t>是一种中枢神经系统的退行性疾病，临床表现为震颤麻痹、共济失调等。须满足下列全部条件：</w:t>
            </w:r>
          </w:p>
          <w:p>
            <w:pPr>
              <w:pStyle w:val="TableParagraph"/>
              <w:numPr>
                <w:ilvl w:val="0"/>
                <w:numId w:val="15"/>
              </w:numPr>
              <w:tabs>
                <w:tab w:pos="842" w:val="left" w:leader="none"/>
              </w:tabs>
              <w:spacing w:line="240" w:lineRule="auto" w:before="7" w:after="0"/>
              <w:ind w:left="840" w:right="0" w:hanging="630"/>
              <w:jc w:val="left"/>
              <w:rPr>
                <w:sz w:val="21"/>
              </w:rPr>
            </w:pPr>
            <w:r>
              <w:rPr>
                <w:spacing w:val="-1"/>
                <w:sz w:val="21"/>
              </w:rPr>
              <w:t>药物治疗无法控制病情；</w:t>
            </w:r>
          </w:p>
          <w:p>
            <w:pPr>
              <w:pStyle w:val="TableParagraph"/>
              <w:numPr>
                <w:ilvl w:val="0"/>
                <w:numId w:val="15"/>
              </w:numPr>
              <w:tabs>
                <w:tab w:pos="854" w:val="left" w:leader="none"/>
              </w:tabs>
              <w:spacing w:line="273" w:lineRule="auto" w:before="37" w:after="0"/>
              <w:ind w:left="840" w:right="310" w:hanging="630"/>
              <w:jc w:val="left"/>
              <w:rPr>
                <w:sz w:val="21"/>
              </w:rPr>
            </w:pPr>
            <w:r>
              <w:rPr>
                <w:sz w:val="21"/>
              </w:rPr>
              <w:t>自主生活能力完全丧失，无法独立完成六项基本日常生活活动中的三项或三项以上。</w:t>
            </w:r>
          </w:p>
          <w:p>
            <w:pPr>
              <w:pStyle w:val="TableParagraph"/>
              <w:spacing w:before="7"/>
              <w:ind w:left="210"/>
              <w:rPr>
                <w:sz w:val="21"/>
              </w:rPr>
            </w:pPr>
            <w:r>
              <w:rPr>
                <w:sz w:val="21"/>
              </w:rPr>
              <w:t>继发性帕金森综合征不在保障范围内。</w:t>
            </w:r>
          </w:p>
        </w:tc>
      </w:tr>
      <w:tr>
        <w:trPr>
          <w:trHeight w:val="1248" w:hRule="atLeast"/>
        </w:trPr>
        <w:tc>
          <w:tcPr>
            <w:tcW w:w="1670" w:type="dxa"/>
          </w:tcPr>
          <w:p>
            <w:pPr>
              <w:pStyle w:val="TableParagraph"/>
              <w:spacing w:before="6"/>
              <w:rPr>
                <w:rFonts w:ascii="Times New Roman"/>
                <w:sz w:val="34"/>
              </w:rPr>
            </w:pPr>
          </w:p>
          <w:p>
            <w:pPr>
              <w:pStyle w:val="TableParagraph"/>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严重Ⅲ度烧伤</w:t>
            </w:r>
          </w:p>
        </w:tc>
        <w:tc>
          <w:tcPr>
            <w:tcW w:w="7123" w:type="dxa"/>
          </w:tcPr>
          <w:p>
            <w:pPr>
              <w:pStyle w:val="TableParagraph"/>
              <w:spacing w:before="10"/>
              <w:rPr>
                <w:rFonts w:ascii="Times New Roman"/>
                <w:sz w:val="25"/>
              </w:rPr>
            </w:pPr>
          </w:p>
          <w:p>
            <w:pPr>
              <w:pStyle w:val="TableParagraph"/>
              <w:spacing w:line="273" w:lineRule="auto" w:before="1"/>
              <w:ind w:left="210" w:right="304"/>
              <w:rPr>
                <w:sz w:val="21"/>
              </w:rPr>
            </w:pPr>
            <w:r>
              <w:rPr>
                <w:spacing w:val="-3"/>
                <w:sz w:val="21"/>
              </w:rPr>
              <w:t>指烧伤程度为Ⅲ度，且Ⅲ度烧伤的面积达到全身体表面积的 </w:t>
            </w:r>
            <w:r>
              <w:rPr>
                <w:sz w:val="21"/>
              </w:rPr>
              <w:t>20</w:t>
            </w:r>
            <w:r>
              <w:rPr>
                <w:spacing w:val="-19"/>
                <w:sz w:val="21"/>
              </w:rPr>
              <w:t>%或 </w:t>
            </w:r>
            <w:r>
              <w:rPr>
                <w:sz w:val="21"/>
              </w:rPr>
              <w:t>20%以上。体表面积根据《中国新九分法》计算。</w:t>
            </w:r>
          </w:p>
        </w:tc>
      </w:tr>
      <w:tr>
        <w:trPr>
          <w:trHeight w:val="1812"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严重原发性肺动脉高压</w:t>
            </w:r>
          </w:p>
        </w:tc>
        <w:tc>
          <w:tcPr>
            <w:tcW w:w="7123" w:type="dxa"/>
          </w:tcPr>
          <w:p>
            <w:pPr>
              <w:pStyle w:val="TableParagraph"/>
              <w:spacing w:before="10"/>
              <w:rPr>
                <w:rFonts w:ascii="Times New Roman"/>
                <w:sz w:val="25"/>
              </w:rPr>
            </w:pPr>
          </w:p>
          <w:p>
            <w:pPr>
              <w:pStyle w:val="TableParagraph"/>
              <w:spacing w:line="273" w:lineRule="auto"/>
              <w:ind w:left="210" w:right="312"/>
              <w:jc w:val="both"/>
              <w:rPr>
                <w:sz w:val="21"/>
              </w:rPr>
            </w:pPr>
            <w:r>
              <w:rPr>
                <w:sz w:val="21"/>
              </w:rPr>
              <w:t>指不明原因的肺动脉压力持续性增高，进行性发展而导致的慢性疾病， 已经造成永久不可逆性的体力活动能力受限，达到美国纽约心脏病学会心功能状态分级 IV 级，且静息状态下肺动脉平均压超过 30mmHg。</w:t>
            </w:r>
          </w:p>
        </w:tc>
      </w:tr>
      <w:tr>
        <w:trPr>
          <w:trHeight w:val="1931" w:hRule="atLeast"/>
        </w:trPr>
        <w:tc>
          <w:tcPr>
            <w:tcW w:w="1670" w:type="dxa"/>
          </w:tcPr>
          <w:p>
            <w:pPr>
              <w:pStyle w:val="TableParagraph"/>
              <w:spacing w:before="8"/>
              <w:rPr>
                <w:rFonts w:ascii="Times New Roman"/>
                <w:sz w:val="39"/>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严重运动神经元病</w:t>
            </w:r>
          </w:p>
        </w:tc>
        <w:tc>
          <w:tcPr>
            <w:tcW w:w="7123" w:type="dxa"/>
          </w:tcPr>
          <w:p>
            <w:pPr>
              <w:pStyle w:val="TableParagraph"/>
              <w:rPr>
                <w:rFonts w:ascii="Times New Roman"/>
                <w:sz w:val="20"/>
              </w:rPr>
            </w:pPr>
          </w:p>
          <w:p>
            <w:pPr>
              <w:pStyle w:val="TableParagraph"/>
              <w:spacing w:line="273" w:lineRule="auto" w:before="127"/>
              <w:ind w:left="210" w:right="307"/>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821"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语言能力丧失</w:t>
            </w:r>
          </w:p>
        </w:tc>
        <w:tc>
          <w:tcPr>
            <w:tcW w:w="7123" w:type="dxa"/>
          </w:tcPr>
          <w:p>
            <w:pPr>
              <w:pStyle w:val="TableParagraph"/>
              <w:spacing w:before="10"/>
              <w:rPr>
                <w:rFonts w:ascii="Times New Roman"/>
                <w:sz w:val="25"/>
              </w:rPr>
            </w:pPr>
          </w:p>
          <w:p>
            <w:pPr>
              <w:pStyle w:val="TableParagraph"/>
              <w:ind w:left="210"/>
              <w:rPr>
                <w:sz w:val="21"/>
              </w:rPr>
            </w:pPr>
            <w:r>
              <w:rPr>
                <w:sz w:val="21"/>
              </w:rPr>
              <w:t>指因疾病或意外伤害导致完全丧失语言能力，经过积极治疗至少 12 个月</w:t>
            </w:r>
          </w:p>
          <w:p>
            <w:pPr>
              <w:pStyle w:val="TableParagraph"/>
              <w:spacing w:line="273" w:lineRule="auto" w:before="36"/>
              <w:ind w:left="210" w:right="716"/>
              <w:rPr>
                <w:sz w:val="21"/>
              </w:rPr>
            </w:pPr>
            <w:r>
              <w:rPr>
                <w:sz w:val="21"/>
              </w:rPr>
              <w:t>（声带完全切除不受此时间限制</w:t>
            </w:r>
            <w:r>
              <w:rPr>
                <w:spacing w:val="-105"/>
                <w:sz w:val="21"/>
              </w:rPr>
              <w:t>）</w:t>
            </w:r>
            <w:r>
              <w:rPr>
                <w:spacing w:val="-1"/>
                <w:sz w:val="21"/>
              </w:rPr>
              <w:t>，仍无法通过现有医疗手段恢复。精神心理因素所致的语言能力丧失不在保障范围内。</w:t>
            </w:r>
          </w:p>
          <w:p>
            <w:pPr>
              <w:pStyle w:val="TableParagraph"/>
              <w:spacing w:line="312" w:lineRule="exact" w:before="3"/>
              <w:ind w:left="210" w:right="304"/>
              <w:rPr>
                <w:sz w:val="21"/>
              </w:rPr>
            </w:pPr>
            <w:r>
              <w:rPr>
                <w:spacing w:val="-15"/>
                <w:sz w:val="21"/>
              </w:rPr>
              <w:t>在 </w:t>
            </w:r>
            <w:r>
              <w:rPr>
                <w:sz w:val="21"/>
              </w:rPr>
              <w:t>0</w:t>
            </w:r>
            <w:r>
              <w:rPr>
                <w:spacing w:val="-13"/>
                <w:sz w:val="21"/>
              </w:rPr>
              <w:t> 周岁至 </w:t>
            </w:r>
            <w:r>
              <w:rPr>
                <w:sz w:val="21"/>
              </w:rPr>
              <w:t>3</w:t>
            </w:r>
            <w:r>
              <w:rPr>
                <w:spacing w:val="-6"/>
                <w:sz w:val="21"/>
              </w:rPr>
              <w:t> 周岁的保险单周年日期间，被保险人初患语言能力丧失除外。</w:t>
            </w:r>
          </w:p>
        </w:tc>
      </w:tr>
    </w:tbl>
    <w:p>
      <w:pPr>
        <w:spacing w:after="0" w:line="312" w:lineRule="exact"/>
        <w:rPr>
          <w:sz w:val="21"/>
        </w:rPr>
        <w:sectPr>
          <w:pgSz w:w="11910" w:h="16840"/>
          <w:pgMar w:header="899" w:footer="995" w:top="1220" w:bottom="1180" w:left="1200" w:right="8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2"/>
        <w:gridCol w:w="7001"/>
      </w:tblGrid>
      <w:tr>
        <w:trPr>
          <w:trHeight w:val="2289" w:hRule="atLeast"/>
        </w:trPr>
        <w:tc>
          <w:tcPr>
            <w:tcW w:w="1792" w:type="dxa"/>
          </w:tcPr>
          <w:p>
            <w:pPr>
              <w:pStyle w:val="TableParagraph"/>
              <w:spacing w:line="410" w:lineRule="auto" w:before="34"/>
              <w:ind w:left="200" w:right="331"/>
              <w:rPr>
                <w:rFonts w:ascii="Microsoft JhengHei" w:eastAsia="Microsoft JhengHei" w:hint="eastAsia"/>
                <w:b/>
                <w:sz w:val="21"/>
              </w:rPr>
            </w:pPr>
            <w:r>
              <w:rPr>
                <w:rFonts w:ascii="Microsoft JhengHei" w:eastAsia="Microsoft JhengHei" w:hint="eastAsia"/>
                <w:b/>
                <w:sz w:val="21"/>
              </w:rPr>
              <w:t>重型再生障碍性贫血</w:t>
            </w:r>
          </w:p>
        </w:tc>
        <w:tc>
          <w:tcPr>
            <w:tcW w:w="7001" w:type="dxa"/>
          </w:tcPr>
          <w:p>
            <w:pPr>
              <w:pStyle w:val="TableParagraph"/>
              <w:spacing w:line="210" w:lineRule="exact"/>
              <w:ind w:left="88"/>
              <w:rPr>
                <w:sz w:val="21"/>
              </w:rPr>
            </w:pPr>
            <w:r>
              <w:rPr>
                <w:sz w:val="21"/>
              </w:rPr>
              <w:t>指因骨髓造血功能慢性持续性衰竭导致的贫血、中性粒细胞减少及血小</w:t>
            </w:r>
          </w:p>
          <w:p>
            <w:pPr>
              <w:pStyle w:val="TableParagraph"/>
              <w:spacing w:before="37"/>
              <w:ind w:left="88"/>
              <w:rPr>
                <w:sz w:val="21"/>
              </w:rPr>
            </w:pPr>
            <w:r>
              <w:rPr>
                <w:sz w:val="21"/>
              </w:rPr>
              <w:t>板减少。须满足下列全部条件：</w:t>
            </w:r>
          </w:p>
          <w:p>
            <w:pPr>
              <w:pStyle w:val="TableParagraph"/>
              <w:numPr>
                <w:ilvl w:val="0"/>
                <w:numId w:val="16"/>
              </w:numPr>
              <w:tabs>
                <w:tab w:pos="720" w:val="left" w:leader="none"/>
              </w:tabs>
              <w:spacing w:line="240" w:lineRule="auto" w:before="37" w:after="0"/>
              <w:ind w:left="719" w:right="0" w:hanging="631"/>
              <w:jc w:val="left"/>
              <w:rPr>
                <w:sz w:val="21"/>
              </w:rPr>
            </w:pPr>
            <w:r>
              <w:rPr>
                <w:spacing w:val="-1"/>
                <w:sz w:val="21"/>
              </w:rPr>
              <w:t>骨髓穿刺检查或骨髓活检结果支持诊断；</w:t>
            </w:r>
          </w:p>
          <w:p>
            <w:pPr>
              <w:pStyle w:val="TableParagraph"/>
              <w:numPr>
                <w:ilvl w:val="0"/>
                <w:numId w:val="16"/>
              </w:numPr>
              <w:tabs>
                <w:tab w:pos="720" w:val="left" w:leader="none"/>
              </w:tabs>
              <w:spacing w:line="240" w:lineRule="auto" w:before="36" w:after="0"/>
              <w:ind w:left="719" w:right="0" w:hanging="631"/>
              <w:jc w:val="left"/>
              <w:rPr>
                <w:sz w:val="21"/>
              </w:rPr>
            </w:pPr>
            <w:r>
              <w:rPr>
                <w:spacing w:val="-1"/>
                <w:sz w:val="21"/>
              </w:rPr>
              <w:t>外周血象须具备以下三项条件：</w:t>
            </w:r>
          </w:p>
          <w:p>
            <w:pPr>
              <w:pStyle w:val="TableParagraph"/>
              <w:spacing w:before="36"/>
              <w:ind w:left="718"/>
              <w:rPr>
                <w:sz w:val="21"/>
              </w:rPr>
            </w:pPr>
            <w:r>
              <w:rPr>
                <w:sz w:val="21"/>
              </w:rPr>
              <w:t>① 中性粒细胞绝对值≤0.5×10</w:t>
            </w:r>
            <w:r>
              <w:rPr>
                <w:position w:val="11"/>
                <w:sz w:val="11"/>
              </w:rPr>
              <w:t>9</w:t>
            </w:r>
            <w:r>
              <w:rPr>
                <w:sz w:val="21"/>
              </w:rPr>
              <w:t>/L；</w:t>
            </w:r>
          </w:p>
          <w:p>
            <w:pPr>
              <w:pStyle w:val="TableParagraph"/>
              <w:spacing w:before="36"/>
              <w:ind w:left="718"/>
              <w:rPr>
                <w:sz w:val="21"/>
              </w:rPr>
            </w:pPr>
            <w:r>
              <w:rPr>
                <w:sz w:val="21"/>
              </w:rPr>
              <w:t>② 网织红细胞＜1%；</w:t>
            </w:r>
          </w:p>
          <w:p>
            <w:pPr>
              <w:pStyle w:val="TableParagraph"/>
              <w:spacing w:before="36"/>
              <w:ind w:left="718"/>
              <w:rPr>
                <w:sz w:val="21"/>
              </w:rPr>
            </w:pPr>
            <w:r>
              <w:rPr>
                <w:sz w:val="21"/>
              </w:rPr>
              <w:t>③ 血小板绝对值≤20×10</w:t>
            </w:r>
            <w:r>
              <w:rPr>
                <w:position w:val="11"/>
                <w:sz w:val="11"/>
              </w:rPr>
              <w:t>9</w:t>
            </w:r>
            <w:r>
              <w:rPr>
                <w:sz w:val="21"/>
              </w:rPr>
              <w:t>/L。</w:t>
            </w:r>
          </w:p>
        </w:tc>
      </w:tr>
      <w:tr>
        <w:trPr>
          <w:trHeight w:val="1560" w:hRule="atLeast"/>
        </w:trPr>
        <w:tc>
          <w:tcPr>
            <w:tcW w:w="1792"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主动脉手术</w:t>
            </w:r>
          </w:p>
        </w:tc>
        <w:tc>
          <w:tcPr>
            <w:tcW w:w="7001" w:type="dxa"/>
          </w:tcPr>
          <w:p>
            <w:pPr>
              <w:pStyle w:val="TableParagraph"/>
              <w:spacing w:line="273" w:lineRule="auto" w:before="142"/>
              <w:ind w:left="88" w:right="31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88"/>
              <w:jc w:val="both"/>
              <w:rPr>
                <w:sz w:val="21"/>
              </w:rPr>
            </w:pPr>
            <w:r>
              <w:rPr>
                <w:sz w:val="21"/>
              </w:rPr>
              <w:t>动脉内血管成形术不在保障范围内。</w:t>
            </w:r>
          </w:p>
        </w:tc>
      </w:tr>
      <w:tr>
        <w:trPr>
          <w:trHeight w:val="780" w:hRule="atLeast"/>
        </w:trPr>
        <w:tc>
          <w:tcPr>
            <w:tcW w:w="8793" w:type="dxa"/>
            <w:gridSpan w:val="2"/>
          </w:tcPr>
          <w:p>
            <w:pPr>
              <w:pStyle w:val="TableParagraph"/>
              <w:spacing w:before="142"/>
              <w:ind w:left="200"/>
              <w:rPr>
                <w:sz w:val="21"/>
              </w:rPr>
            </w:pPr>
            <w:r>
              <w:rPr>
                <w:sz w:val="21"/>
              </w:rPr>
              <w:t>以上 25 种重大疾病是《重大疾病保险的疾病定义使用规范》列明的重大疾病。</w:t>
            </w:r>
          </w:p>
        </w:tc>
      </w:tr>
      <w:tr>
        <w:trPr>
          <w:trHeight w:val="2808" w:hRule="atLeast"/>
        </w:trPr>
        <w:tc>
          <w:tcPr>
            <w:tcW w:w="1792" w:type="dxa"/>
          </w:tcPr>
          <w:p>
            <w:pPr>
              <w:pStyle w:val="TableParagraph"/>
              <w:spacing w:before="6"/>
              <w:rPr>
                <w:rFonts w:ascii="Times New Roman"/>
                <w:sz w:val="34"/>
              </w:rPr>
            </w:pPr>
          </w:p>
          <w:p>
            <w:pPr>
              <w:pStyle w:val="TableParagraph"/>
              <w:spacing w:line="410" w:lineRule="auto"/>
              <w:ind w:left="200" w:right="85"/>
              <w:rPr>
                <w:rFonts w:ascii="Microsoft JhengHei" w:eastAsia="Microsoft JhengHei" w:hint="eastAsia"/>
                <w:b/>
                <w:sz w:val="21"/>
              </w:rPr>
            </w:pPr>
            <w:r>
              <w:rPr>
                <w:rFonts w:ascii="Microsoft JhengHei" w:eastAsia="Microsoft JhengHei" w:hint="eastAsia"/>
                <w:b/>
                <w:sz w:val="21"/>
              </w:rPr>
              <w:t>严重的原 发性心肌病</w:t>
            </w:r>
          </w:p>
        </w:tc>
        <w:tc>
          <w:tcPr>
            <w:tcW w:w="7001" w:type="dxa"/>
          </w:tcPr>
          <w:p>
            <w:pPr>
              <w:pStyle w:val="TableParagraph"/>
              <w:spacing w:before="10"/>
              <w:rPr>
                <w:rFonts w:ascii="Times New Roman"/>
                <w:sz w:val="25"/>
              </w:rPr>
            </w:pPr>
          </w:p>
          <w:p>
            <w:pPr>
              <w:pStyle w:val="TableParagraph"/>
              <w:spacing w:line="273" w:lineRule="auto"/>
              <w:ind w:left="88" w:right="292"/>
              <w:rPr>
                <w:sz w:val="21"/>
              </w:rPr>
            </w:pPr>
            <w:r>
              <w:rPr>
                <w:sz w:val="21"/>
              </w:rPr>
              <w:t>是指被保险人因原发性心肌病而出现的心室功能障碍而使其出现明显的心功能衰竭(纽约心脏病协会分类标准心功能至少达Ⅳ级*)，须经国家机关认可的有合法资质的心脏专科医生确诊。本保障范围内的心肌病包括原发性扩张型心肌病、原发性肥厚型心肌病及原发性限制型心肌病。 继发于酒精滥用性的心肌病不在此保障范围之内。</w:t>
            </w:r>
          </w:p>
          <w:p>
            <w:pPr>
              <w:pStyle w:val="TableParagraph"/>
              <w:spacing w:line="273" w:lineRule="auto" w:before="7"/>
              <w:ind w:left="90" w:right="259" w:firstLine="105"/>
              <w:rPr>
                <w:sz w:val="21"/>
              </w:rPr>
            </w:pPr>
            <w:r>
              <w:rPr>
                <w:sz w:val="21"/>
              </w:rPr>
              <w:t>* 纽约心脏病协会分类标准心功能Ⅳ级是指不能从事任何体力活动，休息时仍有心悸、呼吸困难等心力衰竭表现，体力活动后加重。</w:t>
            </w:r>
          </w:p>
        </w:tc>
      </w:tr>
      <w:tr>
        <w:trPr>
          <w:trHeight w:val="2184" w:hRule="atLeast"/>
        </w:trPr>
        <w:tc>
          <w:tcPr>
            <w:tcW w:w="1792"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脊髓灰质炎</w:t>
            </w:r>
          </w:p>
        </w:tc>
        <w:tc>
          <w:tcPr>
            <w:tcW w:w="7001" w:type="dxa"/>
          </w:tcPr>
          <w:p>
            <w:pPr>
              <w:pStyle w:val="TableParagraph"/>
              <w:spacing w:before="10"/>
              <w:rPr>
                <w:rFonts w:ascii="Times New Roman"/>
                <w:sz w:val="25"/>
              </w:rPr>
            </w:pPr>
          </w:p>
          <w:p>
            <w:pPr>
              <w:pStyle w:val="TableParagraph"/>
              <w:spacing w:line="273" w:lineRule="auto"/>
              <w:ind w:left="90" w:right="303"/>
              <w:jc w:val="both"/>
              <w:rPr>
                <w:sz w:val="21"/>
              </w:rPr>
            </w:pPr>
            <w:r>
              <w:rPr>
                <w:sz w:val="21"/>
              </w:rPr>
              <w:t>脊髓灰质炎是由于脊髓灰质炎病毒感染所致的瘫痪性疾病，临床表现为运动功能损害或呼吸无力。脊髓灰质炎必须明确诊断。本保单仅对脊髓灰质炎造成的神经系统功能损害导致被保险人一肢或一肢以上肢体机能</w:t>
            </w:r>
            <w:r>
              <w:rPr>
                <w:spacing w:val="-7"/>
                <w:sz w:val="21"/>
              </w:rPr>
              <w:t>永久完全丧失的情况予以理赔。肢体机能永久完全丧失，指疾病确诊 </w:t>
            </w:r>
            <w:r>
              <w:rPr>
                <w:sz w:val="21"/>
              </w:rPr>
              <w:t>180 天后，每肢三大关节中的两大关节仍然完全僵硬，或不能随意识活动。</w:t>
            </w:r>
          </w:p>
        </w:tc>
      </w:tr>
      <w:tr>
        <w:trPr>
          <w:trHeight w:val="3381" w:hRule="atLeast"/>
        </w:trPr>
        <w:tc>
          <w:tcPr>
            <w:tcW w:w="1792"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肌营养不良症</w:t>
            </w:r>
          </w:p>
        </w:tc>
        <w:tc>
          <w:tcPr>
            <w:tcW w:w="7001" w:type="dxa"/>
          </w:tcPr>
          <w:p>
            <w:pPr>
              <w:pStyle w:val="TableParagraph"/>
              <w:spacing w:before="10"/>
              <w:rPr>
                <w:rFonts w:ascii="Times New Roman"/>
                <w:sz w:val="25"/>
              </w:rPr>
            </w:pPr>
          </w:p>
          <w:p>
            <w:pPr>
              <w:pStyle w:val="TableParagraph"/>
              <w:spacing w:line="273" w:lineRule="auto"/>
              <w:ind w:left="90" w:right="310"/>
              <w:rPr>
                <w:sz w:val="21"/>
              </w:rPr>
            </w:pPr>
            <w:r>
              <w:rPr>
                <w:sz w:val="21"/>
              </w:rPr>
              <w:t>肌营养不良症是一组遗传性肌肉变性性病变，临床特征为与神经系统无关的骨骼肌对称地进行性无力和萎缩，其诊断需同时符合以下条件：</w:t>
            </w:r>
          </w:p>
          <w:p>
            <w:pPr>
              <w:pStyle w:val="TableParagraph"/>
              <w:spacing w:before="7"/>
              <w:ind w:left="90"/>
              <w:rPr>
                <w:sz w:val="21"/>
              </w:rPr>
            </w:pPr>
            <w:r>
              <w:rPr>
                <w:sz w:val="21"/>
              </w:rPr>
              <w:t>（ 1 ）肌电图显示典型肌营养不良症的阳性改变；（ 2 ）肌肉活检的</w:t>
            </w:r>
          </w:p>
          <w:p>
            <w:pPr>
              <w:pStyle w:val="TableParagraph"/>
              <w:spacing w:line="273" w:lineRule="auto" w:before="37"/>
              <w:ind w:left="90" w:right="197"/>
              <w:rPr>
                <w:sz w:val="21"/>
              </w:rPr>
            </w:pPr>
            <w:r>
              <w:rPr>
                <w:spacing w:val="-5"/>
                <w:sz w:val="21"/>
              </w:rPr>
              <w:t>病理学诊断符合肌营养不良症的肌肉细胞变性、坏死等阳性改变。</w:t>
            </w:r>
            <w:r>
              <w:rPr>
                <w:sz w:val="21"/>
              </w:rPr>
              <w:t>（ 3 ） 已导致被保险人永久性的能力丧失无法独立进行以下六项日常生活活动</w:t>
            </w:r>
            <w:r>
              <w:rPr>
                <w:spacing w:val="-1"/>
                <w:sz w:val="21"/>
              </w:rPr>
              <w:t>中的其中三项或三项以上： </w:t>
            </w:r>
            <w:r>
              <w:rPr>
                <w:sz w:val="21"/>
              </w:rPr>
              <w:t>1)</w:t>
            </w:r>
            <w:r>
              <w:rPr>
                <w:spacing w:val="-3"/>
                <w:sz w:val="21"/>
              </w:rPr>
              <w:t> 穿衣：自己能够穿衣及脱衣； </w:t>
            </w:r>
            <w:r>
              <w:rPr>
                <w:sz w:val="21"/>
              </w:rPr>
              <w:t>2)</w:t>
            </w:r>
            <w:r>
              <w:rPr>
                <w:spacing w:val="-1"/>
                <w:sz w:val="21"/>
              </w:rPr>
              <w:t> 移动：</w:t>
            </w:r>
          </w:p>
          <w:p>
            <w:pPr>
              <w:pStyle w:val="TableParagraph"/>
              <w:spacing w:before="8"/>
              <w:ind w:left="90"/>
              <w:rPr>
                <w:sz w:val="21"/>
              </w:rPr>
            </w:pPr>
            <w:r>
              <w:rPr>
                <w:sz w:val="21"/>
              </w:rPr>
              <w:t>自己从一个房间到另一个房间； 3) 行动：自己上下床或上下轮椅； 4)</w:t>
            </w:r>
          </w:p>
          <w:p>
            <w:pPr>
              <w:pStyle w:val="TableParagraph"/>
              <w:spacing w:before="37"/>
              <w:ind w:left="90"/>
              <w:rPr>
                <w:sz w:val="21"/>
              </w:rPr>
            </w:pPr>
            <w:r>
              <w:rPr>
                <w:sz w:val="21"/>
              </w:rPr>
              <w:t>如厕：自己控制进行大小便； 5) 进食：自己从已准备好的碗或碟中取</w:t>
            </w:r>
          </w:p>
          <w:p>
            <w:pPr>
              <w:pStyle w:val="TableParagraph"/>
              <w:spacing w:before="37"/>
              <w:ind w:left="90"/>
              <w:rPr>
                <w:sz w:val="21"/>
              </w:rPr>
            </w:pPr>
            <w:r>
              <w:rPr>
                <w:sz w:val="21"/>
              </w:rPr>
              <w:t>食物放入口中； 6) 洗澡：自己进行淋浴或盆浴。以上日常生活能力的</w:t>
            </w:r>
          </w:p>
          <w:p>
            <w:pPr>
              <w:pStyle w:val="TableParagraph"/>
              <w:spacing w:line="255" w:lineRule="exact" w:before="37"/>
              <w:ind w:left="90"/>
              <w:rPr>
                <w:sz w:val="21"/>
              </w:rPr>
            </w:pPr>
            <w:r>
              <w:rPr>
                <w:sz w:val="21"/>
              </w:rPr>
              <w:t>丧失需持续有 6 个月以上的医疗记录。</w:t>
            </w:r>
          </w:p>
        </w:tc>
      </w:tr>
    </w:tbl>
    <w:p>
      <w:pPr>
        <w:spacing w:after="0" w:line="255" w:lineRule="exact"/>
        <w:rPr>
          <w:sz w:val="21"/>
        </w:rPr>
        <w:sectPr>
          <w:pgSz w:w="11910" w:h="16840"/>
          <w:pgMar w:header="899" w:footer="995" w:top="1220" w:bottom="1180" w:left="1200" w:right="8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
        <w:gridCol w:w="1731"/>
        <w:gridCol w:w="7121"/>
      </w:tblGrid>
      <w:tr>
        <w:trPr>
          <w:trHeight w:val="2757" w:hRule="atLeast"/>
        </w:trPr>
        <w:tc>
          <w:tcPr>
            <w:tcW w:w="779" w:type="dxa"/>
          </w:tcPr>
          <w:p>
            <w:pPr>
              <w:pStyle w:val="TableParagraph"/>
              <w:rPr>
                <w:rFonts w:ascii="Times New Roman"/>
                <w:sz w:val="20"/>
              </w:rPr>
            </w:pPr>
          </w:p>
        </w:tc>
        <w:tc>
          <w:tcPr>
            <w:tcW w:w="1731" w:type="dxa"/>
          </w:tcPr>
          <w:p>
            <w:pPr>
              <w:pStyle w:val="TableParagraph"/>
              <w:spacing w:before="34"/>
              <w:ind w:left="261"/>
              <w:rPr>
                <w:rFonts w:ascii="Microsoft JhengHei" w:eastAsia="Microsoft JhengHei" w:hint="eastAsia"/>
                <w:b/>
                <w:sz w:val="21"/>
              </w:rPr>
            </w:pPr>
            <w:r>
              <w:rPr>
                <w:rFonts w:ascii="Microsoft JhengHei" w:eastAsia="Microsoft JhengHei" w:hint="eastAsia"/>
                <w:b/>
                <w:sz w:val="21"/>
              </w:rPr>
              <w:t>多发性硬化症</w:t>
            </w:r>
          </w:p>
        </w:tc>
        <w:tc>
          <w:tcPr>
            <w:tcW w:w="7121" w:type="dxa"/>
          </w:tcPr>
          <w:p>
            <w:pPr>
              <w:pStyle w:val="TableParagraph"/>
              <w:spacing w:line="210" w:lineRule="exact"/>
              <w:ind w:left="210"/>
              <w:rPr>
                <w:sz w:val="21"/>
              </w:rPr>
            </w:pPr>
            <w:r>
              <w:rPr>
                <w:sz w:val="21"/>
              </w:rPr>
              <w:t>指一种中枢神经系统脱髓鞘疾病，造成身体部位不可逆的功能障碍。临</w:t>
            </w:r>
          </w:p>
          <w:p>
            <w:pPr>
              <w:pStyle w:val="TableParagraph"/>
              <w:spacing w:line="273" w:lineRule="auto" w:before="37"/>
              <w:ind w:left="210" w:right="304"/>
              <w:jc w:val="both"/>
              <w:rPr>
                <w:sz w:val="21"/>
              </w:rPr>
            </w:pPr>
            <w:r>
              <w:rPr>
                <w:sz w:val="21"/>
              </w:rPr>
              <w:t>床表现为视力受损、截瘫、平衡失调、构音障碍、大小便机能失调等症</w:t>
            </w:r>
            <w:r>
              <w:rPr>
                <w:spacing w:val="-5"/>
                <w:sz w:val="21"/>
              </w:rPr>
              <w:t>状，须经国家机关认可的有合法资质的神经专科医师确诊，并有 </w:t>
            </w:r>
            <w:r>
              <w:rPr>
                <w:sz w:val="21"/>
              </w:rPr>
              <w:t>CT</w:t>
            </w:r>
            <w:r>
              <w:rPr>
                <w:spacing w:val="-18"/>
                <w:sz w:val="21"/>
              </w:rPr>
              <w:t> 或核磁共振检查结果诊断报告。所谓身体部位不可逆的功能障碍指初次诊断</w:t>
            </w:r>
            <w:r>
              <w:rPr>
                <w:spacing w:val="-22"/>
                <w:sz w:val="21"/>
              </w:rPr>
              <w:t>为功能障碍后需持续 </w:t>
            </w:r>
            <w:r>
              <w:rPr>
                <w:sz w:val="21"/>
              </w:rPr>
              <w:t>180</w:t>
            </w:r>
            <w:r>
              <w:rPr>
                <w:spacing w:val="-8"/>
                <w:sz w:val="21"/>
              </w:rPr>
              <w:t> 天以上。其诊断必须满足下列全部条件:</w:t>
            </w:r>
          </w:p>
          <w:p>
            <w:pPr>
              <w:pStyle w:val="TableParagraph"/>
              <w:spacing w:before="7"/>
              <w:ind w:left="210"/>
              <w:jc w:val="both"/>
              <w:rPr>
                <w:sz w:val="21"/>
              </w:rPr>
            </w:pPr>
            <w:r>
              <w:rPr>
                <w:sz w:val="21"/>
              </w:rPr>
              <w:t>（1）由于视神经、脑干和脊髓损伤而导致的临床表现；</w:t>
            </w:r>
          </w:p>
          <w:p>
            <w:pPr>
              <w:pStyle w:val="TableParagraph"/>
              <w:spacing w:before="36"/>
              <w:ind w:left="210"/>
              <w:jc w:val="both"/>
              <w:rPr>
                <w:sz w:val="21"/>
              </w:rPr>
            </w:pPr>
            <w:r>
              <w:rPr>
                <w:sz w:val="21"/>
              </w:rPr>
              <w:t>（2）散在的身体损害的多样性；</w:t>
            </w:r>
          </w:p>
          <w:p>
            <w:pPr>
              <w:pStyle w:val="TableParagraph"/>
              <w:spacing w:before="36"/>
              <w:ind w:left="212"/>
              <w:jc w:val="both"/>
              <w:rPr>
                <w:sz w:val="21"/>
              </w:rPr>
            </w:pPr>
            <w:r>
              <w:rPr>
                <w:sz w:val="21"/>
              </w:rPr>
              <w:t>（3）上述症状反复发作、恶化及神经损伤的病史记录。</w:t>
            </w:r>
          </w:p>
        </w:tc>
      </w:tr>
      <w:tr>
        <w:trPr>
          <w:trHeight w:val="5616" w:hRule="atLeast"/>
        </w:trPr>
        <w:tc>
          <w:tcPr>
            <w:tcW w:w="779" w:type="dxa"/>
          </w:tcPr>
          <w:p>
            <w:pPr>
              <w:pStyle w:val="TableParagraph"/>
              <w:rPr>
                <w:rFonts w:ascii="Times New Roman"/>
                <w:sz w:val="20"/>
              </w:rPr>
            </w:pPr>
          </w:p>
        </w:tc>
        <w:tc>
          <w:tcPr>
            <w:tcW w:w="1731" w:type="dxa"/>
          </w:tcPr>
          <w:p>
            <w:pPr>
              <w:pStyle w:val="TableParagraph"/>
              <w:spacing w:before="6"/>
              <w:rPr>
                <w:rFonts w:ascii="Times New Roman"/>
                <w:sz w:val="34"/>
              </w:rPr>
            </w:pPr>
          </w:p>
          <w:p>
            <w:pPr>
              <w:pStyle w:val="TableParagraph"/>
              <w:spacing w:line="410" w:lineRule="auto"/>
              <w:ind w:left="261" w:right="207"/>
              <w:rPr>
                <w:rFonts w:ascii="Microsoft JhengHei" w:eastAsia="Microsoft JhengHei" w:hint="eastAsia"/>
                <w:b/>
                <w:sz w:val="21"/>
              </w:rPr>
            </w:pPr>
            <w:r>
              <w:rPr>
                <w:rFonts w:ascii="Microsoft JhengHei" w:eastAsia="Microsoft JhengHei" w:hint="eastAsia"/>
                <w:b/>
                <w:sz w:val="21"/>
              </w:rPr>
              <w:t>系统性红斑狼疮</w:t>
            </w:r>
          </w:p>
        </w:tc>
        <w:tc>
          <w:tcPr>
            <w:tcW w:w="7121" w:type="dxa"/>
          </w:tcPr>
          <w:p>
            <w:pPr>
              <w:pStyle w:val="TableParagraph"/>
              <w:spacing w:before="10"/>
              <w:rPr>
                <w:rFonts w:ascii="Times New Roman"/>
                <w:sz w:val="25"/>
              </w:rPr>
            </w:pPr>
          </w:p>
          <w:p>
            <w:pPr>
              <w:pStyle w:val="TableParagraph"/>
              <w:spacing w:line="273" w:lineRule="auto"/>
              <w:ind w:left="210" w:right="311"/>
              <w:rPr>
                <w:sz w:val="21"/>
              </w:rPr>
            </w:pPr>
            <w:r>
              <w:rPr>
                <w:sz w:val="21"/>
              </w:rPr>
              <w:t>是一种累及多脏器的自身免疫性的炎症性结缔组织病。其诊断须满足下列两个条件：</w:t>
            </w:r>
          </w:p>
          <w:p>
            <w:pPr>
              <w:pStyle w:val="TableParagraph"/>
              <w:numPr>
                <w:ilvl w:val="0"/>
                <w:numId w:val="17"/>
              </w:numPr>
              <w:tabs>
                <w:tab w:pos="632" w:val="left" w:leader="none"/>
              </w:tabs>
              <w:spacing w:line="240" w:lineRule="auto" w:before="7" w:after="0"/>
              <w:ind w:left="631" w:right="0" w:hanging="421"/>
              <w:jc w:val="left"/>
              <w:rPr>
                <w:sz w:val="21"/>
              </w:rPr>
            </w:pPr>
            <w:r>
              <w:rPr>
                <w:spacing w:val="-1"/>
                <w:sz w:val="21"/>
              </w:rPr>
              <w:t>临床表现至少具备如下条件的四个：</w:t>
            </w:r>
          </w:p>
          <w:p>
            <w:pPr>
              <w:pStyle w:val="TableParagraph"/>
              <w:spacing w:before="37"/>
              <w:ind w:left="420"/>
              <w:rPr>
                <w:sz w:val="21"/>
              </w:rPr>
            </w:pPr>
            <w:r>
              <w:rPr>
                <w:sz w:val="21"/>
              </w:rPr>
              <w:t>① 蝶形红斑或盘形红斑；</w:t>
            </w:r>
          </w:p>
          <w:p>
            <w:pPr>
              <w:pStyle w:val="TableParagraph"/>
              <w:spacing w:before="37"/>
              <w:ind w:left="421"/>
              <w:rPr>
                <w:sz w:val="21"/>
              </w:rPr>
            </w:pPr>
            <w:r>
              <w:rPr>
                <w:sz w:val="21"/>
              </w:rPr>
              <w:t>② 光敏感；</w:t>
            </w:r>
          </w:p>
          <w:p>
            <w:pPr>
              <w:pStyle w:val="TableParagraph"/>
              <w:spacing w:before="37"/>
              <w:ind w:left="420"/>
              <w:rPr>
                <w:sz w:val="21"/>
              </w:rPr>
            </w:pPr>
            <w:r>
              <w:rPr>
                <w:sz w:val="21"/>
              </w:rPr>
              <w:t>③ 口腔溃疡；</w:t>
            </w:r>
          </w:p>
          <w:p>
            <w:pPr>
              <w:pStyle w:val="TableParagraph"/>
              <w:spacing w:before="37"/>
              <w:ind w:left="420"/>
              <w:rPr>
                <w:sz w:val="21"/>
              </w:rPr>
            </w:pPr>
            <w:r>
              <w:rPr>
                <w:sz w:val="21"/>
              </w:rPr>
              <w:t>④ 非畸形关节炎或多关节痛；</w:t>
            </w:r>
          </w:p>
          <w:p>
            <w:pPr>
              <w:pStyle w:val="TableParagraph"/>
              <w:spacing w:before="37"/>
              <w:ind w:left="421"/>
              <w:rPr>
                <w:sz w:val="21"/>
              </w:rPr>
            </w:pPr>
            <w:r>
              <w:rPr>
                <w:sz w:val="21"/>
              </w:rPr>
              <w:t>⑤ 浆膜炎、胸膜炎或心包炎；</w:t>
            </w:r>
          </w:p>
          <w:p>
            <w:pPr>
              <w:pStyle w:val="TableParagraph"/>
              <w:spacing w:before="37"/>
              <w:ind w:left="421"/>
              <w:rPr>
                <w:sz w:val="21"/>
              </w:rPr>
            </w:pPr>
            <w:r>
              <w:rPr>
                <w:sz w:val="21"/>
              </w:rPr>
              <w:t>⑥ 神经系统损伤（癫痫或精神症状）；</w:t>
            </w:r>
          </w:p>
          <w:p>
            <w:pPr>
              <w:pStyle w:val="TableParagraph"/>
              <w:spacing w:before="37"/>
              <w:ind w:left="420"/>
              <w:rPr>
                <w:sz w:val="21"/>
              </w:rPr>
            </w:pPr>
            <w:r>
              <w:rPr>
                <w:sz w:val="21"/>
              </w:rPr>
              <w:t>⑦ 血象异常（WBC&lt; 4x10</w:t>
            </w:r>
            <w:r>
              <w:rPr>
                <w:position w:val="11"/>
                <w:sz w:val="11"/>
              </w:rPr>
              <w:t>9</w:t>
            </w:r>
            <w:r>
              <w:rPr>
                <w:sz w:val="21"/>
              </w:rPr>
              <w:t>／升或血小板&lt;100x10</w:t>
            </w:r>
            <w:r>
              <w:rPr>
                <w:position w:val="11"/>
                <w:sz w:val="11"/>
              </w:rPr>
              <w:t>9</w:t>
            </w:r>
            <w:r>
              <w:rPr>
                <w:sz w:val="21"/>
              </w:rPr>
              <w:t>／升或溶血性贫血）。</w:t>
            </w:r>
          </w:p>
          <w:p>
            <w:pPr>
              <w:pStyle w:val="TableParagraph"/>
              <w:numPr>
                <w:ilvl w:val="0"/>
                <w:numId w:val="17"/>
              </w:numPr>
              <w:tabs>
                <w:tab w:pos="632" w:val="left" w:leader="none"/>
              </w:tabs>
              <w:spacing w:line="240" w:lineRule="auto" w:before="37" w:after="0"/>
              <w:ind w:left="631" w:right="0" w:hanging="421"/>
              <w:jc w:val="left"/>
              <w:rPr>
                <w:rFonts w:ascii="MingLiU_HKSCS-ExtB" w:hAnsi="MingLiU_HKSCS-ExtB" w:eastAsia="MingLiU_HKSCS-ExtB"/>
                <w:sz w:val="21"/>
              </w:rPr>
            </w:pPr>
            <w:r>
              <w:rPr>
                <w:spacing w:val="-1"/>
                <w:sz w:val="21"/>
              </w:rPr>
              <w:t>检测结果至少具备如下条件的两个：</w:t>
            </w:r>
            <w:r>
              <w:rPr>
                <w:rFonts w:ascii="MingLiU_HKSCS-ExtB" w:hAnsi="MingLiU_HKSCS-ExtB" w:eastAsia="MingLiU_HKSCS-ExtB"/>
                <w:sz w:val="21"/>
              </w:rPr>
              <w:t></w:t>
            </w:r>
          </w:p>
          <w:p>
            <w:pPr>
              <w:pStyle w:val="TableParagraph"/>
              <w:spacing w:before="24"/>
              <w:ind w:left="420"/>
              <w:rPr>
                <w:sz w:val="21"/>
              </w:rPr>
            </w:pPr>
            <w:r>
              <w:rPr>
                <w:sz w:val="21"/>
              </w:rPr>
              <w:t>① 狼疮细胞或抗双链 DNA 抗体阳性；</w:t>
            </w:r>
          </w:p>
          <w:p>
            <w:pPr>
              <w:pStyle w:val="TableParagraph"/>
              <w:spacing w:before="36"/>
              <w:ind w:left="420"/>
              <w:rPr>
                <w:sz w:val="21"/>
              </w:rPr>
            </w:pPr>
            <w:r>
              <w:rPr>
                <w:sz w:val="21"/>
              </w:rPr>
              <w:t>② 抗 Sm 抗体阳性；</w:t>
            </w:r>
          </w:p>
          <w:p>
            <w:pPr>
              <w:pStyle w:val="TableParagraph"/>
              <w:spacing w:before="36"/>
              <w:ind w:left="420"/>
              <w:rPr>
                <w:sz w:val="21"/>
              </w:rPr>
            </w:pPr>
            <w:r>
              <w:rPr>
                <w:sz w:val="21"/>
              </w:rPr>
              <w:t>③ 抗核抗体阳性；</w:t>
            </w:r>
          </w:p>
          <w:p>
            <w:pPr>
              <w:pStyle w:val="TableParagraph"/>
              <w:spacing w:before="36"/>
              <w:ind w:left="420"/>
              <w:rPr>
                <w:sz w:val="21"/>
              </w:rPr>
            </w:pPr>
            <w:r>
              <w:rPr>
                <w:sz w:val="21"/>
              </w:rPr>
              <w:t>④ 狼疮带试验阳性；</w:t>
            </w:r>
          </w:p>
          <w:p>
            <w:pPr>
              <w:pStyle w:val="TableParagraph"/>
              <w:spacing w:before="36"/>
              <w:ind w:left="422"/>
              <w:rPr>
                <w:sz w:val="21"/>
              </w:rPr>
            </w:pPr>
            <w:r>
              <w:rPr>
                <w:sz w:val="21"/>
              </w:rPr>
              <w:t>⑤ C3 补体低于正常。</w:t>
            </w:r>
          </w:p>
        </w:tc>
      </w:tr>
      <w:tr>
        <w:trPr>
          <w:trHeight w:val="2808" w:hRule="atLeast"/>
        </w:trPr>
        <w:tc>
          <w:tcPr>
            <w:tcW w:w="779" w:type="dxa"/>
          </w:tcPr>
          <w:p>
            <w:pPr>
              <w:pStyle w:val="TableParagraph"/>
              <w:spacing w:before="10"/>
              <w:rPr>
                <w:rFonts w:ascii="Times New Roman"/>
                <w:sz w:val="25"/>
              </w:rPr>
            </w:pPr>
          </w:p>
          <w:p>
            <w:pPr>
              <w:pStyle w:val="TableParagraph"/>
              <w:ind w:left="181" w:right="240"/>
              <w:jc w:val="center"/>
              <w:rPr>
                <w:b/>
                <w:sz w:val="21"/>
              </w:rPr>
            </w:pPr>
            <w:r>
              <w:rPr>
                <w:b/>
                <w:sz w:val="21"/>
              </w:rPr>
              <w:t>8.4</w:t>
            </w:r>
          </w:p>
        </w:tc>
        <w:tc>
          <w:tcPr>
            <w:tcW w:w="1731" w:type="dxa"/>
          </w:tcPr>
          <w:p>
            <w:pPr>
              <w:pStyle w:val="TableParagraph"/>
              <w:spacing w:before="10"/>
              <w:rPr>
                <w:rFonts w:ascii="Times New Roman"/>
                <w:sz w:val="25"/>
              </w:rPr>
            </w:pPr>
          </w:p>
          <w:p>
            <w:pPr>
              <w:pStyle w:val="TableParagraph"/>
              <w:ind w:left="261"/>
              <w:rPr>
                <w:b/>
                <w:sz w:val="21"/>
              </w:rPr>
            </w:pPr>
            <w:r>
              <w:rPr>
                <w:b/>
                <w:sz w:val="21"/>
              </w:rPr>
              <w:t>专科医生</w:t>
            </w:r>
          </w:p>
        </w:tc>
        <w:tc>
          <w:tcPr>
            <w:tcW w:w="7121" w:type="dxa"/>
          </w:tcPr>
          <w:p>
            <w:pPr>
              <w:pStyle w:val="TableParagraph"/>
              <w:spacing w:before="10"/>
              <w:rPr>
                <w:rFonts w:ascii="Times New Roman"/>
                <w:sz w:val="25"/>
              </w:rPr>
            </w:pPr>
          </w:p>
          <w:p>
            <w:pPr>
              <w:pStyle w:val="TableParagraph"/>
              <w:ind w:left="210"/>
              <w:rPr>
                <w:sz w:val="21"/>
              </w:rPr>
            </w:pPr>
            <w:r>
              <w:rPr>
                <w:sz w:val="21"/>
              </w:rPr>
              <w:t>专科医生应当同时满足以下四项资格条件：</w:t>
            </w:r>
          </w:p>
          <w:p>
            <w:pPr>
              <w:pStyle w:val="TableParagraph"/>
              <w:numPr>
                <w:ilvl w:val="0"/>
                <w:numId w:val="18"/>
              </w:numPr>
              <w:tabs>
                <w:tab w:pos="842" w:val="left" w:leader="none"/>
              </w:tabs>
              <w:spacing w:line="240" w:lineRule="auto" w:before="36" w:after="0"/>
              <w:ind w:left="846" w:right="0" w:hanging="636"/>
              <w:jc w:val="left"/>
              <w:rPr>
                <w:sz w:val="21"/>
              </w:rPr>
            </w:pPr>
            <w:r>
              <w:rPr>
                <w:spacing w:val="-7"/>
                <w:sz w:val="21"/>
              </w:rPr>
              <w:t>具有有效的中华人民共和国《医师资格证书》；</w:t>
            </w:r>
          </w:p>
          <w:p>
            <w:pPr>
              <w:pStyle w:val="TableParagraph"/>
              <w:numPr>
                <w:ilvl w:val="0"/>
                <w:numId w:val="18"/>
              </w:numPr>
              <w:tabs>
                <w:tab w:pos="838" w:val="left" w:leader="none"/>
              </w:tabs>
              <w:spacing w:line="273" w:lineRule="auto" w:before="36" w:after="0"/>
              <w:ind w:left="846" w:right="303" w:hanging="636"/>
              <w:jc w:val="left"/>
              <w:rPr>
                <w:sz w:val="21"/>
              </w:rPr>
            </w:pPr>
            <w:r>
              <w:rPr>
                <w:spacing w:val="-8"/>
                <w:sz w:val="21"/>
              </w:rPr>
              <w:t>具有有效的中华人民共和国《医师执业证书》，并按期到相关部门登记注册；</w:t>
            </w:r>
          </w:p>
          <w:p>
            <w:pPr>
              <w:pStyle w:val="TableParagraph"/>
              <w:numPr>
                <w:ilvl w:val="0"/>
                <w:numId w:val="18"/>
              </w:numPr>
              <w:tabs>
                <w:tab w:pos="854" w:val="left" w:leader="none"/>
              </w:tabs>
              <w:spacing w:line="273" w:lineRule="auto" w:before="7" w:after="0"/>
              <w:ind w:left="818" w:right="309" w:hanging="608"/>
              <w:jc w:val="left"/>
              <w:rPr>
                <w:sz w:val="21"/>
              </w:rPr>
            </w:pPr>
            <w:r>
              <w:rPr>
                <w:sz w:val="21"/>
              </w:rPr>
              <w:t>具有有效的中华人民共和国主治医师或主治医师以上职称的《医</w:t>
            </w:r>
            <w:r>
              <w:rPr>
                <w:spacing w:val="-16"/>
                <w:sz w:val="21"/>
              </w:rPr>
              <w:t>师职称证书》；</w:t>
            </w:r>
          </w:p>
          <w:p>
            <w:pPr>
              <w:pStyle w:val="TableParagraph"/>
              <w:numPr>
                <w:ilvl w:val="0"/>
                <w:numId w:val="18"/>
              </w:numPr>
              <w:tabs>
                <w:tab w:pos="842" w:val="left" w:leader="none"/>
              </w:tabs>
              <w:spacing w:line="240" w:lineRule="auto" w:before="7" w:after="0"/>
              <w:ind w:left="846" w:right="0" w:hanging="636"/>
              <w:jc w:val="left"/>
              <w:rPr>
                <w:sz w:val="21"/>
              </w:rPr>
            </w:pPr>
            <w:r>
              <w:rPr>
                <w:spacing w:val="-1"/>
                <w:sz w:val="21"/>
              </w:rPr>
              <w:t>在二级或二级以上医院的相应科室从事临床工作三年以上。</w:t>
            </w:r>
          </w:p>
        </w:tc>
      </w:tr>
      <w:tr>
        <w:trPr>
          <w:trHeight w:val="1509" w:hRule="atLeast"/>
        </w:trPr>
        <w:tc>
          <w:tcPr>
            <w:tcW w:w="779" w:type="dxa"/>
          </w:tcPr>
          <w:p>
            <w:pPr>
              <w:pStyle w:val="TableParagraph"/>
              <w:spacing w:before="10"/>
              <w:rPr>
                <w:rFonts w:ascii="Times New Roman"/>
                <w:sz w:val="25"/>
              </w:rPr>
            </w:pPr>
          </w:p>
          <w:p>
            <w:pPr>
              <w:pStyle w:val="TableParagraph"/>
              <w:ind w:left="181" w:right="240"/>
              <w:jc w:val="center"/>
              <w:rPr>
                <w:b/>
                <w:sz w:val="21"/>
              </w:rPr>
            </w:pPr>
            <w:r>
              <w:rPr>
                <w:b/>
                <w:sz w:val="21"/>
              </w:rPr>
              <w:t>8.5</w:t>
            </w:r>
          </w:p>
        </w:tc>
        <w:tc>
          <w:tcPr>
            <w:tcW w:w="1731" w:type="dxa"/>
          </w:tcPr>
          <w:p>
            <w:pPr>
              <w:pStyle w:val="TableParagraph"/>
              <w:spacing w:before="10"/>
              <w:rPr>
                <w:rFonts w:ascii="Times New Roman"/>
                <w:sz w:val="25"/>
              </w:rPr>
            </w:pPr>
          </w:p>
          <w:p>
            <w:pPr>
              <w:pStyle w:val="TableParagraph"/>
              <w:ind w:left="261"/>
              <w:rPr>
                <w:b/>
                <w:sz w:val="21"/>
              </w:rPr>
            </w:pPr>
            <w:r>
              <w:rPr>
                <w:b/>
                <w:sz w:val="21"/>
              </w:rPr>
              <w:t>毒品</w:t>
            </w:r>
          </w:p>
        </w:tc>
        <w:tc>
          <w:tcPr>
            <w:tcW w:w="7121" w:type="dxa"/>
          </w:tcPr>
          <w:p>
            <w:pPr>
              <w:pStyle w:val="TableParagraph"/>
              <w:spacing w:before="10"/>
              <w:rPr>
                <w:rFonts w:ascii="Times New Roman"/>
                <w:sz w:val="25"/>
              </w:rPr>
            </w:pPr>
          </w:p>
          <w:p>
            <w:pPr>
              <w:pStyle w:val="TableParagraph"/>
              <w:spacing w:line="273" w:lineRule="auto"/>
              <w:ind w:left="212" w:right="196"/>
              <w:rPr>
                <w:sz w:val="21"/>
              </w:rPr>
            </w:pPr>
            <w:r>
              <w:rPr>
                <w:spacing w:val="-5"/>
                <w:sz w:val="21"/>
              </w:rPr>
              <w:t>指中华人民共和国刑法规定的鸦片、海洛因、甲基苯丙胺</w:t>
            </w:r>
            <w:r>
              <w:rPr>
                <w:sz w:val="21"/>
              </w:rPr>
              <w:t>（冰毒</w:t>
            </w:r>
            <w:r>
              <w:rPr>
                <w:spacing w:val="-105"/>
                <w:sz w:val="21"/>
              </w:rPr>
              <w:t>）</w:t>
            </w:r>
            <w:r>
              <w:rPr>
                <w:spacing w:val="-8"/>
                <w:sz w:val="21"/>
              </w:rPr>
              <w:t>、吗啡、大麻、可卡因以及国家规定管制的其他能够使人形成瘾癖的麻醉药品和</w:t>
            </w:r>
          </w:p>
          <w:p>
            <w:pPr>
              <w:pStyle w:val="TableParagraph"/>
              <w:spacing w:line="312" w:lineRule="exact" w:before="2"/>
              <w:ind w:left="212" w:right="310"/>
              <w:rPr>
                <w:sz w:val="21"/>
              </w:rPr>
            </w:pPr>
            <w:r>
              <w:rPr>
                <w:sz w:val="21"/>
              </w:rPr>
              <w:t>精神药品，但不包括由医生开具并遵医嘱使用的用于治疗疾病但含有毒品成分的处方药品。</w:t>
            </w:r>
          </w:p>
        </w:tc>
      </w:tr>
    </w:tbl>
    <w:p>
      <w:pPr>
        <w:spacing w:after="0" w:line="312" w:lineRule="exact"/>
        <w:rPr>
          <w:sz w:val="21"/>
        </w:rPr>
        <w:sectPr>
          <w:pgSz w:w="11910" w:h="16840"/>
          <w:pgMar w:header="899" w:footer="995" w:top="1220" w:bottom="1180" w:left="1200" w:right="8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2"/>
        <w:gridCol w:w="1780"/>
        <w:gridCol w:w="7019"/>
      </w:tblGrid>
      <w:tr>
        <w:trPr>
          <w:trHeight w:val="1197" w:hRule="atLeast"/>
        </w:trPr>
        <w:tc>
          <w:tcPr>
            <w:tcW w:w="832" w:type="dxa"/>
          </w:tcPr>
          <w:p>
            <w:pPr>
              <w:pStyle w:val="TableParagraph"/>
              <w:spacing w:line="210" w:lineRule="exact"/>
              <w:ind w:left="200"/>
              <w:rPr>
                <w:b/>
                <w:sz w:val="21"/>
              </w:rPr>
            </w:pPr>
            <w:r>
              <w:rPr>
                <w:b/>
                <w:sz w:val="21"/>
              </w:rPr>
              <w:t>8.6</w:t>
            </w:r>
          </w:p>
        </w:tc>
        <w:tc>
          <w:tcPr>
            <w:tcW w:w="1780" w:type="dxa"/>
          </w:tcPr>
          <w:p>
            <w:pPr>
              <w:pStyle w:val="TableParagraph"/>
              <w:spacing w:line="210" w:lineRule="exact"/>
              <w:ind w:left="208"/>
              <w:rPr>
                <w:b/>
                <w:sz w:val="21"/>
              </w:rPr>
            </w:pPr>
            <w:r>
              <w:rPr>
                <w:b/>
                <w:sz w:val="21"/>
              </w:rPr>
              <w:t>酒后驾驶</w:t>
            </w:r>
          </w:p>
        </w:tc>
        <w:tc>
          <w:tcPr>
            <w:tcW w:w="7019" w:type="dxa"/>
          </w:tcPr>
          <w:p>
            <w:pPr>
              <w:pStyle w:val="TableParagraph"/>
              <w:spacing w:line="210" w:lineRule="exact"/>
              <w:ind w:left="110"/>
              <w:rPr>
                <w:sz w:val="21"/>
              </w:rPr>
            </w:pPr>
            <w:r>
              <w:rPr>
                <w:sz w:val="21"/>
              </w:rPr>
              <w:t>指经检测或鉴定，发生事故时车辆驾驶人员每百毫升血液中的酒精含量</w:t>
            </w:r>
          </w:p>
          <w:p>
            <w:pPr>
              <w:pStyle w:val="TableParagraph"/>
              <w:spacing w:line="273" w:lineRule="auto" w:before="37"/>
              <w:ind w:left="110" w:right="153"/>
              <w:rPr>
                <w:sz w:val="21"/>
              </w:rPr>
            </w:pPr>
            <w:r>
              <w:rPr>
                <w:sz w:val="21"/>
              </w:rPr>
              <w:t>达到或超过一定的标准，公安机关交通管理部门依据《道路交通安全法》的规定认定为饮酒后驾驶或醉酒后驾驶。</w:t>
            </w:r>
          </w:p>
        </w:tc>
      </w:tr>
      <w:tr>
        <w:trPr>
          <w:trHeight w:val="2340" w:hRule="atLeast"/>
        </w:trPr>
        <w:tc>
          <w:tcPr>
            <w:tcW w:w="832" w:type="dxa"/>
          </w:tcPr>
          <w:p>
            <w:pPr>
              <w:pStyle w:val="TableParagraph"/>
              <w:spacing w:before="10"/>
              <w:rPr>
                <w:rFonts w:ascii="Times New Roman"/>
                <w:sz w:val="25"/>
              </w:rPr>
            </w:pPr>
          </w:p>
          <w:p>
            <w:pPr>
              <w:pStyle w:val="TableParagraph"/>
              <w:ind w:left="200"/>
              <w:rPr>
                <w:b/>
                <w:sz w:val="21"/>
              </w:rPr>
            </w:pPr>
            <w:r>
              <w:rPr>
                <w:b/>
                <w:sz w:val="21"/>
              </w:rPr>
              <w:t>8.7</w:t>
            </w:r>
          </w:p>
        </w:tc>
        <w:tc>
          <w:tcPr>
            <w:tcW w:w="1780" w:type="dxa"/>
          </w:tcPr>
          <w:p>
            <w:pPr>
              <w:pStyle w:val="TableParagraph"/>
              <w:spacing w:before="10"/>
              <w:rPr>
                <w:rFonts w:ascii="Times New Roman"/>
                <w:sz w:val="25"/>
              </w:rPr>
            </w:pPr>
          </w:p>
          <w:p>
            <w:pPr>
              <w:pStyle w:val="TableParagraph"/>
              <w:spacing w:line="273" w:lineRule="auto"/>
              <w:ind w:left="208" w:right="306"/>
              <w:rPr>
                <w:b/>
                <w:sz w:val="21"/>
              </w:rPr>
            </w:pPr>
            <w:r>
              <w:rPr>
                <w:b/>
                <w:sz w:val="21"/>
              </w:rPr>
              <w:t>无合法有效驾驶证驾驶</w:t>
            </w:r>
          </w:p>
        </w:tc>
        <w:tc>
          <w:tcPr>
            <w:tcW w:w="7019" w:type="dxa"/>
          </w:tcPr>
          <w:p>
            <w:pPr>
              <w:pStyle w:val="TableParagraph"/>
              <w:spacing w:before="10"/>
              <w:rPr>
                <w:rFonts w:ascii="Times New Roman"/>
                <w:sz w:val="25"/>
              </w:rPr>
            </w:pPr>
          </w:p>
          <w:p>
            <w:pPr>
              <w:pStyle w:val="TableParagraph"/>
              <w:ind w:left="108"/>
              <w:rPr>
                <w:sz w:val="21"/>
              </w:rPr>
            </w:pPr>
            <w:r>
              <w:rPr>
                <w:sz w:val="21"/>
              </w:rPr>
              <w:t>指下列情形之一：</w:t>
            </w:r>
          </w:p>
          <w:p>
            <w:pPr>
              <w:pStyle w:val="TableParagraph"/>
              <w:numPr>
                <w:ilvl w:val="0"/>
                <w:numId w:val="19"/>
              </w:numPr>
              <w:tabs>
                <w:tab w:pos="740" w:val="left" w:leader="none"/>
              </w:tabs>
              <w:spacing w:line="240" w:lineRule="auto" w:before="36" w:after="0"/>
              <w:ind w:left="738" w:right="0" w:hanging="630"/>
              <w:jc w:val="left"/>
              <w:rPr>
                <w:sz w:val="21"/>
              </w:rPr>
            </w:pPr>
            <w:r>
              <w:rPr>
                <w:spacing w:val="-1"/>
                <w:sz w:val="21"/>
              </w:rPr>
              <w:t>没有驾驶证驾驶；</w:t>
            </w:r>
          </w:p>
          <w:p>
            <w:pPr>
              <w:pStyle w:val="TableParagraph"/>
              <w:numPr>
                <w:ilvl w:val="0"/>
                <w:numId w:val="19"/>
              </w:numPr>
              <w:tabs>
                <w:tab w:pos="740" w:val="left" w:leader="none"/>
              </w:tabs>
              <w:spacing w:line="240" w:lineRule="auto" w:before="36" w:after="0"/>
              <w:ind w:left="738" w:right="0" w:hanging="630"/>
              <w:jc w:val="left"/>
              <w:rPr>
                <w:sz w:val="21"/>
              </w:rPr>
            </w:pPr>
            <w:r>
              <w:rPr>
                <w:spacing w:val="-1"/>
                <w:sz w:val="21"/>
              </w:rPr>
              <w:t>驾驶与驾驶证准驾车型不相符合的车辆；</w:t>
            </w:r>
          </w:p>
          <w:p>
            <w:pPr>
              <w:pStyle w:val="TableParagraph"/>
              <w:numPr>
                <w:ilvl w:val="0"/>
                <w:numId w:val="19"/>
              </w:numPr>
              <w:tabs>
                <w:tab w:pos="740" w:val="left" w:leader="none"/>
              </w:tabs>
              <w:spacing w:line="240" w:lineRule="auto" w:before="36" w:after="0"/>
              <w:ind w:left="738" w:right="0" w:hanging="630"/>
              <w:jc w:val="left"/>
              <w:rPr>
                <w:sz w:val="21"/>
              </w:rPr>
            </w:pPr>
            <w:r>
              <w:rPr>
                <w:spacing w:val="-1"/>
                <w:sz w:val="21"/>
              </w:rPr>
              <w:t>持审验不合格的驾驶证驾驶；</w:t>
            </w:r>
          </w:p>
          <w:p>
            <w:pPr>
              <w:pStyle w:val="TableParagraph"/>
              <w:numPr>
                <w:ilvl w:val="0"/>
                <w:numId w:val="19"/>
              </w:numPr>
              <w:tabs>
                <w:tab w:pos="736" w:val="left" w:leader="none"/>
              </w:tabs>
              <w:spacing w:line="273" w:lineRule="auto" w:before="36" w:after="0"/>
              <w:ind w:left="738" w:right="198" w:hanging="630"/>
              <w:jc w:val="left"/>
              <w:rPr>
                <w:sz w:val="21"/>
              </w:rPr>
            </w:pPr>
            <w:r>
              <w:rPr>
                <w:spacing w:val="-2"/>
                <w:sz w:val="21"/>
              </w:rPr>
              <w:t>持学习驾驶证学习驾车时，无教练员随车指导，或不按指定时间、路线学习驾车。</w:t>
            </w:r>
          </w:p>
        </w:tc>
      </w:tr>
      <w:tr>
        <w:trPr>
          <w:trHeight w:val="1247" w:hRule="atLeast"/>
        </w:trPr>
        <w:tc>
          <w:tcPr>
            <w:tcW w:w="832" w:type="dxa"/>
          </w:tcPr>
          <w:p>
            <w:pPr>
              <w:pStyle w:val="TableParagraph"/>
              <w:spacing w:before="142"/>
              <w:ind w:left="200"/>
              <w:rPr>
                <w:b/>
                <w:sz w:val="21"/>
              </w:rPr>
            </w:pPr>
            <w:r>
              <w:rPr>
                <w:b/>
                <w:sz w:val="21"/>
              </w:rPr>
              <w:t>8.8</w:t>
            </w:r>
          </w:p>
        </w:tc>
        <w:tc>
          <w:tcPr>
            <w:tcW w:w="1780" w:type="dxa"/>
          </w:tcPr>
          <w:p>
            <w:pPr>
              <w:pStyle w:val="TableParagraph"/>
              <w:spacing w:before="142"/>
              <w:ind w:left="208"/>
              <w:rPr>
                <w:b/>
                <w:sz w:val="21"/>
              </w:rPr>
            </w:pPr>
            <w:r>
              <w:rPr>
                <w:b/>
                <w:w w:val="95"/>
                <w:sz w:val="21"/>
              </w:rPr>
              <w:t>无有效行驶证</w:t>
            </w:r>
          </w:p>
        </w:tc>
        <w:tc>
          <w:tcPr>
            <w:tcW w:w="7019" w:type="dxa"/>
          </w:tcPr>
          <w:p>
            <w:pPr>
              <w:pStyle w:val="TableParagraph"/>
              <w:spacing w:before="142"/>
              <w:ind w:left="108"/>
              <w:rPr>
                <w:sz w:val="21"/>
              </w:rPr>
            </w:pPr>
            <w:r>
              <w:rPr>
                <w:sz w:val="21"/>
              </w:rPr>
              <w:t>指下列情形之一：</w:t>
            </w:r>
          </w:p>
          <w:p>
            <w:pPr>
              <w:pStyle w:val="TableParagraph"/>
              <w:numPr>
                <w:ilvl w:val="0"/>
                <w:numId w:val="20"/>
              </w:numPr>
              <w:tabs>
                <w:tab w:pos="740" w:val="left" w:leader="none"/>
              </w:tabs>
              <w:spacing w:line="240" w:lineRule="auto" w:before="37" w:after="0"/>
              <w:ind w:left="739" w:right="0" w:hanging="631"/>
              <w:jc w:val="left"/>
              <w:rPr>
                <w:sz w:val="21"/>
              </w:rPr>
            </w:pPr>
            <w:r>
              <w:rPr>
                <w:spacing w:val="-1"/>
                <w:sz w:val="21"/>
              </w:rPr>
              <w:t>机动车被依法注销登记的；</w:t>
            </w:r>
          </w:p>
          <w:p>
            <w:pPr>
              <w:pStyle w:val="TableParagraph"/>
              <w:numPr>
                <w:ilvl w:val="0"/>
                <w:numId w:val="20"/>
              </w:numPr>
              <w:tabs>
                <w:tab w:pos="740" w:val="left" w:leader="none"/>
              </w:tabs>
              <w:spacing w:line="240" w:lineRule="auto" w:before="37" w:after="0"/>
              <w:ind w:left="739" w:right="0" w:hanging="631"/>
              <w:jc w:val="left"/>
              <w:rPr>
                <w:sz w:val="21"/>
              </w:rPr>
            </w:pPr>
            <w:r>
              <w:rPr>
                <w:spacing w:val="-1"/>
                <w:sz w:val="21"/>
              </w:rPr>
              <w:t>未依法按时进行或通过机动车安全技术检验。</w:t>
            </w:r>
          </w:p>
        </w:tc>
      </w:tr>
      <w:tr>
        <w:trPr>
          <w:trHeight w:val="1872" w:hRule="atLeast"/>
        </w:trPr>
        <w:tc>
          <w:tcPr>
            <w:tcW w:w="832" w:type="dxa"/>
          </w:tcPr>
          <w:p>
            <w:pPr>
              <w:pStyle w:val="TableParagraph"/>
              <w:spacing w:before="142"/>
              <w:ind w:left="200"/>
              <w:rPr>
                <w:b/>
                <w:sz w:val="21"/>
              </w:rPr>
            </w:pPr>
            <w:r>
              <w:rPr>
                <w:b/>
                <w:sz w:val="21"/>
              </w:rPr>
              <w:t>8.9</w:t>
            </w:r>
          </w:p>
        </w:tc>
        <w:tc>
          <w:tcPr>
            <w:tcW w:w="1780" w:type="dxa"/>
          </w:tcPr>
          <w:p>
            <w:pPr>
              <w:pStyle w:val="TableParagraph"/>
              <w:spacing w:line="273" w:lineRule="auto" w:before="142"/>
              <w:ind w:left="208" w:right="306"/>
              <w:rPr>
                <w:b/>
                <w:sz w:val="21"/>
              </w:rPr>
            </w:pPr>
            <w:r>
              <w:rPr>
                <w:b/>
                <w:sz w:val="21"/>
              </w:rPr>
              <w:t>感染艾滋病病</w:t>
            </w:r>
            <w:r>
              <w:rPr>
                <w:b/>
                <w:w w:val="95"/>
                <w:sz w:val="21"/>
              </w:rPr>
              <w:t>毒或患艾滋病</w:t>
            </w:r>
          </w:p>
        </w:tc>
        <w:tc>
          <w:tcPr>
            <w:tcW w:w="7019" w:type="dxa"/>
          </w:tcPr>
          <w:p>
            <w:pPr>
              <w:pStyle w:val="TableParagraph"/>
              <w:spacing w:line="273" w:lineRule="auto" w:before="142"/>
              <w:ind w:left="108" w:right="303"/>
              <w:jc w:val="both"/>
              <w:rPr>
                <w:sz w:val="21"/>
              </w:rPr>
            </w:pPr>
            <w:r>
              <w:rPr>
                <w:spacing w:val="-6"/>
                <w:sz w:val="21"/>
              </w:rPr>
              <w:t>艾滋病病毒指人类免疫缺陷病毒，英文缩写为 </w:t>
            </w:r>
            <w:r>
              <w:rPr>
                <w:sz w:val="21"/>
              </w:rPr>
              <w:t>HIV</w:t>
            </w:r>
            <w:r>
              <w:rPr>
                <w:spacing w:val="-6"/>
                <w:sz w:val="21"/>
              </w:rPr>
              <w:t>。艾滋病指人类免疫缺</w:t>
            </w:r>
            <w:r>
              <w:rPr>
                <w:spacing w:val="-8"/>
                <w:sz w:val="21"/>
              </w:rPr>
              <w:t>陷病毒引起的获得性免疫缺陷综合征，英文缩写为 </w:t>
            </w:r>
            <w:r>
              <w:rPr>
                <w:sz w:val="21"/>
              </w:rPr>
              <w:t>AIDS。</w:t>
            </w:r>
          </w:p>
          <w:p>
            <w:pPr>
              <w:pStyle w:val="TableParagraph"/>
              <w:spacing w:line="273" w:lineRule="auto" w:before="7"/>
              <w:ind w:left="108" w:right="311"/>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1092" w:hRule="atLeast"/>
        </w:trPr>
        <w:tc>
          <w:tcPr>
            <w:tcW w:w="832" w:type="dxa"/>
          </w:tcPr>
          <w:p>
            <w:pPr>
              <w:pStyle w:val="TableParagraph"/>
              <w:spacing w:before="142"/>
              <w:ind w:left="200"/>
              <w:rPr>
                <w:b/>
                <w:sz w:val="21"/>
              </w:rPr>
            </w:pPr>
            <w:r>
              <w:rPr>
                <w:b/>
                <w:sz w:val="21"/>
              </w:rPr>
              <w:t>8.10</w:t>
            </w:r>
          </w:p>
        </w:tc>
        <w:tc>
          <w:tcPr>
            <w:tcW w:w="1780" w:type="dxa"/>
          </w:tcPr>
          <w:p>
            <w:pPr>
              <w:pStyle w:val="TableParagraph"/>
              <w:spacing w:before="142"/>
              <w:ind w:left="208"/>
              <w:rPr>
                <w:b/>
                <w:sz w:val="21"/>
              </w:rPr>
            </w:pPr>
            <w:r>
              <w:rPr>
                <w:b/>
                <w:w w:val="95"/>
                <w:sz w:val="21"/>
              </w:rPr>
              <w:t>遗传性疾病</w:t>
            </w:r>
          </w:p>
        </w:tc>
        <w:tc>
          <w:tcPr>
            <w:tcW w:w="7019" w:type="dxa"/>
          </w:tcPr>
          <w:p>
            <w:pPr>
              <w:pStyle w:val="TableParagraph"/>
              <w:spacing w:line="273" w:lineRule="auto" w:before="142"/>
              <w:ind w:left="108" w:right="311"/>
              <w:rPr>
                <w:sz w:val="21"/>
              </w:rPr>
            </w:pPr>
            <w:r>
              <w:rPr>
                <w:sz w:val="21"/>
              </w:rPr>
              <w:t>指生殖细胞或受精卵的遗传物质（染色体和基因）发生突变或畸变所引起的疾病，通常具有由亲代传至后代的垂直传递的特征。</w:t>
            </w:r>
          </w:p>
        </w:tc>
      </w:tr>
      <w:tr>
        <w:trPr>
          <w:trHeight w:val="1403" w:hRule="atLeast"/>
        </w:trPr>
        <w:tc>
          <w:tcPr>
            <w:tcW w:w="832" w:type="dxa"/>
          </w:tcPr>
          <w:p>
            <w:pPr>
              <w:pStyle w:val="TableParagraph"/>
              <w:spacing w:before="10"/>
              <w:rPr>
                <w:rFonts w:ascii="Times New Roman"/>
                <w:sz w:val="25"/>
              </w:rPr>
            </w:pPr>
          </w:p>
          <w:p>
            <w:pPr>
              <w:pStyle w:val="TableParagraph"/>
              <w:ind w:left="200"/>
              <w:rPr>
                <w:b/>
                <w:sz w:val="21"/>
              </w:rPr>
            </w:pPr>
            <w:r>
              <w:rPr>
                <w:b/>
                <w:sz w:val="21"/>
              </w:rPr>
              <w:t>8.11</w:t>
            </w:r>
          </w:p>
        </w:tc>
        <w:tc>
          <w:tcPr>
            <w:tcW w:w="1780" w:type="dxa"/>
          </w:tcPr>
          <w:p>
            <w:pPr>
              <w:pStyle w:val="TableParagraph"/>
              <w:spacing w:before="10"/>
              <w:rPr>
                <w:rFonts w:ascii="Times New Roman"/>
                <w:sz w:val="25"/>
              </w:rPr>
            </w:pPr>
          </w:p>
          <w:p>
            <w:pPr>
              <w:pStyle w:val="TableParagraph"/>
              <w:spacing w:line="273" w:lineRule="auto"/>
              <w:ind w:left="208" w:right="61"/>
              <w:rPr>
                <w:b/>
                <w:sz w:val="21"/>
              </w:rPr>
            </w:pPr>
            <w:r>
              <w:rPr>
                <w:b/>
                <w:w w:val="95"/>
                <w:sz w:val="21"/>
              </w:rPr>
              <w:t>先天性畸形、变</w:t>
            </w:r>
            <w:r>
              <w:rPr>
                <w:b/>
                <w:sz w:val="21"/>
              </w:rPr>
              <w:t>形或染色体异常</w:t>
            </w:r>
          </w:p>
        </w:tc>
        <w:tc>
          <w:tcPr>
            <w:tcW w:w="7019" w:type="dxa"/>
          </w:tcPr>
          <w:p>
            <w:pPr>
              <w:pStyle w:val="TableParagraph"/>
              <w:spacing w:before="10"/>
              <w:rPr>
                <w:rFonts w:ascii="Times New Roman"/>
                <w:sz w:val="25"/>
              </w:rPr>
            </w:pPr>
          </w:p>
          <w:p>
            <w:pPr>
              <w:pStyle w:val="TableParagraph"/>
              <w:spacing w:line="273" w:lineRule="auto"/>
              <w:ind w:left="108" w:right="311"/>
              <w:jc w:val="both"/>
              <w:rPr>
                <w:sz w:val="21"/>
              </w:rPr>
            </w:pPr>
            <w:r>
              <w:rPr>
                <w:sz w:val="21"/>
              </w:rPr>
              <w:t>指被保险人出生时就具有的畸形、变形或染色体异常。先天性畸形、变形和染色体异常依照世界卫生组织《疾病和有关健康问题的国际统计分</w:t>
            </w:r>
            <w:r>
              <w:rPr>
                <w:spacing w:val="-53"/>
                <w:sz w:val="21"/>
              </w:rPr>
              <w:t>类》</w:t>
            </w:r>
            <w:r>
              <w:rPr>
                <w:spacing w:val="-1"/>
                <w:sz w:val="21"/>
              </w:rPr>
              <w:t>（ICD-10）</w:t>
            </w:r>
            <w:r>
              <w:rPr>
                <w:sz w:val="21"/>
              </w:rPr>
              <w:t>确定。</w:t>
            </w:r>
          </w:p>
        </w:tc>
      </w:tr>
      <w:tr>
        <w:trPr>
          <w:trHeight w:val="936" w:hRule="atLeast"/>
        </w:trPr>
        <w:tc>
          <w:tcPr>
            <w:tcW w:w="832" w:type="dxa"/>
          </w:tcPr>
          <w:p>
            <w:pPr>
              <w:pStyle w:val="TableParagraph"/>
              <w:spacing w:before="142"/>
              <w:ind w:left="200"/>
              <w:rPr>
                <w:b/>
                <w:sz w:val="21"/>
              </w:rPr>
            </w:pPr>
            <w:r>
              <w:rPr>
                <w:b/>
                <w:sz w:val="21"/>
              </w:rPr>
              <w:t>8.12</w:t>
            </w:r>
          </w:p>
        </w:tc>
        <w:tc>
          <w:tcPr>
            <w:tcW w:w="1780" w:type="dxa"/>
          </w:tcPr>
          <w:p>
            <w:pPr>
              <w:pStyle w:val="TableParagraph"/>
              <w:spacing w:before="142"/>
              <w:ind w:left="208"/>
              <w:rPr>
                <w:b/>
                <w:sz w:val="21"/>
              </w:rPr>
            </w:pPr>
            <w:r>
              <w:rPr>
                <w:b/>
                <w:sz w:val="21"/>
              </w:rPr>
              <w:t>现金价值</w:t>
            </w:r>
          </w:p>
        </w:tc>
        <w:tc>
          <w:tcPr>
            <w:tcW w:w="7019" w:type="dxa"/>
          </w:tcPr>
          <w:p>
            <w:pPr>
              <w:pStyle w:val="TableParagraph"/>
              <w:spacing w:line="273" w:lineRule="auto" w:before="142"/>
              <w:ind w:left="110" w:right="153"/>
              <w:rPr>
                <w:sz w:val="21"/>
              </w:rPr>
            </w:pPr>
            <w:r>
              <w:rPr>
                <w:sz w:val="21"/>
              </w:rPr>
              <w:t>指保险单所具有的价值，通常体现为解除合同时，根据精算原理计算的， 由本公司退还的那部分金额。</w:t>
            </w:r>
          </w:p>
        </w:tc>
      </w:tr>
      <w:tr>
        <w:trPr>
          <w:trHeight w:val="935" w:hRule="atLeast"/>
        </w:trPr>
        <w:tc>
          <w:tcPr>
            <w:tcW w:w="832" w:type="dxa"/>
          </w:tcPr>
          <w:p>
            <w:pPr>
              <w:pStyle w:val="TableParagraph"/>
              <w:spacing w:before="142"/>
              <w:ind w:left="200"/>
              <w:rPr>
                <w:b/>
                <w:sz w:val="21"/>
              </w:rPr>
            </w:pPr>
            <w:r>
              <w:rPr>
                <w:b/>
                <w:sz w:val="21"/>
              </w:rPr>
              <w:t>8.13</w:t>
            </w:r>
          </w:p>
        </w:tc>
        <w:tc>
          <w:tcPr>
            <w:tcW w:w="1780" w:type="dxa"/>
          </w:tcPr>
          <w:p>
            <w:pPr>
              <w:pStyle w:val="TableParagraph"/>
              <w:spacing w:before="142"/>
              <w:ind w:left="208"/>
              <w:rPr>
                <w:b/>
                <w:sz w:val="21"/>
              </w:rPr>
            </w:pPr>
            <w:r>
              <w:rPr>
                <w:b/>
                <w:sz w:val="21"/>
              </w:rPr>
              <w:t>医院</w:t>
            </w:r>
          </w:p>
        </w:tc>
        <w:tc>
          <w:tcPr>
            <w:tcW w:w="7019" w:type="dxa"/>
          </w:tcPr>
          <w:p>
            <w:pPr>
              <w:pStyle w:val="TableParagraph"/>
              <w:spacing w:line="273" w:lineRule="auto" w:before="142"/>
              <w:ind w:left="108" w:right="311"/>
              <w:rPr>
                <w:sz w:val="21"/>
              </w:rPr>
            </w:pPr>
            <w:r>
              <w:rPr>
                <w:sz w:val="21"/>
              </w:rPr>
              <w:t>指我们指定的定点医院，我们保留变更定点医院的权利。定点医院发生变更时，我们会书面通知您。</w:t>
            </w:r>
          </w:p>
        </w:tc>
      </w:tr>
      <w:tr>
        <w:trPr>
          <w:trHeight w:val="936" w:hRule="atLeast"/>
        </w:trPr>
        <w:tc>
          <w:tcPr>
            <w:tcW w:w="832" w:type="dxa"/>
          </w:tcPr>
          <w:p>
            <w:pPr>
              <w:pStyle w:val="TableParagraph"/>
              <w:spacing w:before="142"/>
              <w:ind w:left="200"/>
              <w:rPr>
                <w:b/>
                <w:sz w:val="21"/>
              </w:rPr>
            </w:pPr>
            <w:r>
              <w:rPr>
                <w:b/>
                <w:sz w:val="21"/>
              </w:rPr>
              <w:t>8.14</w:t>
            </w:r>
          </w:p>
        </w:tc>
        <w:tc>
          <w:tcPr>
            <w:tcW w:w="1780" w:type="dxa"/>
          </w:tcPr>
          <w:p>
            <w:pPr>
              <w:pStyle w:val="TableParagraph"/>
              <w:spacing w:line="273" w:lineRule="auto" w:before="142"/>
              <w:ind w:left="208" w:right="306"/>
              <w:rPr>
                <w:b/>
                <w:sz w:val="21"/>
              </w:rPr>
            </w:pPr>
            <w:r>
              <w:rPr>
                <w:b/>
                <w:sz w:val="21"/>
              </w:rPr>
              <w:t>肢体机能完全丧失</w:t>
            </w:r>
          </w:p>
        </w:tc>
        <w:tc>
          <w:tcPr>
            <w:tcW w:w="7019" w:type="dxa"/>
          </w:tcPr>
          <w:p>
            <w:pPr>
              <w:pStyle w:val="TableParagraph"/>
              <w:spacing w:line="273" w:lineRule="auto" w:before="142"/>
              <w:ind w:left="108" w:right="306"/>
              <w:rPr>
                <w:sz w:val="21"/>
              </w:rPr>
            </w:pPr>
            <w:r>
              <w:rPr>
                <w:sz w:val="21"/>
              </w:rPr>
              <w:t>指肢体的三大关节中的两大关节僵硬，或不能随意识活动。肢体是指包括肩关节的整个上肢或包括髋关节的整个下肢。</w:t>
            </w:r>
          </w:p>
        </w:tc>
      </w:tr>
      <w:tr>
        <w:trPr>
          <w:trHeight w:val="1041" w:hRule="atLeast"/>
        </w:trPr>
        <w:tc>
          <w:tcPr>
            <w:tcW w:w="832" w:type="dxa"/>
          </w:tcPr>
          <w:p>
            <w:pPr>
              <w:pStyle w:val="TableParagraph"/>
              <w:spacing w:before="142"/>
              <w:ind w:left="200"/>
              <w:rPr>
                <w:b/>
                <w:sz w:val="21"/>
              </w:rPr>
            </w:pPr>
            <w:r>
              <w:rPr>
                <w:b/>
                <w:sz w:val="21"/>
              </w:rPr>
              <w:t>8.15</w:t>
            </w:r>
          </w:p>
        </w:tc>
        <w:tc>
          <w:tcPr>
            <w:tcW w:w="1780" w:type="dxa"/>
          </w:tcPr>
          <w:p>
            <w:pPr>
              <w:pStyle w:val="TableParagraph"/>
              <w:spacing w:line="310" w:lineRule="atLeast" w:before="107"/>
              <w:ind w:left="208" w:right="306"/>
              <w:jc w:val="both"/>
              <w:rPr>
                <w:b/>
                <w:sz w:val="21"/>
              </w:rPr>
            </w:pPr>
            <w:r>
              <w:rPr>
                <w:b/>
                <w:sz w:val="21"/>
              </w:rPr>
              <w:t>语言能力或咀嚼吞咽能力完全丧失</w:t>
            </w:r>
          </w:p>
        </w:tc>
        <w:tc>
          <w:tcPr>
            <w:tcW w:w="7019" w:type="dxa"/>
          </w:tcPr>
          <w:p>
            <w:pPr>
              <w:pStyle w:val="TableParagraph"/>
              <w:spacing w:line="310" w:lineRule="atLeast" w:before="107"/>
              <w:ind w:left="108" w:right="311"/>
              <w:jc w:val="both"/>
              <w:rPr>
                <w:sz w:val="21"/>
              </w:rPr>
            </w:pPr>
            <w:r>
              <w:rPr>
                <w:sz w:val="21"/>
              </w:rPr>
              <w:t>语言能力完全丧失，指无法发出四种语音（包括口唇音、齿舌音、口盖音和喉头音）中的任何三种、或声带全部切除，或因大脑语言中枢受伤害而患失语症。</w:t>
            </w:r>
          </w:p>
        </w:tc>
      </w:tr>
    </w:tbl>
    <w:p>
      <w:pPr>
        <w:spacing w:after="0" w:line="310" w:lineRule="atLeast"/>
        <w:jc w:val="both"/>
        <w:rPr>
          <w:sz w:val="21"/>
        </w:rPr>
        <w:sectPr>
          <w:pgSz w:w="11910" w:h="16840"/>
          <w:pgMar w:header="899" w:footer="995" w:top="1220" w:bottom="1180" w:left="1200" w:right="840"/>
        </w:sectPr>
      </w:pPr>
    </w:p>
    <w:p>
      <w:pPr>
        <w:pStyle w:val="BodyText"/>
        <w:spacing w:before="4" w:after="1"/>
        <w:rPr>
          <w:rFonts w:ascii="Times New Roman"/>
          <w:sz w:val="2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2"/>
        <w:gridCol w:w="1680"/>
        <w:gridCol w:w="7119"/>
      </w:tblGrid>
      <w:tr>
        <w:trPr>
          <w:trHeight w:val="727" w:hRule="atLeast"/>
        </w:trPr>
        <w:tc>
          <w:tcPr>
            <w:tcW w:w="832" w:type="dxa"/>
          </w:tcPr>
          <w:p>
            <w:pPr>
              <w:pStyle w:val="TableParagraph"/>
              <w:rPr>
                <w:rFonts w:ascii="Times New Roman"/>
                <w:sz w:val="20"/>
              </w:rPr>
            </w:pPr>
          </w:p>
        </w:tc>
        <w:tc>
          <w:tcPr>
            <w:tcW w:w="1680" w:type="dxa"/>
          </w:tcPr>
          <w:p>
            <w:pPr>
              <w:pStyle w:val="TableParagraph"/>
              <w:rPr>
                <w:rFonts w:ascii="Times New Roman"/>
                <w:sz w:val="20"/>
              </w:rPr>
            </w:pPr>
          </w:p>
        </w:tc>
        <w:tc>
          <w:tcPr>
            <w:tcW w:w="7119" w:type="dxa"/>
          </w:tcPr>
          <w:p>
            <w:pPr>
              <w:pStyle w:val="TableParagraph"/>
              <w:spacing w:line="210" w:lineRule="exact"/>
              <w:ind w:left="208"/>
              <w:rPr>
                <w:sz w:val="21"/>
              </w:rPr>
            </w:pPr>
            <w:r>
              <w:rPr>
                <w:sz w:val="21"/>
              </w:rPr>
              <w:t>咀嚼吞咽能力完全丧失，指因牙齿以外的原因导致器质障碍或机能障碍，</w:t>
            </w:r>
          </w:p>
          <w:p>
            <w:pPr>
              <w:pStyle w:val="TableParagraph"/>
              <w:spacing w:before="36"/>
              <w:ind w:left="208"/>
              <w:rPr>
                <w:sz w:val="21"/>
              </w:rPr>
            </w:pPr>
            <w:r>
              <w:rPr>
                <w:sz w:val="21"/>
              </w:rPr>
              <w:t>以致不能作咀嚼吞咽运动，除流质食物外不能摄取或吞咽的状态。</w:t>
            </w:r>
          </w:p>
        </w:tc>
      </w:tr>
      <w:tr>
        <w:trPr>
          <w:trHeight w:val="2496" w:hRule="atLeast"/>
        </w:trPr>
        <w:tc>
          <w:tcPr>
            <w:tcW w:w="832" w:type="dxa"/>
          </w:tcPr>
          <w:p>
            <w:pPr>
              <w:pStyle w:val="TableParagraph"/>
              <w:spacing w:before="142"/>
              <w:ind w:left="180" w:right="186"/>
              <w:jc w:val="center"/>
              <w:rPr>
                <w:b/>
                <w:sz w:val="21"/>
              </w:rPr>
            </w:pPr>
            <w:r>
              <w:rPr>
                <w:b/>
                <w:sz w:val="21"/>
              </w:rPr>
              <w:t>8.16</w:t>
            </w:r>
          </w:p>
        </w:tc>
        <w:tc>
          <w:tcPr>
            <w:tcW w:w="1680" w:type="dxa"/>
          </w:tcPr>
          <w:p>
            <w:pPr>
              <w:pStyle w:val="TableParagraph"/>
              <w:spacing w:line="273" w:lineRule="auto" w:before="142"/>
              <w:ind w:left="208" w:right="206"/>
              <w:rPr>
                <w:b/>
                <w:sz w:val="21"/>
              </w:rPr>
            </w:pPr>
            <w:r>
              <w:rPr>
                <w:b/>
                <w:sz w:val="21"/>
              </w:rPr>
              <w:t>六项基本日常生活活动</w:t>
            </w:r>
          </w:p>
        </w:tc>
        <w:tc>
          <w:tcPr>
            <w:tcW w:w="7119" w:type="dxa"/>
          </w:tcPr>
          <w:p>
            <w:pPr>
              <w:pStyle w:val="TableParagraph"/>
              <w:spacing w:before="142"/>
              <w:ind w:left="208"/>
              <w:rPr>
                <w:sz w:val="21"/>
              </w:rPr>
            </w:pPr>
            <w:r>
              <w:rPr>
                <w:sz w:val="21"/>
              </w:rPr>
              <w:t>六项基本日常生活活动是指：</w:t>
            </w:r>
          </w:p>
          <w:p>
            <w:pPr>
              <w:pStyle w:val="TableParagraph"/>
              <w:numPr>
                <w:ilvl w:val="0"/>
                <w:numId w:val="21"/>
              </w:numPr>
              <w:tabs>
                <w:tab w:pos="840" w:val="left" w:leader="none"/>
              </w:tabs>
              <w:spacing w:line="240" w:lineRule="auto" w:before="37" w:after="0"/>
              <w:ind w:left="839" w:right="0" w:hanging="631"/>
              <w:jc w:val="left"/>
              <w:rPr>
                <w:sz w:val="21"/>
              </w:rPr>
            </w:pPr>
            <w:r>
              <w:rPr>
                <w:spacing w:val="-1"/>
                <w:sz w:val="21"/>
              </w:rPr>
              <w:t>穿衣：自己能够穿衣及脱衣；</w:t>
            </w:r>
          </w:p>
          <w:p>
            <w:pPr>
              <w:pStyle w:val="TableParagraph"/>
              <w:numPr>
                <w:ilvl w:val="0"/>
                <w:numId w:val="21"/>
              </w:numPr>
              <w:tabs>
                <w:tab w:pos="840" w:val="left" w:leader="none"/>
              </w:tabs>
              <w:spacing w:line="240" w:lineRule="auto" w:before="36" w:after="0"/>
              <w:ind w:left="839" w:right="0" w:hanging="631"/>
              <w:jc w:val="left"/>
              <w:rPr>
                <w:sz w:val="21"/>
              </w:rPr>
            </w:pPr>
            <w:r>
              <w:rPr>
                <w:spacing w:val="-1"/>
                <w:sz w:val="21"/>
              </w:rPr>
              <w:t>移动：自己从一个房间到另一个房间；</w:t>
            </w:r>
          </w:p>
          <w:p>
            <w:pPr>
              <w:pStyle w:val="TableParagraph"/>
              <w:numPr>
                <w:ilvl w:val="0"/>
                <w:numId w:val="21"/>
              </w:numPr>
              <w:tabs>
                <w:tab w:pos="840" w:val="left" w:leader="none"/>
              </w:tabs>
              <w:spacing w:line="240" w:lineRule="auto" w:before="36" w:after="0"/>
              <w:ind w:left="839" w:right="0" w:hanging="631"/>
              <w:jc w:val="left"/>
              <w:rPr>
                <w:sz w:val="21"/>
              </w:rPr>
            </w:pPr>
            <w:r>
              <w:rPr>
                <w:spacing w:val="-1"/>
                <w:sz w:val="21"/>
              </w:rPr>
              <w:t>行动：自己上下床或上下轮椅；</w:t>
            </w:r>
          </w:p>
          <w:p>
            <w:pPr>
              <w:pStyle w:val="TableParagraph"/>
              <w:numPr>
                <w:ilvl w:val="0"/>
                <w:numId w:val="21"/>
              </w:numPr>
              <w:tabs>
                <w:tab w:pos="840" w:val="left" w:leader="none"/>
              </w:tabs>
              <w:spacing w:line="240" w:lineRule="auto" w:before="36" w:after="0"/>
              <w:ind w:left="839" w:right="0" w:hanging="631"/>
              <w:jc w:val="left"/>
              <w:rPr>
                <w:sz w:val="21"/>
              </w:rPr>
            </w:pPr>
            <w:r>
              <w:rPr>
                <w:spacing w:val="-1"/>
                <w:sz w:val="21"/>
              </w:rPr>
              <w:t>如厕：自己控制进行大小便；</w:t>
            </w:r>
          </w:p>
          <w:p>
            <w:pPr>
              <w:pStyle w:val="TableParagraph"/>
              <w:numPr>
                <w:ilvl w:val="0"/>
                <w:numId w:val="21"/>
              </w:numPr>
              <w:tabs>
                <w:tab w:pos="840" w:val="left" w:leader="none"/>
              </w:tabs>
              <w:spacing w:line="240" w:lineRule="auto" w:before="36" w:after="0"/>
              <w:ind w:left="839" w:right="0" w:hanging="631"/>
              <w:jc w:val="left"/>
              <w:rPr>
                <w:sz w:val="21"/>
              </w:rPr>
            </w:pPr>
            <w:r>
              <w:rPr>
                <w:spacing w:val="-1"/>
                <w:sz w:val="21"/>
              </w:rPr>
              <w:t>进食：自己从已准备好的碗或碟中取食物放入口中；</w:t>
            </w:r>
          </w:p>
          <w:p>
            <w:pPr>
              <w:pStyle w:val="TableParagraph"/>
              <w:numPr>
                <w:ilvl w:val="0"/>
                <w:numId w:val="21"/>
              </w:numPr>
              <w:tabs>
                <w:tab w:pos="840" w:val="left" w:leader="none"/>
              </w:tabs>
              <w:spacing w:line="240" w:lineRule="auto" w:before="36" w:after="0"/>
              <w:ind w:left="839" w:right="0" w:hanging="631"/>
              <w:jc w:val="left"/>
              <w:rPr>
                <w:sz w:val="21"/>
              </w:rPr>
            </w:pPr>
            <w:r>
              <w:rPr>
                <w:spacing w:val="-1"/>
                <w:sz w:val="21"/>
              </w:rPr>
              <w:t>洗澡：自己进行淋浴或盆浴。</w:t>
            </w:r>
          </w:p>
        </w:tc>
      </w:tr>
      <w:tr>
        <w:trPr>
          <w:trHeight w:val="935" w:hRule="atLeast"/>
        </w:trPr>
        <w:tc>
          <w:tcPr>
            <w:tcW w:w="832" w:type="dxa"/>
          </w:tcPr>
          <w:p>
            <w:pPr>
              <w:pStyle w:val="TableParagraph"/>
              <w:spacing w:before="142"/>
              <w:ind w:left="180" w:right="187"/>
              <w:jc w:val="center"/>
              <w:rPr>
                <w:b/>
                <w:sz w:val="21"/>
              </w:rPr>
            </w:pPr>
            <w:r>
              <w:rPr>
                <w:b/>
                <w:sz w:val="21"/>
              </w:rPr>
              <w:t>8.17</w:t>
            </w:r>
          </w:p>
        </w:tc>
        <w:tc>
          <w:tcPr>
            <w:tcW w:w="1680" w:type="dxa"/>
          </w:tcPr>
          <w:p>
            <w:pPr>
              <w:pStyle w:val="TableParagraph"/>
              <w:spacing w:before="142"/>
              <w:ind w:left="208"/>
              <w:rPr>
                <w:b/>
                <w:sz w:val="21"/>
              </w:rPr>
            </w:pPr>
            <w:r>
              <w:rPr>
                <w:b/>
                <w:sz w:val="21"/>
              </w:rPr>
              <w:t>意外伤害</w:t>
            </w:r>
          </w:p>
        </w:tc>
        <w:tc>
          <w:tcPr>
            <w:tcW w:w="7119" w:type="dxa"/>
          </w:tcPr>
          <w:p>
            <w:pPr>
              <w:pStyle w:val="TableParagraph"/>
              <w:spacing w:line="273" w:lineRule="auto" w:before="142"/>
              <w:ind w:left="208" w:right="311"/>
              <w:rPr>
                <w:sz w:val="21"/>
              </w:rPr>
            </w:pPr>
            <w:r>
              <w:rPr>
                <w:sz w:val="21"/>
              </w:rPr>
              <w:t>指外来的、突发的、非本意的、非疾病的客观事件直接致使身体受到的伤害。</w:t>
            </w:r>
          </w:p>
        </w:tc>
      </w:tr>
      <w:tr>
        <w:trPr>
          <w:trHeight w:val="729" w:hRule="atLeast"/>
        </w:trPr>
        <w:tc>
          <w:tcPr>
            <w:tcW w:w="832" w:type="dxa"/>
          </w:tcPr>
          <w:p>
            <w:pPr>
              <w:pStyle w:val="TableParagraph"/>
              <w:spacing w:before="142"/>
              <w:ind w:left="180" w:right="186"/>
              <w:jc w:val="center"/>
              <w:rPr>
                <w:b/>
                <w:sz w:val="21"/>
              </w:rPr>
            </w:pPr>
            <w:r>
              <w:rPr>
                <w:b/>
                <w:sz w:val="21"/>
              </w:rPr>
              <w:t>8.18</w:t>
            </w:r>
          </w:p>
        </w:tc>
        <w:tc>
          <w:tcPr>
            <w:tcW w:w="1680" w:type="dxa"/>
          </w:tcPr>
          <w:p>
            <w:pPr>
              <w:pStyle w:val="TableParagraph"/>
              <w:spacing w:before="142"/>
              <w:ind w:left="208"/>
              <w:rPr>
                <w:b/>
                <w:sz w:val="21"/>
              </w:rPr>
            </w:pPr>
            <w:r>
              <w:rPr>
                <w:b/>
                <w:w w:val="95"/>
                <w:sz w:val="21"/>
              </w:rPr>
              <w:t>永久不可逆</w:t>
            </w:r>
          </w:p>
        </w:tc>
        <w:tc>
          <w:tcPr>
            <w:tcW w:w="7119" w:type="dxa"/>
          </w:tcPr>
          <w:p>
            <w:pPr>
              <w:pStyle w:val="TableParagraph"/>
              <w:spacing w:line="310" w:lineRule="atLeast" w:before="107"/>
              <w:ind w:left="208" w:right="258"/>
              <w:rPr>
                <w:sz w:val="21"/>
              </w:rPr>
            </w:pPr>
            <w:r>
              <w:rPr>
                <w:sz w:val="21"/>
              </w:rPr>
              <w:t>指自疾病确诊或意外伤害发生之日起，经过积极治疗 180 天后，仍无法通过现有医疗手段恢复。</w:t>
            </w:r>
          </w:p>
        </w:tc>
      </w:tr>
    </w:tbl>
    <w:sectPr>
      <w:pgSz w:w="11910" w:h="16840"/>
      <w:pgMar w:header="899" w:footer="995" w:top="1220" w:bottom="1180" w:left="120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 w:name="仿宋">
    <w:altName w:val="仿宋"/>
    <w:charset w:val="86"/>
    <w:family w:val="modern"/>
    <w:pitch w:val="fixed"/>
  </w:font>
  <w:font w:name="宋体">
    <w:altName w:val="宋体"/>
    <w:charset w:val="86"/>
    <w:family w:val="auto"/>
    <w:pitch w:val="variable"/>
  </w:font>
  <w:font w:name="MingLiU_HKSCS-ExtB">
    <w:altName w:val="MingLiU_HKSCS-ExtB"/>
    <w:charset w:val="0"/>
    <w:family w:val="roman"/>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19995pt;margin-top:781.179993pt;width:21.6pt;height:12pt;mso-position-horizontal-relative:page;mso-position-vertical-relative:page;z-index:-3275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3.953812pt;width:46.4pt;height:18.1pt;mso-position-horizontal-relative:page;mso-position-vertical-relative:page;z-index:-32728" type="#_x0000_t202" filled="false" stroked="false">
          <v:textbox inset="0,0,0,0">
            <w:txbxContent>
              <w:p>
                <w:pPr>
                  <w:spacing w:line="310" w:lineRule="exact" w:before="0"/>
                  <w:ind w:left="20" w:right="0" w:firstLine="0"/>
                  <w:jc w:val="left"/>
                  <w:rPr>
                    <w:sz w:val="24"/>
                  </w:rPr>
                </w:pPr>
                <w:r>
                  <w:rPr>
                    <w:spacing w:val="-25"/>
                    <w:sz w:val="24"/>
                  </w:rPr>
                  <w:t>附件 </w:t>
                </w:r>
                <w:r>
                  <w:rPr>
                    <w:sz w:val="24"/>
                  </w:rPr>
                  <w:t>3-2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839" w:hanging="632"/>
        <w:jc w:val="left"/>
      </w:pPr>
      <w:rPr>
        <w:rFonts w:hint="default" w:ascii="宋体" w:hAnsi="宋体" w:eastAsia="宋体" w:cs="宋体"/>
        <w:spacing w:val="-2"/>
        <w:w w:val="100"/>
        <w:sz w:val="21"/>
        <w:szCs w:val="21"/>
      </w:rPr>
    </w:lvl>
    <w:lvl w:ilvl="1">
      <w:start w:val="0"/>
      <w:numFmt w:val="bullet"/>
      <w:lvlText w:val="•"/>
      <w:lvlJc w:val="left"/>
      <w:pPr>
        <w:ind w:left="1467" w:hanging="632"/>
      </w:pPr>
      <w:rPr>
        <w:rFonts w:hint="default"/>
      </w:rPr>
    </w:lvl>
    <w:lvl w:ilvl="2">
      <w:start w:val="0"/>
      <w:numFmt w:val="bullet"/>
      <w:lvlText w:val="•"/>
      <w:lvlJc w:val="left"/>
      <w:pPr>
        <w:ind w:left="2095" w:hanging="632"/>
      </w:pPr>
      <w:rPr>
        <w:rFonts w:hint="default"/>
      </w:rPr>
    </w:lvl>
    <w:lvl w:ilvl="3">
      <w:start w:val="0"/>
      <w:numFmt w:val="bullet"/>
      <w:lvlText w:val="•"/>
      <w:lvlJc w:val="left"/>
      <w:pPr>
        <w:ind w:left="2723" w:hanging="632"/>
      </w:pPr>
      <w:rPr>
        <w:rFonts w:hint="default"/>
      </w:rPr>
    </w:lvl>
    <w:lvl w:ilvl="4">
      <w:start w:val="0"/>
      <w:numFmt w:val="bullet"/>
      <w:lvlText w:val="•"/>
      <w:lvlJc w:val="left"/>
      <w:pPr>
        <w:ind w:left="3351" w:hanging="632"/>
      </w:pPr>
      <w:rPr>
        <w:rFonts w:hint="default"/>
      </w:rPr>
    </w:lvl>
    <w:lvl w:ilvl="5">
      <w:start w:val="0"/>
      <w:numFmt w:val="bullet"/>
      <w:lvlText w:val="•"/>
      <w:lvlJc w:val="left"/>
      <w:pPr>
        <w:ind w:left="3979" w:hanging="632"/>
      </w:pPr>
      <w:rPr>
        <w:rFonts w:hint="default"/>
      </w:rPr>
    </w:lvl>
    <w:lvl w:ilvl="6">
      <w:start w:val="0"/>
      <w:numFmt w:val="bullet"/>
      <w:lvlText w:val="•"/>
      <w:lvlJc w:val="left"/>
      <w:pPr>
        <w:ind w:left="4607" w:hanging="632"/>
      </w:pPr>
      <w:rPr>
        <w:rFonts w:hint="default"/>
      </w:rPr>
    </w:lvl>
    <w:lvl w:ilvl="7">
      <w:start w:val="0"/>
      <w:numFmt w:val="bullet"/>
      <w:lvlText w:val="•"/>
      <w:lvlJc w:val="left"/>
      <w:pPr>
        <w:ind w:left="5235" w:hanging="632"/>
      </w:pPr>
      <w:rPr>
        <w:rFonts w:hint="default"/>
      </w:rPr>
    </w:lvl>
    <w:lvl w:ilvl="8">
      <w:start w:val="0"/>
      <w:numFmt w:val="bullet"/>
      <w:lvlText w:val="•"/>
      <w:lvlJc w:val="left"/>
      <w:pPr>
        <w:ind w:left="5863" w:hanging="632"/>
      </w:pPr>
      <w:rPr>
        <w:rFonts w:hint="default"/>
      </w:rPr>
    </w:lvl>
  </w:abstractNum>
  <w:abstractNum w:abstractNumId="19">
    <w:multiLevelType w:val="hybridMultilevel"/>
    <w:lvl w:ilvl="0">
      <w:start w:val="1"/>
      <w:numFmt w:val="decimal"/>
      <w:lvlText w:val="（%1）"/>
      <w:lvlJc w:val="left"/>
      <w:pPr>
        <w:ind w:left="739" w:hanging="632"/>
        <w:jc w:val="left"/>
      </w:pPr>
      <w:rPr>
        <w:rFonts w:hint="default" w:ascii="宋体" w:hAnsi="宋体" w:eastAsia="宋体" w:cs="宋体"/>
        <w:spacing w:val="-2"/>
        <w:w w:val="100"/>
        <w:sz w:val="21"/>
        <w:szCs w:val="21"/>
      </w:rPr>
    </w:lvl>
    <w:lvl w:ilvl="1">
      <w:start w:val="0"/>
      <w:numFmt w:val="bullet"/>
      <w:lvlText w:val="•"/>
      <w:lvlJc w:val="left"/>
      <w:pPr>
        <w:ind w:left="1367" w:hanging="632"/>
      </w:pPr>
      <w:rPr>
        <w:rFonts w:hint="default"/>
      </w:rPr>
    </w:lvl>
    <w:lvl w:ilvl="2">
      <w:start w:val="0"/>
      <w:numFmt w:val="bullet"/>
      <w:lvlText w:val="•"/>
      <w:lvlJc w:val="left"/>
      <w:pPr>
        <w:ind w:left="1995" w:hanging="632"/>
      </w:pPr>
      <w:rPr>
        <w:rFonts w:hint="default"/>
      </w:rPr>
    </w:lvl>
    <w:lvl w:ilvl="3">
      <w:start w:val="0"/>
      <w:numFmt w:val="bullet"/>
      <w:lvlText w:val="•"/>
      <w:lvlJc w:val="left"/>
      <w:pPr>
        <w:ind w:left="2623" w:hanging="632"/>
      </w:pPr>
      <w:rPr>
        <w:rFonts w:hint="default"/>
      </w:rPr>
    </w:lvl>
    <w:lvl w:ilvl="4">
      <w:start w:val="0"/>
      <w:numFmt w:val="bullet"/>
      <w:lvlText w:val="•"/>
      <w:lvlJc w:val="left"/>
      <w:pPr>
        <w:ind w:left="3251" w:hanging="632"/>
      </w:pPr>
      <w:rPr>
        <w:rFonts w:hint="default"/>
      </w:rPr>
    </w:lvl>
    <w:lvl w:ilvl="5">
      <w:start w:val="0"/>
      <w:numFmt w:val="bullet"/>
      <w:lvlText w:val="•"/>
      <w:lvlJc w:val="left"/>
      <w:pPr>
        <w:ind w:left="3879" w:hanging="632"/>
      </w:pPr>
      <w:rPr>
        <w:rFonts w:hint="default"/>
      </w:rPr>
    </w:lvl>
    <w:lvl w:ilvl="6">
      <w:start w:val="0"/>
      <w:numFmt w:val="bullet"/>
      <w:lvlText w:val="•"/>
      <w:lvlJc w:val="left"/>
      <w:pPr>
        <w:ind w:left="4507" w:hanging="632"/>
      </w:pPr>
      <w:rPr>
        <w:rFonts w:hint="default"/>
      </w:rPr>
    </w:lvl>
    <w:lvl w:ilvl="7">
      <w:start w:val="0"/>
      <w:numFmt w:val="bullet"/>
      <w:lvlText w:val="•"/>
      <w:lvlJc w:val="left"/>
      <w:pPr>
        <w:ind w:left="5135" w:hanging="632"/>
      </w:pPr>
      <w:rPr>
        <w:rFonts w:hint="default"/>
      </w:rPr>
    </w:lvl>
    <w:lvl w:ilvl="8">
      <w:start w:val="0"/>
      <w:numFmt w:val="bullet"/>
      <w:lvlText w:val="•"/>
      <w:lvlJc w:val="left"/>
      <w:pPr>
        <w:ind w:left="5763" w:hanging="632"/>
      </w:pPr>
      <w:rPr>
        <w:rFonts w:hint="default"/>
      </w:rPr>
    </w:lvl>
  </w:abstractNum>
  <w:abstractNum w:abstractNumId="18">
    <w:multiLevelType w:val="hybridMultilevel"/>
    <w:lvl w:ilvl="0">
      <w:start w:val="1"/>
      <w:numFmt w:val="decimal"/>
      <w:lvlText w:val="（%1）"/>
      <w:lvlJc w:val="left"/>
      <w:pPr>
        <w:ind w:left="738" w:hanging="632"/>
        <w:jc w:val="left"/>
      </w:pPr>
      <w:rPr>
        <w:rFonts w:hint="default" w:ascii="宋体" w:hAnsi="宋体" w:eastAsia="宋体" w:cs="宋体"/>
        <w:spacing w:val="-2"/>
        <w:w w:val="100"/>
        <w:sz w:val="21"/>
        <w:szCs w:val="21"/>
      </w:rPr>
    </w:lvl>
    <w:lvl w:ilvl="1">
      <w:start w:val="0"/>
      <w:numFmt w:val="bullet"/>
      <w:lvlText w:val="•"/>
      <w:lvlJc w:val="left"/>
      <w:pPr>
        <w:ind w:left="1367" w:hanging="632"/>
      </w:pPr>
      <w:rPr>
        <w:rFonts w:hint="default"/>
      </w:rPr>
    </w:lvl>
    <w:lvl w:ilvl="2">
      <w:start w:val="0"/>
      <w:numFmt w:val="bullet"/>
      <w:lvlText w:val="•"/>
      <w:lvlJc w:val="left"/>
      <w:pPr>
        <w:ind w:left="1995" w:hanging="632"/>
      </w:pPr>
      <w:rPr>
        <w:rFonts w:hint="default"/>
      </w:rPr>
    </w:lvl>
    <w:lvl w:ilvl="3">
      <w:start w:val="0"/>
      <w:numFmt w:val="bullet"/>
      <w:lvlText w:val="•"/>
      <w:lvlJc w:val="left"/>
      <w:pPr>
        <w:ind w:left="2623" w:hanging="632"/>
      </w:pPr>
      <w:rPr>
        <w:rFonts w:hint="default"/>
      </w:rPr>
    </w:lvl>
    <w:lvl w:ilvl="4">
      <w:start w:val="0"/>
      <w:numFmt w:val="bullet"/>
      <w:lvlText w:val="•"/>
      <w:lvlJc w:val="left"/>
      <w:pPr>
        <w:ind w:left="3251" w:hanging="632"/>
      </w:pPr>
      <w:rPr>
        <w:rFonts w:hint="default"/>
      </w:rPr>
    </w:lvl>
    <w:lvl w:ilvl="5">
      <w:start w:val="0"/>
      <w:numFmt w:val="bullet"/>
      <w:lvlText w:val="•"/>
      <w:lvlJc w:val="left"/>
      <w:pPr>
        <w:ind w:left="3879" w:hanging="632"/>
      </w:pPr>
      <w:rPr>
        <w:rFonts w:hint="default"/>
      </w:rPr>
    </w:lvl>
    <w:lvl w:ilvl="6">
      <w:start w:val="0"/>
      <w:numFmt w:val="bullet"/>
      <w:lvlText w:val="•"/>
      <w:lvlJc w:val="left"/>
      <w:pPr>
        <w:ind w:left="4507" w:hanging="632"/>
      </w:pPr>
      <w:rPr>
        <w:rFonts w:hint="default"/>
      </w:rPr>
    </w:lvl>
    <w:lvl w:ilvl="7">
      <w:start w:val="0"/>
      <w:numFmt w:val="bullet"/>
      <w:lvlText w:val="•"/>
      <w:lvlJc w:val="left"/>
      <w:pPr>
        <w:ind w:left="5135" w:hanging="632"/>
      </w:pPr>
      <w:rPr>
        <w:rFonts w:hint="default"/>
      </w:rPr>
    </w:lvl>
    <w:lvl w:ilvl="8">
      <w:start w:val="0"/>
      <w:numFmt w:val="bullet"/>
      <w:lvlText w:val="•"/>
      <w:lvlJc w:val="left"/>
      <w:pPr>
        <w:ind w:left="5763" w:hanging="632"/>
      </w:pPr>
      <w:rPr>
        <w:rFonts w:hint="default"/>
      </w:rPr>
    </w:lvl>
  </w:abstractNum>
  <w:abstractNum w:abstractNumId="17">
    <w:multiLevelType w:val="hybridMultilevel"/>
    <w:lvl w:ilvl="0">
      <w:start w:val="1"/>
      <w:numFmt w:val="decimal"/>
      <w:lvlText w:val="（%1）"/>
      <w:lvlJc w:val="left"/>
      <w:pPr>
        <w:ind w:left="846" w:hanging="632"/>
        <w:jc w:val="left"/>
      </w:pPr>
      <w:rPr>
        <w:rFonts w:hint="default" w:ascii="宋体" w:hAnsi="宋体" w:eastAsia="宋体" w:cs="宋体"/>
        <w:spacing w:val="-105"/>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4" w:hanging="632"/>
      </w:pPr>
      <w:rPr>
        <w:rFonts w:hint="default"/>
      </w:rPr>
    </w:lvl>
    <w:lvl w:ilvl="4">
      <w:start w:val="0"/>
      <w:numFmt w:val="bullet"/>
      <w:lvlText w:val="•"/>
      <w:lvlJc w:val="left"/>
      <w:pPr>
        <w:ind w:left="3352" w:hanging="632"/>
      </w:pPr>
      <w:rPr>
        <w:rFonts w:hint="default"/>
      </w:rPr>
    </w:lvl>
    <w:lvl w:ilvl="5">
      <w:start w:val="0"/>
      <w:numFmt w:val="bullet"/>
      <w:lvlText w:val="•"/>
      <w:lvlJc w:val="left"/>
      <w:pPr>
        <w:ind w:left="3980" w:hanging="632"/>
      </w:pPr>
      <w:rPr>
        <w:rFonts w:hint="default"/>
      </w:rPr>
    </w:lvl>
    <w:lvl w:ilvl="6">
      <w:start w:val="0"/>
      <w:numFmt w:val="bullet"/>
      <w:lvlText w:val="•"/>
      <w:lvlJc w:val="left"/>
      <w:pPr>
        <w:ind w:left="4608" w:hanging="632"/>
      </w:pPr>
      <w:rPr>
        <w:rFonts w:hint="default"/>
      </w:rPr>
    </w:lvl>
    <w:lvl w:ilvl="7">
      <w:start w:val="0"/>
      <w:numFmt w:val="bullet"/>
      <w:lvlText w:val="•"/>
      <w:lvlJc w:val="left"/>
      <w:pPr>
        <w:ind w:left="5236" w:hanging="632"/>
      </w:pPr>
      <w:rPr>
        <w:rFonts w:hint="default"/>
      </w:rPr>
    </w:lvl>
    <w:lvl w:ilvl="8">
      <w:start w:val="0"/>
      <w:numFmt w:val="bullet"/>
      <w:lvlText w:val="•"/>
      <w:lvlJc w:val="left"/>
      <w:pPr>
        <w:ind w:left="5864" w:hanging="632"/>
      </w:pPr>
      <w:rPr>
        <w:rFonts w:hint="default"/>
      </w:rPr>
    </w:lvl>
  </w:abstractNum>
  <w:abstractNum w:abstractNumId="16">
    <w:multiLevelType w:val="hybridMultilevel"/>
    <w:lvl w:ilvl="0">
      <w:start w:val="1"/>
      <w:numFmt w:val="decimal"/>
      <w:lvlText w:val="(%1)"/>
      <w:lvlJc w:val="left"/>
      <w:pPr>
        <w:ind w:left="631" w:hanging="422"/>
        <w:jc w:val="left"/>
      </w:pPr>
      <w:rPr>
        <w:rFonts w:hint="default" w:ascii="宋体" w:hAnsi="宋体" w:eastAsia="宋体" w:cs="宋体"/>
        <w:w w:val="100"/>
        <w:sz w:val="21"/>
        <w:szCs w:val="21"/>
      </w:rPr>
    </w:lvl>
    <w:lvl w:ilvl="1">
      <w:start w:val="0"/>
      <w:numFmt w:val="bullet"/>
      <w:lvlText w:val="•"/>
      <w:lvlJc w:val="left"/>
      <w:pPr>
        <w:ind w:left="1288" w:hanging="422"/>
      </w:pPr>
      <w:rPr>
        <w:rFonts w:hint="default"/>
      </w:rPr>
    </w:lvl>
    <w:lvl w:ilvl="2">
      <w:start w:val="0"/>
      <w:numFmt w:val="bullet"/>
      <w:lvlText w:val="•"/>
      <w:lvlJc w:val="left"/>
      <w:pPr>
        <w:ind w:left="1936" w:hanging="422"/>
      </w:pPr>
      <w:rPr>
        <w:rFonts w:hint="default"/>
      </w:rPr>
    </w:lvl>
    <w:lvl w:ilvl="3">
      <w:start w:val="0"/>
      <w:numFmt w:val="bullet"/>
      <w:lvlText w:val="•"/>
      <w:lvlJc w:val="left"/>
      <w:pPr>
        <w:ind w:left="2584" w:hanging="422"/>
      </w:pPr>
      <w:rPr>
        <w:rFonts w:hint="default"/>
      </w:rPr>
    </w:lvl>
    <w:lvl w:ilvl="4">
      <w:start w:val="0"/>
      <w:numFmt w:val="bullet"/>
      <w:lvlText w:val="•"/>
      <w:lvlJc w:val="left"/>
      <w:pPr>
        <w:ind w:left="3232" w:hanging="422"/>
      </w:pPr>
      <w:rPr>
        <w:rFonts w:hint="default"/>
      </w:rPr>
    </w:lvl>
    <w:lvl w:ilvl="5">
      <w:start w:val="0"/>
      <w:numFmt w:val="bullet"/>
      <w:lvlText w:val="•"/>
      <w:lvlJc w:val="left"/>
      <w:pPr>
        <w:ind w:left="3880" w:hanging="422"/>
      </w:pPr>
      <w:rPr>
        <w:rFonts w:hint="default"/>
      </w:rPr>
    </w:lvl>
    <w:lvl w:ilvl="6">
      <w:start w:val="0"/>
      <w:numFmt w:val="bullet"/>
      <w:lvlText w:val="•"/>
      <w:lvlJc w:val="left"/>
      <w:pPr>
        <w:ind w:left="4528" w:hanging="422"/>
      </w:pPr>
      <w:rPr>
        <w:rFonts w:hint="default"/>
      </w:rPr>
    </w:lvl>
    <w:lvl w:ilvl="7">
      <w:start w:val="0"/>
      <w:numFmt w:val="bullet"/>
      <w:lvlText w:val="•"/>
      <w:lvlJc w:val="left"/>
      <w:pPr>
        <w:ind w:left="5176" w:hanging="422"/>
      </w:pPr>
      <w:rPr>
        <w:rFonts w:hint="default"/>
      </w:rPr>
    </w:lvl>
    <w:lvl w:ilvl="8">
      <w:start w:val="0"/>
      <w:numFmt w:val="bullet"/>
      <w:lvlText w:val="•"/>
      <w:lvlJc w:val="left"/>
      <w:pPr>
        <w:ind w:left="5824" w:hanging="422"/>
      </w:pPr>
      <w:rPr>
        <w:rFonts w:hint="default"/>
      </w:rPr>
    </w:lvl>
  </w:abstractNum>
  <w:abstractNum w:abstractNumId="15">
    <w:multiLevelType w:val="hybridMultilevel"/>
    <w:lvl w:ilvl="0">
      <w:start w:val="1"/>
      <w:numFmt w:val="decimal"/>
      <w:lvlText w:val="（%1）"/>
      <w:lvlJc w:val="left"/>
      <w:pPr>
        <w:ind w:left="719" w:hanging="632"/>
        <w:jc w:val="left"/>
      </w:pPr>
      <w:rPr>
        <w:rFonts w:hint="default" w:ascii="宋体" w:hAnsi="宋体" w:eastAsia="宋体" w:cs="宋体"/>
        <w:spacing w:val="-2"/>
        <w:w w:val="100"/>
        <w:sz w:val="21"/>
        <w:szCs w:val="21"/>
      </w:rPr>
    </w:lvl>
    <w:lvl w:ilvl="1">
      <w:start w:val="0"/>
      <w:numFmt w:val="bullet"/>
      <w:lvlText w:val="•"/>
      <w:lvlJc w:val="left"/>
      <w:pPr>
        <w:ind w:left="1348" w:hanging="632"/>
      </w:pPr>
      <w:rPr>
        <w:rFonts w:hint="default"/>
      </w:rPr>
    </w:lvl>
    <w:lvl w:ilvl="2">
      <w:start w:val="0"/>
      <w:numFmt w:val="bullet"/>
      <w:lvlText w:val="•"/>
      <w:lvlJc w:val="left"/>
      <w:pPr>
        <w:ind w:left="1976" w:hanging="632"/>
      </w:pPr>
      <w:rPr>
        <w:rFonts w:hint="default"/>
      </w:rPr>
    </w:lvl>
    <w:lvl w:ilvl="3">
      <w:start w:val="0"/>
      <w:numFmt w:val="bullet"/>
      <w:lvlText w:val="•"/>
      <w:lvlJc w:val="left"/>
      <w:pPr>
        <w:ind w:left="2604" w:hanging="632"/>
      </w:pPr>
      <w:rPr>
        <w:rFonts w:hint="default"/>
      </w:rPr>
    </w:lvl>
    <w:lvl w:ilvl="4">
      <w:start w:val="0"/>
      <w:numFmt w:val="bullet"/>
      <w:lvlText w:val="•"/>
      <w:lvlJc w:val="left"/>
      <w:pPr>
        <w:ind w:left="3232" w:hanging="632"/>
      </w:pPr>
      <w:rPr>
        <w:rFonts w:hint="default"/>
      </w:rPr>
    </w:lvl>
    <w:lvl w:ilvl="5">
      <w:start w:val="0"/>
      <w:numFmt w:val="bullet"/>
      <w:lvlText w:val="•"/>
      <w:lvlJc w:val="left"/>
      <w:pPr>
        <w:ind w:left="3860" w:hanging="632"/>
      </w:pPr>
      <w:rPr>
        <w:rFonts w:hint="default"/>
      </w:rPr>
    </w:lvl>
    <w:lvl w:ilvl="6">
      <w:start w:val="0"/>
      <w:numFmt w:val="bullet"/>
      <w:lvlText w:val="•"/>
      <w:lvlJc w:val="left"/>
      <w:pPr>
        <w:ind w:left="4488" w:hanging="632"/>
      </w:pPr>
      <w:rPr>
        <w:rFonts w:hint="default"/>
      </w:rPr>
    </w:lvl>
    <w:lvl w:ilvl="7">
      <w:start w:val="0"/>
      <w:numFmt w:val="bullet"/>
      <w:lvlText w:val="•"/>
      <w:lvlJc w:val="left"/>
      <w:pPr>
        <w:ind w:left="5116" w:hanging="632"/>
      </w:pPr>
      <w:rPr>
        <w:rFonts w:hint="default"/>
      </w:rPr>
    </w:lvl>
    <w:lvl w:ilvl="8">
      <w:start w:val="0"/>
      <w:numFmt w:val="bullet"/>
      <w:lvlText w:val="•"/>
      <w:lvlJc w:val="left"/>
      <w:pPr>
        <w:ind w:left="5744" w:hanging="632"/>
      </w:pPr>
      <w:rPr>
        <w:rFonts w:hint="default"/>
      </w:rPr>
    </w:lvl>
  </w:abstractNum>
  <w:abstractNum w:abstractNumId="14">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4" w:hanging="632"/>
      </w:pPr>
      <w:rPr>
        <w:rFonts w:hint="default"/>
      </w:rPr>
    </w:lvl>
    <w:lvl w:ilvl="4">
      <w:start w:val="0"/>
      <w:numFmt w:val="bullet"/>
      <w:lvlText w:val="•"/>
      <w:lvlJc w:val="left"/>
      <w:pPr>
        <w:ind w:left="3353" w:hanging="632"/>
      </w:pPr>
      <w:rPr>
        <w:rFonts w:hint="default"/>
      </w:rPr>
    </w:lvl>
    <w:lvl w:ilvl="5">
      <w:start w:val="0"/>
      <w:numFmt w:val="bullet"/>
      <w:lvlText w:val="•"/>
      <w:lvlJc w:val="left"/>
      <w:pPr>
        <w:ind w:left="3981" w:hanging="632"/>
      </w:pPr>
      <w:rPr>
        <w:rFonts w:hint="default"/>
      </w:rPr>
    </w:lvl>
    <w:lvl w:ilvl="6">
      <w:start w:val="0"/>
      <w:numFmt w:val="bullet"/>
      <w:lvlText w:val="•"/>
      <w:lvlJc w:val="left"/>
      <w:pPr>
        <w:ind w:left="4609" w:hanging="632"/>
      </w:pPr>
      <w:rPr>
        <w:rFonts w:hint="default"/>
      </w:rPr>
    </w:lvl>
    <w:lvl w:ilvl="7">
      <w:start w:val="0"/>
      <w:numFmt w:val="bullet"/>
      <w:lvlText w:val="•"/>
      <w:lvlJc w:val="left"/>
      <w:pPr>
        <w:ind w:left="5238" w:hanging="632"/>
      </w:pPr>
      <w:rPr>
        <w:rFonts w:hint="default"/>
      </w:rPr>
    </w:lvl>
    <w:lvl w:ilvl="8">
      <w:start w:val="0"/>
      <w:numFmt w:val="bullet"/>
      <w:lvlText w:val="•"/>
      <w:lvlJc w:val="left"/>
      <w:pPr>
        <w:ind w:left="5866" w:hanging="632"/>
      </w:pPr>
      <w:rPr>
        <w:rFonts w:hint="default"/>
      </w:rPr>
    </w:lvl>
  </w:abstractNum>
  <w:abstractNum w:abstractNumId="13">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4" w:hanging="632"/>
      </w:pPr>
      <w:rPr>
        <w:rFonts w:hint="default"/>
      </w:rPr>
    </w:lvl>
    <w:lvl w:ilvl="4">
      <w:start w:val="0"/>
      <w:numFmt w:val="bullet"/>
      <w:lvlText w:val="•"/>
      <w:lvlJc w:val="left"/>
      <w:pPr>
        <w:ind w:left="3353" w:hanging="632"/>
      </w:pPr>
      <w:rPr>
        <w:rFonts w:hint="default"/>
      </w:rPr>
    </w:lvl>
    <w:lvl w:ilvl="5">
      <w:start w:val="0"/>
      <w:numFmt w:val="bullet"/>
      <w:lvlText w:val="•"/>
      <w:lvlJc w:val="left"/>
      <w:pPr>
        <w:ind w:left="3981" w:hanging="632"/>
      </w:pPr>
      <w:rPr>
        <w:rFonts w:hint="default"/>
      </w:rPr>
    </w:lvl>
    <w:lvl w:ilvl="6">
      <w:start w:val="0"/>
      <w:numFmt w:val="bullet"/>
      <w:lvlText w:val="•"/>
      <w:lvlJc w:val="left"/>
      <w:pPr>
        <w:ind w:left="4609" w:hanging="632"/>
      </w:pPr>
      <w:rPr>
        <w:rFonts w:hint="default"/>
      </w:rPr>
    </w:lvl>
    <w:lvl w:ilvl="7">
      <w:start w:val="0"/>
      <w:numFmt w:val="bullet"/>
      <w:lvlText w:val="•"/>
      <w:lvlJc w:val="left"/>
      <w:pPr>
        <w:ind w:left="5238" w:hanging="632"/>
      </w:pPr>
      <w:rPr>
        <w:rFonts w:hint="default"/>
      </w:rPr>
    </w:lvl>
    <w:lvl w:ilvl="8">
      <w:start w:val="0"/>
      <w:numFmt w:val="bullet"/>
      <w:lvlText w:val="•"/>
      <w:lvlJc w:val="left"/>
      <w:pPr>
        <w:ind w:left="5866" w:hanging="632"/>
      </w:pPr>
      <w:rPr>
        <w:rFonts w:hint="default"/>
      </w:rPr>
    </w:lvl>
  </w:abstractNum>
  <w:abstractNum w:abstractNumId="12">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4" w:hanging="632"/>
      </w:pPr>
      <w:rPr>
        <w:rFonts w:hint="default"/>
      </w:rPr>
    </w:lvl>
    <w:lvl w:ilvl="4">
      <w:start w:val="0"/>
      <w:numFmt w:val="bullet"/>
      <w:lvlText w:val="•"/>
      <w:lvlJc w:val="left"/>
      <w:pPr>
        <w:ind w:left="3353" w:hanging="632"/>
      </w:pPr>
      <w:rPr>
        <w:rFonts w:hint="default"/>
      </w:rPr>
    </w:lvl>
    <w:lvl w:ilvl="5">
      <w:start w:val="0"/>
      <w:numFmt w:val="bullet"/>
      <w:lvlText w:val="•"/>
      <w:lvlJc w:val="left"/>
      <w:pPr>
        <w:ind w:left="3981" w:hanging="632"/>
      </w:pPr>
      <w:rPr>
        <w:rFonts w:hint="default"/>
      </w:rPr>
    </w:lvl>
    <w:lvl w:ilvl="6">
      <w:start w:val="0"/>
      <w:numFmt w:val="bullet"/>
      <w:lvlText w:val="•"/>
      <w:lvlJc w:val="left"/>
      <w:pPr>
        <w:ind w:left="4609" w:hanging="632"/>
      </w:pPr>
      <w:rPr>
        <w:rFonts w:hint="default"/>
      </w:rPr>
    </w:lvl>
    <w:lvl w:ilvl="7">
      <w:start w:val="0"/>
      <w:numFmt w:val="bullet"/>
      <w:lvlText w:val="•"/>
      <w:lvlJc w:val="left"/>
      <w:pPr>
        <w:ind w:left="5238" w:hanging="632"/>
      </w:pPr>
      <w:rPr>
        <w:rFonts w:hint="default"/>
      </w:rPr>
    </w:lvl>
    <w:lvl w:ilvl="8">
      <w:start w:val="0"/>
      <w:numFmt w:val="bullet"/>
      <w:lvlText w:val="•"/>
      <w:lvlJc w:val="left"/>
      <w:pPr>
        <w:ind w:left="5866" w:hanging="632"/>
      </w:pPr>
      <w:rPr>
        <w:rFonts w:hint="default"/>
      </w:rPr>
    </w:lvl>
  </w:abstractNum>
  <w:abstractNum w:abstractNumId="11">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4" w:hanging="632"/>
      </w:pPr>
      <w:rPr>
        <w:rFonts w:hint="default"/>
      </w:rPr>
    </w:lvl>
    <w:lvl w:ilvl="4">
      <w:start w:val="0"/>
      <w:numFmt w:val="bullet"/>
      <w:lvlText w:val="•"/>
      <w:lvlJc w:val="left"/>
      <w:pPr>
        <w:ind w:left="3353" w:hanging="632"/>
      </w:pPr>
      <w:rPr>
        <w:rFonts w:hint="default"/>
      </w:rPr>
    </w:lvl>
    <w:lvl w:ilvl="5">
      <w:start w:val="0"/>
      <w:numFmt w:val="bullet"/>
      <w:lvlText w:val="•"/>
      <w:lvlJc w:val="left"/>
      <w:pPr>
        <w:ind w:left="3981" w:hanging="632"/>
      </w:pPr>
      <w:rPr>
        <w:rFonts w:hint="default"/>
      </w:rPr>
    </w:lvl>
    <w:lvl w:ilvl="6">
      <w:start w:val="0"/>
      <w:numFmt w:val="bullet"/>
      <w:lvlText w:val="•"/>
      <w:lvlJc w:val="left"/>
      <w:pPr>
        <w:ind w:left="4609" w:hanging="632"/>
      </w:pPr>
      <w:rPr>
        <w:rFonts w:hint="default"/>
      </w:rPr>
    </w:lvl>
    <w:lvl w:ilvl="7">
      <w:start w:val="0"/>
      <w:numFmt w:val="bullet"/>
      <w:lvlText w:val="•"/>
      <w:lvlJc w:val="left"/>
      <w:pPr>
        <w:ind w:left="5238" w:hanging="632"/>
      </w:pPr>
      <w:rPr>
        <w:rFonts w:hint="default"/>
      </w:rPr>
    </w:lvl>
    <w:lvl w:ilvl="8">
      <w:start w:val="0"/>
      <w:numFmt w:val="bullet"/>
      <w:lvlText w:val="•"/>
      <w:lvlJc w:val="left"/>
      <w:pPr>
        <w:ind w:left="5866" w:hanging="632"/>
      </w:pPr>
      <w:rPr>
        <w:rFonts w:hint="default"/>
      </w:rPr>
    </w:lvl>
  </w:abstractNum>
  <w:abstractNum w:abstractNumId="10">
    <w:multiLevelType w:val="hybridMultilevel"/>
    <w:lvl w:ilvl="0">
      <w:start w:val="1"/>
      <w:numFmt w:val="decimal"/>
      <w:lvlText w:val="（%1）"/>
      <w:lvlJc w:val="left"/>
      <w:pPr>
        <w:ind w:left="735" w:hanging="632"/>
        <w:jc w:val="left"/>
      </w:pPr>
      <w:rPr>
        <w:rFonts w:hint="default" w:ascii="宋体" w:hAnsi="宋体" w:eastAsia="宋体" w:cs="宋体"/>
        <w:spacing w:val="-2"/>
        <w:w w:val="100"/>
        <w:sz w:val="21"/>
        <w:szCs w:val="21"/>
      </w:rPr>
    </w:lvl>
    <w:lvl w:ilvl="1">
      <w:start w:val="0"/>
      <w:numFmt w:val="bullet"/>
      <w:lvlText w:val="•"/>
      <w:lvlJc w:val="left"/>
      <w:pPr>
        <w:ind w:left="1367" w:hanging="632"/>
      </w:pPr>
      <w:rPr>
        <w:rFonts w:hint="default"/>
      </w:rPr>
    </w:lvl>
    <w:lvl w:ilvl="2">
      <w:start w:val="0"/>
      <w:numFmt w:val="bullet"/>
      <w:lvlText w:val="•"/>
      <w:lvlJc w:val="left"/>
      <w:pPr>
        <w:ind w:left="1995" w:hanging="632"/>
      </w:pPr>
      <w:rPr>
        <w:rFonts w:hint="default"/>
      </w:rPr>
    </w:lvl>
    <w:lvl w:ilvl="3">
      <w:start w:val="0"/>
      <w:numFmt w:val="bullet"/>
      <w:lvlText w:val="•"/>
      <w:lvlJc w:val="left"/>
      <w:pPr>
        <w:ind w:left="2623" w:hanging="632"/>
      </w:pPr>
      <w:rPr>
        <w:rFonts w:hint="default"/>
      </w:rPr>
    </w:lvl>
    <w:lvl w:ilvl="4">
      <w:start w:val="0"/>
      <w:numFmt w:val="bullet"/>
      <w:lvlText w:val="•"/>
      <w:lvlJc w:val="left"/>
      <w:pPr>
        <w:ind w:left="3250" w:hanging="632"/>
      </w:pPr>
      <w:rPr>
        <w:rFonts w:hint="default"/>
      </w:rPr>
    </w:lvl>
    <w:lvl w:ilvl="5">
      <w:start w:val="0"/>
      <w:numFmt w:val="bullet"/>
      <w:lvlText w:val="•"/>
      <w:lvlJc w:val="left"/>
      <w:pPr>
        <w:ind w:left="3878" w:hanging="632"/>
      </w:pPr>
      <w:rPr>
        <w:rFonts w:hint="default"/>
      </w:rPr>
    </w:lvl>
    <w:lvl w:ilvl="6">
      <w:start w:val="0"/>
      <w:numFmt w:val="bullet"/>
      <w:lvlText w:val="•"/>
      <w:lvlJc w:val="left"/>
      <w:pPr>
        <w:ind w:left="4506" w:hanging="632"/>
      </w:pPr>
      <w:rPr>
        <w:rFonts w:hint="default"/>
      </w:rPr>
    </w:lvl>
    <w:lvl w:ilvl="7">
      <w:start w:val="0"/>
      <w:numFmt w:val="bullet"/>
      <w:lvlText w:val="•"/>
      <w:lvlJc w:val="left"/>
      <w:pPr>
        <w:ind w:left="5133" w:hanging="632"/>
      </w:pPr>
      <w:rPr>
        <w:rFonts w:hint="default"/>
      </w:rPr>
    </w:lvl>
    <w:lvl w:ilvl="8">
      <w:start w:val="0"/>
      <w:numFmt w:val="bullet"/>
      <w:lvlText w:val="•"/>
      <w:lvlJc w:val="left"/>
      <w:pPr>
        <w:ind w:left="5761" w:hanging="632"/>
      </w:pPr>
      <w:rPr>
        <w:rFonts w:hint="default"/>
      </w:rPr>
    </w:lvl>
  </w:abstractNum>
  <w:abstractNum w:abstractNumId="9">
    <w:multiLevelType w:val="hybridMultilevel"/>
    <w:lvl w:ilvl="0">
      <w:start w:val="1"/>
      <w:numFmt w:val="decimal"/>
      <w:lvlText w:val="（%1）"/>
      <w:lvlJc w:val="left"/>
      <w:pPr>
        <w:ind w:left="735" w:hanging="632"/>
        <w:jc w:val="left"/>
      </w:pPr>
      <w:rPr>
        <w:rFonts w:hint="default" w:ascii="宋体" w:hAnsi="宋体" w:eastAsia="宋体" w:cs="宋体"/>
        <w:spacing w:val="-2"/>
        <w:w w:val="100"/>
        <w:sz w:val="21"/>
        <w:szCs w:val="21"/>
      </w:rPr>
    </w:lvl>
    <w:lvl w:ilvl="1">
      <w:start w:val="0"/>
      <w:numFmt w:val="bullet"/>
      <w:lvlText w:val="•"/>
      <w:lvlJc w:val="left"/>
      <w:pPr>
        <w:ind w:left="1367" w:hanging="632"/>
      </w:pPr>
      <w:rPr>
        <w:rFonts w:hint="default"/>
      </w:rPr>
    </w:lvl>
    <w:lvl w:ilvl="2">
      <w:start w:val="0"/>
      <w:numFmt w:val="bullet"/>
      <w:lvlText w:val="•"/>
      <w:lvlJc w:val="left"/>
      <w:pPr>
        <w:ind w:left="1995" w:hanging="632"/>
      </w:pPr>
      <w:rPr>
        <w:rFonts w:hint="default"/>
      </w:rPr>
    </w:lvl>
    <w:lvl w:ilvl="3">
      <w:start w:val="0"/>
      <w:numFmt w:val="bullet"/>
      <w:lvlText w:val="•"/>
      <w:lvlJc w:val="left"/>
      <w:pPr>
        <w:ind w:left="2623" w:hanging="632"/>
      </w:pPr>
      <w:rPr>
        <w:rFonts w:hint="default"/>
      </w:rPr>
    </w:lvl>
    <w:lvl w:ilvl="4">
      <w:start w:val="0"/>
      <w:numFmt w:val="bullet"/>
      <w:lvlText w:val="•"/>
      <w:lvlJc w:val="left"/>
      <w:pPr>
        <w:ind w:left="3250" w:hanging="632"/>
      </w:pPr>
      <w:rPr>
        <w:rFonts w:hint="default"/>
      </w:rPr>
    </w:lvl>
    <w:lvl w:ilvl="5">
      <w:start w:val="0"/>
      <w:numFmt w:val="bullet"/>
      <w:lvlText w:val="•"/>
      <w:lvlJc w:val="left"/>
      <w:pPr>
        <w:ind w:left="3878" w:hanging="632"/>
      </w:pPr>
      <w:rPr>
        <w:rFonts w:hint="default"/>
      </w:rPr>
    </w:lvl>
    <w:lvl w:ilvl="6">
      <w:start w:val="0"/>
      <w:numFmt w:val="bullet"/>
      <w:lvlText w:val="•"/>
      <w:lvlJc w:val="left"/>
      <w:pPr>
        <w:ind w:left="4506" w:hanging="632"/>
      </w:pPr>
      <w:rPr>
        <w:rFonts w:hint="default"/>
      </w:rPr>
    </w:lvl>
    <w:lvl w:ilvl="7">
      <w:start w:val="0"/>
      <w:numFmt w:val="bullet"/>
      <w:lvlText w:val="•"/>
      <w:lvlJc w:val="left"/>
      <w:pPr>
        <w:ind w:left="5133" w:hanging="632"/>
      </w:pPr>
      <w:rPr>
        <w:rFonts w:hint="default"/>
      </w:rPr>
    </w:lvl>
    <w:lvl w:ilvl="8">
      <w:start w:val="0"/>
      <w:numFmt w:val="bullet"/>
      <w:lvlText w:val="•"/>
      <w:lvlJc w:val="left"/>
      <w:pPr>
        <w:ind w:left="5761" w:hanging="632"/>
      </w:pPr>
      <w:rPr>
        <w:rFonts w:hint="default"/>
      </w:rPr>
    </w:lvl>
  </w:abstractNum>
  <w:abstractNum w:abstractNumId="8">
    <w:multiLevelType w:val="hybridMultilevel"/>
    <w:lvl w:ilvl="0">
      <w:start w:val="1"/>
      <w:numFmt w:val="decimal"/>
      <w:lvlText w:val="（%1）"/>
      <w:lvlJc w:val="left"/>
      <w:pPr>
        <w:ind w:left="735" w:hanging="632"/>
        <w:jc w:val="left"/>
      </w:pPr>
      <w:rPr>
        <w:rFonts w:hint="default" w:ascii="宋体" w:hAnsi="宋体" w:eastAsia="宋体" w:cs="宋体"/>
        <w:spacing w:val="-2"/>
        <w:w w:val="100"/>
        <w:sz w:val="21"/>
        <w:szCs w:val="21"/>
      </w:rPr>
    </w:lvl>
    <w:lvl w:ilvl="1">
      <w:start w:val="0"/>
      <w:numFmt w:val="bullet"/>
      <w:lvlText w:val="•"/>
      <w:lvlJc w:val="left"/>
      <w:pPr>
        <w:ind w:left="1367" w:hanging="632"/>
      </w:pPr>
      <w:rPr>
        <w:rFonts w:hint="default"/>
      </w:rPr>
    </w:lvl>
    <w:lvl w:ilvl="2">
      <w:start w:val="0"/>
      <w:numFmt w:val="bullet"/>
      <w:lvlText w:val="•"/>
      <w:lvlJc w:val="left"/>
      <w:pPr>
        <w:ind w:left="1995" w:hanging="632"/>
      </w:pPr>
      <w:rPr>
        <w:rFonts w:hint="default"/>
      </w:rPr>
    </w:lvl>
    <w:lvl w:ilvl="3">
      <w:start w:val="0"/>
      <w:numFmt w:val="bullet"/>
      <w:lvlText w:val="•"/>
      <w:lvlJc w:val="left"/>
      <w:pPr>
        <w:ind w:left="2623" w:hanging="632"/>
      </w:pPr>
      <w:rPr>
        <w:rFonts w:hint="default"/>
      </w:rPr>
    </w:lvl>
    <w:lvl w:ilvl="4">
      <w:start w:val="0"/>
      <w:numFmt w:val="bullet"/>
      <w:lvlText w:val="•"/>
      <w:lvlJc w:val="left"/>
      <w:pPr>
        <w:ind w:left="3250" w:hanging="632"/>
      </w:pPr>
      <w:rPr>
        <w:rFonts w:hint="default"/>
      </w:rPr>
    </w:lvl>
    <w:lvl w:ilvl="5">
      <w:start w:val="0"/>
      <w:numFmt w:val="bullet"/>
      <w:lvlText w:val="•"/>
      <w:lvlJc w:val="left"/>
      <w:pPr>
        <w:ind w:left="3878" w:hanging="632"/>
      </w:pPr>
      <w:rPr>
        <w:rFonts w:hint="default"/>
      </w:rPr>
    </w:lvl>
    <w:lvl w:ilvl="6">
      <w:start w:val="0"/>
      <w:numFmt w:val="bullet"/>
      <w:lvlText w:val="•"/>
      <w:lvlJc w:val="left"/>
      <w:pPr>
        <w:ind w:left="4506" w:hanging="632"/>
      </w:pPr>
      <w:rPr>
        <w:rFonts w:hint="default"/>
      </w:rPr>
    </w:lvl>
    <w:lvl w:ilvl="7">
      <w:start w:val="0"/>
      <w:numFmt w:val="bullet"/>
      <w:lvlText w:val="•"/>
      <w:lvlJc w:val="left"/>
      <w:pPr>
        <w:ind w:left="5133" w:hanging="632"/>
      </w:pPr>
      <w:rPr>
        <w:rFonts w:hint="default"/>
      </w:rPr>
    </w:lvl>
    <w:lvl w:ilvl="8">
      <w:start w:val="0"/>
      <w:numFmt w:val="bullet"/>
      <w:lvlText w:val="•"/>
      <w:lvlJc w:val="left"/>
      <w:pPr>
        <w:ind w:left="5761" w:hanging="632"/>
      </w:pPr>
      <w:rPr>
        <w:rFonts w:hint="default"/>
      </w:rPr>
    </w:lvl>
  </w:abstractNum>
  <w:abstractNum w:abstractNumId="7">
    <w:multiLevelType w:val="hybridMultilevel"/>
    <w:lvl w:ilvl="0">
      <w:start w:val="1"/>
      <w:numFmt w:val="decimal"/>
      <w:lvlText w:val="（%1）"/>
      <w:lvlJc w:val="left"/>
      <w:pPr>
        <w:ind w:left="838" w:hanging="632"/>
        <w:jc w:val="left"/>
      </w:pPr>
      <w:rPr>
        <w:rFonts w:hint="default" w:ascii="宋体" w:hAnsi="宋体" w:eastAsia="宋体" w:cs="宋体"/>
        <w:spacing w:val="-2"/>
        <w:w w:val="99"/>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4" w:hanging="632"/>
      </w:pPr>
      <w:rPr>
        <w:rFonts w:hint="default"/>
      </w:rPr>
    </w:lvl>
    <w:lvl w:ilvl="4">
      <w:start w:val="0"/>
      <w:numFmt w:val="bullet"/>
      <w:lvlText w:val="•"/>
      <w:lvlJc w:val="left"/>
      <w:pPr>
        <w:ind w:left="3352" w:hanging="632"/>
      </w:pPr>
      <w:rPr>
        <w:rFonts w:hint="default"/>
      </w:rPr>
    </w:lvl>
    <w:lvl w:ilvl="5">
      <w:start w:val="0"/>
      <w:numFmt w:val="bullet"/>
      <w:lvlText w:val="•"/>
      <w:lvlJc w:val="left"/>
      <w:pPr>
        <w:ind w:left="3981" w:hanging="632"/>
      </w:pPr>
      <w:rPr>
        <w:rFonts w:hint="default"/>
      </w:rPr>
    </w:lvl>
    <w:lvl w:ilvl="6">
      <w:start w:val="0"/>
      <w:numFmt w:val="bullet"/>
      <w:lvlText w:val="•"/>
      <w:lvlJc w:val="left"/>
      <w:pPr>
        <w:ind w:left="4609" w:hanging="632"/>
      </w:pPr>
      <w:rPr>
        <w:rFonts w:hint="default"/>
      </w:rPr>
    </w:lvl>
    <w:lvl w:ilvl="7">
      <w:start w:val="0"/>
      <w:numFmt w:val="bullet"/>
      <w:lvlText w:val="•"/>
      <w:lvlJc w:val="left"/>
      <w:pPr>
        <w:ind w:left="5237" w:hanging="632"/>
      </w:pPr>
      <w:rPr>
        <w:rFonts w:hint="default"/>
      </w:rPr>
    </w:lvl>
    <w:lvl w:ilvl="8">
      <w:start w:val="0"/>
      <w:numFmt w:val="bullet"/>
      <w:lvlText w:val="•"/>
      <w:lvlJc w:val="left"/>
      <w:pPr>
        <w:ind w:left="5865" w:hanging="632"/>
      </w:pPr>
      <w:rPr>
        <w:rFonts w:hint="default"/>
      </w:rPr>
    </w:lvl>
  </w:abstractNum>
  <w:abstractNum w:abstractNumId="6">
    <w:multiLevelType w:val="hybridMultilevel"/>
    <w:lvl w:ilvl="0">
      <w:start w:val="1"/>
      <w:numFmt w:val="decimal"/>
      <w:lvlText w:val="（%1）"/>
      <w:lvlJc w:val="left"/>
      <w:pPr>
        <w:ind w:left="838"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4" w:hanging="632"/>
      </w:pPr>
      <w:rPr>
        <w:rFonts w:hint="default"/>
      </w:rPr>
    </w:lvl>
    <w:lvl w:ilvl="4">
      <w:start w:val="0"/>
      <w:numFmt w:val="bullet"/>
      <w:lvlText w:val="•"/>
      <w:lvlJc w:val="left"/>
      <w:pPr>
        <w:ind w:left="3352" w:hanging="632"/>
      </w:pPr>
      <w:rPr>
        <w:rFonts w:hint="default"/>
      </w:rPr>
    </w:lvl>
    <w:lvl w:ilvl="5">
      <w:start w:val="0"/>
      <w:numFmt w:val="bullet"/>
      <w:lvlText w:val="•"/>
      <w:lvlJc w:val="left"/>
      <w:pPr>
        <w:ind w:left="3981" w:hanging="632"/>
      </w:pPr>
      <w:rPr>
        <w:rFonts w:hint="default"/>
      </w:rPr>
    </w:lvl>
    <w:lvl w:ilvl="6">
      <w:start w:val="0"/>
      <w:numFmt w:val="bullet"/>
      <w:lvlText w:val="•"/>
      <w:lvlJc w:val="left"/>
      <w:pPr>
        <w:ind w:left="4609" w:hanging="632"/>
      </w:pPr>
      <w:rPr>
        <w:rFonts w:hint="default"/>
      </w:rPr>
    </w:lvl>
    <w:lvl w:ilvl="7">
      <w:start w:val="0"/>
      <w:numFmt w:val="bullet"/>
      <w:lvlText w:val="•"/>
      <w:lvlJc w:val="left"/>
      <w:pPr>
        <w:ind w:left="5237" w:hanging="632"/>
      </w:pPr>
      <w:rPr>
        <w:rFonts w:hint="default"/>
      </w:rPr>
    </w:lvl>
    <w:lvl w:ilvl="8">
      <w:start w:val="0"/>
      <w:numFmt w:val="bullet"/>
      <w:lvlText w:val="•"/>
      <w:lvlJc w:val="left"/>
      <w:pPr>
        <w:ind w:left="5865" w:hanging="632"/>
      </w:pPr>
      <w:rPr>
        <w:rFonts w:hint="default"/>
      </w:rPr>
    </w:lvl>
  </w:abstractNum>
  <w:abstractNum w:abstractNumId="5">
    <w:multiLevelType w:val="hybridMultilevel"/>
    <w:lvl w:ilvl="0">
      <w:start w:val="1"/>
      <w:numFmt w:val="decimal"/>
      <w:lvlText w:val="（%1）"/>
      <w:lvlJc w:val="left"/>
      <w:pPr>
        <w:ind w:left="839"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4" w:hanging="632"/>
      </w:pPr>
      <w:rPr>
        <w:rFonts w:hint="default"/>
      </w:rPr>
    </w:lvl>
    <w:lvl w:ilvl="4">
      <w:start w:val="0"/>
      <w:numFmt w:val="bullet"/>
      <w:lvlText w:val="•"/>
      <w:lvlJc w:val="left"/>
      <w:pPr>
        <w:ind w:left="3352" w:hanging="632"/>
      </w:pPr>
      <w:rPr>
        <w:rFonts w:hint="default"/>
      </w:rPr>
    </w:lvl>
    <w:lvl w:ilvl="5">
      <w:start w:val="0"/>
      <w:numFmt w:val="bullet"/>
      <w:lvlText w:val="•"/>
      <w:lvlJc w:val="left"/>
      <w:pPr>
        <w:ind w:left="3981" w:hanging="632"/>
      </w:pPr>
      <w:rPr>
        <w:rFonts w:hint="default"/>
      </w:rPr>
    </w:lvl>
    <w:lvl w:ilvl="6">
      <w:start w:val="0"/>
      <w:numFmt w:val="bullet"/>
      <w:lvlText w:val="•"/>
      <w:lvlJc w:val="left"/>
      <w:pPr>
        <w:ind w:left="4609" w:hanging="632"/>
      </w:pPr>
      <w:rPr>
        <w:rFonts w:hint="default"/>
      </w:rPr>
    </w:lvl>
    <w:lvl w:ilvl="7">
      <w:start w:val="0"/>
      <w:numFmt w:val="bullet"/>
      <w:lvlText w:val="•"/>
      <w:lvlJc w:val="left"/>
      <w:pPr>
        <w:ind w:left="5237" w:hanging="632"/>
      </w:pPr>
      <w:rPr>
        <w:rFonts w:hint="default"/>
      </w:rPr>
    </w:lvl>
    <w:lvl w:ilvl="8">
      <w:start w:val="0"/>
      <w:numFmt w:val="bullet"/>
      <w:lvlText w:val="•"/>
      <w:lvlJc w:val="left"/>
      <w:pPr>
        <w:ind w:left="5865" w:hanging="632"/>
      </w:pPr>
      <w:rPr>
        <w:rFonts w:hint="default"/>
      </w:rPr>
    </w:lvl>
  </w:abstractNum>
  <w:abstractNum w:abstractNumId="4">
    <w:multiLevelType w:val="hybridMultilevel"/>
    <w:lvl w:ilvl="0">
      <w:start w:val="1"/>
      <w:numFmt w:val="decimal"/>
      <w:lvlText w:val="（%1）"/>
      <w:lvlJc w:val="left"/>
      <w:pPr>
        <w:ind w:left="839" w:hanging="632"/>
        <w:jc w:val="left"/>
      </w:pPr>
      <w:rPr>
        <w:rFonts w:hint="default" w:ascii="宋体" w:hAnsi="宋体" w:eastAsia="宋体" w:cs="宋体"/>
        <w:spacing w:val="-2"/>
        <w:w w:val="100"/>
        <w:sz w:val="21"/>
        <w:szCs w:val="21"/>
      </w:rPr>
    </w:lvl>
    <w:lvl w:ilvl="1">
      <w:start w:val="0"/>
      <w:numFmt w:val="bullet"/>
      <w:lvlText w:val="•"/>
      <w:lvlJc w:val="left"/>
      <w:pPr>
        <w:ind w:left="1448" w:hanging="632"/>
      </w:pPr>
      <w:rPr>
        <w:rFonts w:hint="default"/>
      </w:rPr>
    </w:lvl>
    <w:lvl w:ilvl="2">
      <w:start w:val="0"/>
      <w:numFmt w:val="bullet"/>
      <w:lvlText w:val="•"/>
      <w:lvlJc w:val="left"/>
      <w:pPr>
        <w:ind w:left="2056" w:hanging="632"/>
      </w:pPr>
      <w:rPr>
        <w:rFonts w:hint="default"/>
      </w:rPr>
    </w:lvl>
    <w:lvl w:ilvl="3">
      <w:start w:val="0"/>
      <w:numFmt w:val="bullet"/>
      <w:lvlText w:val="•"/>
      <w:lvlJc w:val="left"/>
      <w:pPr>
        <w:ind w:left="2665" w:hanging="632"/>
      </w:pPr>
      <w:rPr>
        <w:rFonts w:hint="default"/>
      </w:rPr>
    </w:lvl>
    <w:lvl w:ilvl="4">
      <w:start w:val="0"/>
      <w:numFmt w:val="bullet"/>
      <w:lvlText w:val="•"/>
      <w:lvlJc w:val="left"/>
      <w:pPr>
        <w:ind w:left="3273" w:hanging="632"/>
      </w:pPr>
      <w:rPr>
        <w:rFonts w:hint="default"/>
      </w:rPr>
    </w:lvl>
    <w:lvl w:ilvl="5">
      <w:start w:val="0"/>
      <w:numFmt w:val="bullet"/>
      <w:lvlText w:val="•"/>
      <w:lvlJc w:val="left"/>
      <w:pPr>
        <w:ind w:left="3882" w:hanging="632"/>
      </w:pPr>
      <w:rPr>
        <w:rFonts w:hint="default"/>
      </w:rPr>
    </w:lvl>
    <w:lvl w:ilvl="6">
      <w:start w:val="0"/>
      <w:numFmt w:val="bullet"/>
      <w:lvlText w:val="•"/>
      <w:lvlJc w:val="left"/>
      <w:pPr>
        <w:ind w:left="4490" w:hanging="632"/>
      </w:pPr>
      <w:rPr>
        <w:rFonts w:hint="default"/>
      </w:rPr>
    </w:lvl>
    <w:lvl w:ilvl="7">
      <w:start w:val="0"/>
      <w:numFmt w:val="bullet"/>
      <w:lvlText w:val="•"/>
      <w:lvlJc w:val="left"/>
      <w:pPr>
        <w:ind w:left="5098" w:hanging="632"/>
      </w:pPr>
      <w:rPr>
        <w:rFonts w:hint="default"/>
      </w:rPr>
    </w:lvl>
    <w:lvl w:ilvl="8">
      <w:start w:val="0"/>
      <w:numFmt w:val="bullet"/>
      <w:lvlText w:val="•"/>
      <w:lvlJc w:val="left"/>
      <w:pPr>
        <w:ind w:left="5707" w:hanging="632"/>
      </w:pPr>
      <w:rPr>
        <w:rFonts w:hint="default"/>
      </w:rPr>
    </w:lvl>
  </w:abstractNum>
  <w:abstractNum w:abstractNumId="3">
    <w:multiLevelType w:val="hybridMultilevel"/>
    <w:lvl w:ilvl="0">
      <w:start w:val="1"/>
      <w:numFmt w:val="decimal"/>
      <w:lvlText w:val="（%1）"/>
      <w:lvlJc w:val="left"/>
      <w:pPr>
        <w:ind w:left="839" w:hanging="632"/>
        <w:jc w:val="left"/>
      </w:pPr>
      <w:rPr>
        <w:rFonts w:hint="default" w:ascii="宋体" w:hAnsi="宋体" w:eastAsia="宋体" w:cs="宋体"/>
        <w:spacing w:val="-2"/>
        <w:w w:val="100"/>
        <w:sz w:val="21"/>
        <w:szCs w:val="21"/>
      </w:rPr>
    </w:lvl>
    <w:lvl w:ilvl="1">
      <w:start w:val="0"/>
      <w:numFmt w:val="bullet"/>
      <w:lvlText w:val="•"/>
      <w:lvlJc w:val="left"/>
      <w:pPr>
        <w:ind w:left="1448" w:hanging="632"/>
      </w:pPr>
      <w:rPr>
        <w:rFonts w:hint="default"/>
      </w:rPr>
    </w:lvl>
    <w:lvl w:ilvl="2">
      <w:start w:val="0"/>
      <w:numFmt w:val="bullet"/>
      <w:lvlText w:val="•"/>
      <w:lvlJc w:val="left"/>
      <w:pPr>
        <w:ind w:left="2056" w:hanging="632"/>
      </w:pPr>
      <w:rPr>
        <w:rFonts w:hint="default"/>
      </w:rPr>
    </w:lvl>
    <w:lvl w:ilvl="3">
      <w:start w:val="0"/>
      <w:numFmt w:val="bullet"/>
      <w:lvlText w:val="•"/>
      <w:lvlJc w:val="left"/>
      <w:pPr>
        <w:ind w:left="2665" w:hanging="632"/>
      </w:pPr>
      <w:rPr>
        <w:rFonts w:hint="default"/>
      </w:rPr>
    </w:lvl>
    <w:lvl w:ilvl="4">
      <w:start w:val="0"/>
      <w:numFmt w:val="bullet"/>
      <w:lvlText w:val="•"/>
      <w:lvlJc w:val="left"/>
      <w:pPr>
        <w:ind w:left="3273" w:hanging="632"/>
      </w:pPr>
      <w:rPr>
        <w:rFonts w:hint="default"/>
      </w:rPr>
    </w:lvl>
    <w:lvl w:ilvl="5">
      <w:start w:val="0"/>
      <w:numFmt w:val="bullet"/>
      <w:lvlText w:val="•"/>
      <w:lvlJc w:val="left"/>
      <w:pPr>
        <w:ind w:left="3882" w:hanging="632"/>
      </w:pPr>
      <w:rPr>
        <w:rFonts w:hint="default"/>
      </w:rPr>
    </w:lvl>
    <w:lvl w:ilvl="6">
      <w:start w:val="0"/>
      <w:numFmt w:val="bullet"/>
      <w:lvlText w:val="•"/>
      <w:lvlJc w:val="left"/>
      <w:pPr>
        <w:ind w:left="4490" w:hanging="632"/>
      </w:pPr>
      <w:rPr>
        <w:rFonts w:hint="default"/>
      </w:rPr>
    </w:lvl>
    <w:lvl w:ilvl="7">
      <w:start w:val="0"/>
      <w:numFmt w:val="bullet"/>
      <w:lvlText w:val="•"/>
      <w:lvlJc w:val="left"/>
      <w:pPr>
        <w:ind w:left="5098" w:hanging="632"/>
      </w:pPr>
      <w:rPr>
        <w:rFonts w:hint="default"/>
      </w:rPr>
    </w:lvl>
    <w:lvl w:ilvl="8">
      <w:start w:val="0"/>
      <w:numFmt w:val="bullet"/>
      <w:lvlText w:val="•"/>
      <w:lvlJc w:val="left"/>
      <w:pPr>
        <w:ind w:left="5707" w:hanging="632"/>
      </w:pPr>
      <w:rPr>
        <w:rFonts w:hint="default"/>
      </w:rPr>
    </w:lvl>
  </w:abstractNum>
  <w:abstractNum w:abstractNumId="2">
    <w:multiLevelType w:val="hybridMultilevel"/>
    <w:lvl w:ilvl="0">
      <w:start w:val="1"/>
      <w:numFmt w:val="decimal"/>
      <w:lvlText w:val="（%1）"/>
      <w:lvlJc w:val="left"/>
      <w:pPr>
        <w:ind w:left="839" w:hanging="632"/>
        <w:jc w:val="left"/>
      </w:pPr>
      <w:rPr>
        <w:rFonts w:hint="default" w:ascii="宋体" w:hAnsi="宋体" w:eastAsia="宋体" w:cs="宋体"/>
        <w:spacing w:val="-2"/>
        <w:w w:val="100"/>
        <w:sz w:val="21"/>
        <w:szCs w:val="21"/>
      </w:rPr>
    </w:lvl>
    <w:lvl w:ilvl="1">
      <w:start w:val="0"/>
      <w:numFmt w:val="bullet"/>
      <w:lvlText w:val="•"/>
      <w:lvlJc w:val="left"/>
      <w:pPr>
        <w:ind w:left="1448" w:hanging="632"/>
      </w:pPr>
      <w:rPr>
        <w:rFonts w:hint="default"/>
      </w:rPr>
    </w:lvl>
    <w:lvl w:ilvl="2">
      <w:start w:val="0"/>
      <w:numFmt w:val="bullet"/>
      <w:lvlText w:val="•"/>
      <w:lvlJc w:val="left"/>
      <w:pPr>
        <w:ind w:left="2056" w:hanging="632"/>
      </w:pPr>
      <w:rPr>
        <w:rFonts w:hint="default"/>
      </w:rPr>
    </w:lvl>
    <w:lvl w:ilvl="3">
      <w:start w:val="0"/>
      <w:numFmt w:val="bullet"/>
      <w:lvlText w:val="•"/>
      <w:lvlJc w:val="left"/>
      <w:pPr>
        <w:ind w:left="2665" w:hanging="632"/>
      </w:pPr>
      <w:rPr>
        <w:rFonts w:hint="default"/>
      </w:rPr>
    </w:lvl>
    <w:lvl w:ilvl="4">
      <w:start w:val="0"/>
      <w:numFmt w:val="bullet"/>
      <w:lvlText w:val="•"/>
      <w:lvlJc w:val="left"/>
      <w:pPr>
        <w:ind w:left="3273" w:hanging="632"/>
      </w:pPr>
      <w:rPr>
        <w:rFonts w:hint="default"/>
      </w:rPr>
    </w:lvl>
    <w:lvl w:ilvl="5">
      <w:start w:val="0"/>
      <w:numFmt w:val="bullet"/>
      <w:lvlText w:val="•"/>
      <w:lvlJc w:val="left"/>
      <w:pPr>
        <w:ind w:left="3882" w:hanging="632"/>
      </w:pPr>
      <w:rPr>
        <w:rFonts w:hint="default"/>
      </w:rPr>
    </w:lvl>
    <w:lvl w:ilvl="6">
      <w:start w:val="0"/>
      <w:numFmt w:val="bullet"/>
      <w:lvlText w:val="•"/>
      <w:lvlJc w:val="left"/>
      <w:pPr>
        <w:ind w:left="4490" w:hanging="632"/>
      </w:pPr>
      <w:rPr>
        <w:rFonts w:hint="default"/>
      </w:rPr>
    </w:lvl>
    <w:lvl w:ilvl="7">
      <w:start w:val="0"/>
      <w:numFmt w:val="bullet"/>
      <w:lvlText w:val="•"/>
      <w:lvlJc w:val="left"/>
      <w:pPr>
        <w:ind w:left="5098" w:hanging="632"/>
      </w:pPr>
      <w:rPr>
        <w:rFonts w:hint="default"/>
      </w:rPr>
    </w:lvl>
    <w:lvl w:ilvl="8">
      <w:start w:val="0"/>
      <w:numFmt w:val="bullet"/>
      <w:lvlText w:val="•"/>
      <w:lvlJc w:val="left"/>
      <w:pPr>
        <w:ind w:left="5707" w:hanging="632"/>
      </w:pPr>
      <w:rPr>
        <w:rFonts w:hint="default"/>
      </w:rPr>
    </w:lvl>
  </w:abstractNum>
  <w:abstractNum w:abstractNumId="1">
    <w:multiLevelType w:val="hybridMultilevel"/>
    <w:lvl w:ilvl="0">
      <w:start w:val="1"/>
      <w:numFmt w:val="decimal"/>
      <w:lvlText w:val="（%1）"/>
      <w:lvlJc w:val="left"/>
      <w:pPr>
        <w:ind w:left="838" w:hanging="630"/>
        <w:jc w:val="left"/>
      </w:pPr>
      <w:rPr>
        <w:rFonts w:hint="default" w:ascii="黑体" w:hAnsi="黑体" w:eastAsia="黑体" w:cs="黑体"/>
        <w:spacing w:val="-1"/>
        <w:w w:val="100"/>
        <w:sz w:val="21"/>
        <w:szCs w:val="21"/>
      </w:rPr>
    </w:lvl>
    <w:lvl w:ilvl="1">
      <w:start w:val="0"/>
      <w:numFmt w:val="bullet"/>
      <w:lvlText w:val="•"/>
      <w:lvlJc w:val="left"/>
      <w:pPr>
        <w:ind w:left="1448" w:hanging="630"/>
      </w:pPr>
      <w:rPr>
        <w:rFonts w:hint="default"/>
      </w:rPr>
    </w:lvl>
    <w:lvl w:ilvl="2">
      <w:start w:val="0"/>
      <w:numFmt w:val="bullet"/>
      <w:lvlText w:val="•"/>
      <w:lvlJc w:val="left"/>
      <w:pPr>
        <w:ind w:left="2056" w:hanging="630"/>
      </w:pPr>
      <w:rPr>
        <w:rFonts w:hint="default"/>
      </w:rPr>
    </w:lvl>
    <w:lvl w:ilvl="3">
      <w:start w:val="0"/>
      <w:numFmt w:val="bullet"/>
      <w:lvlText w:val="•"/>
      <w:lvlJc w:val="left"/>
      <w:pPr>
        <w:ind w:left="2665" w:hanging="630"/>
      </w:pPr>
      <w:rPr>
        <w:rFonts w:hint="default"/>
      </w:rPr>
    </w:lvl>
    <w:lvl w:ilvl="4">
      <w:start w:val="0"/>
      <w:numFmt w:val="bullet"/>
      <w:lvlText w:val="•"/>
      <w:lvlJc w:val="left"/>
      <w:pPr>
        <w:ind w:left="3273" w:hanging="630"/>
      </w:pPr>
      <w:rPr>
        <w:rFonts w:hint="default"/>
      </w:rPr>
    </w:lvl>
    <w:lvl w:ilvl="5">
      <w:start w:val="0"/>
      <w:numFmt w:val="bullet"/>
      <w:lvlText w:val="•"/>
      <w:lvlJc w:val="left"/>
      <w:pPr>
        <w:ind w:left="3882" w:hanging="630"/>
      </w:pPr>
      <w:rPr>
        <w:rFonts w:hint="default"/>
      </w:rPr>
    </w:lvl>
    <w:lvl w:ilvl="6">
      <w:start w:val="0"/>
      <w:numFmt w:val="bullet"/>
      <w:lvlText w:val="•"/>
      <w:lvlJc w:val="left"/>
      <w:pPr>
        <w:ind w:left="4490" w:hanging="630"/>
      </w:pPr>
      <w:rPr>
        <w:rFonts w:hint="default"/>
      </w:rPr>
    </w:lvl>
    <w:lvl w:ilvl="7">
      <w:start w:val="0"/>
      <w:numFmt w:val="bullet"/>
      <w:lvlText w:val="•"/>
      <w:lvlJc w:val="left"/>
      <w:pPr>
        <w:ind w:left="5098" w:hanging="630"/>
      </w:pPr>
      <w:rPr>
        <w:rFonts w:hint="default"/>
      </w:rPr>
    </w:lvl>
    <w:lvl w:ilvl="8">
      <w:start w:val="0"/>
      <w:numFmt w:val="bullet"/>
      <w:lvlText w:val="•"/>
      <w:lvlJc w:val="left"/>
      <w:pPr>
        <w:ind w:left="5707" w:hanging="630"/>
      </w:pPr>
      <w:rPr>
        <w:rFonts w:hint="default"/>
      </w:rPr>
    </w:lvl>
  </w:abstractNum>
  <w:abstractNum w:abstractNumId="0">
    <w:multiLevelType w:val="hybridMultilevel"/>
    <w:lvl w:ilvl="0">
      <w:start w:val="0"/>
      <w:numFmt w:val="bullet"/>
      <w:lvlText w:val=""/>
      <w:lvlJc w:val="left"/>
      <w:pPr>
        <w:ind w:left="1087" w:hanging="420"/>
      </w:pPr>
      <w:rPr>
        <w:rFonts w:hint="default" w:ascii="Wingdings" w:hAnsi="Wingdings" w:eastAsia="Wingdings" w:cs="Wingdings"/>
        <w:b/>
        <w:bCs/>
        <w:w w:val="99"/>
        <w:sz w:val="21"/>
        <w:szCs w:val="21"/>
      </w:rPr>
    </w:lvl>
    <w:lvl w:ilvl="1">
      <w:start w:val="0"/>
      <w:numFmt w:val="bullet"/>
      <w:lvlText w:val="•"/>
      <w:lvlJc w:val="left"/>
      <w:pPr>
        <w:ind w:left="1980" w:hanging="420"/>
      </w:pPr>
      <w:rPr>
        <w:rFonts w:hint="default"/>
      </w:rPr>
    </w:lvl>
    <w:lvl w:ilvl="2">
      <w:start w:val="0"/>
      <w:numFmt w:val="bullet"/>
      <w:lvlText w:val="•"/>
      <w:lvlJc w:val="left"/>
      <w:pPr>
        <w:ind w:left="2881" w:hanging="420"/>
      </w:pPr>
      <w:rPr>
        <w:rFonts w:hint="default"/>
      </w:rPr>
    </w:lvl>
    <w:lvl w:ilvl="3">
      <w:start w:val="0"/>
      <w:numFmt w:val="bullet"/>
      <w:lvlText w:val="•"/>
      <w:lvlJc w:val="left"/>
      <w:pPr>
        <w:ind w:left="3781" w:hanging="420"/>
      </w:pPr>
      <w:rPr>
        <w:rFonts w:hint="default"/>
      </w:rPr>
    </w:lvl>
    <w:lvl w:ilvl="4">
      <w:start w:val="0"/>
      <w:numFmt w:val="bullet"/>
      <w:lvlText w:val="•"/>
      <w:lvlJc w:val="left"/>
      <w:pPr>
        <w:ind w:left="4682" w:hanging="420"/>
      </w:pPr>
      <w:rPr>
        <w:rFonts w:hint="default"/>
      </w:rPr>
    </w:lvl>
    <w:lvl w:ilvl="5">
      <w:start w:val="0"/>
      <w:numFmt w:val="bullet"/>
      <w:lvlText w:val="•"/>
      <w:lvlJc w:val="left"/>
      <w:pPr>
        <w:ind w:left="5583" w:hanging="420"/>
      </w:pPr>
      <w:rPr>
        <w:rFonts w:hint="default"/>
      </w:rPr>
    </w:lvl>
    <w:lvl w:ilvl="6">
      <w:start w:val="0"/>
      <w:numFmt w:val="bullet"/>
      <w:lvlText w:val="•"/>
      <w:lvlJc w:val="left"/>
      <w:pPr>
        <w:ind w:left="6483" w:hanging="420"/>
      </w:pPr>
      <w:rPr>
        <w:rFonts w:hint="default"/>
      </w:rPr>
    </w:lvl>
    <w:lvl w:ilvl="7">
      <w:start w:val="0"/>
      <w:numFmt w:val="bullet"/>
      <w:lvlText w:val="•"/>
      <w:lvlJc w:val="left"/>
      <w:pPr>
        <w:ind w:left="7384" w:hanging="420"/>
      </w:pPr>
      <w:rPr>
        <w:rFonts w:hint="default"/>
      </w:rPr>
    </w:lvl>
    <w:lvl w:ilvl="8">
      <w:start w:val="0"/>
      <w:numFmt w:val="bullet"/>
      <w:lvlText w:val="•"/>
      <w:lvlJc w:val="left"/>
      <w:pPr>
        <w:ind w:left="8285" w:hanging="420"/>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84"/>
      <w:ind w:left="108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4-2长城附加保险费豁免重大疾病保险条款</dc:title>
  <dcterms:created xsi:type="dcterms:W3CDTF">2018-10-20T05:05:51Z</dcterms:created>
  <dcterms:modified xsi:type="dcterms:W3CDTF">2018-10-20T05:05:51Z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Office Word 2007</vt:lpwstr>
  </property>
  <property fmtid="{D5CDD505-2E9C-101B-9397-08002B2CF9AE}" pid="4" name="LastSaved">
    <vt:filetime>2018-10-19T00:00:00Z</vt:filetime>
  </property>
</Properties>
</file>