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9700"/>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rPr>
      </w:r>
    </w:p>
    <w:p>
      <w:pPr>
        <w:pStyle w:val="BodyText"/>
        <w:spacing w:line="224" w:lineRule="exact" w:before="0"/>
        <w:ind w:right="101"/>
        <w:jc w:val="right"/>
      </w:pPr>
      <w:r>
        <w:rPr/>
        <w:t>中德安联人寿[2013]重大疾病保险 229 号</w:t>
      </w:r>
    </w:p>
    <w:p>
      <w:pPr>
        <w:pStyle w:val="BodyText"/>
        <w:spacing w:line="260" w:lineRule="exact" w:before="0"/>
        <w:ind w:right="102"/>
        <w:jc w:val="right"/>
      </w:pPr>
      <w:r>
        <w:rPr/>
        <w:t>请扫描以查询验证条款</w:t>
      </w:r>
    </w:p>
    <w:p>
      <w:pPr>
        <w:spacing w:before="17"/>
        <w:ind w:left="3151" w:right="0" w:firstLine="0"/>
        <w:jc w:val="left"/>
        <w:rPr>
          <w:b/>
          <w:sz w:val="40"/>
        </w:rPr>
      </w:pPr>
      <w:r>
        <w:rPr>
          <w:b/>
          <w:sz w:val="40"/>
        </w:rPr>
        <w:t>中德安联人寿保险有限公司</w:t>
      </w:r>
    </w:p>
    <w:p>
      <w:pPr>
        <w:pStyle w:val="BodyText"/>
        <w:spacing w:before="12"/>
        <w:rPr>
          <w:b/>
          <w:sz w:val="38"/>
        </w:rPr>
      </w:pPr>
    </w:p>
    <w:p>
      <w:pPr>
        <w:spacing w:before="0"/>
        <w:ind w:left="3066" w:right="0" w:firstLine="0"/>
        <w:jc w:val="left"/>
        <w:rPr>
          <w:b/>
          <w:sz w:val="28"/>
        </w:rPr>
      </w:pPr>
      <w:r>
        <w:rPr>
          <w:b/>
          <w:sz w:val="28"/>
        </w:rPr>
        <w:t>安联附加安康福瑞长期重大疾病保险（B 款）条款</w:t>
      </w:r>
    </w:p>
    <w:p>
      <w:pPr>
        <w:pStyle w:val="BodyText"/>
        <w:spacing w:before="0"/>
        <w:rPr>
          <w:b/>
          <w:sz w:val="28"/>
        </w:rPr>
      </w:pPr>
    </w:p>
    <w:p>
      <w:pPr>
        <w:pStyle w:val="BodyText"/>
        <w:spacing w:before="0"/>
        <w:rPr>
          <w:b/>
          <w:sz w:val="28"/>
        </w:rPr>
      </w:pPr>
    </w:p>
    <w:p>
      <w:pPr>
        <w:pStyle w:val="Heading1"/>
        <w:spacing w:before="226"/>
        <w:ind w:left="283"/>
      </w:pPr>
      <w:r>
        <w:rPr>
          <w:w w:val="95"/>
          <w:u w:val="single"/>
        </w:rPr>
        <w:t>请您务必仔细阅读本条款，并特别关注加粗字体部分。</w:t>
      </w:r>
    </w:p>
    <w:p>
      <w:pPr>
        <w:spacing w:before="50"/>
        <w:ind w:left="283" w:right="0" w:firstLine="0"/>
        <w:jc w:val="left"/>
        <w:rPr>
          <w:b/>
          <w:sz w:val="20"/>
        </w:rPr>
      </w:pPr>
      <w:r>
        <w:rPr>
          <w:b/>
          <w:w w:val="95"/>
          <w:sz w:val="20"/>
        </w:rPr>
        <w:t>在本条款中，“您”指投保人，“我们”指中德安联人寿保险有限公司。</w:t>
      </w:r>
    </w:p>
    <w:p>
      <w:pPr>
        <w:tabs>
          <w:tab w:pos="1571" w:val="left" w:leader="none"/>
        </w:tabs>
        <w:spacing w:line="571" w:lineRule="auto" w:before="50"/>
        <w:ind w:left="391" w:right="2225" w:hanging="108"/>
        <w:jc w:val="left"/>
        <w:rPr>
          <w:b/>
          <w:sz w:val="20"/>
        </w:rPr>
      </w:pPr>
      <w:r>
        <w:rPr/>
        <w:pict>
          <v:group style="position:absolute;margin-left:39.18pt;margin-top:49.579681pt;width:521.65pt;height:.5pt;mso-position-horizontal-relative:page;mso-position-vertical-relative:paragraph;z-index:-37744" coordorigin="784,992" coordsize="10433,10">
            <v:line style="position:absolute" from="784,996" to="3486,996" stroked="true" strokeweight=".47998pt" strokecolor="#000000">
              <v:stroke dashstyle="solid"/>
            </v:line>
            <v:line style="position:absolute" from="3486,996" to="11216,996" stroked="true" strokeweight=".48pt" strokecolor="#000000">
              <v:stroke dashstyle="solid"/>
            </v:line>
            <w10:wrap type="none"/>
          </v:group>
        </w:pict>
      </w:r>
      <w:r>
        <w:rPr>
          <w:b/>
          <w:sz w:val="20"/>
        </w:rPr>
        <w:t>本条款中带有右上标标注的用词具有特定含义，您可参阅本条款尾部的“释义”获取相关解释。第一部分</w:t>
        <w:tab/>
      </w:r>
      <w:r>
        <w:rPr>
          <w:b/>
          <w:w w:val="95"/>
          <w:sz w:val="20"/>
        </w:rPr>
        <w:t>您与我们的合同</w:t>
      </w:r>
    </w:p>
    <w:p>
      <w:pPr>
        <w:pStyle w:val="ListParagraph"/>
        <w:numPr>
          <w:ilvl w:val="1"/>
          <w:numId w:val="1"/>
        </w:numPr>
        <w:tabs>
          <w:tab w:pos="931" w:val="left" w:leader="none"/>
          <w:tab w:pos="932" w:val="left" w:leader="none"/>
          <w:tab w:pos="2911" w:val="left" w:leader="none"/>
        </w:tabs>
        <w:spacing w:line="202" w:lineRule="exact" w:before="0" w:after="0"/>
        <w:ind w:left="931" w:right="0" w:hanging="720"/>
        <w:jc w:val="left"/>
        <w:rPr>
          <w:sz w:val="20"/>
        </w:rPr>
      </w:pPr>
      <w:r>
        <w:rPr>
          <w:b/>
          <w:sz w:val="20"/>
        </w:rPr>
        <w:t>附加合同的构成</w:t>
        <w:tab/>
      </w:r>
      <w:r>
        <w:rPr>
          <w:sz w:val="20"/>
        </w:rPr>
        <w:t>本《安联附加安康福瑞长期重大疾病保险（B</w:t>
      </w:r>
      <w:r>
        <w:rPr>
          <w:spacing w:val="-60"/>
          <w:sz w:val="20"/>
        </w:rPr>
        <w:t> </w:t>
      </w:r>
      <w:r>
        <w:rPr>
          <w:sz w:val="20"/>
        </w:rPr>
        <w:t>款）》合同（以下简称“本附加合同”）</w:t>
      </w:r>
    </w:p>
    <w:p>
      <w:pPr>
        <w:spacing w:line="285" w:lineRule="auto" w:before="50"/>
        <w:ind w:left="2911" w:right="408" w:hanging="1"/>
        <w:jc w:val="both"/>
        <w:rPr>
          <w:b/>
          <w:sz w:val="20"/>
        </w:rPr>
      </w:pPr>
      <w:r>
        <w:rPr>
          <w:sz w:val="20"/>
        </w:rPr>
        <w:t>由本附加合同条款、保险单或其他保险凭证、</w:t>
      </w:r>
      <w:r>
        <w:rPr>
          <w:b/>
          <w:sz w:val="20"/>
        </w:rPr>
        <w:t>现金价值</w:t>
      </w:r>
      <w:r>
        <w:rPr>
          <w:b/>
          <w:position w:val="10"/>
          <w:sz w:val="10"/>
        </w:rPr>
        <w:t>[1]</w:t>
      </w:r>
      <w:r>
        <w:rPr>
          <w:sz w:val="20"/>
        </w:rPr>
        <w:t>表、投保单或其他投保文件、</w:t>
      </w:r>
      <w:r>
        <w:rPr>
          <w:spacing w:val="-6"/>
          <w:sz w:val="20"/>
        </w:rPr>
        <w:t>合法有效的声明、批注、附贴批单及其他书面协议构成。</w:t>
      </w:r>
      <w:r>
        <w:rPr>
          <w:b/>
          <w:spacing w:val="-3"/>
          <w:sz w:val="20"/>
        </w:rPr>
        <w:t>本附加合同需要与《安联安康</w:t>
      </w:r>
      <w:r>
        <w:rPr>
          <w:b/>
          <w:spacing w:val="-6"/>
          <w:sz w:val="20"/>
        </w:rPr>
        <w:t>福瑞两全保险</w:t>
      </w:r>
      <w:r>
        <w:rPr>
          <w:b/>
          <w:sz w:val="20"/>
        </w:rPr>
        <w:t>（B</w:t>
      </w:r>
      <w:r>
        <w:rPr>
          <w:b/>
          <w:spacing w:val="-29"/>
          <w:sz w:val="20"/>
        </w:rPr>
        <w:t> 款</w:t>
      </w:r>
      <w:r>
        <w:rPr>
          <w:b/>
          <w:spacing w:val="-17"/>
          <w:sz w:val="20"/>
        </w:rPr>
        <w:t>）</w:t>
      </w:r>
      <w:r>
        <w:rPr>
          <w:b/>
          <w:spacing w:val="-12"/>
          <w:sz w:val="20"/>
        </w:rPr>
        <w:t>》合同</w:t>
      </w:r>
      <w:r>
        <w:rPr>
          <w:b/>
          <w:sz w:val="20"/>
        </w:rPr>
        <w:t>（</w:t>
      </w:r>
      <w:r>
        <w:rPr>
          <w:b/>
          <w:spacing w:val="-6"/>
          <w:sz w:val="20"/>
        </w:rPr>
        <w:t>以下简称“主合同”</w:t>
      </w:r>
      <w:r>
        <w:rPr>
          <w:b/>
          <w:spacing w:val="-18"/>
          <w:sz w:val="20"/>
        </w:rPr>
        <w:t>）</w:t>
      </w:r>
      <w:r>
        <w:rPr>
          <w:b/>
          <w:spacing w:val="-6"/>
          <w:sz w:val="20"/>
        </w:rPr>
        <w:t>一起订立，同时生效，同时终止。</w:t>
      </w:r>
    </w:p>
    <w:p>
      <w:pPr>
        <w:pStyle w:val="Heading1"/>
        <w:spacing w:line="285" w:lineRule="auto" w:before="167"/>
        <w:ind w:right="507"/>
        <w:jc w:val="both"/>
      </w:pPr>
      <w:r>
        <w:rPr/>
        <w:t>本附加合同若未在主合同的保险单或批注中加以记载，则不产生效力；未经您书面申</w:t>
      </w:r>
      <w:r>
        <w:rPr>
          <w:w w:val="95"/>
        </w:rPr>
        <w:t>请并经我们在保险单上批注，本附加合同内容的变更也不产生效力。</w:t>
      </w:r>
    </w:p>
    <w:p>
      <w:pPr>
        <w:pStyle w:val="BodyText"/>
        <w:spacing w:before="11"/>
        <w:rPr>
          <w:b/>
          <w:sz w:val="9"/>
        </w:rPr>
      </w:pPr>
    </w:p>
    <w:p>
      <w:pPr>
        <w:spacing w:after="0"/>
        <w:rPr>
          <w:sz w:val="9"/>
        </w:rPr>
        <w:sectPr>
          <w:footerReference w:type="default" r:id="rId5"/>
          <w:type w:val="continuous"/>
          <w:pgSz w:w="11910" w:h="16840"/>
          <w:pgMar w:footer="834" w:top="120" w:bottom="1020" w:left="680" w:right="280"/>
          <w:pgNumType w:start="1"/>
        </w:sectPr>
      </w:pPr>
    </w:p>
    <w:p>
      <w:pPr>
        <w:pStyle w:val="ListParagraph"/>
        <w:numPr>
          <w:ilvl w:val="1"/>
          <w:numId w:val="1"/>
        </w:numPr>
        <w:tabs>
          <w:tab w:pos="931" w:val="left" w:leader="none"/>
          <w:tab w:pos="932" w:val="left" w:leader="none"/>
        </w:tabs>
        <w:spacing w:line="285" w:lineRule="auto" w:before="39" w:after="0"/>
        <w:ind w:left="931" w:right="0" w:hanging="720"/>
        <w:jc w:val="left"/>
        <w:rPr>
          <w:b/>
          <w:sz w:val="20"/>
        </w:rPr>
      </w:pPr>
      <w:r>
        <w:rPr>
          <w:b/>
          <w:spacing w:val="20"/>
          <w:sz w:val="20"/>
        </w:rPr>
        <w:t>附加合同成立与生</w:t>
      </w:r>
      <w:r>
        <w:rPr>
          <w:b/>
          <w:sz w:val="20"/>
        </w:rPr>
        <w:t>效</w:t>
      </w:r>
    </w:p>
    <w:p>
      <w:pPr>
        <w:pStyle w:val="BodyText"/>
        <w:ind w:left="154"/>
      </w:pPr>
      <w:r>
        <w:rPr/>
        <w:br w:type="column"/>
      </w:r>
      <w:r>
        <w:rPr/>
        <w:t>本附加合同由主合同投保人申请，我们同意承保,本附加合同成立。</w:t>
      </w:r>
    </w:p>
    <w:p>
      <w:pPr>
        <w:pStyle w:val="BodyText"/>
        <w:spacing w:before="9"/>
        <w:rPr>
          <w:sz w:val="15"/>
        </w:rPr>
      </w:pPr>
    </w:p>
    <w:p>
      <w:pPr>
        <w:pStyle w:val="BodyText"/>
        <w:spacing w:line="285" w:lineRule="auto" w:before="1"/>
        <w:ind w:left="154" w:right="505"/>
        <w:jc w:val="both"/>
      </w:pPr>
      <w:r>
        <w:rPr>
          <w:spacing w:val="-6"/>
        </w:rPr>
        <w:t>本附加合同须附加于主合同方可生效。本附加合同附属于主合同，主合同的相关条款也适用于本附加合同；若主合同与本附加合同的条款互有冲突，则以本附加合同为准。主</w:t>
      </w:r>
      <w:r>
        <w:rPr>
          <w:spacing w:val="-1"/>
        </w:rPr>
        <w:t>合同终止，本附加合同同时终止；反之亦然。</w:t>
      </w:r>
    </w:p>
    <w:p>
      <w:pPr>
        <w:spacing w:line="285" w:lineRule="auto" w:before="168"/>
        <w:ind w:left="154" w:right="505" w:firstLine="0"/>
        <w:jc w:val="both"/>
        <w:rPr>
          <w:sz w:val="20"/>
        </w:rPr>
      </w:pPr>
      <w:r>
        <w:rPr>
          <w:sz w:val="20"/>
        </w:rPr>
        <w:t>本附加合同</w:t>
      </w:r>
      <w:r>
        <w:rPr>
          <w:b/>
          <w:sz w:val="20"/>
        </w:rPr>
        <w:t>保单生效日</w:t>
      </w:r>
      <w:r>
        <w:rPr>
          <w:b/>
          <w:position w:val="10"/>
          <w:sz w:val="10"/>
        </w:rPr>
        <w:t>[2]</w:t>
      </w:r>
      <w:r>
        <w:rPr>
          <w:sz w:val="20"/>
        </w:rPr>
        <w:t>在保险单上载明，</w:t>
      </w:r>
      <w:r>
        <w:rPr>
          <w:b/>
          <w:sz w:val="20"/>
        </w:rPr>
        <w:t>保单周年日</w:t>
      </w:r>
      <w:r>
        <w:rPr>
          <w:b/>
          <w:position w:val="10"/>
          <w:sz w:val="10"/>
        </w:rPr>
        <w:t>[3]</w:t>
      </w:r>
      <w:r>
        <w:rPr>
          <w:sz w:val="20"/>
        </w:rPr>
        <w:t>、</w:t>
      </w:r>
      <w:r>
        <w:rPr>
          <w:b/>
          <w:sz w:val="20"/>
        </w:rPr>
        <w:t>保单年度</w:t>
      </w:r>
      <w:r>
        <w:rPr>
          <w:b/>
          <w:position w:val="10"/>
          <w:sz w:val="10"/>
        </w:rPr>
        <w:t>[4]</w:t>
      </w:r>
      <w:r>
        <w:rPr>
          <w:sz w:val="20"/>
        </w:rPr>
        <w:t>、保险费约定支付日均以该日期计算。</w:t>
      </w:r>
    </w:p>
    <w:p>
      <w:pPr>
        <w:spacing w:after="0" w:line="285" w:lineRule="auto"/>
        <w:jc w:val="both"/>
        <w:rPr>
          <w:sz w:val="20"/>
        </w:rPr>
        <w:sectPr>
          <w:type w:val="continuous"/>
          <w:pgSz w:w="11910" w:h="16840"/>
          <w:pgMar w:top="120" w:bottom="1020" w:left="680" w:right="280"/>
          <w:cols w:num="2" w:equalWidth="0">
            <w:col w:w="2718" w:space="40"/>
            <w:col w:w="8192"/>
          </w:cols>
        </w:sectPr>
      </w:pPr>
    </w:p>
    <w:p>
      <w:pPr>
        <w:pStyle w:val="BodyText"/>
        <w:spacing w:before="11"/>
        <w:rPr>
          <w:sz w:val="8"/>
        </w:rPr>
      </w:pPr>
    </w:p>
    <w:p>
      <w:pPr>
        <w:pStyle w:val="ListParagraph"/>
        <w:numPr>
          <w:ilvl w:val="1"/>
          <w:numId w:val="1"/>
        </w:numPr>
        <w:tabs>
          <w:tab w:pos="932" w:val="left" w:leader="none"/>
          <w:tab w:pos="2911" w:val="left" w:leader="none"/>
        </w:tabs>
        <w:spacing w:line="285" w:lineRule="auto" w:before="52" w:after="0"/>
        <w:ind w:left="2911" w:right="506" w:hanging="2700"/>
        <w:jc w:val="both"/>
        <w:rPr>
          <w:sz w:val="20"/>
        </w:rPr>
      </w:pPr>
      <w:r>
        <w:rPr>
          <w:b/>
          <w:sz w:val="20"/>
        </w:rPr>
        <w:t>投保范围</w:t>
        <w:tab/>
      </w:r>
      <w:r>
        <w:rPr>
          <w:spacing w:val="-1"/>
          <w:sz w:val="20"/>
        </w:rPr>
        <w:t>投保时年龄在出生后满七天至五十五</w:t>
      </w:r>
      <w:r>
        <w:rPr>
          <w:b/>
          <w:spacing w:val="-1"/>
          <w:sz w:val="20"/>
        </w:rPr>
        <w:t>周岁</w:t>
      </w:r>
      <w:r>
        <w:rPr>
          <w:b/>
          <w:spacing w:val="-1"/>
          <w:position w:val="10"/>
          <w:sz w:val="10"/>
        </w:rPr>
        <w:t>[5]</w:t>
      </w:r>
      <w:r>
        <w:rPr>
          <w:spacing w:val="-1"/>
          <w:sz w:val="20"/>
        </w:rPr>
        <w:t>（含五十五周</w:t>
      </w:r>
      <w:r>
        <w:rPr>
          <w:sz w:val="20"/>
        </w:rPr>
        <w:t>岁</w:t>
      </w:r>
      <w:r>
        <w:rPr>
          <w:spacing w:val="-10"/>
          <w:sz w:val="20"/>
        </w:rPr>
        <w:t>）</w:t>
      </w:r>
      <w:r>
        <w:rPr>
          <w:sz w:val="20"/>
        </w:rPr>
        <w:t>之间者</w:t>
      </w:r>
      <w:r>
        <w:rPr>
          <w:spacing w:val="-10"/>
          <w:sz w:val="20"/>
        </w:rPr>
        <w:t>，</w:t>
      </w:r>
      <w:r>
        <w:rPr>
          <w:sz w:val="20"/>
        </w:rPr>
        <w:t>可作为本附加合 </w:t>
      </w:r>
      <w:r>
        <w:rPr>
          <w:spacing w:val="-1"/>
          <w:sz w:val="20"/>
        </w:rPr>
        <w:t>同的被保</w:t>
      </w:r>
      <w:r>
        <w:rPr>
          <w:sz w:val="20"/>
        </w:rPr>
        <w:t>险人。</w:t>
      </w:r>
    </w:p>
    <w:p>
      <w:pPr>
        <w:pStyle w:val="ListParagraph"/>
        <w:numPr>
          <w:ilvl w:val="1"/>
          <w:numId w:val="1"/>
        </w:numPr>
        <w:tabs>
          <w:tab w:pos="932" w:val="left" w:leader="none"/>
          <w:tab w:pos="2911" w:val="left" w:leader="none"/>
        </w:tabs>
        <w:spacing w:line="285" w:lineRule="auto" w:before="168" w:after="0"/>
        <w:ind w:left="2911" w:right="506" w:hanging="2700"/>
        <w:jc w:val="both"/>
        <w:rPr>
          <w:sz w:val="20"/>
        </w:rPr>
      </w:pPr>
      <w:r>
        <w:rPr>
          <w:b/>
          <w:sz w:val="20"/>
        </w:rPr>
        <w:t>保险期间</w:t>
        <w:tab/>
      </w:r>
      <w:r>
        <w:rPr>
          <w:spacing w:val="-1"/>
          <w:sz w:val="20"/>
        </w:rPr>
        <w:t>若您选择一次交清的付费方式</w:t>
      </w:r>
      <w:r>
        <w:rPr>
          <w:spacing w:val="-39"/>
          <w:sz w:val="20"/>
        </w:rPr>
        <w:t>，</w:t>
      </w:r>
      <w:r>
        <w:rPr>
          <w:spacing w:val="-1"/>
          <w:sz w:val="20"/>
        </w:rPr>
        <w:t>我们在同意承保并收取全</w:t>
      </w:r>
      <w:r>
        <w:rPr>
          <w:sz w:val="20"/>
        </w:rPr>
        <w:t>部保险费后</w:t>
      </w:r>
      <w:r>
        <w:rPr>
          <w:spacing w:val="-39"/>
          <w:sz w:val="20"/>
        </w:rPr>
        <w:t>，</w:t>
      </w:r>
      <w:r>
        <w:rPr>
          <w:sz w:val="20"/>
        </w:rPr>
        <w:t>自本附加合同生 </w:t>
      </w:r>
      <w:r>
        <w:rPr>
          <w:spacing w:val="-1"/>
          <w:sz w:val="20"/>
        </w:rPr>
        <w:t>效日的零时起承担保险责任</w:t>
      </w:r>
      <w:r>
        <w:rPr>
          <w:spacing w:val="-39"/>
          <w:sz w:val="20"/>
        </w:rPr>
        <w:t>；</w:t>
      </w:r>
      <w:r>
        <w:rPr>
          <w:sz w:val="20"/>
        </w:rPr>
        <w:t>若您选择分期支付保险费方式</w:t>
      </w:r>
      <w:r>
        <w:rPr>
          <w:spacing w:val="-39"/>
          <w:sz w:val="20"/>
        </w:rPr>
        <w:t>，</w:t>
      </w:r>
      <w:r>
        <w:rPr>
          <w:sz w:val="20"/>
        </w:rPr>
        <w:t>我们在同意承保并收取首</w:t>
      </w:r>
      <w:r>
        <w:rPr>
          <w:spacing w:val="-1"/>
          <w:sz w:val="20"/>
        </w:rPr>
        <w:t>期保险费后，自本附加合同生效日的</w:t>
      </w:r>
      <w:r>
        <w:rPr>
          <w:sz w:val="20"/>
        </w:rPr>
        <w:t>零时起承担保险责任。</w:t>
      </w:r>
    </w:p>
    <w:p>
      <w:pPr>
        <w:pStyle w:val="BodyText"/>
        <w:spacing w:line="285" w:lineRule="auto" w:before="168"/>
        <w:ind w:left="2911" w:right="456" w:hanging="1"/>
      </w:pPr>
      <w:r>
        <w:rPr/>
        <w:t>本附加合同的保险期间于保险单中载明，自本附加合同生效日的零时起至</w:t>
      </w:r>
      <w:r>
        <w:rPr>
          <w:b/>
        </w:rPr>
        <w:t>满期日</w:t>
      </w:r>
      <w:r>
        <w:rPr>
          <w:b/>
          <w:position w:val="10"/>
          <w:sz w:val="10"/>
        </w:rPr>
        <w:t>[6]</w:t>
      </w:r>
      <w:r>
        <w:rPr/>
        <w:t>二十四时止。</w:t>
      </w:r>
    </w:p>
    <w:p>
      <w:pPr>
        <w:pStyle w:val="ListParagraph"/>
        <w:numPr>
          <w:ilvl w:val="1"/>
          <w:numId w:val="1"/>
        </w:numPr>
        <w:tabs>
          <w:tab w:pos="931" w:val="left" w:leader="none"/>
          <w:tab w:pos="932" w:val="left" w:leader="none"/>
          <w:tab w:pos="2911" w:val="left" w:leader="none"/>
        </w:tabs>
        <w:spacing w:line="240" w:lineRule="auto" w:before="168" w:after="0"/>
        <w:ind w:left="931" w:right="0" w:hanging="720"/>
        <w:jc w:val="left"/>
        <w:rPr>
          <w:sz w:val="20"/>
        </w:rPr>
      </w:pPr>
      <w:r>
        <w:rPr>
          <w:b/>
          <w:sz w:val="20"/>
        </w:rPr>
        <w:t>附加合同终止</w:t>
        <w:tab/>
      </w:r>
      <w:r>
        <w:rPr>
          <w:spacing w:val="-1"/>
          <w:sz w:val="20"/>
        </w:rPr>
        <w:t>若发生主合同终止的情形或下列情形</w:t>
      </w:r>
      <w:r>
        <w:rPr>
          <w:sz w:val="20"/>
        </w:rPr>
        <w:t>之一的，本附加合同终止：</w:t>
      </w:r>
    </w:p>
    <w:p>
      <w:pPr>
        <w:pStyle w:val="ListParagraph"/>
        <w:numPr>
          <w:ilvl w:val="2"/>
          <w:numId w:val="1"/>
        </w:numPr>
        <w:tabs>
          <w:tab w:pos="3332" w:val="left" w:leader="none"/>
        </w:tabs>
        <w:spacing w:line="240" w:lineRule="auto" w:before="50" w:after="0"/>
        <w:ind w:left="3331" w:right="0" w:hanging="420"/>
        <w:jc w:val="left"/>
        <w:rPr>
          <w:sz w:val="20"/>
        </w:rPr>
      </w:pPr>
      <w:r>
        <w:rPr>
          <w:spacing w:val="-1"/>
          <w:sz w:val="20"/>
        </w:rPr>
        <w:t>您在本附加合同保险期间内向我们申请撤销或解除本附加合同；</w:t>
      </w:r>
    </w:p>
    <w:p>
      <w:pPr>
        <w:pStyle w:val="ListParagraph"/>
        <w:numPr>
          <w:ilvl w:val="2"/>
          <w:numId w:val="1"/>
        </w:numPr>
        <w:tabs>
          <w:tab w:pos="3332" w:val="left" w:leader="none"/>
        </w:tabs>
        <w:spacing w:line="240" w:lineRule="auto" w:before="50" w:after="0"/>
        <w:ind w:left="3331" w:right="0" w:hanging="420"/>
        <w:jc w:val="left"/>
        <w:rPr>
          <w:sz w:val="20"/>
        </w:rPr>
      </w:pPr>
      <w:r>
        <w:rPr>
          <w:spacing w:val="-1"/>
          <w:sz w:val="20"/>
        </w:rPr>
        <w:t>本附加合同保险期间届满；</w:t>
      </w:r>
    </w:p>
    <w:p>
      <w:pPr>
        <w:pStyle w:val="ListParagraph"/>
        <w:numPr>
          <w:ilvl w:val="2"/>
          <w:numId w:val="1"/>
        </w:numPr>
        <w:tabs>
          <w:tab w:pos="3332" w:val="left" w:leader="none"/>
        </w:tabs>
        <w:spacing w:line="285" w:lineRule="auto" w:before="50" w:after="0"/>
        <w:ind w:left="3331" w:right="531" w:hanging="420"/>
        <w:jc w:val="left"/>
        <w:rPr>
          <w:sz w:val="20"/>
        </w:rPr>
      </w:pPr>
      <w:r>
        <w:rPr>
          <w:sz w:val="20"/>
        </w:rPr>
        <w:t>本附加合同效力中止后两年内（含两年），您未与我们就本附加合同效力恢复达</w:t>
      </w:r>
      <w:r>
        <w:rPr>
          <w:spacing w:val="-1"/>
          <w:sz w:val="20"/>
        </w:rPr>
        <w:t>成一致的；</w:t>
      </w:r>
    </w:p>
    <w:p>
      <w:pPr>
        <w:pStyle w:val="ListParagraph"/>
        <w:numPr>
          <w:ilvl w:val="2"/>
          <w:numId w:val="1"/>
        </w:numPr>
        <w:tabs>
          <w:tab w:pos="3332" w:val="left" w:leader="none"/>
        </w:tabs>
        <w:spacing w:line="240" w:lineRule="auto" w:before="12" w:after="0"/>
        <w:ind w:left="3331" w:right="0" w:hanging="420"/>
        <w:jc w:val="left"/>
        <w:rPr>
          <w:sz w:val="20"/>
        </w:rPr>
      </w:pPr>
      <w:r>
        <w:rPr>
          <w:spacing w:val="-1"/>
          <w:sz w:val="20"/>
        </w:rPr>
        <w:t>因本附加合同约定或法律法规规定的其他情况导致本附加合同终止的。</w:t>
      </w:r>
    </w:p>
    <w:p>
      <w:pPr>
        <w:spacing w:after="0" w:line="240" w:lineRule="auto"/>
        <w:jc w:val="left"/>
        <w:rPr>
          <w:sz w:val="20"/>
        </w:rPr>
        <w:sectPr>
          <w:type w:val="continuous"/>
          <w:pgSz w:w="11910" w:h="16840"/>
          <w:pgMar w:top="120" w:bottom="1020" w:left="680" w:right="280"/>
        </w:sectPr>
      </w:pPr>
    </w:p>
    <w:p>
      <w:pPr>
        <w:pStyle w:val="Heading1"/>
        <w:tabs>
          <w:tab w:pos="1571" w:val="left" w:leader="none"/>
        </w:tabs>
        <w:spacing w:before="10"/>
        <w:ind w:left="392"/>
      </w:pPr>
      <w:r>
        <w:rPr/>
        <w:pict>
          <v:group style="position:absolute;margin-left:39.18pt;margin-top:16.379940pt;width:521.65pt;height:.5pt;mso-position-horizontal-relative:page;mso-position-vertical-relative:paragraph;z-index:1048;mso-wrap-distance-left:0;mso-wrap-distance-right:0" coordorigin="784,328" coordsize="10433,10">
            <v:line style="position:absolute" from="784,332" to="3486,332" stroked="true" strokeweight=".48004pt" strokecolor="#000000">
              <v:stroke dashstyle="solid"/>
            </v:line>
            <v:line style="position:absolute" from="3486,332" to="11216,332" stroked="true" strokeweight=".48pt" strokecolor="#000000">
              <v:stroke dashstyle="solid"/>
            </v:line>
            <w10:wrap type="topAndBottom"/>
          </v:group>
        </w:pict>
      </w:r>
      <w:r>
        <w:rPr/>
        <w:t>第二部分</w:t>
        <w:tab/>
      </w:r>
      <w:r>
        <w:rPr>
          <w:w w:val="95"/>
        </w:rPr>
        <w:t>我们提供的保障</w:t>
      </w:r>
    </w:p>
    <w:p>
      <w:pPr>
        <w:pStyle w:val="ListParagraph"/>
        <w:numPr>
          <w:ilvl w:val="1"/>
          <w:numId w:val="2"/>
        </w:numPr>
        <w:tabs>
          <w:tab w:pos="931" w:val="left" w:leader="none"/>
          <w:tab w:pos="932" w:val="left" w:leader="none"/>
          <w:tab w:pos="2911" w:val="left" w:leader="none"/>
        </w:tabs>
        <w:spacing w:line="285" w:lineRule="auto" w:before="121" w:after="0"/>
        <w:ind w:left="2911" w:right="207" w:hanging="2700"/>
        <w:jc w:val="left"/>
        <w:rPr>
          <w:b/>
          <w:sz w:val="20"/>
        </w:rPr>
      </w:pPr>
      <w:r>
        <w:rPr>
          <w:b/>
          <w:sz w:val="20"/>
        </w:rPr>
        <w:t>等待期</w:t>
        <w:tab/>
        <w:t>本附加合同生效日零时起一百八十日及本附加合同效力恢复日零时起一百八十日为等 </w:t>
      </w:r>
      <w:r>
        <w:rPr>
          <w:b/>
          <w:w w:val="95"/>
          <w:sz w:val="20"/>
        </w:rPr>
        <w:t>待期。</w:t>
      </w:r>
    </w:p>
    <w:p>
      <w:pPr>
        <w:pStyle w:val="BodyText"/>
        <w:spacing w:before="11"/>
        <w:rPr>
          <w:b/>
          <w:sz w:val="9"/>
        </w:rPr>
      </w:pPr>
    </w:p>
    <w:p>
      <w:pPr>
        <w:pStyle w:val="ListParagraph"/>
        <w:numPr>
          <w:ilvl w:val="1"/>
          <w:numId w:val="2"/>
        </w:numPr>
        <w:tabs>
          <w:tab w:pos="930" w:val="left" w:leader="none"/>
          <w:tab w:pos="931" w:val="left" w:leader="none"/>
          <w:tab w:pos="2910" w:val="left" w:leader="none"/>
        </w:tabs>
        <w:spacing w:line="240" w:lineRule="auto" w:before="39" w:after="0"/>
        <w:ind w:left="930" w:right="0" w:hanging="719"/>
        <w:jc w:val="left"/>
        <w:rPr>
          <w:b/>
          <w:sz w:val="20"/>
        </w:rPr>
      </w:pPr>
      <w:r>
        <w:rPr>
          <w:b/>
          <w:sz w:val="20"/>
        </w:rPr>
        <w:t>保险责任</w:t>
        <w:tab/>
      </w:r>
      <w:r>
        <w:rPr>
          <w:b/>
          <w:w w:val="95"/>
          <w:sz w:val="20"/>
        </w:rPr>
        <w:t>一、在本附加合同保险期间内，我们承担以下保险责任：</w:t>
      </w:r>
    </w:p>
    <w:p>
      <w:pPr>
        <w:spacing w:before="170"/>
        <w:ind w:left="2911" w:right="0" w:firstLine="0"/>
        <w:jc w:val="left"/>
        <w:rPr>
          <w:b/>
          <w:sz w:val="20"/>
        </w:rPr>
      </w:pPr>
      <w:r>
        <w:rPr>
          <w:b/>
          <w:w w:val="95"/>
          <w:sz w:val="20"/>
        </w:rPr>
        <w:t>1、重大疾病给付</w:t>
      </w:r>
    </w:p>
    <w:p>
      <w:pPr>
        <w:spacing w:before="170"/>
        <w:ind w:left="2911" w:right="0" w:firstLine="0"/>
        <w:jc w:val="left"/>
        <w:rPr>
          <w:b/>
          <w:sz w:val="20"/>
        </w:rPr>
      </w:pPr>
      <w:r>
        <w:rPr>
          <w:b/>
          <w:w w:val="95"/>
          <w:sz w:val="20"/>
        </w:rPr>
        <w:t>（1）首次重大疾病保险金</w:t>
      </w:r>
    </w:p>
    <w:p>
      <w:pPr>
        <w:spacing w:line="285" w:lineRule="auto" w:before="170"/>
        <w:ind w:left="2911" w:right="146" w:firstLine="0"/>
        <w:jc w:val="left"/>
        <w:rPr>
          <w:b/>
          <w:sz w:val="20"/>
        </w:rPr>
      </w:pPr>
      <w:r>
        <w:rPr>
          <w:b/>
          <w:sz w:val="20"/>
        </w:rPr>
        <w:t>若被保险人于等待期满后首次出现本附加合同约定的重大疾病的症状或体征，并且按本附加合同对重大疾病的定义和诊断标准被初次确诊为患有本附加合同所列的重大疾病，则我们按本附加合同的基本保险金额</w:t>
      </w:r>
      <w:r>
        <w:rPr>
          <w:b/>
          <w:position w:val="10"/>
          <w:sz w:val="10"/>
        </w:rPr>
        <w:t>[7]</w:t>
      </w:r>
      <w:r>
        <w:rPr>
          <w:b/>
          <w:sz w:val="20"/>
        </w:rPr>
        <w:t>给付首次重大疾病保险金。若被保险人因意</w:t>
      </w:r>
      <w:r>
        <w:rPr>
          <w:b/>
          <w:w w:val="95"/>
          <w:sz w:val="20"/>
        </w:rPr>
        <w:t>外事故</w:t>
      </w:r>
      <w:r>
        <w:rPr>
          <w:b/>
          <w:w w:val="95"/>
          <w:position w:val="10"/>
          <w:sz w:val="10"/>
        </w:rPr>
        <w:t>[8]</w:t>
      </w:r>
      <w:r>
        <w:rPr>
          <w:b/>
          <w:w w:val="95"/>
          <w:sz w:val="20"/>
        </w:rPr>
        <w:t>而患有本附加合同所列的重大疾病，则不受等待期的限制。</w:t>
      </w:r>
    </w:p>
    <w:p>
      <w:pPr>
        <w:spacing w:line="285" w:lineRule="auto" w:before="129"/>
        <w:ind w:left="2911" w:right="301" w:firstLine="0"/>
        <w:jc w:val="left"/>
        <w:rPr>
          <w:b/>
          <w:sz w:val="20"/>
        </w:rPr>
      </w:pPr>
      <w:r>
        <w:rPr>
          <w:b/>
          <w:sz w:val="20"/>
          <w:u w:val="single"/>
        </w:rPr>
        <w:t>我们给付首次重大疾病保险金后，本附加合同的现金价值降为零</w:t>
      </w:r>
      <w:r>
        <w:rPr>
          <w:b/>
          <w:sz w:val="20"/>
        </w:rPr>
        <w:t>，并同时豁免本附加</w:t>
      </w:r>
      <w:r>
        <w:rPr>
          <w:b/>
          <w:w w:val="95"/>
          <w:sz w:val="20"/>
        </w:rPr>
        <w:t>合同及其主合同在首次重大疾病确诊日以后的各期保险费。</w:t>
      </w:r>
    </w:p>
    <w:p>
      <w:pPr>
        <w:spacing w:line="285" w:lineRule="auto" w:before="167"/>
        <w:ind w:left="2911" w:right="207" w:firstLine="0"/>
        <w:jc w:val="both"/>
        <w:rPr>
          <w:b/>
          <w:sz w:val="20"/>
        </w:rPr>
      </w:pPr>
      <w:r>
        <w:rPr>
          <w:b/>
          <w:sz w:val="20"/>
        </w:rPr>
        <w:t>若被保险人在等待期内首次出现本附加合同约定的重大疾病的症状或体征，或者在等待期内按本附加合同对重大疾病的定义和诊断标准被初次确诊为患有本附加合同所列的重大疾病，我们不承担给付保险金的责任，仅无息退还本附加合同及主合同累计已</w:t>
      </w:r>
      <w:r>
        <w:rPr>
          <w:b/>
          <w:w w:val="95"/>
          <w:sz w:val="20"/>
        </w:rPr>
        <w:t>交的保险费，本附加合同及主合同保险责任终止。</w:t>
      </w:r>
    </w:p>
    <w:p>
      <w:pPr>
        <w:spacing w:before="167"/>
        <w:ind w:left="2911" w:right="0" w:firstLine="0"/>
        <w:jc w:val="left"/>
        <w:rPr>
          <w:b/>
          <w:sz w:val="20"/>
        </w:rPr>
      </w:pPr>
      <w:r>
        <w:rPr>
          <w:b/>
          <w:w w:val="95"/>
          <w:sz w:val="20"/>
        </w:rPr>
        <w:t>（2）第二次重大疾病保险金</w:t>
      </w:r>
    </w:p>
    <w:p>
      <w:pPr>
        <w:spacing w:line="285" w:lineRule="auto" w:before="169"/>
        <w:ind w:left="2911" w:right="301" w:firstLine="0"/>
        <w:jc w:val="both"/>
        <w:rPr>
          <w:b/>
          <w:sz w:val="20"/>
        </w:rPr>
      </w:pPr>
      <w:r>
        <w:rPr>
          <w:b/>
          <w:sz w:val="20"/>
        </w:rPr>
        <w:t>我们给付首次重大疾病保险金后，若被保险人自首次重大疾病确诊之日起三百六十五日后，初次出现首次重大疾病所属组别以外的其他组别中的任何一种重大疾病的症状或体征，并且按本附加合同对重大疾病的定义和诊断标准被初次确诊为患有该重大疾</w:t>
      </w:r>
      <w:r>
        <w:rPr>
          <w:b/>
          <w:w w:val="95"/>
          <w:sz w:val="20"/>
        </w:rPr>
        <w:t>病，我们按本附加合同的基本保险金额给付第二次重大疾病保险金。</w:t>
      </w:r>
    </w:p>
    <w:p>
      <w:pPr>
        <w:spacing w:before="167"/>
        <w:ind w:left="2911" w:right="0" w:firstLine="0"/>
        <w:jc w:val="left"/>
        <w:rPr>
          <w:b/>
          <w:sz w:val="20"/>
        </w:rPr>
      </w:pPr>
      <w:r>
        <w:rPr>
          <w:b/>
          <w:w w:val="95"/>
          <w:sz w:val="20"/>
        </w:rPr>
        <w:t>（3）第三次重大疾病保险金</w:t>
      </w:r>
    </w:p>
    <w:p>
      <w:pPr>
        <w:spacing w:line="285" w:lineRule="auto" w:before="169"/>
        <w:ind w:left="2911" w:right="301" w:firstLine="0"/>
        <w:jc w:val="both"/>
        <w:rPr>
          <w:b/>
          <w:sz w:val="20"/>
        </w:rPr>
      </w:pPr>
      <w:r>
        <w:rPr>
          <w:b/>
          <w:sz w:val="20"/>
        </w:rPr>
        <w:t>我们给付第二次重大疾病保险金后，若被保险人自上述第二次重大疾病确诊之日起三百六十五日后，初次出现首次重大疾病以及第二次重大疾病所属组别以外的其他组别中的任何一种重大疾病的症状或体征，并且按本附加合同对重大疾病的定义和诊断标准被初次确诊为患有该重大疾病，我们按本附加合同的基本保险金额给付第三次重大</w:t>
      </w:r>
      <w:r>
        <w:rPr>
          <w:b/>
          <w:w w:val="95"/>
          <w:sz w:val="20"/>
        </w:rPr>
        <w:t>疾病保险金，本附加合同终止。</w:t>
      </w:r>
    </w:p>
    <w:p>
      <w:pPr>
        <w:spacing w:before="167"/>
        <w:ind w:left="2911" w:right="0" w:firstLine="0"/>
        <w:jc w:val="left"/>
        <w:rPr>
          <w:b/>
          <w:sz w:val="20"/>
        </w:rPr>
      </w:pPr>
      <w:r>
        <w:rPr>
          <w:b/>
          <w:w w:val="95"/>
          <w:sz w:val="20"/>
        </w:rPr>
        <w:t>2、特定恶性肿瘤给付</w:t>
      </w:r>
    </w:p>
    <w:p>
      <w:pPr>
        <w:pStyle w:val="BodyText"/>
        <w:spacing w:before="9"/>
        <w:rPr>
          <w:b/>
          <w:sz w:val="15"/>
        </w:rPr>
      </w:pPr>
    </w:p>
    <w:p>
      <w:pPr>
        <w:spacing w:line="278" w:lineRule="auto" w:before="0"/>
        <w:ind w:left="2911" w:right="207" w:firstLine="0"/>
        <w:jc w:val="both"/>
        <w:rPr>
          <w:b/>
          <w:sz w:val="20"/>
        </w:rPr>
      </w:pPr>
      <w:r>
        <w:rPr>
          <w:b/>
          <w:sz w:val="20"/>
        </w:rPr>
        <w:t>若被保险人于等待期满后出现本附加合同约定的重大疾病的症状或体征，并且按本附加合同对特定恶性肿瘤的定义和诊断标准被初次确诊为患有本附加合同 </w:t>
      </w:r>
      <w:r>
        <w:rPr>
          <w:rFonts w:ascii="Times New Roman" w:eastAsia="Times New Roman"/>
          <w:b/>
          <w:sz w:val="20"/>
        </w:rPr>
        <w:t>2.7 </w:t>
      </w:r>
      <w:r>
        <w:rPr>
          <w:b/>
          <w:sz w:val="20"/>
        </w:rPr>
        <w:t>条所列的特定恶性肿瘤，我们按本附加合同的基本保险金额的 </w:t>
      </w:r>
      <w:r>
        <w:rPr>
          <w:rFonts w:ascii="Times New Roman" w:eastAsia="Times New Roman"/>
          <w:b/>
          <w:sz w:val="20"/>
        </w:rPr>
        <w:t>20%</w:t>
      </w:r>
      <w:r>
        <w:rPr>
          <w:b/>
          <w:sz w:val="20"/>
        </w:rPr>
        <w:t>给付特定恶性肿瘤保险金。</w:t>
      </w:r>
    </w:p>
    <w:p>
      <w:pPr>
        <w:spacing w:before="155"/>
        <w:ind w:left="2911" w:right="0" w:firstLine="0"/>
        <w:jc w:val="left"/>
        <w:rPr>
          <w:b/>
          <w:sz w:val="20"/>
        </w:rPr>
      </w:pPr>
      <w:r>
        <w:rPr>
          <w:b/>
          <w:w w:val="95"/>
          <w:sz w:val="20"/>
        </w:rPr>
        <w:t>本附加合同保险期间内，特定恶性肿瘤保险金的给付以一次为限。</w:t>
      </w:r>
    </w:p>
    <w:p>
      <w:pPr>
        <w:pStyle w:val="BodyText"/>
        <w:spacing w:before="9"/>
        <w:rPr>
          <w:b/>
          <w:sz w:val="15"/>
        </w:rPr>
      </w:pPr>
    </w:p>
    <w:p>
      <w:pPr>
        <w:spacing w:before="0"/>
        <w:ind w:left="2911" w:right="0" w:firstLine="0"/>
        <w:jc w:val="left"/>
        <w:rPr>
          <w:b/>
          <w:sz w:val="20"/>
        </w:rPr>
      </w:pPr>
      <w:r>
        <w:rPr>
          <w:b/>
          <w:w w:val="95"/>
          <w:sz w:val="20"/>
        </w:rPr>
        <w:t>3、轻症重疾给付</w:t>
      </w:r>
    </w:p>
    <w:p>
      <w:pPr>
        <w:spacing w:line="280" w:lineRule="auto" w:before="169"/>
        <w:ind w:left="2911" w:right="106" w:firstLine="0"/>
        <w:jc w:val="left"/>
        <w:rPr>
          <w:b/>
          <w:sz w:val="20"/>
        </w:rPr>
      </w:pPr>
      <w:r>
        <w:rPr>
          <w:b/>
          <w:sz w:val="20"/>
        </w:rPr>
        <w:t>若被保险人于等待期满后首次出现本附加合同约定的轻症重疾的症状或体征，并且按本附加合同对轻症重疾的定义和诊断标准被初次确诊为患有本附加合同所列的轻症重疾中</w:t>
      </w:r>
      <w:r>
        <w:rPr>
          <w:b/>
          <w:spacing w:val="-9"/>
          <w:sz w:val="20"/>
        </w:rPr>
        <w:t>的一种或多种，则我们按本附加合同的基本保险金额的 </w:t>
      </w:r>
      <w:r>
        <w:rPr>
          <w:rFonts w:ascii="Times New Roman" w:eastAsia="Times New Roman"/>
          <w:b/>
          <w:sz w:val="20"/>
        </w:rPr>
        <w:t>20%</w:t>
      </w:r>
      <w:r>
        <w:rPr>
          <w:b/>
          <w:sz w:val="20"/>
        </w:rPr>
        <w:t>给付轻症重疾保险金，此后</w:t>
      </w:r>
      <w:r>
        <w:rPr>
          <w:b/>
          <w:w w:val="95"/>
          <w:sz w:val="20"/>
        </w:rPr>
        <w:t>我们不再承担给付轻症重疾保险金的责任。若被保险人因意外事故而患有本附加</w:t>
      </w:r>
    </w:p>
    <w:p>
      <w:pPr>
        <w:spacing w:after="0" w:line="280" w:lineRule="auto"/>
        <w:jc w:val="left"/>
        <w:rPr>
          <w:sz w:val="20"/>
        </w:rPr>
        <w:sectPr>
          <w:pgSz w:w="11910" w:h="16840"/>
          <w:pgMar w:header="0" w:footer="834" w:top="1580" w:bottom="1100" w:left="680" w:right="580"/>
        </w:sectPr>
      </w:pPr>
    </w:p>
    <w:p>
      <w:pPr>
        <w:spacing w:before="14"/>
        <w:ind w:left="2811" w:right="0" w:firstLine="0"/>
        <w:jc w:val="left"/>
        <w:rPr>
          <w:b/>
          <w:sz w:val="20"/>
        </w:rPr>
      </w:pPr>
      <w:r>
        <w:rPr>
          <w:b/>
          <w:w w:val="95"/>
          <w:sz w:val="20"/>
        </w:rPr>
        <w:t>合同所列的轻症重疾，则不受等待期的限制。</w:t>
      </w:r>
    </w:p>
    <w:p>
      <w:pPr>
        <w:pStyle w:val="BodyText"/>
        <w:spacing w:before="9"/>
        <w:rPr>
          <w:b/>
          <w:sz w:val="15"/>
        </w:rPr>
      </w:pPr>
    </w:p>
    <w:p>
      <w:pPr>
        <w:spacing w:line="285" w:lineRule="auto" w:before="0"/>
        <w:ind w:left="2811" w:right="207" w:firstLine="0"/>
        <w:jc w:val="both"/>
        <w:rPr>
          <w:b/>
          <w:sz w:val="20"/>
        </w:rPr>
      </w:pPr>
      <w:r>
        <w:rPr>
          <w:b/>
          <w:sz w:val="20"/>
        </w:rPr>
        <w:t>若被保险人在等待期内首次出现本附加合同约定的轻症重疾的症状或体征，或者在等待期内按本附加合同对轻症重疾的定义和诊断标准被初次确诊为患有本附加合同所列的轻症重疾，我们不承担给付轻症重疾保险金的责任，仅无息退还本附加合同及主合</w:t>
      </w:r>
      <w:r>
        <w:rPr>
          <w:b/>
          <w:w w:val="95"/>
          <w:sz w:val="20"/>
        </w:rPr>
        <w:t>同累计已交的保险费，本附加合同及主合同保险责任终止。</w:t>
      </w:r>
    </w:p>
    <w:p>
      <w:pPr>
        <w:spacing w:before="167"/>
        <w:ind w:left="2811" w:right="0" w:firstLine="0"/>
        <w:jc w:val="both"/>
        <w:rPr>
          <w:b/>
          <w:sz w:val="20"/>
        </w:rPr>
      </w:pPr>
      <w:r>
        <w:rPr>
          <w:b/>
          <w:w w:val="95"/>
          <w:sz w:val="20"/>
          <w:u w:val="single"/>
        </w:rPr>
        <w:t>若我们已经给付了首次重大疾病保险金，我们不再承担给付轻症重疾保险金的责任。</w:t>
      </w:r>
    </w:p>
    <w:p>
      <w:pPr>
        <w:pStyle w:val="BodyText"/>
        <w:spacing w:before="9"/>
        <w:rPr>
          <w:b/>
          <w:sz w:val="12"/>
        </w:rPr>
      </w:pPr>
    </w:p>
    <w:p>
      <w:pPr>
        <w:spacing w:line="285" w:lineRule="auto" w:before="39"/>
        <w:ind w:left="2811" w:right="207" w:firstLine="0"/>
        <w:jc w:val="left"/>
        <w:rPr>
          <w:b/>
          <w:sz w:val="20"/>
        </w:rPr>
      </w:pPr>
      <w:r>
        <w:rPr>
          <w:b/>
          <w:sz w:val="20"/>
        </w:rPr>
        <w:t>二、若我们已经按照主合同的约定给付了满期生存保险金或者身故保险金，则本附加</w:t>
      </w:r>
      <w:r>
        <w:rPr>
          <w:b/>
          <w:w w:val="95"/>
          <w:sz w:val="20"/>
        </w:rPr>
        <w:t>合同的现金价值降为零，且我们不再承担本附加合同的保险责任。</w:t>
      </w:r>
    </w:p>
    <w:p>
      <w:pPr>
        <w:spacing w:line="285" w:lineRule="auto" w:before="167"/>
        <w:ind w:left="2811" w:right="207" w:firstLine="0"/>
        <w:jc w:val="left"/>
        <w:rPr>
          <w:b/>
          <w:sz w:val="20"/>
        </w:rPr>
      </w:pPr>
      <w:r>
        <w:rPr>
          <w:b/>
          <w:sz w:val="20"/>
        </w:rPr>
        <w:t>三、在本附加合同终止、撤销、解除后或效力中止期间，我们不再承担本附加合同的保险责任。</w:t>
      </w:r>
    </w:p>
    <w:p>
      <w:pPr>
        <w:pStyle w:val="ListParagraph"/>
        <w:numPr>
          <w:ilvl w:val="1"/>
          <w:numId w:val="2"/>
        </w:numPr>
        <w:tabs>
          <w:tab w:pos="830" w:val="left" w:leader="none"/>
          <w:tab w:pos="831" w:val="left" w:leader="none"/>
          <w:tab w:pos="2810" w:val="left" w:leader="none"/>
        </w:tabs>
        <w:spacing w:line="285" w:lineRule="auto" w:before="167" w:after="0"/>
        <w:ind w:left="2811" w:right="301" w:hanging="2700"/>
        <w:jc w:val="left"/>
        <w:rPr>
          <w:b/>
          <w:sz w:val="20"/>
        </w:rPr>
      </w:pPr>
      <w:r>
        <w:rPr>
          <w:b/>
          <w:sz w:val="20"/>
        </w:rPr>
        <w:t>责任免除</w:t>
        <w:tab/>
      </w:r>
      <w:r>
        <w:rPr>
          <w:b/>
          <w:w w:val="95"/>
          <w:sz w:val="20"/>
        </w:rPr>
        <w:t>因下列情形之一导致被保险人患有疾病、达到疾病状态或进行手术的，我们不承担给    付各项保险金的责任：</w:t>
      </w:r>
    </w:p>
    <w:p>
      <w:pPr>
        <w:pStyle w:val="ListParagraph"/>
        <w:numPr>
          <w:ilvl w:val="2"/>
          <w:numId w:val="2"/>
        </w:numPr>
        <w:tabs>
          <w:tab w:pos="3493" w:val="left" w:leader="none"/>
        </w:tabs>
        <w:spacing w:line="240" w:lineRule="auto" w:before="11" w:after="0"/>
        <w:ind w:left="3492" w:right="0" w:hanging="681"/>
        <w:jc w:val="left"/>
        <w:rPr>
          <w:b/>
          <w:sz w:val="20"/>
        </w:rPr>
      </w:pPr>
      <w:r>
        <w:rPr>
          <w:b/>
          <w:w w:val="95"/>
          <w:sz w:val="20"/>
        </w:rPr>
        <w:t>投保人对被保险人的故意杀害、故意伤害；</w:t>
      </w:r>
    </w:p>
    <w:p>
      <w:pPr>
        <w:pStyle w:val="ListParagraph"/>
        <w:numPr>
          <w:ilvl w:val="2"/>
          <w:numId w:val="2"/>
        </w:numPr>
        <w:tabs>
          <w:tab w:pos="3492" w:val="left" w:leader="none"/>
        </w:tabs>
        <w:spacing w:line="240" w:lineRule="auto" w:before="49" w:after="0"/>
        <w:ind w:left="3491" w:right="0" w:hanging="680"/>
        <w:jc w:val="left"/>
        <w:rPr>
          <w:b/>
          <w:sz w:val="20"/>
        </w:rPr>
      </w:pPr>
      <w:r>
        <w:rPr>
          <w:b/>
          <w:spacing w:val="-1"/>
          <w:w w:val="95"/>
          <w:sz w:val="20"/>
        </w:rPr>
        <w:t>被保险人故意自伤、故意犯罪或者抗拒依法采取的刑事强制措施；</w:t>
      </w:r>
    </w:p>
    <w:p>
      <w:pPr>
        <w:pStyle w:val="ListParagraph"/>
        <w:numPr>
          <w:ilvl w:val="2"/>
          <w:numId w:val="2"/>
        </w:numPr>
        <w:tabs>
          <w:tab w:pos="3493" w:val="left" w:leader="none"/>
        </w:tabs>
        <w:spacing w:line="285" w:lineRule="auto" w:before="49" w:after="0"/>
        <w:ind w:left="3492" w:right="233" w:hanging="681"/>
        <w:jc w:val="left"/>
        <w:rPr>
          <w:b/>
          <w:sz w:val="20"/>
        </w:rPr>
      </w:pPr>
      <w:r>
        <w:rPr>
          <w:b/>
          <w:sz w:val="20"/>
        </w:rPr>
        <w:t>被保险人患艾滋病或感染艾滋病病毒</w:t>
      </w:r>
      <w:r>
        <w:rPr>
          <w:b/>
          <w:position w:val="10"/>
          <w:sz w:val="10"/>
        </w:rPr>
        <w:t>[9]</w:t>
      </w:r>
      <w:r>
        <w:rPr>
          <w:b/>
          <w:sz w:val="20"/>
        </w:rPr>
        <w:t>后患病（因输血或者工作原因导致的除</w:t>
      </w:r>
      <w:r>
        <w:rPr>
          <w:b/>
          <w:w w:val="95"/>
          <w:sz w:val="20"/>
        </w:rPr>
        <w:t>外）；</w:t>
      </w:r>
    </w:p>
    <w:p>
      <w:pPr>
        <w:pStyle w:val="ListParagraph"/>
        <w:numPr>
          <w:ilvl w:val="2"/>
          <w:numId w:val="2"/>
        </w:numPr>
        <w:tabs>
          <w:tab w:pos="3493" w:val="left" w:leader="none"/>
        </w:tabs>
        <w:spacing w:line="240" w:lineRule="auto" w:before="11" w:after="0"/>
        <w:ind w:left="3492" w:right="0" w:hanging="681"/>
        <w:jc w:val="left"/>
        <w:rPr>
          <w:b/>
          <w:sz w:val="20"/>
        </w:rPr>
      </w:pPr>
      <w:r>
        <w:rPr>
          <w:b/>
          <w:w w:val="95"/>
          <w:sz w:val="20"/>
        </w:rPr>
        <w:t>被保险人主动吸食或注射毒品；</w:t>
      </w:r>
    </w:p>
    <w:p>
      <w:pPr>
        <w:pStyle w:val="ListParagraph"/>
        <w:numPr>
          <w:ilvl w:val="2"/>
          <w:numId w:val="2"/>
        </w:numPr>
        <w:tabs>
          <w:tab w:pos="3493" w:val="left" w:leader="none"/>
        </w:tabs>
        <w:spacing w:line="240" w:lineRule="auto" w:before="49" w:after="0"/>
        <w:ind w:left="3492" w:right="0" w:hanging="681"/>
        <w:jc w:val="left"/>
        <w:rPr>
          <w:b/>
          <w:sz w:val="20"/>
        </w:rPr>
      </w:pPr>
      <w:r>
        <w:rPr>
          <w:b/>
          <w:w w:val="95"/>
          <w:sz w:val="20"/>
        </w:rPr>
        <w:t>被保险人酒后驾驶，无合法有效驾驶证驾驶，或驾驶无有效行驶证的机动车；</w:t>
      </w:r>
    </w:p>
    <w:p>
      <w:pPr>
        <w:pStyle w:val="ListParagraph"/>
        <w:numPr>
          <w:ilvl w:val="2"/>
          <w:numId w:val="2"/>
        </w:numPr>
        <w:tabs>
          <w:tab w:pos="3493" w:val="left" w:leader="none"/>
        </w:tabs>
        <w:spacing w:line="240" w:lineRule="auto" w:before="49" w:after="0"/>
        <w:ind w:left="3492" w:right="0" w:hanging="681"/>
        <w:jc w:val="left"/>
        <w:rPr>
          <w:b/>
          <w:sz w:val="20"/>
        </w:rPr>
      </w:pPr>
      <w:r>
        <w:rPr>
          <w:b/>
          <w:w w:val="95"/>
          <w:sz w:val="20"/>
        </w:rPr>
        <w:t>战争、军事冲突、暴乱或武装叛乱；</w:t>
      </w:r>
    </w:p>
    <w:p>
      <w:pPr>
        <w:pStyle w:val="ListParagraph"/>
        <w:numPr>
          <w:ilvl w:val="2"/>
          <w:numId w:val="2"/>
        </w:numPr>
        <w:tabs>
          <w:tab w:pos="3493" w:val="left" w:leader="none"/>
        </w:tabs>
        <w:spacing w:line="240" w:lineRule="auto" w:before="49" w:after="0"/>
        <w:ind w:left="3492" w:right="0" w:hanging="681"/>
        <w:jc w:val="left"/>
        <w:rPr>
          <w:b/>
          <w:sz w:val="20"/>
        </w:rPr>
      </w:pPr>
      <w:r>
        <w:rPr>
          <w:b/>
          <w:w w:val="95"/>
          <w:sz w:val="20"/>
        </w:rPr>
        <w:t>核爆炸、核辐射或核污染；</w:t>
      </w:r>
    </w:p>
    <w:p>
      <w:pPr>
        <w:pStyle w:val="ListParagraph"/>
        <w:numPr>
          <w:ilvl w:val="2"/>
          <w:numId w:val="2"/>
        </w:numPr>
        <w:tabs>
          <w:tab w:pos="3493" w:val="left" w:leader="none"/>
        </w:tabs>
        <w:spacing w:line="240" w:lineRule="auto" w:before="49" w:after="0"/>
        <w:ind w:left="3492" w:right="0" w:hanging="681"/>
        <w:jc w:val="left"/>
        <w:rPr>
          <w:b/>
          <w:sz w:val="20"/>
        </w:rPr>
      </w:pPr>
      <w:r>
        <w:rPr>
          <w:b/>
          <w:w w:val="95"/>
          <w:sz w:val="20"/>
        </w:rPr>
        <w:t>遗传性疾病</w:t>
      </w:r>
      <w:r>
        <w:rPr>
          <w:b/>
          <w:w w:val="95"/>
          <w:position w:val="10"/>
          <w:sz w:val="10"/>
        </w:rPr>
        <w:t>[10]</w:t>
      </w:r>
      <w:r>
        <w:rPr>
          <w:b/>
          <w:w w:val="95"/>
          <w:sz w:val="20"/>
        </w:rPr>
        <w:t>（不包括肌营养不良症），先天性畸形、变形或染色体异常</w:t>
      </w:r>
      <w:r>
        <w:rPr>
          <w:b/>
          <w:w w:val="95"/>
          <w:position w:val="10"/>
          <w:sz w:val="10"/>
        </w:rPr>
        <w:t>[11]</w:t>
      </w:r>
      <w:r>
        <w:rPr>
          <w:b/>
          <w:w w:val="95"/>
          <w:sz w:val="20"/>
        </w:rPr>
        <w:t>。</w:t>
      </w:r>
    </w:p>
    <w:p>
      <w:pPr>
        <w:pStyle w:val="BodyText"/>
        <w:spacing w:before="9"/>
        <w:rPr>
          <w:b/>
          <w:sz w:val="15"/>
        </w:rPr>
      </w:pPr>
    </w:p>
    <w:p>
      <w:pPr>
        <w:spacing w:line="285" w:lineRule="auto" w:before="0"/>
        <w:ind w:left="2811" w:right="105" w:firstLine="0"/>
        <w:jc w:val="left"/>
        <w:rPr>
          <w:b/>
          <w:sz w:val="20"/>
        </w:rPr>
      </w:pPr>
      <w:r>
        <w:rPr>
          <w:b/>
          <w:sz w:val="20"/>
        </w:rPr>
        <w:t>发生上述第（１）项情形的，本附加合同及其主合同终止，您已交足两年以上（含两 年）保险费的，我们向受益人退还本附加合同及其主合同现金价值；发生上述其他情 </w:t>
      </w:r>
      <w:r>
        <w:rPr>
          <w:b/>
          <w:spacing w:val="-2"/>
          <w:w w:val="95"/>
          <w:sz w:val="20"/>
        </w:rPr>
        <w:t>形的，本附加合同及其主合同终止，我们向您退还本附加合同及其主合同的现金价值。</w:t>
      </w:r>
    </w:p>
    <w:p>
      <w:pPr>
        <w:spacing w:after="0" w:line="285" w:lineRule="auto"/>
        <w:jc w:val="left"/>
        <w:rPr>
          <w:sz w:val="20"/>
        </w:rPr>
        <w:sectPr>
          <w:pgSz w:w="11910" w:h="16840"/>
          <w:pgMar w:header="0" w:footer="834" w:top="1420" w:bottom="1100" w:left="780" w:right="580"/>
        </w:sectPr>
      </w:pPr>
    </w:p>
    <w:p>
      <w:pPr>
        <w:pStyle w:val="ListParagraph"/>
        <w:numPr>
          <w:ilvl w:val="1"/>
          <w:numId w:val="2"/>
        </w:numPr>
        <w:tabs>
          <w:tab w:pos="831" w:val="left" w:leader="none"/>
          <w:tab w:pos="832" w:val="left" w:leader="none"/>
        </w:tabs>
        <w:spacing w:line="285" w:lineRule="auto" w:before="132" w:after="0"/>
        <w:ind w:left="831" w:right="0" w:hanging="720"/>
        <w:jc w:val="left"/>
        <w:rPr>
          <w:b/>
          <w:sz w:val="20"/>
        </w:rPr>
      </w:pPr>
      <w:r>
        <w:rPr>
          <w:b/>
          <w:spacing w:val="20"/>
          <w:sz w:val="20"/>
        </w:rPr>
        <w:t>十八周岁前重大疾</w:t>
      </w:r>
      <w:r>
        <w:rPr>
          <w:b/>
          <w:w w:val="95"/>
          <w:sz w:val="20"/>
        </w:rPr>
        <w:t>病的定义</w:t>
      </w:r>
    </w:p>
    <w:p>
      <w:pPr>
        <w:pStyle w:val="BodyText"/>
        <w:spacing w:line="278" w:lineRule="auto" w:before="132"/>
        <w:ind w:left="111" w:right="258"/>
        <w:jc w:val="both"/>
      </w:pPr>
      <w:r>
        <w:rPr/>
        <w:br w:type="column"/>
      </w:r>
      <w:r>
        <w:rPr/>
        <w:t>若被保险人在年满十八周岁后的首个保单周年日前患有符合以下定义所述条件并由相应的</w:t>
      </w:r>
      <w:r>
        <w:rPr>
          <w:b/>
        </w:rPr>
        <w:t>专科医生</w:t>
      </w:r>
      <w:r>
        <w:rPr>
          <w:b/>
          <w:position w:val="10"/>
          <w:sz w:val="10"/>
        </w:rPr>
        <w:t>[12]</w:t>
      </w:r>
      <w:r>
        <w:rPr/>
        <w:t>明确诊断的二十种重大疾病之一，我们按照本附加合同 </w:t>
      </w:r>
      <w:r>
        <w:rPr>
          <w:rFonts w:ascii="Times New Roman" w:eastAsia="Times New Roman"/>
        </w:rPr>
        <w:t>2.2 </w:t>
      </w:r>
      <w:r>
        <w:rPr/>
        <w:t>条的约定给付保险金。</w:t>
      </w:r>
    </w:p>
    <w:p>
      <w:pPr>
        <w:spacing w:after="0" w:line="278" w:lineRule="auto"/>
        <w:jc w:val="both"/>
        <w:sectPr>
          <w:type w:val="continuous"/>
          <w:pgSz w:w="11910" w:h="16840"/>
          <w:pgMar w:top="120" w:bottom="1020" w:left="780" w:right="580"/>
          <w:cols w:num="2" w:equalWidth="0">
            <w:col w:w="2618" w:space="154"/>
            <w:col w:w="7778"/>
          </w:cols>
        </w:sectPr>
      </w:pPr>
    </w:p>
    <w:p>
      <w:pPr>
        <w:pStyle w:val="BodyText"/>
        <w:spacing w:before="4"/>
        <w:rPr>
          <w:sz w:val="10"/>
        </w:rPr>
      </w:pPr>
    </w:p>
    <w:p>
      <w:pPr>
        <w:pStyle w:val="BodyText"/>
        <w:spacing w:line="280" w:lineRule="auto"/>
        <w:ind w:left="2883" w:right="247" w:hanging="2052"/>
        <w:jc w:val="both"/>
      </w:pPr>
      <w:r>
        <w:rPr/>
        <w:t>J1. 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1"/>
        <w:spacing w:before="171"/>
        <w:ind w:left="2883"/>
      </w:pPr>
      <w:r>
        <w:rPr>
          <w:w w:val="95"/>
        </w:rPr>
        <w:t>下列疾病不在保障范围内：</w:t>
      </w:r>
    </w:p>
    <w:p>
      <w:pPr>
        <w:pStyle w:val="ListParagraph"/>
        <w:numPr>
          <w:ilvl w:val="0"/>
          <w:numId w:val="3"/>
        </w:numPr>
        <w:tabs>
          <w:tab w:pos="3492" w:val="left" w:leader="none"/>
        </w:tabs>
        <w:spacing w:line="240" w:lineRule="auto" w:before="49" w:after="0"/>
        <w:ind w:left="3491" w:right="0" w:hanging="608"/>
        <w:jc w:val="left"/>
        <w:rPr>
          <w:b/>
          <w:sz w:val="20"/>
        </w:rPr>
      </w:pPr>
      <w:r>
        <w:rPr>
          <w:b/>
          <w:w w:val="95"/>
          <w:sz w:val="20"/>
        </w:rPr>
        <w:t>原位癌；</w:t>
      </w:r>
    </w:p>
    <w:p>
      <w:pPr>
        <w:pStyle w:val="ListParagraph"/>
        <w:numPr>
          <w:ilvl w:val="0"/>
          <w:numId w:val="3"/>
        </w:numPr>
        <w:tabs>
          <w:tab w:pos="3493" w:val="left" w:leader="none"/>
        </w:tabs>
        <w:spacing w:line="240" w:lineRule="auto" w:before="49" w:after="0"/>
        <w:ind w:left="3492" w:right="0" w:hanging="609"/>
        <w:jc w:val="left"/>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ListParagraph"/>
        <w:numPr>
          <w:ilvl w:val="0"/>
          <w:numId w:val="3"/>
        </w:numPr>
        <w:tabs>
          <w:tab w:pos="3493" w:val="left" w:leader="none"/>
        </w:tabs>
        <w:spacing w:line="240" w:lineRule="auto" w:before="49" w:after="0"/>
        <w:ind w:left="3492" w:right="0" w:hanging="609"/>
        <w:jc w:val="left"/>
        <w:rPr>
          <w:b/>
          <w:sz w:val="20"/>
        </w:rPr>
      </w:pPr>
      <w:r>
        <w:rPr>
          <w:b/>
          <w:spacing w:val="-14"/>
          <w:sz w:val="20"/>
        </w:rPr>
        <w:t>相当于 </w:t>
      </w:r>
      <w:r>
        <w:rPr>
          <w:b/>
          <w:sz w:val="20"/>
        </w:rPr>
        <w:t>Ann</w:t>
      </w:r>
      <w:r>
        <w:rPr>
          <w:b/>
          <w:spacing w:val="-6"/>
          <w:sz w:val="20"/>
        </w:rPr>
        <w:t> </w:t>
      </w:r>
      <w:r>
        <w:rPr>
          <w:b/>
          <w:sz w:val="20"/>
        </w:rPr>
        <w:t>Arbor</w:t>
      </w:r>
      <w:r>
        <w:rPr>
          <w:b/>
          <w:spacing w:val="-12"/>
          <w:sz w:val="20"/>
        </w:rPr>
        <w:t> 分期方案</w:t>
      </w:r>
      <w:r>
        <w:rPr>
          <w:b/>
          <w:sz w:val="20"/>
        </w:rPr>
        <w:t>Ι期程度的何杰金氏病；</w:t>
      </w:r>
    </w:p>
    <w:p>
      <w:pPr>
        <w:pStyle w:val="ListParagraph"/>
        <w:numPr>
          <w:ilvl w:val="0"/>
          <w:numId w:val="3"/>
        </w:numPr>
        <w:tabs>
          <w:tab w:pos="3492" w:val="left" w:leader="none"/>
        </w:tabs>
        <w:spacing w:line="240" w:lineRule="auto" w:before="49" w:after="0"/>
        <w:ind w:left="3491" w:right="0" w:hanging="608"/>
        <w:jc w:val="left"/>
        <w:rPr>
          <w:b/>
          <w:sz w:val="20"/>
        </w:rPr>
      </w:pPr>
      <w:r>
        <w:rPr>
          <w:b/>
          <w:w w:val="95"/>
          <w:sz w:val="20"/>
        </w:rPr>
        <w:t>皮肤癌（不包括恶性黑色素瘤及已发生转移的皮肤癌）；</w:t>
      </w:r>
    </w:p>
    <w:p>
      <w:pPr>
        <w:pStyle w:val="ListParagraph"/>
        <w:numPr>
          <w:ilvl w:val="0"/>
          <w:numId w:val="3"/>
        </w:numPr>
        <w:tabs>
          <w:tab w:pos="3493" w:val="left" w:leader="none"/>
        </w:tabs>
        <w:spacing w:line="240" w:lineRule="auto" w:before="49" w:after="0"/>
        <w:ind w:left="3492"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pStyle w:val="ListParagraph"/>
        <w:numPr>
          <w:ilvl w:val="0"/>
          <w:numId w:val="3"/>
        </w:numPr>
        <w:tabs>
          <w:tab w:pos="3492" w:val="left" w:leader="none"/>
        </w:tabs>
        <w:spacing w:line="240" w:lineRule="auto" w:before="50" w:after="0"/>
        <w:ind w:left="3492" w:right="0" w:hanging="609"/>
        <w:jc w:val="left"/>
        <w:rPr>
          <w:b/>
          <w:sz w:val="20"/>
        </w:rPr>
      </w:pPr>
      <w:r>
        <w:rPr>
          <w:b/>
          <w:w w:val="95"/>
          <w:sz w:val="20"/>
        </w:rPr>
        <w:t>感染艾滋病病毒或患艾滋病期间所患恶性肿瘤。</w:t>
      </w:r>
    </w:p>
    <w:p>
      <w:pPr>
        <w:pStyle w:val="BodyText"/>
        <w:spacing w:before="9"/>
        <w:rPr>
          <w:b/>
          <w:sz w:val="15"/>
        </w:rPr>
      </w:pPr>
    </w:p>
    <w:p>
      <w:pPr>
        <w:pStyle w:val="BodyText"/>
        <w:tabs>
          <w:tab w:pos="2673" w:val="left" w:leader="none"/>
        </w:tabs>
        <w:spacing w:before="0"/>
        <w:ind w:left="621"/>
        <w:jc w:val="center"/>
      </w:pPr>
      <w:r>
        <w:rPr>
          <w:spacing w:val="-13"/>
        </w:rPr>
        <w:t>J2．</w:t>
      </w:r>
      <w:r>
        <w:rPr/>
        <w:t>重大器官移植术</w:t>
        <w:tab/>
        <w:t>重大器官移植术，指因相应器官功能衰竭，已经实施了肾脏、肝脏、心脏或肺脏的异</w:t>
      </w:r>
    </w:p>
    <w:p>
      <w:pPr>
        <w:spacing w:after="0"/>
        <w:jc w:val="center"/>
        <w:sectPr>
          <w:type w:val="continuous"/>
          <w:pgSz w:w="11910" w:h="16840"/>
          <w:pgMar w:top="120" w:bottom="1020" w:left="780" w:right="580"/>
        </w:sectPr>
      </w:pPr>
    </w:p>
    <w:p>
      <w:pPr>
        <w:pStyle w:val="BodyText"/>
        <w:spacing w:line="285" w:lineRule="auto" w:before="14"/>
        <w:ind w:left="751"/>
      </w:pPr>
      <w:r>
        <w:rPr/>
        <w:t>或造血干细胞移植术</w:t>
      </w:r>
    </w:p>
    <w:p>
      <w:pPr>
        <w:pStyle w:val="BodyText"/>
        <w:spacing w:before="14"/>
        <w:ind w:left="246"/>
      </w:pPr>
      <w:r>
        <w:rPr/>
        <w:br w:type="column"/>
      </w:r>
      <w:r>
        <w:rPr/>
        <w:t>体移植手术。</w:t>
      </w:r>
    </w:p>
    <w:p>
      <w:pPr>
        <w:pStyle w:val="BodyText"/>
        <w:spacing w:before="9"/>
        <w:rPr>
          <w:sz w:val="15"/>
        </w:rPr>
      </w:pPr>
    </w:p>
    <w:p>
      <w:pPr>
        <w:pStyle w:val="BodyText"/>
        <w:spacing w:line="285" w:lineRule="auto" w:before="0"/>
        <w:ind w:left="174" w:right="106"/>
      </w:pPr>
      <w:r>
        <w:rPr>
          <w:spacing w:val="-18"/>
        </w:rPr>
        <w:t>造血干细胞移植术，指因造血功能损害或造血系统恶性肿瘤，已经实施了造血干细胞</w:t>
      </w:r>
      <w:r>
        <w:rPr/>
        <w:t>（包</w:t>
      </w:r>
      <w:r>
        <w:rPr>
          <w:spacing w:val="-1"/>
        </w:rPr>
        <w:t>括骨髓造血干细胞、外周血造血干细胞和脐血造血干细胞</w:t>
      </w:r>
      <w:r>
        <w:rPr/>
        <w:t>）的异体移植手术。</w:t>
      </w:r>
    </w:p>
    <w:p>
      <w:pPr>
        <w:spacing w:after="0" w:line="285" w:lineRule="auto"/>
        <w:sectPr>
          <w:pgSz w:w="11910" w:h="16840"/>
          <w:pgMar w:header="0" w:footer="834" w:top="1420" w:bottom="1100" w:left="860" w:right="680"/>
          <w:cols w:num="2" w:equalWidth="0">
            <w:col w:w="2517" w:space="40"/>
            <w:col w:w="7813"/>
          </w:cols>
        </w:sectPr>
      </w:pP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jc w:val="both"/>
      </w:pPr>
      <w:r>
        <w:rPr>
          <w:spacing w:val="-7"/>
        </w:rPr>
        <w:t>J3</w:t>
      </w:r>
      <w:r>
        <w:rPr>
          <w:spacing w:val="-6"/>
        </w:rPr>
        <w:t>．终末期肾病</w:t>
      </w:r>
      <w:r>
        <w:rPr/>
        <w:t>（或</w:t>
      </w:r>
      <w:r>
        <w:rPr>
          <w:spacing w:val="17"/>
        </w:rPr>
        <w:t>称慢性肾功能衰竭</w:t>
      </w:r>
      <w:r>
        <w:rPr>
          <w:spacing w:val="-1"/>
        </w:rPr>
        <w:t>尿毒症期</w:t>
      </w:r>
      <w:r>
        <w:rPr/>
        <w:t>）</w:t>
      </w:r>
    </w:p>
    <w:p>
      <w:pPr>
        <w:pStyle w:val="BodyText"/>
        <w:spacing w:line="285" w:lineRule="auto"/>
        <w:ind w:left="174" w:right="32"/>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020" w:left="860" w:right="680"/>
          <w:cols w:num="2" w:equalWidth="0">
            <w:col w:w="2517" w:space="40"/>
            <w:col w:w="7813"/>
          </w:cols>
        </w:sectPr>
      </w:pPr>
    </w:p>
    <w:p>
      <w:pPr>
        <w:pStyle w:val="BodyText"/>
        <w:spacing w:before="11"/>
        <w:rPr>
          <w:sz w:val="9"/>
        </w:rPr>
      </w:pPr>
    </w:p>
    <w:p>
      <w:pPr>
        <w:pStyle w:val="BodyText"/>
        <w:tabs>
          <w:tab w:pos="2731" w:val="left" w:leader="none"/>
        </w:tabs>
        <w:spacing w:line="285" w:lineRule="auto"/>
        <w:ind w:left="2731" w:right="106" w:hanging="1980"/>
      </w:pPr>
      <w:r>
        <w:rPr/>
        <w:t>J4．多个肢体缺失</w:t>
        <w:tab/>
      </w:r>
      <w:r>
        <w:rPr>
          <w:spacing w:val="-1"/>
        </w:rPr>
        <w:t>指因疾病或意外伤害导致两个或两个以上肢体自腕</w:t>
      </w:r>
      <w:r>
        <w:rPr/>
        <w:t>关节或踝关节近</w:t>
      </w:r>
      <w:r>
        <w:rPr>
          <w:spacing w:val="-40"/>
        </w:rPr>
        <w:t>端</w:t>
      </w:r>
      <w:r>
        <w:rPr/>
        <w:t>（靠近躯干端</w:t>
      </w:r>
      <w:r>
        <w:rPr>
          <w:spacing w:val="-39"/>
        </w:rPr>
        <w:t>）</w:t>
      </w:r>
      <w:r>
        <w:rPr/>
        <w:t>以 </w:t>
      </w:r>
      <w:r>
        <w:rPr>
          <w:spacing w:val="-1"/>
        </w:rPr>
        <w:t>上完全性</w:t>
      </w:r>
      <w:r>
        <w:rPr/>
        <w:t>断离。</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spacing w:val="-13"/>
        </w:rPr>
        <w:t>J5</w:t>
      </w:r>
      <w:r>
        <w:rPr>
          <w:spacing w:val="-4"/>
        </w:rPr>
        <w:t>．急性或亚急性重症肝炎</w:t>
      </w:r>
    </w:p>
    <w:p>
      <w:pPr>
        <w:pStyle w:val="BodyText"/>
        <w:spacing w:line="285" w:lineRule="auto"/>
        <w:ind w:left="174" w:right="34"/>
      </w:pPr>
      <w:r>
        <w:rPr/>
        <w:br w:type="column"/>
      </w:r>
      <w:r>
        <w:rPr/>
        <w:t>指因肝炎病毒感染引起肝脏组织弥漫性坏死，导致急性肝功能衰竭，且经血清学或病毒学检查证实，并须满足下列全部条件：</w:t>
      </w:r>
    </w:p>
    <w:p>
      <w:pPr>
        <w:pStyle w:val="ListParagraph"/>
        <w:numPr>
          <w:ilvl w:val="0"/>
          <w:numId w:val="4"/>
        </w:numPr>
        <w:tabs>
          <w:tab w:pos="855" w:val="left" w:leader="none"/>
        </w:tabs>
        <w:spacing w:line="240" w:lineRule="auto" w:before="12" w:after="0"/>
        <w:ind w:left="854" w:right="0" w:hanging="680"/>
        <w:jc w:val="left"/>
        <w:rPr>
          <w:sz w:val="20"/>
        </w:rPr>
      </w:pPr>
      <w:r>
        <w:rPr>
          <w:spacing w:val="-1"/>
          <w:sz w:val="20"/>
        </w:rPr>
        <w:t>重度黄疸或黄疸迅速加重；</w:t>
      </w:r>
    </w:p>
    <w:p>
      <w:pPr>
        <w:pStyle w:val="ListParagraph"/>
        <w:numPr>
          <w:ilvl w:val="0"/>
          <w:numId w:val="4"/>
        </w:numPr>
        <w:tabs>
          <w:tab w:pos="855" w:val="left" w:leader="none"/>
        </w:tabs>
        <w:spacing w:line="240" w:lineRule="auto" w:before="50" w:after="0"/>
        <w:ind w:left="854" w:right="0" w:hanging="680"/>
        <w:jc w:val="left"/>
        <w:rPr>
          <w:sz w:val="20"/>
        </w:rPr>
      </w:pPr>
      <w:r>
        <w:rPr>
          <w:spacing w:val="-1"/>
          <w:sz w:val="20"/>
        </w:rPr>
        <w:t>肝性脑病；</w:t>
      </w:r>
    </w:p>
    <w:p>
      <w:pPr>
        <w:pStyle w:val="ListParagraph"/>
        <w:numPr>
          <w:ilvl w:val="0"/>
          <w:numId w:val="4"/>
        </w:numPr>
        <w:tabs>
          <w:tab w:pos="855" w:val="left" w:leader="none"/>
        </w:tabs>
        <w:spacing w:line="240" w:lineRule="auto" w:before="50" w:after="0"/>
        <w:ind w:left="854" w:right="0" w:hanging="680"/>
        <w:jc w:val="left"/>
        <w:rPr>
          <w:sz w:val="20"/>
        </w:rPr>
      </w:pPr>
      <w:r>
        <w:rPr>
          <w:sz w:val="20"/>
        </w:rPr>
        <w:t>B</w:t>
      </w:r>
      <w:r>
        <w:rPr>
          <w:spacing w:val="-2"/>
          <w:sz w:val="20"/>
        </w:rPr>
        <w:t> 超或其他影像学检查显示肝脏体积急速萎缩；</w:t>
      </w:r>
    </w:p>
    <w:p>
      <w:pPr>
        <w:pStyle w:val="ListParagraph"/>
        <w:numPr>
          <w:ilvl w:val="0"/>
          <w:numId w:val="4"/>
        </w:numPr>
        <w:tabs>
          <w:tab w:pos="855" w:val="left" w:leader="none"/>
        </w:tabs>
        <w:spacing w:line="240" w:lineRule="auto" w:before="50" w:after="0"/>
        <w:ind w:left="854" w:right="0" w:hanging="680"/>
        <w:jc w:val="left"/>
        <w:rPr>
          <w:sz w:val="20"/>
        </w:rPr>
      </w:pPr>
      <w:r>
        <w:rPr>
          <w:spacing w:val="-1"/>
          <w:sz w:val="20"/>
        </w:rPr>
        <w:t>肝功能指标进行性恶化。</w:t>
      </w:r>
    </w:p>
    <w:p>
      <w:pPr>
        <w:spacing w:after="0" w:line="240" w:lineRule="auto"/>
        <w:jc w:val="left"/>
        <w:rPr>
          <w:sz w:val="20"/>
        </w:rPr>
        <w:sectPr>
          <w:type w:val="continuous"/>
          <w:pgSz w:w="11910" w:h="16840"/>
          <w:pgMar w:top="120" w:bottom="1020" w:left="860" w:right="680"/>
          <w:cols w:num="2" w:equalWidth="0">
            <w:col w:w="2517" w:space="40"/>
            <w:col w:w="7813"/>
          </w:cols>
        </w:sectPr>
      </w:pPr>
    </w:p>
    <w:p>
      <w:pPr>
        <w:pStyle w:val="BodyText"/>
        <w:spacing w:before="10"/>
        <w:rPr>
          <w:sz w:val="12"/>
        </w:rPr>
      </w:pPr>
    </w:p>
    <w:p>
      <w:pPr>
        <w:pStyle w:val="BodyText"/>
        <w:spacing w:line="285" w:lineRule="auto"/>
        <w:ind w:left="2731" w:right="106" w:hanging="1980"/>
        <w:jc w:val="both"/>
      </w:pPr>
      <w:r>
        <w:rPr/>
        <w:t>J6．</w:t>
      </w:r>
      <w:r>
        <w:rPr>
          <w:spacing w:val="-4"/>
        </w:rPr>
        <w:t>良性脑肿瘤    指脑的良性肿瘤，已经引起颅内压增高，临床表现为视神经乳头水肿、精神症状、癫痫及运动感觉障碍等，并危及生命。须由头颅断层扫描（CT）、核磁共振检查（MRI）或</w:t>
      </w:r>
      <w:r>
        <w:rPr>
          <w:spacing w:val="-2"/>
        </w:rPr>
        <w:t>正电子发射断层扫描</w:t>
      </w:r>
      <w:r>
        <w:rPr>
          <w:spacing w:val="-1"/>
        </w:rPr>
        <w:t>（PET）等影像学检查证实，并须满足下列至少一项条件：</w:t>
      </w:r>
    </w:p>
    <w:p>
      <w:pPr>
        <w:pStyle w:val="ListParagraph"/>
        <w:numPr>
          <w:ilvl w:val="1"/>
          <w:numId w:val="4"/>
        </w:numPr>
        <w:tabs>
          <w:tab w:pos="3412" w:val="left" w:leader="none"/>
        </w:tabs>
        <w:spacing w:line="240" w:lineRule="auto" w:before="12" w:after="0"/>
        <w:ind w:left="3411" w:right="0" w:hanging="680"/>
        <w:jc w:val="left"/>
        <w:rPr>
          <w:sz w:val="20"/>
        </w:rPr>
      </w:pPr>
      <w:r>
        <w:rPr>
          <w:spacing w:val="-1"/>
          <w:sz w:val="20"/>
        </w:rPr>
        <w:t>实际实施了开颅进行的脑肿瘤完全切除或部分切除的手术；</w:t>
      </w:r>
    </w:p>
    <w:p>
      <w:pPr>
        <w:pStyle w:val="ListParagraph"/>
        <w:numPr>
          <w:ilvl w:val="1"/>
          <w:numId w:val="4"/>
        </w:numPr>
        <w:tabs>
          <w:tab w:pos="3412" w:val="left" w:leader="none"/>
        </w:tabs>
        <w:spacing w:line="240" w:lineRule="auto" w:before="50" w:after="0"/>
        <w:ind w:left="3411" w:right="0" w:hanging="680"/>
        <w:jc w:val="left"/>
        <w:rPr>
          <w:sz w:val="20"/>
        </w:rPr>
      </w:pPr>
      <w:r>
        <w:rPr>
          <w:spacing w:val="-1"/>
          <w:sz w:val="20"/>
        </w:rPr>
        <w:t>实际实施了对脑肿瘤进行的放射治疗。</w:t>
      </w:r>
    </w:p>
    <w:p>
      <w:pPr>
        <w:pStyle w:val="BodyText"/>
        <w:spacing w:before="9"/>
        <w:rPr>
          <w:sz w:val="15"/>
        </w:rPr>
      </w:pPr>
    </w:p>
    <w:p>
      <w:pPr>
        <w:pStyle w:val="Heading1"/>
        <w:spacing w:before="0"/>
        <w:ind w:left="2731"/>
      </w:pPr>
      <w:r>
        <w:rPr>
          <w:w w:val="95"/>
        </w:rPr>
        <w:t>脑垂体瘤、脑囊肿、脑血管性疾病不在保障范围内。</w:t>
      </w:r>
    </w:p>
    <w:p>
      <w:pPr>
        <w:pStyle w:val="BodyText"/>
        <w:spacing w:before="9"/>
        <w:rPr>
          <w:b/>
          <w:sz w:val="15"/>
        </w:rPr>
      </w:pPr>
    </w:p>
    <w:p>
      <w:pPr>
        <w:pStyle w:val="BodyText"/>
        <w:tabs>
          <w:tab w:pos="2731" w:val="left" w:leader="none"/>
        </w:tabs>
        <w:spacing w:before="0"/>
        <w:ind w:left="751"/>
      </w:pPr>
      <w:r>
        <w:rPr/>
        <w:t>J7．双耳失聪</w:t>
        <w:tab/>
        <w:t>指因疾病或意外伤害导致双耳听力</w:t>
      </w:r>
      <w:r>
        <w:rPr>
          <w:b/>
          <w:spacing w:val="2"/>
        </w:rPr>
        <w:t>永</w:t>
      </w:r>
      <w:r>
        <w:rPr>
          <w:b/>
        </w:rPr>
        <w:t>久不</w:t>
      </w:r>
      <w:r>
        <w:rPr>
          <w:b/>
          <w:spacing w:val="2"/>
        </w:rPr>
        <w:t>可</w:t>
      </w:r>
      <w:r>
        <w:rPr>
          <w:b/>
        </w:rPr>
        <w:t>逆</w:t>
      </w:r>
      <w:r>
        <w:rPr>
          <w:b/>
          <w:position w:val="10"/>
          <w:sz w:val="10"/>
        </w:rPr>
        <w:t>[13]</w:t>
      </w:r>
      <w:r>
        <w:rPr/>
        <w:t>性丧失，在</w:t>
      </w:r>
      <w:r>
        <w:rPr>
          <w:spacing w:val="30"/>
        </w:rPr>
        <w:t> </w:t>
      </w:r>
      <w:r>
        <w:rPr/>
        <w:t>500</w:t>
      </w:r>
      <w:r>
        <w:rPr>
          <w:spacing w:val="30"/>
        </w:rPr>
        <w:t> </w:t>
      </w:r>
      <w:r>
        <w:rPr/>
        <w:t>赫兹、1000</w:t>
      </w:r>
      <w:r>
        <w:rPr>
          <w:spacing w:val="30"/>
        </w:rPr>
        <w:t> </w:t>
      </w:r>
      <w:r>
        <w:rPr/>
        <w:t>赫兹和</w:t>
      </w:r>
    </w:p>
    <w:p>
      <w:pPr>
        <w:pStyle w:val="BodyText"/>
        <w:spacing w:line="285" w:lineRule="auto" w:before="50"/>
        <w:ind w:left="2731" w:right="106"/>
      </w:pPr>
      <w:r>
        <w:rPr/>
        <w:t>2000 赫兹语音频率下，平均听阈大于 90 分贝，且经纯音听力测试、声导抗检测或听觉诱发电位检测等证实。</w:t>
      </w:r>
    </w:p>
    <w:p>
      <w:pPr>
        <w:pStyle w:val="BodyText"/>
        <w:spacing w:line="285" w:lineRule="auto" w:before="168"/>
        <w:ind w:left="2731" w:right="105" w:hanging="1980"/>
        <w:jc w:val="both"/>
      </w:pPr>
      <w:r>
        <w:rPr/>
        <w:t>J8．</w:t>
      </w:r>
      <w:r>
        <w:rPr>
          <w:spacing w:val="-3"/>
        </w:rPr>
        <w:t>双目失明      指因疾病或意外伤害导致双眼视力永久不可逆性丧失，双眼中较好眼须满足下列至少一项条件：</w:t>
      </w:r>
    </w:p>
    <w:p>
      <w:pPr>
        <w:pStyle w:val="ListParagraph"/>
        <w:numPr>
          <w:ilvl w:val="0"/>
          <w:numId w:val="5"/>
        </w:numPr>
        <w:tabs>
          <w:tab w:pos="3152" w:val="left" w:leader="none"/>
        </w:tabs>
        <w:spacing w:line="240" w:lineRule="auto" w:before="12" w:after="0"/>
        <w:ind w:left="3151" w:right="0" w:hanging="420"/>
        <w:jc w:val="left"/>
        <w:rPr>
          <w:sz w:val="20"/>
        </w:rPr>
      </w:pPr>
      <w:r>
        <w:rPr>
          <w:spacing w:val="-1"/>
          <w:sz w:val="20"/>
        </w:rPr>
        <w:t>眼球缺失或摘除；</w:t>
      </w:r>
    </w:p>
    <w:p>
      <w:pPr>
        <w:pStyle w:val="ListParagraph"/>
        <w:numPr>
          <w:ilvl w:val="0"/>
          <w:numId w:val="5"/>
        </w:numPr>
        <w:tabs>
          <w:tab w:pos="3152" w:val="left" w:leader="none"/>
        </w:tabs>
        <w:spacing w:line="240" w:lineRule="auto" w:before="50" w:after="0"/>
        <w:ind w:left="3151" w:right="0" w:hanging="420"/>
        <w:jc w:val="left"/>
        <w:rPr>
          <w:sz w:val="20"/>
        </w:rPr>
      </w:pPr>
      <w:r>
        <w:rPr>
          <w:spacing w:val="-11"/>
          <w:sz w:val="20"/>
        </w:rPr>
        <w:t>矫正视力低于 </w:t>
      </w:r>
      <w:r>
        <w:rPr>
          <w:spacing w:val="-1"/>
          <w:sz w:val="20"/>
        </w:rPr>
        <w:t>0.02（采用国际标准视力表，如果使用其它视力表应进行换算</w:t>
      </w:r>
      <w:r>
        <w:rPr>
          <w:sz w:val="20"/>
        </w:rPr>
        <w:t>）；</w:t>
      </w:r>
    </w:p>
    <w:p>
      <w:pPr>
        <w:pStyle w:val="ListParagraph"/>
        <w:numPr>
          <w:ilvl w:val="0"/>
          <w:numId w:val="5"/>
        </w:numPr>
        <w:tabs>
          <w:tab w:pos="3152" w:val="left" w:leader="none"/>
        </w:tabs>
        <w:spacing w:line="240" w:lineRule="auto" w:before="50" w:after="0"/>
        <w:ind w:left="3151" w:right="0" w:hanging="420"/>
        <w:jc w:val="left"/>
        <w:rPr>
          <w:sz w:val="20"/>
        </w:rPr>
      </w:pPr>
      <w:r>
        <w:rPr>
          <w:spacing w:val="-8"/>
          <w:sz w:val="20"/>
        </w:rPr>
        <w:t>视野半径小于 </w:t>
      </w:r>
      <w:r>
        <w:rPr>
          <w:sz w:val="20"/>
        </w:rPr>
        <w:t>5</w:t>
      </w:r>
      <w:r>
        <w:rPr>
          <w:spacing w:val="-2"/>
          <w:sz w:val="20"/>
        </w:rPr>
        <w:t> 度。</w:t>
      </w:r>
    </w:p>
    <w:p>
      <w:pPr>
        <w:pStyle w:val="BodyText"/>
        <w:spacing w:before="10"/>
        <w:rPr>
          <w:sz w:val="15"/>
        </w:rPr>
      </w:pPr>
    </w:p>
    <w:p>
      <w:pPr>
        <w:pStyle w:val="BodyText"/>
        <w:tabs>
          <w:tab w:pos="2731" w:val="left" w:leader="none"/>
        </w:tabs>
        <w:spacing w:line="285" w:lineRule="auto" w:before="0"/>
        <w:ind w:left="2731" w:right="105" w:hanging="1980"/>
        <w:jc w:val="both"/>
      </w:pPr>
      <w:r>
        <w:rPr/>
        <w:t>J9．瘫痪</w:t>
        <w:tab/>
      </w:r>
      <w:r>
        <w:rPr>
          <w:spacing w:val="-1"/>
        </w:rPr>
        <w:t>指因疾病或意外伤害导致两肢或两肢以上肢体机能永久</w:t>
      </w:r>
      <w:r>
        <w:rPr/>
        <w:t>完全丧失</w:t>
      </w:r>
      <w:r>
        <w:rPr>
          <w:spacing w:val="-76"/>
        </w:rPr>
        <w:t>。</w:t>
      </w:r>
      <w:r>
        <w:rPr/>
        <w:t>肢体机能永久完全丧 失，指疾病确诊</w:t>
      </w:r>
      <w:r>
        <w:rPr>
          <w:spacing w:val="-44"/>
        </w:rPr>
        <w:t> </w:t>
      </w:r>
      <w:r>
        <w:rPr/>
        <w:t>180</w:t>
      </w:r>
      <w:r>
        <w:rPr>
          <w:spacing w:val="-9"/>
        </w:rPr>
        <w:t> </w:t>
      </w:r>
      <w:r>
        <w:rPr/>
        <w:t>天后或意外伤害发生</w:t>
      </w:r>
      <w:r>
        <w:rPr>
          <w:spacing w:val="-44"/>
        </w:rPr>
        <w:t> </w:t>
      </w:r>
      <w:r>
        <w:rPr/>
        <w:t>180</w:t>
      </w:r>
      <w:r>
        <w:rPr>
          <w:spacing w:val="-9"/>
        </w:rPr>
        <w:t> </w:t>
      </w:r>
      <w:r>
        <w:rPr/>
        <w:t>天后，每肢三大关节中的两大关节仍然</w:t>
      </w:r>
      <w:r>
        <w:rPr>
          <w:spacing w:val="-1"/>
        </w:rPr>
        <w:t>完全僵硬，或不能</w:t>
      </w:r>
      <w:r>
        <w:rPr/>
        <w:t>随意识活动。</w:t>
      </w:r>
    </w:p>
    <w:p>
      <w:pPr>
        <w:pStyle w:val="BodyText"/>
        <w:spacing w:line="285" w:lineRule="auto" w:before="168"/>
        <w:ind w:left="2731" w:right="104" w:hanging="1980"/>
        <w:jc w:val="both"/>
      </w:pPr>
      <w:r>
        <w:rPr/>
        <w:t>J10</w:t>
      </w:r>
      <w:r>
        <w:rPr>
          <w:spacing w:val="-4"/>
        </w:rPr>
        <w:t>．严重脑损伤   指因头部遭受机械性外力，引起脑重要部位损伤，导致神经系统永久性的功能障碍。须</w:t>
      </w:r>
      <w:r>
        <w:rPr>
          <w:spacing w:val="-5"/>
        </w:rPr>
        <w:t>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w:t>
      </w:r>
      <w:r>
        <w:rPr>
          <w:spacing w:val="-1"/>
        </w:rPr>
        <w:t>检查证实。神经系统永久性的功能障碍，指脑损伤 </w:t>
      </w:r>
      <w:r>
        <w:rPr/>
        <w:t>180</w:t>
      </w:r>
      <w:r>
        <w:rPr>
          <w:spacing w:val="-2"/>
        </w:rPr>
        <w:t> 天后，仍遗留下列一种或一种</w:t>
      </w:r>
      <w:r>
        <w:rPr>
          <w:spacing w:val="-1"/>
        </w:rPr>
        <w:t>以上障碍：</w:t>
      </w:r>
    </w:p>
    <w:p>
      <w:pPr>
        <w:pStyle w:val="ListParagraph"/>
        <w:numPr>
          <w:ilvl w:val="0"/>
          <w:numId w:val="6"/>
        </w:numPr>
        <w:tabs>
          <w:tab w:pos="3152" w:val="left" w:leader="none"/>
        </w:tabs>
        <w:spacing w:line="240" w:lineRule="auto" w:before="12" w:after="0"/>
        <w:ind w:left="3151" w:right="0" w:hanging="420"/>
        <w:jc w:val="left"/>
        <w:rPr>
          <w:sz w:val="20"/>
        </w:rPr>
      </w:pPr>
      <w:r>
        <w:rPr>
          <w:spacing w:val="-1"/>
          <w:sz w:val="20"/>
        </w:rPr>
        <w:t>一肢或一肢以上肢体机能完全丧失；</w:t>
      </w:r>
    </w:p>
    <w:p>
      <w:pPr>
        <w:pStyle w:val="ListParagraph"/>
        <w:numPr>
          <w:ilvl w:val="0"/>
          <w:numId w:val="6"/>
        </w:numPr>
        <w:tabs>
          <w:tab w:pos="3152" w:val="left" w:leader="none"/>
        </w:tabs>
        <w:spacing w:line="240" w:lineRule="auto" w:before="50" w:after="0"/>
        <w:ind w:left="3151" w:right="0" w:hanging="420"/>
        <w:jc w:val="left"/>
        <w:rPr>
          <w:sz w:val="20"/>
        </w:rPr>
      </w:pPr>
      <w:r>
        <w:rPr>
          <w:spacing w:val="-1"/>
          <w:sz w:val="20"/>
        </w:rPr>
        <w:t>语言能力或咀嚼吞咽能力完全丧失；</w:t>
      </w:r>
    </w:p>
    <w:p>
      <w:pPr>
        <w:pStyle w:val="ListParagraph"/>
        <w:numPr>
          <w:ilvl w:val="0"/>
          <w:numId w:val="6"/>
        </w:numPr>
        <w:tabs>
          <w:tab w:pos="3152" w:val="left" w:leader="none"/>
        </w:tabs>
        <w:spacing w:line="285" w:lineRule="auto" w:before="50" w:after="0"/>
        <w:ind w:left="3151" w:right="131" w:hanging="420"/>
        <w:jc w:val="left"/>
        <w:rPr>
          <w:sz w:val="20"/>
        </w:rPr>
      </w:pPr>
      <w:r>
        <w:rPr>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020" w:left="860" w:right="680"/>
        </w:sectPr>
      </w:pPr>
    </w:p>
    <w:p>
      <w:pPr>
        <w:pStyle w:val="BodyText"/>
        <w:tabs>
          <w:tab w:pos="2731" w:val="left" w:leader="none"/>
        </w:tabs>
        <w:spacing w:line="285" w:lineRule="auto" w:before="14"/>
        <w:ind w:left="2731" w:right="105" w:hanging="1980"/>
      </w:pPr>
      <w:r>
        <w:rPr/>
        <w:t>J11．严重Ⅲ度烧伤</w:t>
        <w:tab/>
        <w:t>指烧伤程度为Ⅲ度，且Ⅲ度烧伤的面积达到全身体表面积的</w:t>
      </w:r>
      <w:r>
        <w:rPr>
          <w:spacing w:val="-42"/>
        </w:rPr>
        <w:t> </w:t>
      </w:r>
      <w:r>
        <w:rPr/>
        <w:t>20％或</w:t>
      </w:r>
      <w:r>
        <w:rPr>
          <w:spacing w:val="-42"/>
        </w:rPr>
        <w:t> </w:t>
      </w:r>
      <w:r>
        <w:rPr/>
        <w:t>20％以上。体表面</w:t>
      </w:r>
      <w:r>
        <w:rPr>
          <w:spacing w:val="-1"/>
        </w:rPr>
        <w:t>积根据《中国新九</w:t>
      </w:r>
      <w:r>
        <w:rPr/>
        <w:t>分法》计算。</w:t>
      </w:r>
    </w:p>
    <w:p>
      <w:pPr>
        <w:pStyle w:val="BodyText"/>
        <w:spacing w:before="11"/>
        <w:rPr>
          <w:sz w:val="9"/>
        </w:rPr>
      </w:pPr>
    </w:p>
    <w:p>
      <w:pPr>
        <w:spacing w:after="0"/>
        <w:rPr>
          <w:sz w:val="9"/>
        </w:rPr>
        <w:sectPr>
          <w:pgSz w:w="11910" w:h="16840"/>
          <w:pgMar w:header="0" w:footer="834" w:top="1420" w:bottom="1100" w:left="860" w:right="680"/>
        </w:sectPr>
      </w:pPr>
    </w:p>
    <w:p>
      <w:pPr>
        <w:pStyle w:val="BodyText"/>
        <w:spacing w:line="285" w:lineRule="auto"/>
        <w:ind w:left="751"/>
      </w:pPr>
      <w:r>
        <w:rPr/>
        <w:t>J12．重型再生障碍性贫血</w:t>
      </w:r>
    </w:p>
    <w:p>
      <w:pPr>
        <w:pStyle w:val="BodyText"/>
        <w:spacing w:line="285" w:lineRule="auto"/>
        <w:ind w:left="166" w:right="33"/>
      </w:pPr>
      <w:r>
        <w:rPr/>
        <w:br w:type="column"/>
      </w:r>
      <w:r>
        <w:rPr/>
        <w:t>指因骨髓造血功能慢性持续性衰竭导致的贫血、中性粒细胞减少及血小板减少。须满足下列全部条件：</w:t>
      </w:r>
    </w:p>
    <w:p>
      <w:pPr>
        <w:pStyle w:val="ListParagraph"/>
        <w:numPr>
          <w:ilvl w:val="0"/>
          <w:numId w:val="7"/>
        </w:numPr>
        <w:tabs>
          <w:tab w:pos="587" w:val="left" w:leader="none"/>
        </w:tabs>
        <w:spacing w:line="240" w:lineRule="auto" w:before="12" w:after="0"/>
        <w:ind w:left="586" w:right="0" w:hanging="420"/>
        <w:jc w:val="left"/>
        <w:rPr>
          <w:sz w:val="20"/>
        </w:rPr>
      </w:pPr>
      <w:r>
        <w:rPr>
          <w:spacing w:val="-1"/>
          <w:sz w:val="20"/>
        </w:rPr>
        <w:t>骨髓穿刺检查或骨髓活检结果支持诊断；</w:t>
      </w:r>
    </w:p>
    <w:p>
      <w:pPr>
        <w:pStyle w:val="ListParagraph"/>
        <w:numPr>
          <w:ilvl w:val="0"/>
          <w:numId w:val="7"/>
        </w:numPr>
        <w:tabs>
          <w:tab w:pos="587" w:val="left" w:leader="none"/>
        </w:tabs>
        <w:spacing w:line="240" w:lineRule="auto" w:before="50" w:after="0"/>
        <w:ind w:left="586" w:right="0" w:hanging="420"/>
        <w:jc w:val="left"/>
        <w:rPr>
          <w:sz w:val="20"/>
        </w:rPr>
      </w:pPr>
      <w:r>
        <w:rPr>
          <w:spacing w:val="-1"/>
          <w:sz w:val="20"/>
        </w:rPr>
        <w:t>外周血象须具备以下三项条件：</w:t>
      </w:r>
    </w:p>
    <w:p>
      <w:pPr>
        <w:pStyle w:val="BodyText"/>
        <w:spacing w:before="50"/>
        <w:ind w:left="598"/>
      </w:pPr>
      <w:r>
        <w:rPr/>
        <w:t>1）中性粒细胞绝对值≤0.5×10</w:t>
      </w:r>
      <w:r>
        <w:rPr>
          <w:position w:val="10"/>
          <w:sz w:val="10"/>
        </w:rPr>
        <w:t>9</w:t>
      </w:r>
      <w:r>
        <w:rPr/>
        <w:t>/L ；</w:t>
      </w:r>
    </w:p>
    <w:p>
      <w:pPr>
        <w:pStyle w:val="BodyText"/>
        <w:spacing w:before="50"/>
        <w:ind w:left="598"/>
      </w:pPr>
      <w:r>
        <w:rPr/>
        <w:t>2）网织红细胞＜1%；</w:t>
      </w:r>
    </w:p>
    <w:p>
      <w:pPr>
        <w:pStyle w:val="BodyText"/>
        <w:spacing w:before="50"/>
        <w:ind w:left="598"/>
      </w:pPr>
      <w:r>
        <w:rPr/>
        <w:t>3）血小板绝对值≤20×10</w:t>
      </w:r>
      <w:r>
        <w:rPr>
          <w:position w:val="10"/>
          <w:sz w:val="10"/>
        </w:rPr>
        <w:t>9</w:t>
      </w:r>
      <w:r>
        <w:rPr/>
        <w:t>/L。</w:t>
      </w:r>
    </w:p>
    <w:p>
      <w:pPr>
        <w:spacing w:after="0"/>
        <w:sectPr>
          <w:type w:val="continuous"/>
          <w:pgSz w:w="11910" w:h="16840"/>
          <w:pgMar w:top="120" w:bottom="1020" w:left="860" w:right="680"/>
          <w:cols w:num="2" w:equalWidth="0">
            <w:col w:w="2526" w:space="40"/>
            <w:col w:w="7804"/>
          </w:cols>
        </w:sectPr>
      </w:pPr>
    </w:p>
    <w:p>
      <w:pPr>
        <w:pStyle w:val="BodyText"/>
        <w:spacing w:before="10"/>
        <w:rPr>
          <w:sz w:val="12"/>
        </w:rPr>
      </w:pPr>
    </w:p>
    <w:p>
      <w:pPr>
        <w:spacing w:after="0"/>
        <w:rPr>
          <w:sz w:val="12"/>
        </w:rPr>
        <w:sectPr>
          <w:type w:val="continuous"/>
          <w:pgSz w:w="11910" w:h="16840"/>
          <w:pgMar w:top="120" w:bottom="1020" w:left="860" w:right="680"/>
        </w:sectPr>
      </w:pPr>
    </w:p>
    <w:p>
      <w:pPr>
        <w:pStyle w:val="BodyText"/>
        <w:spacing w:line="285" w:lineRule="auto"/>
        <w:ind w:left="751"/>
        <w:jc w:val="both"/>
      </w:pPr>
      <w:r>
        <w:rPr/>
        <w:t>J13．经输血导致的人类免疫缺陷病毒感染</w:t>
      </w:r>
    </w:p>
    <w:p>
      <w:pPr>
        <w:pStyle w:val="BodyText"/>
        <w:ind w:left="166"/>
      </w:pPr>
      <w:r>
        <w:rPr/>
        <w:br w:type="column"/>
      </w:r>
      <w:r>
        <w:rPr/>
        <w:t>被保险人感染上人类免疫缺陷病毒（HIV）并且符合下列所有条件：</w:t>
      </w:r>
    </w:p>
    <w:p>
      <w:pPr>
        <w:pStyle w:val="ListParagraph"/>
        <w:numPr>
          <w:ilvl w:val="0"/>
          <w:numId w:val="8"/>
        </w:numPr>
        <w:tabs>
          <w:tab w:pos="587" w:val="left" w:leader="none"/>
        </w:tabs>
        <w:spacing w:line="285" w:lineRule="auto" w:before="50" w:after="0"/>
        <w:ind w:left="586" w:right="131" w:hanging="420"/>
        <w:jc w:val="left"/>
        <w:rPr>
          <w:sz w:val="20"/>
        </w:rPr>
      </w:pPr>
      <w:r>
        <w:rPr>
          <w:sz w:val="20"/>
        </w:rPr>
        <w:t>在保障起始日或效力恢复日之后，被保险人因治疗必需而接受输血，并且因输血</w:t>
      </w:r>
      <w:r>
        <w:rPr>
          <w:spacing w:val="-14"/>
          <w:sz w:val="20"/>
        </w:rPr>
        <w:t>而感染 </w:t>
      </w:r>
      <w:r>
        <w:rPr>
          <w:sz w:val="20"/>
        </w:rPr>
        <w:t>HIV；</w:t>
      </w:r>
    </w:p>
    <w:p>
      <w:pPr>
        <w:pStyle w:val="ListParagraph"/>
        <w:numPr>
          <w:ilvl w:val="0"/>
          <w:numId w:val="8"/>
        </w:numPr>
        <w:tabs>
          <w:tab w:pos="587" w:val="left" w:leader="none"/>
        </w:tabs>
        <w:spacing w:line="285" w:lineRule="auto" w:before="12" w:after="0"/>
        <w:ind w:left="586" w:right="131" w:hanging="420"/>
        <w:jc w:val="left"/>
        <w:rPr>
          <w:sz w:val="20"/>
        </w:rPr>
      </w:pPr>
      <w:r>
        <w:rPr>
          <w:sz w:val="20"/>
        </w:rPr>
        <w:t>提供输血治疗的输血中心或</w:t>
      </w:r>
      <w:r>
        <w:rPr>
          <w:b/>
          <w:sz w:val="20"/>
        </w:rPr>
        <w:t>医院</w:t>
      </w:r>
      <w:r>
        <w:rPr>
          <w:b/>
          <w:position w:val="10"/>
          <w:sz w:val="10"/>
        </w:rPr>
        <w:t>[14]</w:t>
      </w:r>
      <w:r>
        <w:rPr>
          <w:sz w:val="20"/>
        </w:rPr>
        <w:t>出具该项输血感染属医疗责任事故的报告，或</w:t>
      </w:r>
      <w:r>
        <w:rPr>
          <w:spacing w:val="-1"/>
          <w:sz w:val="20"/>
        </w:rPr>
        <w:t>者法院终审裁定为医疗责任；</w:t>
      </w:r>
    </w:p>
    <w:p>
      <w:pPr>
        <w:pStyle w:val="ListParagraph"/>
        <w:numPr>
          <w:ilvl w:val="0"/>
          <w:numId w:val="8"/>
        </w:numPr>
        <w:tabs>
          <w:tab w:pos="587" w:val="left" w:leader="none"/>
        </w:tabs>
        <w:spacing w:line="240" w:lineRule="auto" w:before="12" w:after="0"/>
        <w:ind w:left="586" w:right="0" w:hanging="420"/>
        <w:jc w:val="left"/>
        <w:rPr>
          <w:sz w:val="20"/>
        </w:rPr>
      </w:pPr>
      <w:r>
        <w:rPr>
          <w:spacing w:val="-1"/>
          <w:sz w:val="20"/>
        </w:rPr>
        <w:t>提供输血治疗的输血中心或医院必须拥有合法经营执照；</w:t>
      </w:r>
    </w:p>
    <w:p>
      <w:pPr>
        <w:pStyle w:val="ListParagraph"/>
        <w:numPr>
          <w:ilvl w:val="0"/>
          <w:numId w:val="8"/>
        </w:numPr>
        <w:tabs>
          <w:tab w:pos="587" w:val="left" w:leader="none"/>
        </w:tabs>
        <w:spacing w:line="240" w:lineRule="auto" w:before="50" w:after="0"/>
        <w:ind w:left="586" w:right="0" w:hanging="420"/>
        <w:jc w:val="left"/>
        <w:rPr>
          <w:sz w:val="20"/>
        </w:rPr>
      </w:pPr>
      <w:r>
        <w:rPr>
          <w:spacing w:val="-1"/>
          <w:sz w:val="20"/>
        </w:rPr>
        <w:t>受感染的被保险人不是血友病患者</w:t>
      </w:r>
    </w:p>
    <w:p>
      <w:pPr>
        <w:pStyle w:val="BodyText"/>
        <w:spacing w:before="9"/>
        <w:rPr>
          <w:sz w:val="15"/>
        </w:rPr>
      </w:pPr>
    </w:p>
    <w:p>
      <w:pPr>
        <w:pStyle w:val="BodyText"/>
        <w:spacing w:line="285" w:lineRule="auto" w:before="1"/>
        <w:ind w:left="166" w:right="105"/>
      </w:pPr>
      <w:r>
        <w:rPr/>
        <w:t>在任何治愈爱滋病（AIDS）</w:t>
      </w:r>
      <w:r>
        <w:rPr>
          <w:spacing w:val="-13"/>
        </w:rPr>
        <w:t>或阻止 </w:t>
      </w:r>
      <w:r>
        <w:rPr/>
        <w:t>HIV</w:t>
      </w:r>
      <w:r>
        <w:rPr>
          <w:spacing w:val="-11"/>
        </w:rPr>
        <w:t> 病毒作用的疗法被发现以后，或能防止 </w:t>
      </w:r>
      <w:r>
        <w:rPr/>
        <w:t>AIDS</w:t>
      </w:r>
      <w:r>
        <w:rPr>
          <w:spacing w:val="-25"/>
        </w:rPr>
        <w:t> 发</w:t>
      </w:r>
      <w:r>
        <w:rPr>
          <w:spacing w:val="-1"/>
        </w:rPr>
        <w:t>生的医疗方法被研究出来以后，本保障将不再予以赔付。</w:t>
      </w:r>
    </w:p>
    <w:p>
      <w:pPr>
        <w:pStyle w:val="Heading1"/>
        <w:spacing w:line="285" w:lineRule="auto" w:before="168"/>
        <w:ind w:left="166" w:right="105"/>
      </w:pPr>
      <w:r>
        <w:rPr/>
        <w:t>任何因其他传播方式（包括：性传播或静脉注射毒品）导致的 HIV 感染不在保障范围内。</w:t>
      </w:r>
    </w:p>
    <w:p>
      <w:pPr>
        <w:pStyle w:val="BodyText"/>
        <w:spacing w:line="285" w:lineRule="auto" w:before="168"/>
        <w:ind w:left="166" w:right="107"/>
      </w:pPr>
      <w:r>
        <w:rPr/>
        <w:t>保险公司必须拥有获得使用被保险人的血液样本的权利和能够对这些样本进行独立检验的权利。</w:t>
      </w:r>
    </w:p>
    <w:p>
      <w:pPr>
        <w:spacing w:after="0" w:line="285" w:lineRule="auto"/>
        <w:sectPr>
          <w:type w:val="continuous"/>
          <w:pgSz w:w="11910" w:h="16840"/>
          <w:pgMar w:top="120" w:bottom="1020" w:left="860" w:right="680"/>
          <w:cols w:num="2" w:equalWidth="0">
            <w:col w:w="2526" w:space="40"/>
            <w:col w:w="7804"/>
          </w:cols>
        </w:sectPr>
      </w:pP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jc w:val="both"/>
      </w:pPr>
      <w:r>
        <w:rPr/>
        <w:t>J14．胰岛素依赖型糖尿病（I 型糖尿病）</w:t>
      </w:r>
    </w:p>
    <w:p>
      <w:pPr>
        <w:pStyle w:val="BodyText"/>
        <w:spacing w:line="285" w:lineRule="auto"/>
        <w:ind w:left="166" w:right="105"/>
        <w:jc w:val="both"/>
      </w:pPr>
      <w:r>
        <w:rPr/>
        <w:br w:type="column"/>
      </w:r>
      <w:r>
        <w:rPr>
          <w:spacing w:val="-4"/>
        </w:rPr>
        <w:t>指由于完全和不可逆的胰岛素分泌不足导致的慢性血糖升高，且需持续性地依赖外源性</w:t>
      </w:r>
      <w:r>
        <w:rPr>
          <w:spacing w:val="-3"/>
        </w:rPr>
        <w:t>胰岛素维持生命 </w:t>
      </w:r>
      <w:r>
        <w:rPr/>
        <w:t>180 天以上。须经血胰岛素测定和血（尿）C 肽测定，结果异常，并</w:t>
      </w:r>
      <w:r>
        <w:rPr>
          <w:spacing w:val="-1"/>
        </w:rPr>
        <w:t>由儿科医师确诊。</w:t>
      </w:r>
    </w:p>
    <w:p>
      <w:pPr>
        <w:spacing w:after="0" w:line="285" w:lineRule="auto"/>
        <w:jc w:val="both"/>
        <w:sectPr>
          <w:type w:val="continuous"/>
          <w:pgSz w:w="11910" w:h="16840"/>
          <w:pgMar w:top="120" w:bottom="1020" w:left="860" w:right="680"/>
          <w:cols w:num="2" w:equalWidth="0">
            <w:col w:w="2526" w:space="40"/>
            <w:col w:w="7804"/>
          </w:cols>
        </w:sectPr>
      </w:pPr>
    </w:p>
    <w:p>
      <w:pPr>
        <w:pStyle w:val="BodyText"/>
        <w:spacing w:before="11"/>
        <w:rPr>
          <w:sz w:val="9"/>
        </w:rPr>
      </w:pPr>
    </w:p>
    <w:p>
      <w:pPr>
        <w:pStyle w:val="BodyText"/>
        <w:spacing w:line="285" w:lineRule="auto"/>
        <w:ind w:left="2731" w:right="105" w:hanging="1981"/>
        <w:jc w:val="both"/>
      </w:pPr>
      <w:r>
        <w:rPr/>
        <w:t>J15</w:t>
      </w:r>
      <w:r>
        <w:rPr>
          <w:spacing w:val="-3"/>
        </w:rPr>
        <w:t>．脊髓灰质炎   脊髓灰质炎是由于脊髓灰质炎病毒感染所致的瘫痪性疾病，临床表现为运动功能损害或</w:t>
      </w:r>
      <w:r>
        <w:rPr>
          <w:spacing w:val="-9"/>
        </w:rPr>
        <w:t>呼吸无力。脊髓灰质炎必须明确诊断。我们仅对脊髓灰质炎造成的神经系统功能损害导</w:t>
      </w:r>
      <w:r>
        <w:rPr>
          <w:spacing w:val="-4"/>
        </w:rPr>
        <w:t>致被保险人一肢或一肢以上肢体机能永久完全丧失的情况予以理赔。肢体机能永久完全</w:t>
      </w:r>
      <w:r>
        <w:rPr>
          <w:spacing w:val="-13"/>
        </w:rPr>
        <w:t>丧失，指疾病确诊 </w:t>
      </w:r>
      <w:r>
        <w:rPr/>
        <w:t>180</w:t>
      </w:r>
      <w:r>
        <w:rPr>
          <w:spacing w:val="-11"/>
        </w:rPr>
        <w:t> 天后，每肢三大关节中的两大关节仍然完全僵硬，或不能随意识活动。</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t>J16．全身性重症肌无力</w:t>
      </w:r>
    </w:p>
    <w:p>
      <w:pPr>
        <w:pStyle w:val="BodyText"/>
        <w:spacing w:line="285" w:lineRule="auto"/>
        <w:ind w:left="166" w:right="106"/>
        <w:jc w:val="both"/>
      </w:pPr>
      <w:r>
        <w:rPr/>
        <w:br w:type="column"/>
      </w:r>
      <w:r>
        <w:rPr>
          <w:spacing w:val="-5"/>
        </w:rPr>
        <w:t>重症肌无力是一种神经肌肉接头传递障碍所致的疾病，表现为局部或全身骨骼肌</w:t>
      </w:r>
      <w:r>
        <w:rPr/>
        <w:t>（特别</w:t>
      </w:r>
      <w:r>
        <w:rPr>
          <w:spacing w:val="-1"/>
        </w:rPr>
        <w:t>是眼外肌</w:t>
      </w:r>
      <w:r>
        <w:rPr>
          <w:spacing w:val="-20"/>
        </w:rPr>
        <w:t>）</w:t>
      </w:r>
      <w:r>
        <w:rPr>
          <w:spacing w:val="-7"/>
        </w:rPr>
        <w:t>极易疲劳。疾病可以累及呼吸肌、上肢或下肢的近端肌群或全身肌肉，必须</w:t>
      </w:r>
      <w:r>
        <w:rPr>
          <w:spacing w:val="-1"/>
        </w:rPr>
        <w:t>满足下列全部条件：</w:t>
      </w:r>
    </w:p>
    <w:p>
      <w:pPr>
        <w:pStyle w:val="BodyText"/>
        <w:spacing w:before="11"/>
        <w:ind w:left="166"/>
      </w:pPr>
      <w:r>
        <w:rPr/>
        <w:t>（1）经药物治疗和胸腺切除治疗一年以上仍无法控制病情；</w:t>
      </w:r>
    </w:p>
    <w:p>
      <w:pPr>
        <w:pStyle w:val="BodyText"/>
        <w:spacing w:line="285" w:lineRule="auto" w:before="49"/>
        <w:ind w:left="166" w:right="106"/>
        <w:jc w:val="both"/>
      </w:pPr>
      <w:r>
        <w:rPr/>
        <w:t>（2）自主生活能力完全丧失，无法独立完成六项基本日常生活活动中的三项或三项以上。</w:t>
      </w:r>
    </w:p>
    <w:p>
      <w:pPr>
        <w:spacing w:after="0" w:line="285" w:lineRule="auto"/>
        <w:jc w:val="both"/>
        <w:sectPr>
          <w:type w:val="continuous"/>
          <w:pgSz w:w="11910" w:h="16840"/>
          <w:pgMar w:top="120" w:bottom="1020" w:left="860" w:right="680"/>
          <w:cols w:num="2" w:equalWidth="0">
            <w:col w:w="2526" w:space="40"/>
            <w:col w:w="7804"/>
          </w:cols>
        </w:sectPr>
      </w:pPr>
    </w:p>
    <w:p>
      <w:pPr>
        <w:pStyle w:val="BodyText"/>
        <w:spacing w:before="11"/>
        <w:rPr>
          <w:sz w:val="9"/>
        </w:rPr>
      </w:pPr>
    </w:p>
    <w:p>
      <w:pPr>
        <w:pStyle w:val="BodyText"/>
        <w:spacing w:line="285" w:lineRule="auto"/>
        <w:ind w:left="2731" w:right="106" w:hanging="1980"/>
        <w:jc w:val="both"/>
      </w:pPr>
      <w:r>
        <w:rPr/>
        <w:t>J17</w:t>
      </w:r>
      <w:r>
        <w:rPr>
          <w:spacing w:val="-3"/>
        </w:rPr>
        <w:t>．脑膜炎       指因病毒或细菌感染引起的脑脊髓膜炎症，且导致神经系统永久性的功能障碍。须由神经专科医师确诊。神经系统永久性的功能障碍，指疾病确诊 </w:t>
      </w:r>
      <w:r>
        <w:rPr/>
        <w:t>180 天后，仍遗留下列一</w:t>
      </w:r>
      <w:r>
        <w:rPr>
          <w:spacing w:val="-1"/>
        </w:rPr>
        <w:t>种或一种以上障碍：</w:t>
      </w:r>
    </w:p>
    <w:p>
      <w:pPr>
        <w:pStyle w:val="BodyText"/>
        <w:spacing w:before="12"/>
        <w:ind w:left="2731"/>
      </w:pPr>
      <w:r>
        <w:rPr/>
        <w:t>（1）一肢或一肢以上肢体机能完全丧失；</w:t>
      </w:r>
    </w:p>
    <w:p>
      <w:pPr>
        <w:spacing w:after="0"/>
        <w:sectPr>
          <w:type w:val="continuous"/>
          <w:pgSz w:w="11910" w:h="16840"/>
          <w:pgMar w:top="120" w:bottom="1020" w:left="860" w:right="680"/>
        </w:sectPr>
      </w:pPr>
    </w:p>
    <w:p>
      <w:pPr>
        <w:pStyle w:val="BodyText"/>
        <w:spacing w:before="14"/>
        <w:ind w:left="2811"/>
      </w:pPr>
      <w:r>
        <w:rPr/>
        <w:t>（2）语言能力或咀嚼吞咽能力完全丧失；</w:t>
      </w:r>
    </w:p>
    <w:p>
      <w:pPr>
        <w:pStyle w:val="BodyText"/>
        <w:spacing w:line="285" w:lineRule="auto" w:before="50"/>
        <w:ind w:left="2811" w:right="206"/>
      </w:pPr>
      <w:r>
        <w:rPr/>
        <w:t>（3）自主生活能力完全丧失，无法独立完成六项基本日常生活活动中的三项或三项以上；</w:t>
      </w:r>
    </w:p>
    <w:p>
      <w:pPr>
        <w:pStyle w:val="BodyText"/>
        <w:spacing w:before="12"/>
        <w:ind w:left="2811"/>
      </w:pPr>
      <w:r>
        <w:rPr/>
        <w:t>（4）脑积水；</w:t>
      </w:r>
    </w:p>
    <w:p>
      <w:pPr>
        <w:pStyle w:val="BodyText"/>
        <w:spacing w:before="50"/>
        <w:ind w:left="2811"/>
      </w:pPr>
      <w:r>
        <w:rPr/>
        <w:t>（5）中度以上智力障碍。</w:t>
      </w:r>
    </w:p>
    <w:p>
      <w:pPr>
        <w:pStyle w:val="BodyText"/>
        <w:spacing w:before="10"/>
        <w:rPr>
          <w:sz w:val="15"/>
        </w:rPr>
      </w:pPr>
    </w:p>
    <w:p>
      <w:pPr>
        <w:pStyle w:val="BodyText"/>
        <w:tabs>
          <w:tab w:pos="2810" w:val="left" w:leader="none"/>
        </w:tabs>
        <w:spacing w:line="285" w:lineRule="auto" w:before="0"/>
        <w:ind w:left="2811" w:right="206" w:hanging="1980"/>
        <w:jc w:val="both"/>
      </w:pPr>
      <w:r>
        <w:rPr/>
        <w:t>J18．脑炎</w:t>
        <w:tab/>
      </w:r>
      <w:r>
        <w:rPr>
          <w:spacing w:val="-1"/>
        </w:rPr>
        <w:t>指因病毒或细菌感染引起的脑部炎</w:t>
      </w:r>
      <w:r>
        <w:rPr>
          <w:spacing w:val="-21"/>
        </w:rPr>
        <w:t>症</w:t>
      </w:r>
      <w:r>
        <w:rPr>
          <w:spacing w:val="-1"/>
        </w:rPr>
        <w:t>（大</w:t>
      </w:r>
      <w:r>
        <w:rPr/>
        <w:t>脑半球</w:t>
      </w:r>
      <w:r>
        <w:rPr>
          <w:spacing w:val="-21"/>
        </w:rPr>
        <w:t>、</w:t>
      </w:r>
      <w:r>
        <w:rPr/>
        <w:t>脑干或小脑</w:t>
      </w:r>
      <w:r>
        <w:rPr>
          <w:spacing w:val="-21"/>
        </w:rPr>
        <w:t>），</w:t>
      </w:r>
      <w:r>
        <w:rPr/>
        <w:t>且导致神经系统永久 性的功能障碍</w:t>
      </w:r>
      <w:r>
        <w:rPr>
          <w:spacing w:val="-9"/>
        </w:rPr>
        <w:t>。</w:t>
      </w:r>
      <w:r>
        <w:rPr/>
        <w:t>须由神经专科医师确诊</w:t>
      </w:r>
      <w:r>
        <w:rPr>
          <w:spacing w:val="-10"/>
        </w:rPr>
        <w:t>。</w:t>
      </w:r>
      <w:r>
        <w:rPr/>
        <w:t>神经系统永久性的功能障碍</w:t>
      </w:r>
      <w:r>
        <w:rPr>
          <w:spacing w:val="-9"/>
        </w:rPr>
        <w:t>，</w:t>
      </w:r>
      <w:r>
        <w:rPr/>
        <w:t>指疾病确诊</w:t>
      </w:r>
      <w:r>
        <w:rPr>
          <w:spacing w:val="-62"/>
        </w:rPr>
        <w:t> </w:t>
      </w:r>
      <w:r>
        <w:rPr/>
        <w:t>180 </w:t>
      </w:r>
      <w:r>
        <w:rPr>
          <w:spacing w:val="-1"/>
        </w:rPr>
        <w:t>天后，仍遗留下列一种</w:t>
      </w:r>
      <w:r>
        <w:rPr/>
        <w:t>或一种以上障碍：</w:t>
      </w:r>
    </w:p>
    <w:p>
      <w:pPr>
        <w:pStyle w:val="BodyText"/>
        <w:spacing w:before="12"/>
        <w:ind w:left="2811"/>
      </w:pPr>
      <w:r>
        <w:rPr/>
        <w:t>（1）一肢或一肢以上肢体机能完全丧失；</w:t>
      </w:r>
    </w:p>
    <w:p>
      <w:pPr>
        <w:pStyle w:val="BodyText"/>
        <w:spacing w:before="50"/>
        <w:ind w:left="2811"/>
      </w:pPr>
      <w:r>
        <w:rPr/>
        <w:t>（2）语言能力或咀嚼吞咽能力完全丧失；</w:t>
      </w:r>
    </w:p>
    <w:p>
      <w:pPr>
        <w:pStyle w:val="BodyText"/>
        <w:spacing w:line="285" w:lineRule="auto" w:before="50"/>
        <w:ind w:left="2811" w:right="206"/>
      </w:pPr>
      <w:r>
        <w:rPr/>
        <w:t>（3）自主生活能力完全丧失，无法独立完成六项基本日常生活活动中的三项或三项以上；</w:t>
      </w:r>
    </w:p>
    <w:p>
      <w:pPr>
        <w:pStyle w:val="BodyText"/>
        <w:spacing w:before="12"/>
        <w:ind w:left="2811"/>
      </w:pPr>
      <w:r>
        <w:rPr/>
        <w:t>（4）脑积水；</w:t>
      </w:r>
    </w:p>
    <w:p>
      <w:pPr>
        <w:pStyle w:val="BodyText"/>
        <w:spacing w:before="50"/>
        <w:ind w:left="2811"/>
      </w:pPr>
      <w:r>
        <w:rPr/>
        <w:t>（5）中度以上智力障碍。</w:t>
      </w:r>
    </w:p>
    <w:p>
      <w:pPr>
        <w:pStyle w:val="BodyText"/>
        <w:spacing w:before="10"/>
        <w:rPr>
          <w:sz w:val="12"/>
        </w:rPr>
      </w:pPr>
    </w:p>
    <w:p>
      <w:pPr>
        <w:spacing w:after="0"/>
        <w:rPr>
          <w:sz w:val="12"/>
        </w:rPr>
        <w:sectPr>
          <w:pgSz w:w="11910" w:h="16840"/>
          <w:pgMar w:header="0" w:footer="834" w:top="1420" w:bottom="1100" w:left="780" w:right="580"/>
        </w:sectPr>
      </w:pPr>
    </w:p>
    <w:p>
      <w:pPr>
        <w:pStyle w:val="BodyText"/>
        <w:spacing w:line="285" w:lineRule="auto"/>
        <w:ind w:left="831"/>
      </w:pPr>
      <w:r>
        <w:rPr/>
        <w:t>J19．幼年型类风湿性关节炎</w:t>
      </w:r>
    </w:p>
    <w:p>
      <w:pPr>
        <w:pStyle w:val="BodyText"/>
        <w:spacing w:line="285" w:lineRule="auto"/>
        <w:ind w:left="166" w:right="104"/>
      </w:pPr>
      <w:r>
        <w:rPr/>
        <w:br w:type="column"/>
      </w:r>
      <w:r>
        <w:rPr>
          <w:spacing w:val="-5"/>
        </w:rPr>
        <w:t>本病是一种慢性少儿关节炎，其特征为高热和系统性病征，并在关节炎出现之前持续存</w:t>
      </w:r>
      <w:r>
        <w:rPr>
          <w:spacing w:val="-13"/>
        </w:rPr>
        <w:t>在数月。主要表现包括持续高热、易消散皮疹、关节炎、脾肿大、淋巴结肿大、浆膜炎、体重减轻、中性粒细胞增多、急性期蛋白升高，以及血清抗核抗体(ANA)和类风湿因子</w:t>
      </w:r>
    </w:p>
    <w:p>
      <w:pPr>
        <w:pStyle w:val="BodyText"/>
        <w:spacing w:line="285" w:lineRule="auto" w:before="12"/>
        <w:ind w:left="166" w:right="206"/>
      </w:pPr>
      <w:r>
        <w:rPr>
          <w:spacing w:val="-1"/>
        </w:rPr>
        <w:t>(RF)</w:t>
      </w:r>
      <w:r>
        <w:rPr>
          <w:spacing w:val="-9"/>
        </w:rPr>
        <w:t>检查阴性。须由小儿风湿科专科医生确诊，且病情严重并确已接受膝关节或髋关节</w:t>
      </w:r>
      <w:r>
        <w:rPr>
          <w:spacing w:val="-1"/>
        </w:rPr>
        <w:t>置换手术治疗。</w:t>
      </w:r>
    </w:p>
    <w:p>
      <w:pPr>
        <w:spacing w:after="0" w:line="285" w:lineRule="auto"/>
        <w:sectPr>
          <w:type w:val="continuous"/>
          <w:pgSz w:w="11910" w:h="16840"/>
          <w:pgMar w:top="120" w:bottom="1020" w:left="780" w:right="580"/>
          <w:cols w:num="2" w:equalWidth="0">
            <w:col w:w="2606" w:space="40"/>
            <w:col w:w="7904"/>
          </w:cols>
        </w:sectPr>
      </w:pPr>
    </w:p>
    <w:p>
      <w:pPr>
        <w:pStyle w:val="BodyText"/>
        <w:spacing w:before="11"/>
        <w:rPr>
          <w:sz w:val="9"/>
        </w:rPr>
      </w:pPr>
    </w:p>
    <w:p>
      <w:pPr>
        <w:spacing w:after="0"/>
        <w:rPr>
          <w:sz w:val="9"/>
        </w:rPr>
        <w:sectPr>
          <w:type w:val="continuous"/>
          <w:pgSz w:w="11910" w:h="16840"/>
          <w:pgMar w:top="120" w:bottom="1020" w:left="780" w:right="580"/>
        </w:sectPr>
      </w:pPr>
    </w:p>
    <w:p>
      <w:pPr>
        <w:pStyle w:val="BodyText"/>
        <w:spacing w:line="285" w:lineRule="auto"/>
        <w:ind w:left="831"/>
      </w:pPr>
      <w:r>
        <w:rPr/>
        <w:t>J20．川崎病（伴冠状动脉瘤）</w:t>
      </w:r>
    </w:p>
    <w:p>
      <w:pPr>
        <w:pStyle w:val="BodyText"/>
        <w:spacing w:line="285" w:lineRule="auto"/>
        <w:ind w:left="166" w:right="205"/>
        <w:jc w:val="both"/>
      </w:pPr>
      <w:r>
        <w:rPr/>
        <w:br w:type="column"/>
      </w:r>
      <w:r>
        <w:rPr>
          <w:spacing w:val="-6"/>
        </w:rPr>
        <w:t>本病是一种原因未明的系统性血管炎，临床表现为急性发热，皮肤粘膜病损和淋巴结肿</w:t>
      </w:r>
      <w:r>
        <w:rPr>
          <w:spacing w:val="-9"/>
        </w:rPr>
        <w:t>大。本病须经儿科医师明确诊断，同时须由血管造影或超声心动图检查证实，满足下列</w:t>
      </w:r>
      <w:r>
        <w:rPr>
          <w:spacing w:val="-1"/>
        </w:rPr>
        <w:t>至少一项条件：</w:t>
      </w:r>
    </w:p>
    <w:p>
      <w:pPr>
        <w:pStyle w:val="BodyText"/>
        <w:spacing w:before="12"/>
        <w:ind w:left="166"/>
        <w:jc w:val="both"/>
      </w:pPr>
      <w:r>
        <w:rPr/>
        <w:t>（1）伴有冠状动脉瘤，且冠状动脉瘤于最初急性发病后持续至少 180 天；</w:t>
      </w:r>
    </w:p>
    <w:p>
      <w:pPr>
        <w:pStyle w:val="BodyText"/>
        <w:spacing w:before="50"/>
        <w:ind w:left="166"/>
        <w:jc w:val="both"/>
      </w:pPr>
      <w:r>
        <w:rPr/>
        <w:t>（2）伴有冠状动脉瘤，且实际接受了对冠状动脉瘤进行的手术治疗。</w:t>
      </w:r>
    </w:p>
    <w:p>
      <w:pPr>
        <w:spacing w:after="0"/>
        <w:jc w:val="both"/>
        <w:sectPr>
          <w:type w:val="continuous"/>
          <w:pgSz w:w="11910" w:h="16840"/>
          <w:pgMar w:top="120" w:bottom="1020" w:left="780" w:right="580"/>
          <w:cols w:num="2" w:equalWidth="0">
            <w:col w:w="2606" w:space="40"/>
            <w:col w:w="7904"/>
          </w:cols>
        </w:sectPr>
      </w:pPr>
    </w:p>
    <w:p>
      <w:pPr>
        <w:pStyle w:val="BodyText"/>
        <w:spacing w:before="10"/>
        <w:rPr>
          <w:sz w:val="12"/>
        </w:rPr>
      </w:pPr>
    </w:p>
    <w:p>
      <w:pPr>
        <w:spacing w:after="0"/>
        <w:rPr>
          <w:sz w:val="12"/>
        </w:rPr>
        <w:sectPr>
          <w:type w:val="continuous"/>
          <w:pgSz w:w="11910" w:h="16840"/>
          <w:pgMar w:top="120" w:bottom="1020" w:left="780" w:right="580"/>
        </w:sectPr>
      </w:pPr>
    </w:p>
    <w:p>
      <w:pPr>
        <w:pStyle w:val="Heading1"/>
        <w:numPr>
          <w:ilvl w:val="1"/>
          <w:numId w:val="2"/>
        </w:numPr>
        <w:tabs>
          <w:tab w:pos="831" w:val="left" w:leader="none"/>
          <w:tab w:pos="832" w:val="left" w:leader="none"/>
        </w:tabs>
        <w:spacing w:line="285" w:lineRule="auto" w:before="39" w:after="0"/>
        <w:ind w:left="831" w:right="0" w:hanging="720"/>
        <w:jc w:val="left"/>
      </w:pPr>
      <w:r>
        <w:rPr>
          <w:spacing w:val="20"/>
        </w:rPr>
        <w:t>十八周岁后重大疾</w:t>
      </w:r>
      <w:r>
        <w:rPr>
          <w:w w:val="95"/>
        </w:rPr>
        <w:t>病的定义</w:t>
      </w:r>
    </w:p>
    <w:p>
      <w:pPr>
        <w:pStyle w:val="BodyText"/>
        <w:spacing w:line="278" w:lineRule="auto"/>
        <w:ind w:left="111" w:right="206"/>
        <w:jc w:val="both"/>
      </w:pPr>
      <w:r>
        <w:rPr/>
        <w:br w:type="column"/>
      </w:r>
      <w:r>
        <w:rPr/>
        <w:t>若被保险人在年满十八周岁后的首个保单周年日后（含当日）患有符合以下定义所述</w:t>
      </w:r>
      <w:r>
        <w:rPr>
          <w:spacing w:val="-4"/>
        </w:rPr>
        <w:t>条件并由相应的专科医生明确诊断的四十五种重大疾病之一，我们按照本附加合同 </w:t>
      </w:r>
      <w:r>
        <w:rPr>
          <w:rFonts w:ascii="Times New Roman" w:eastAsia="Times New Roman"/>
        </w:rPr>
        <w:t>2.2 </w:t>
      </w:r>
      <w:r>
        <w:rPr>
          <w:spacing w:val="-1"/>
        </w:rPr>
        <w:t>条的约定给付保险金。</w:t>
      </w:r>
    </w:p>
    <w:p>
      <w:pPr>
        <w:pStyle w:val="BodyText"/>
        <w:spacing w:before="174"/>
        <w:ind w:left="111"/>
        <w:jc w:val="both"/>
      </w:pPr>
      <w:r>
        <w:rPr/>
        <w:t>这四十五种重大疾病分为两类，即统一定义的重大疾病和自行定义的重大疾病。</w:t>
      </w:r>
    </w:p>
    <w:p>
      <w:pPr>
        <w:spacing w:after="0"/>
        <w:jc w:val="both"/>
        <w:sectPr>
          <w:type w:val="continuous"/>
          <w:pgSz w:w="11910" w:h="16840"/>
          <w:pgMar w:top="120" w:bottom="1020" w:left="780" w:right="580"/>
          <w:cols w:num="2" w:equalWidth="0">
            <w:col w:w="2618" w:space="154"/>
            <w:col w:w="7778"/>
          </w:cols>
        </w:sectPr>
      </w:pPr>
    </w:p>
    <w:p>
      <w:pPr>
        <w:pStyle w:val="BodyText"/>
        <w:spacing w:before="10"/>
        <w:rPr>
          <w:sz w:val="12"/>
        </w:rPr>
      </w:pPr>
    </w:p>
    <w:p>
      <w:pPr>
        <w:spacing w:after="0"/>
        <w:rPr>
          <w:sz w:val="12"/>
        </w:rPr>
        <w:sectPr>
          <w:type w:val="continuous"/>
          <w:pgSz w:w="11910" w:h="16840"/>
          <w:pgMar w:top="120" w:bottom="1020" w:left="780" w:right="580"/>
        </w:sectPr>
      </w:pPr>
    </w:p>
    <w:p>
      <w:pPr>
        <w:pStyle w:val="BodyText"/>
        <w:spacing w:line="285" w:lineRule="auto"/>
        <w:ind w:left="831"/>
      </w:pPr>
      <w:r>
        <w:rPr>
          <w:spacing w:val="-6"/>
        </w:rPr>
        <w:t>一、统一定义的重大疾病</w:t>
      </w:r>
    </w:p>
    <w:p>
      <w:pPr>
        <w:pStyle w:val="BodyText"/>
        <w:spacing w:line="285" w:lineRule="auto"/>
        <w:ind w:left="174" w:right="131"/>
      </w:pPr>
      <w:r>
        <w:rPr/>
        <w:br w:type="column"/>
      </w:r>
      <w:r>
        <w:rPr/>
        <w:t>以下二十四种重大疾病的名称及定义均出自中国保险行业协会颁布的《重大疾病保险的疾病定义使用规范》：</w:t>
      </w:r>
    </w:p>
    <w:p>
      <w:pPr>
        <w:spacing w:after="0" w:line="285" w:lineRule="auto"/>
        <w:sectPr>
          <w:type w:val="continuous"/>
          <w:pgSz w:w="11910" w:h="16840"/>
          <w:pgMar w:top="120" w:bottom="1020" w:left="780" w:right="580"/>
          <w:cols w:num="2" w:equalWidth="0">
            <w:col w:w="2597" w:space="40"/>
            <w:col w:w="7913"/>
          </w:cols>
        </w:sectPr>
      </w:pPr>
    </w:p>
    <w:p>
      <w:pPr>
        <w:pStyle w:val="BodyText"/>
        <w:spacing w:before="11"/>
        <w:rPr>
          <w:sz w:val="9"/>
        </w:rPr>
      </w:pPr>
    </w:p>
    <w:p>
      <w:pPr>
        <w:pStyle w:val="BodyText"/>
        <w:spacing w:line="280" w:lineRule="auto"/>
        <w:ind w:left="2883" w:right="247" w:hanging="2052"/>
        <w:jc w:val="both"/>
      </w:pPr>
      <w:r>
        <w:rPr/>
        <w:t>A1．恶性肿瘤       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Heading1"/>
        <w:spacing w:before="171"/>
        <w:ind w:left="2883"/>
      </w:pPr>
      <w:r>
        <w:rPr>
          <w:w w:val="95"/>
        </w:rPr>
        <w:t>下列疾病不在保障范围内：</w:t>
      </w:r>
    </w:p>
    <w:p>
      <w:pPr>
        <w:pStyle w:val="ListParagraph"/>
        <w:numPr>
          <w:ilvl w:val="0"/>
          <w:numId w:val="9"/>
        </w:numPr>
        <w:tabs>
          <w:tab w:pos="3492" w:val="left" w:leader="none"/>
        </w:tabs>
        <w:spacing w:line="240" w:lineRule="auto" w:before="49" w:after="0"/>
        <w:ind w:left="3491" w:right="0" w:hanging="608"/>
        <w:jc w:val="left"/>
        <w:rPr>
          <w:b/>
          <w:sz w:val="20"/>
        </w:rPr>
      </w:pPr>
      <w:r>
        <w:rPr>
          <w:b/>
          <w:w w:val="95"/>
          <w:sz w:val="20"/>
        </w:rPr>
        <w:t>原位癌；</w:t>
      </w:r>
    </w:p>
    <w:p>
      <w:pPr>
        <w:pStyle w:val="ListParagraph"/>
        <w:numPr>
          <w:ilvl w:val="0"/>
          <w:numId w:val="9"/>
        </w:numPr>
        <w:tabs>
          <w:tab w:pos="3493" w:val="left" w:leader="none"/>
        </w:tabs>
        <w:spacing w:line="240" w:lineRule="auto" w:before="49" w:after="0"/>
        <w:ind w:left="3492" w:right="0" w:hanging="609"/>
        <w:jc w:val="left"/>
        <w:rPr>
          <w:b/>
          <w:sz w:val="20"/>
        </w:rPr>
      </w:pPr>
      <w:r>
        <w:rPr>
          <w:b/>
          <w:spacing w:val="-14"/>
          <w:sz w:val="20"/>
        </w:rPr>
        <w:t>相当于 </w:t>
      </w:r>
      <w:r>
        <w:rPr>
          <w:b/>
          <w:sz w:val="20"/>
        </w:rPr>
        <w:t>Binet</w:t>
      </w:r>
      <w:r>
        <w:rPr>
          <w:b/>
          <w:spacing w:val="-19"/>
          <w:sz w:val="20"/>
        </w:rPr>
        <w:t> 分期方案 </w:t>
      </w:r>
      <w:r>
        <w:rPr>
          <w:b/>
          <w:sz w:val="20"/>
        </w:rPr>
        <w:t>A</w:t>
      </w:r>
      <w:r>
        <w:rPr>
          <w:b/>
          <w:spacing w:val="-8"/>
          <w:sz w:val="20"/>
        </w:rPr>
        <w:t> 期程度的慢性淋巴细胞白血病；</w:t>
      </w:r>
    </w:p>
    <w:p>
      <w:pPr>
        <w:pStyle w:val="ListParagraph"/>
        <w:numPr>
          <w:ilvl w:val="0"/>
          <w:numId w:val="9"/>
        </w:numPr>
        <w:tabs>
          <w:tab w:pos="3493" w:val="left" w:leader="none"/>
        </w:tabs>
        <w:spacing w:line="240" w:lineRule="auto" w:before="49" w:after="0"/>
        <w:ind w:left="3492" w:right="0" w:hanging="609"/>
        <w:jc w:val="left"/>
        <w:rPr>
          <w:b/>
          <w:sz w:val="20"/>
        </w:rPr>
      </w:pPr>
      <w:r>
        <w:rPr>
          <w:b/>
          <w:spacing w:val="-14"/>
          <w:sz w:val="20"/>
        </w:rPr>
        <w:t>相当于 </w:t>
      </w:r>
      <w:r>
        <w:rPr>
          <w:b/>
          <w:sz w:val="20"/>
        </w:rPr>
        <w:t>Ann</w:t>
      </w:r>
      <w:r>
        <w:rPr>
          <w:b/>
          <w:spacing w:val="-6"/>
          <w:sz w:val="20"/>
        </w:rPr>
        <w:t> </w:t>
      </w:r>
      <w:r>
        <w:rPr>
          <w:b/>
          <w:sz w:val="20"/>
        </w:rPr>
        <w:t>Arbor</w:t>
      </w:r>
      <w:r>
        <w:rPr>
          <w:b/>
          <w:spacing w:val="-12"/>
          <w:sz w:val="20"/>
        </w:rPr>
        <w:t> 分期方案</w:t>
      </w:r>
      <w:r>
        <w:rPr>
          <w:b/>
          <w:sz w:val="20"/>
        </w:rPr>
        <w:t>Ι期程度的何杰金氏病；</w:t>
      </w:r>
    </w:p>
    <w:p>
      <w:pPr>
        <w:pStyle w:val="ListParagraph"/>
        <w:numPr>
          <w:ilvl w:val="0"/>
          <w:numId w:val="9"/>
        </w:numPr>
        <w:tabs>
          <w:tab w:pos="3492" w:val="left" w:leader="none"/>
        </w:tabs>
        <w:spacing w:line="240" w:lineRule="auto" w:before="49" w:after="0"/>
        <w:ind w:left="3491" w:right="0" w:hanging="608"/>
        <w:jc w:val="left"/>
        <w:rPr>
          <w:b/>
          <w:sz w:val="20"/>
        </w:rPr>
      </w:pPr>
      <w:r>
        <w:rPr>
          <w:b/>
          <w:w w:val="95"/>
          <w:sz w:val="20"/>
        </w:rPr>
        <w:t>皮肤癌（不包括恶性黑色素瘤及已发生转移的皮肤癌）；</w:t>
      </w:r>
    </w:p>
    <w:p>
      <w:pPr>
        <w:pStyle w:val="ListParagraph"/>
        <w:numPr>
          <w:ilvl w:val="0"/>
          <w:numId w:val="9"/>
        </w:numPr>
        <w:tabs>
          <w:tab w:pos="3493" w:val="left" w:leader="none"/>
        </w:tabs>
        <w:spacing w:line="240" w:lineRule="auto" w:before="49" w:after="0"/>
        <w:ind w:left="3492" w:right="0" w:hanging="609"/>
        <w:jc w:val="left"/>
        <w:rPr>
          <w:b/>
          <w:sz w:val="20"/>
        </w:rPr>
      </w:pPr>
      <w:r>
        <w:rPr>
          <w:b/>
          <w:position w:val="1"/>
          <w:sz w:val="20"/>
        </w:rPr>
        <w:t>TNM</w:t>
      </w:r>
      <w:r>
        <w:rPr>
          <w:b/>
          <w:spacing w:val="-13"/>
          <w:position w:val="1"/>
          <w:sz w:val="20"/>
        </w:rPr>
        <w:t> 分期为 </w:t>
      </w:r>
      <w:r>
        <w:rPr>
          <w:b/>
          <w:position w:val="1"/>
          <w:sz w:val="20"/>
        </w:rPr>
        <w:t>T</w:t>
      </w:r>
      <w:r>
        <w:rPr>
          <w:b/>
          <w:sz w:val="10"/>
        </w:rPr>
        <w:t>1</w:t>
      </w:r>
      <w:r>
        <w:rPr>
          <w:b/>
          <w:position w:val="1"/>
          <w:sz w:val="20"/>
        </w:rPr>
        <w:t>N</w:t>
      </w:r>
      <w:r>
        <w:rPr>
          <w:b/>
          <w:sz w:val="10"/>
        </w:rPr>
        <w:t>0</w:t>
      </w:r>
      <w:r>
        <w:rPr>
          <w:b/>
          <w:position w:val="1"/>
          <w:sz w:val="20"/>
        </w:rPr>
        <w:t>M</w:t>
      </w:r>
      <w:r>
        <w:rPr>
          <w:b/>
          <w:sz w:val="10"/>
        </w:rPr>
        <w:t>0</w:t>
      </w:r>
      <w:r>
        <w:rPr>
          <w:b/>
          <w:spacing w:val="-39"/>
          <w:sz w:val="10"/>
        </w:rPr>
        <w:t> </w:t>
      </w:r>
      <w:r>
        <w:rPr>
          <w:b/>
          <w:position w:val="1"/>
          <w:sz w:val="20"/>
        </w:rPr>
        <w:t>期或更轻分期的前列腺癌；</w:t>
      </w:r>
    </w:p>
    <w:p>
      <w:pPr>
        <w:spacing w:after="0" w:line="240" w:lineRule="auto"/>
        <w:jc w:val="left"/>
        <w:rPr>
          <w:sz w:val="20"/>
        </w:rPr>
        <w:sectPr>
          <w:type w:val="continuous"/>
          <w:pgSz w:w="11910" w:h="16840"/>
          <w:pgMar w:top="120" w:bottom="1020" w:left="780" w:right="580"/>
        </w:sectPr>
      </w:pPr>
    </w:p>
    <w:p>
      <w:pPr>
        <w:pStyle w:val="ListParagraph"/>
        <w:numPr>
          <w:ilvl w:val="0"/>
          <w:numId w:val="9"/>
        </w:numPr>
        <w:tabs>
          <w:tab w:pos="3412" w:val="left" w:leader="none"/>
        </w:tabs>
        <w:spacing w:line="240" w:lineRule="auto" w:before="14" w:after="0"/>
        <w:ind w:left="3411" w:right="0" w:hanging="608"/>
        <w:jc w:val="left"/>
        <w:rPr>
          <w:b/>
          <w:sz w:val="20"/>
        </w:rPr>
      </w:pPr>
      <w:r>
        <w:rPr>
          <w:b/>
          <w:w w:val="95"/>
          <w:sz w:val="20"/>
        </w:rPr>
        <w:t>感染艾滋病病毒或患艾滋病期间所患恶性肿瘤。</w:t>
      </w:r>
    </w:p>
    <w:p>
      <w:pPr>
        <w:pStyle w:val="BodyText"/>
        <w:spacing w:before="9"/>
        <w:rPr>
          <w:b/>
          <w:sz w:val="15"/>
        </w:rPr>
      </w:pPr>
    </w:p>
    <w:p>
      <w:pPr>
        <w:pStyle w:val="BodyText"/>
        <w:spacing w:line="285" w:lineRule="auto" w:before="0"/>
        <w:ind w:left="2803" w:right="158" w:hanging="2052"/>
        <w:jc w:val="both"/>
      </w:pPr>
      <w:r>
        <w:rPr/>
        <w:t>A2．急性心肌梗塞   指因冠状动脉阻塞导致的相应区域供血不足造成部分心肌坏死。须满足下列至少三项条件：</w:t>
      </w:r>
    </w:p>
    <w:p>
      <w:pPr>
        <w:pStyle w:val="ListParagraph"/>
        <w:numPr>
          <w:ilvl w:val="0"/>
          <w:numId w:val="10"/>
        </w:numPr>
        <w:tabs>
          <w:tab w:pos="3412" w:val="left" w:leader="none"/>
        </w:tabs>
        <w:spacing w:line="240" w:lineRule="auto" w:before="11" w:after="0"/>
        <w:ind w:left="3411" w:right="0" w:hanging="608"/>
        <w:jc w:val="left"/>
        <w:rPr>
          <w:sz w:val="20"/>
        </w:rPr>
      </w:pPr>
      <w:r>
        <w:rPr>
          <w:spacing w:val="-1"/>
          <w:sz w:val="20"/>
        </w:rPr>
        <w:t>典型临床表现，例如急性胸痛等；</w:t>
      </w:r>
    </w:p>
    <w:p>
      <w:pPr>
        <w:pStyle w:val="ListParagraph"/>
        <w:numPr>
          <w:ilvl w:val="0"/>
          <w:numId w:val="10"/>
        </w:numPr>
        <w:tabs>
          <w:tab w:pos="3412" w:val="left" w:leader="none"/>
        </w:tabs>
        <w:spacing w:line="240" w:lineRule="auto" w:before="49" w:after="0"/>
        <w:ind w:left="3411" w:right="0" w:hanging="608"/>
        <w:jc w:val="left"/>
        <w:rPr>
          <w:sz w:val="20"/>
        </w:rPr>
      </w:pPr>
      <w:r>
        <w:rPr>
          <w:spacing w:val="-1"/>
          <w:sz w:val="20"/>
        </w:rPr>
        <w:t>新近的心电图改变提示急性心肌梗塞；</w:t>
      </w:r>
    </w:p>
    <w:p>
      <w:pPr>
        <w:pStyle w:val="ListParagraph"/>
        <w:numPr>
          <w:ilvl w:val="0"/>
          <w:numId w:val="10"/>
        </w:numPr>
        <w:tabs>
          <w:tab w:pos="3412" w:val="left" w:leader="none"/>
        </w:tabs>
        <w:spacing w:line="240" w:lineRule="auto" w:before="49" w:after="0"/>
        <w:ind w:left="3411" w:right="0" w:hanging="608"/>
        <w:jc w:val="left"/>
        <w:rPr>
          <w:sz w:val="20"/>
        </w:rPr>
      </w:pPr>
      <w:r>
        <w:rPr>
          <w:spacing w:val="-1"/>
          <w:sz w:val="20"/>
        </w:rPr>
        <w:t>心肌酶或肌钙蛋白有诊断意义的升高，或呈符合急性心肌梗塞的动态性变化；</w:t>
      </w:r>
    </w:p>
    <w:p>
      <w:pPr>
        <w:pStyle w:val="ListParagraph"/>
        <w:numPr>
          <w:ilvl w:val="0"/>
          <w:numId w:val="10"/>
        </w:numPr>
        <w:tabs>
          <w:tab w:pos="3412" w:val="left" w:leader="none"/>
        </w:tabs>
        <w:spacing w:line="240" w:lineRule="auto" w:before="49" w:after="0"/>
        <w:ind w:left="3411" w:right="0" w:hanging="608"/>
        <w:jc w:val="left"/>
        <w:rPr>
          <w:sz w:val="20"/>
        </w:rPr>
      </w:pPr>
      <w:r>
        <w:rPr>
          <w:spacing w:val="-18"/>
          <w:sz w:val="20"/>
        </w:rPr>
        <w:t>发病 </w:t>
      </w:r>
      <w:r>
        <w:rPr>
          <w:sz w:val="20"/>
        </w:rPr>
        <w:t>90</w:t>
      </w:r>
      <w:r>
        <w:rPr>
          <w:spacing w:val="-4"/>
          <w:sz w:val="20"/>
        </w:rPr>
        <w:t> 天后，经检查证实左心室功能降低，如左心室射血分数低于 </w:t>
      </w:r>
      <w:r>
        <w:rPr>
          <w:sz w:val="20"/>
        </w:rPr>
        <w:t>50%。</w:t>
      </w:r>
    </w:p>
    <w:p>
      <w:pPr>
        <w:pStyle w:val="BodyText"/>
        <w:spacing w:before="9"/>
        <w:rPr>
          <w:sz w:val="15"/>
        </w:rPr>
      </w:pPr>
    </w:p>
    <w:p>
      <w:pPr>
        <w:pStyle w:val="BodyText"/>
        <w:spacing w:line="285" w:lineRule="auto" w:before="0"/>
        <w:ind w:left="2731" w:right="106" w:hanging="1981"/>
        <w:jc w:val="both"/>
      </w:pPr>
      <w:r>
        <w:rPr/>
        <w:t>A3．</w:t>
      </w:r>
      <w:r>
        <w:rPr>
          <w:spacing w:val="-4"/>
        </w:rPr>
        <w:t>脑中风后遗症  指因脑血管的突发病变引起脑血管出血、栓塞或梗塞，并导致神经系统永久性的功能障碍。神经系统永久性的功能障碍，指疾病确诊 </w:t>
      </w:r>
      <w:r>
        <w:rPr/>
        <w:t>180 天后，仍遗留下列一种或一种以上障碍：</w:t>
      </w:r>
    </w:p>
    <w:p>
      <w:pPr>
        <w:pStyle w:val="ListParagraph"/>
        <w:numPr>
          <w:ilvl w:val="0"/>
          <w:numId w:val="11"/>
        </w:numPr>
        <w:tabs>
          <w:tab w:pos="3412" w:val="left" w:leader="none"/>
        </w:tabs>
        <w:spacing w:line="240" w:lineRule="auto" w:before="12" w:after="0"/>
        <w:ind w:left="3411" w:right="0" w:hanging="680"/>
        <w:jc w:val="left"/>
        <w:rPr>
          <w:sz w:val="20"/>
        </w:rPr>
      </w:pPr>
      <w:r>
        <w:rPr>
          <w:w w:val="95"/>
          <w:sz w:val="20"/>
        </w:rPr>
        <w:t>一肢或一肢以上</w:t>
      </w:r>
      <w:r>
        <w:rPr>
          <w:b/>
          <w:w w:val="95"/>
          <w:sz w:val="20"/>
        </w:rPr>
        <w:t>肢体机能完全丧失</w:t>
      </w:r>
      <w:r>
        <w:rPr>
          <w:b/>
          <w:w w:val="95"/>
          <w:position w:val="10"/>
          <w:sz w:val="10"/>
        </w:rPr>
        <w:t>[15]</w:t>
      </w:r>
      <w:r>
        <w:rPr>
          <w:w w:val="95"/>
          <w:sz w:val="20"/>
        </w:rPr>
        <w:t>；</w:t>
      </w:r>
    </w:p>
    <w:p>
      <w:pPr>
        <w:pStyle w:val="ListParagraph"/>
        <w:numPr>
          <w:ilvl w:val="0"/>
          <w:numId w:val="11"/>
        </w:numPr>
        <w:tabs>
          <w:tab w:pos="3412" w:val="left" w:leader="none"/>
        </w:tabs>
        <w:spacing w:line="240" w:lineRule="auto" w:before="50" w:after="0"/>
        <w:ind w:left="3411" w:right="0" w:hanging="680"/>
        <w:jc w:val="left"/>
        <w:rPr>
          <w:sz w:val="20"/>
        </w:rPr>
      </w:pPr>
      <w:r>
        <w:rPr>
          <w:b/>
          <w:w w:val="95"/>
          <w:sz w:val="20"/>
        </w:rPr>
        <w:t>语言能力或咀嚼吞咽能力完全丧失</w:t>
      </w:r>
      <w:r>
        <w:rPr>
          <w:b/>
          <w:w w:val="95"/>
          <w:position w:val="10"/>
          <w:sz w:val="10"/>
        </w:rPr>
        <w:t>[16]</w:t>
      </w:r>
      <w:r>
        <w:rPr>
          <w:w w:val="95"/>
          <w:sz w:val="20"/>
        </w:rPr>
        <w:t>；</w:t>
      </w:r>
    </w:p>
    <w:p>
      <w:pPr>
        <w:pStyle w:val="ListParagraph"/>
        <w:numPr>
          <w:ilvl w:val="0"/>
          <w:numId w:val="11"/>
        </w:numPr>
        <w:tabs>
          <w:tab w:pos="3412" w:val="left" w:leader="none"/>
        </w:tabs>
        <w:spacing w:line="285" w:lineRule="auto" w:before="50" w:after="0"/>
        <w:ind w:left="3411" w:right="133" w:hanging="680"/>
        <w:jc w:val="left"/>
        <w:rPr>
          <w:sz w:val="20"/>
        </w:rPr>
      </w:pPr>
      <w:r>
        <w:rPr>
          <w:sz w:val="20"/>
        </w:rPr>
        <w:t>自主生活能力完全丧失，无法独立完成</w:t>
      </w:r>
      <w:r>
        <w:rPr>
          <w:b/>
          <w:sz w:val="20"/>
        </w:rPr>
        <w:t>六项基本日常生活活动</w:t>
      </w:r>
      <w:r>
        <w:rPr>
          <w:b/>
          <w:position w:val="10"/>
          <w:sz w:val="10"/>
        </w:rPr>
        <w:t>[17]</w:t>
      </w:r>
      <w:r>
        <w:rPr>
          <w:sz w:val="20"/>
        </w:rPr>
        <w:t>中的三项或三项以上。</w:t>
      </w:r>
    </w:p>
    <w:p>
      <w:pPr>
        <w:pStyle w:val="BodyText"/>
        <w:spacing w:before="11"/>
        <w:rPr>
          <w:sz w:val="9"/>
        </w:rPr>
      </w:pPr>
    </w:p>
    <w:p>
      <w:pPr>
        <w:spacing w:after="0"/>
        <w:rPr>
          <w:sz w:val="9"/>
        </w:rPr>
        <w:sectPr>
          <w:pgSz w:w="11910" w:h="16840"/>
          <w:pgMar w:header="0" w:footer="834" w:top="1420" w:bottom="1100" w:left="860" w:right="680"/>
        </w:sectPr>
      </w:pPr>
    </w:p>
    <w:p>
      <w:pPr>
        <w:pStyle w:val="BodyText"/>
        <w:spacing w:line="285" w:lineRule="auto"/>
        <w:ind w:left="751"/>
        <w:jc w:val="both"/>
      </w:pPr>
      <w:r>
        <w:rPr>
          <w:spacing w:val="-13"/>
        </w:rPr>
        <w:t>A4</w:t>
      </w:r>
      <w:r>
        <w:rPr>
          <w:spacing w:val="-4"/>
        </w:rPr>
        <w:t>．重大器官移植术</w:t>
      </w:r>
      <w:r>
        <w:rPr>
          <w:spacing w:val="17"/>
        </w:rPr>
        <w:t>或造血干细胞移植术</w:t>
      </w:r>
    </w:p>
    <w:p>
      <w:pPr>
        <w:pStyle w:val="BodyText"/>
        <w:spacing w:line="285" w:lineRule="auto"/>
        <w:ind w:left="174" w:right="106"/>
      </w:pPr>
      <w:r>
        <w:rPr/>
        <w:br w:type="column"/>
      </w:r>
      <w:r>
        <w:rPr>
          <w:spacing w:val="-7"/>
        </w:rPr>
        <w:t>重大器官移植术，指因相应器官功能衰竭，已经实施了肾脏、肝脏、心脏或肺脏的异体</w:t>
      </w:r>
      <w:r>
        <w:rPr>
          <w:spacing w:val="-1"/>
        </w:rPr>
        <w:t>移植手术。</w:t>
      </w:r>
    </w:p>
    <w:p>
      <w:pPr>
        <w:pStyle w:val="BodyText"/>
        <w:spacing w:line="285" w:lineRule="auto" w:before="167"/>
        <w:ind w:left="174" w:right="106"/>
      </w:pPr>
      <w:r>
        <w:rPr>
          <w:spacing w:val="-18"/>
        </w:rPr>
        <w:t>造血干细胞移植术，指因造血功能损害或造血系统恶性肿瘤，已经实施了造血干细胞</w:t>
      </w:r>
      <w:r>
        <w:rPr/>
        <w:t>（包</w:t>
      </w:r>
      <w:r>
        <w:rPr>
          <w:spacing w:val="-1"/>
        </w:rPr>
        <w:t>括骨髓造血干细胞、外周血造血干细胞和脐血造血干细胞</w:t>
      </w:r>
      <w:r>
        <w:rPr/>
        <w:t>）的异体移植手术。</w:t>
      </w:r>
    </w:p>
    <w:p>
      <w:pPr>
        <w:spacing w:after="0" w:line="285" w:lineRule="auto"/>
        <w:sectPr>
          <w:type w:val="continuous"/>
          <w:pgSz w:w="11910" w:h="16840"/>
          <w:pgMar w:top="120" w:bottom="1020" w:left="860" w:right="680"/>
          <w:cols w:num="2" w:equalWidth="0">
            <w:col w:w="2517" w:space="40"/>
            <w:col w:w="7813"/>
          </w:cols>
        </w:sectPr>
      </w:pPr>
    </w:p>
    <w:p>
      <w:pPr>
        <w:pStyle w:val="BodyText"/>
        <w:spacing w:before="11"/>
        <w:rPr>
          <w:sz w:val="9"/>
        </w:rPr>
      </w:pPr>
    </w:p>
    <w:p>
      <w:pPr>
        <w:spacing w:after="0"/>
        <w:rPr>
          <w:sz w:val="9"/>
        </w:rPr>
        <w:sectPr>
          <w:type w:val="continuous"/>
          <w:pgSz w:w="11910" w:h="16840"/>
          <w:pgMar w:top="120" w:bottom="1020" w:left="860" w:right="680"/>
        </w:sectPr>
      </w:pPr>
    </w:p>
    <w:p>
      <w:pPr>
        <w:pStyle w:val="BodyText"/>
        <w:ind w:left="751"/>
      </w:pPr>
      <w:r>
        <w:rPr>
          <w:spacing w:val="-13"/>
        </w:rPr>
        <w:t>A5</w:t>
      </w:r>
      <w:r>
        <w:rPr>
          <w:spacing w:val="-4"/>
        </w:rPr>
        <w:t>．冠状动脉搭桥术</w:t>
      </w:r>
    </w:p>
    <w:p>
      <w:pPr>
        <w:pStyle w:val="BodyText"/>
        <w:spacing w:line="285" w:lineRule="auto" w:before="50"/>
        <w:ind w:left="751"/>
      </w:pPr>
      <w:r>
        <w:rPr/>
        <w:t>（或称冠状动脉旁路移植术）</w:t>
      </w:r>
    </w:p>
    <w:p>
      <w:pPr>
        <w:spacing w:line="285" w:lineRule="auto" w:before="39"/>
        <w:ind w:left="174" w:right="106" w:firstLine="0"/>
        <w:jc w:val="both"/>
        <w:rPr>
          <w:b/>
          <w:sz w:val="20"/>
        </w:rPr>
      </w:pPr>
      <w:r>
        <w:rPr/>
        <w:br w:type="column"/>
      </w:r>
      <w:r>
        <w:rPr>
          <w:spacing w:val="-7"/>
          <w:sz w:val="20"/>
        </w:rPr>
        <w:t>指为治疗严重的冠心病，实际实施了开胸进行的冠状动脉血管旁路移植的手术。</w:t>
      </w:r>
      <w:r>
        <w:rPr>
          <w:b/>
          <w:sz w:val="20"/>
        </w:rPr>
        <w:t>冠状动脉支架植入术、心导管球囊扩张术、激光射频技术及其它非开胸的介入手术、腔镜手</w:t>
      </w:r>
      <w:r>
        <w:rPr>
          <w:b/>
          <w:w w:val="95"/>
          <w:sz w:val="20"/>
        </w:rPr>
        <w:t>术不在保障范围内。</w:t>
      </w:r>
    </w:p>
    <w:p>
      <w:pPr>
        <w:spacing w:after="0" w:line="285" w:lineRule="auto"/>
        <w:jc w:val="both"/>
        <w:rPr>
          <w:sz w:val="20"/>
        </w:rPr>
        <w:sectPr>
          <w:type w:val="continuous"/>
          <w:pgSz w:w="11910" w:h="16840"/>
          <w:pgMar w:top="120" w:bottom="1020" w:left="860" w:right="680"/>
          <w:cols w:num="2" w:equalWidth="0">
            <w:col w:w="2517" w:space="40"/>
            <w:col w:w="7813"/>
          </w:cols>
        </w:sectPr>
      </w:pPr>
    </w:p>
    <w:p>
      <w:pPr>
        <w:pStyle w:val="BodyText"/>
        <w:spacing w:before="11"/>
        <w:rPr>
          <w:b/>
          <w:sz w:val="9"/>
        </w:rPr>
      </w:pPr>
    </w:p>
    <w:p>
      <w:pPr>
        <w:spacing w:after="0"/>
        <w:rPr>
          <w:sz w:val="9"/>
        </w:rPr>
        <w:sectPr>
          <w:type w:val="continuous"/>
          <w:pgSz w:w="11910" w:h="16840"/>
          <w:pgMar w:top="120" w:bottom="1020" w:left="860" w:right="680"/>
        </w:sectPr>
      </w:pPr>
    </w:p>
    <w:p>
      <w:pPr>
        <w:pStyle w:val="BodyText"/>
        <w:spacing w:line="285" w:lineRule="auto"/>
        <w:ind w:left="751"/>
        <w:jc w:val="both"/>
      </w:pPr>
      <w:r>
        <w:rPr>
          <w:spacing w:val="-7"/>
        </w:rPr>
        <w:t>A6</w:t>
      </w:r>
      <w:r>
        <w:rPr>
          <w:spacing w:val="-6"/>
        </w:rPr>
        <w:t>．终末期肾病</w:t>
      </w:r>
      <w:r>
        <w:rPr/>
        <w:t>（或</w:t>
      </w:r>
      <w:r>
        <w:rPr>
          <w:spacing w:val="17"/>
        </w:rPr>
        <w:t>称慢性肾功能衰竭</w:t>
      </w:r>
      <w:r>
        <w:rPr>
          <w:spacing w:val="-1"/>
        </w:rPr>
        <w:t>尿毒症期</w:t>
      </w:r>
      <w:r>
        <w:rPr/>
        <w:t>）</w:t>
      </w:r>
    </w:p>
    <w:p>
      <w:pPr>
        <w:pStyle w:val="BodyText"/>
        <w:spacing w:line="285" w:lineRule="auto"/>
        <w:ind w:left="174" w:right="32"/>
      </w:pPr>
      <w:r>
        <w:rPr/>
        <w:br w:type="column"/>
      </w:r>
      <w:r>
        <w:rPr/>
        <w:t>指双肾功能慢性不可逆性衰竭，达到尿毒症期，经诊断后已经进行了至少 90 天的规律性透析治疗或实施了肾脏移植手术。</w:t>
      </w:r>
    </w:p>
    <w:p>
      <w:pPr>
        <w:spacing w:after="0" w:line="285" w:lineRule="auto"/>
        <w:sectPr>
          <w:type w:val="continuous"/>
          <w:pgSz w:w="11910" w:h="16840"/>
          <w:pgMar w:top="120" w:bottom="1020" w:left="860" w:right="680"/>
          <w:cols w:num="2" w:equalWidth="0">
            <w:col w:w="2517" w:space="40"/>
            <w:col w:w="7813"/>
          </w:cols>
        </w:sectPr>
      </w:pPr>
    </w:p>
    <w:p>
      <w:pPr>
        <w:pStyle w:val="BodyText"/>
        <w:spacing w:before="11"/>
        <w:rPr>
          <w:sz w:val="9"/>
        </w:rPr>
      </w:pPr>
    </w:p>
    <w:p>
      <w:pPr>
        <w:pStyle w:val="BodyText"/>
        <w:tabs>
          <w:tab w:pos="2731" w:val="left" w:leader="none"/>
        </w:tabs>
        <w:spacing w:line="285" w:lineRule="auto"/>
        <w:ind w:left="2731" w:right="106" w:hanging="1981"/>
      </w:pPr>
      <w:r>
        <w:rPr/>
        <w:t>A7．多个肢体缺失</w:t>
        <w:tab/>
      </w:r>
      <w:r>
        <w:rPr>
          <w:spacing w:val="-2"/>
        </w:rPr>
        <w:t>指因疾病或意外伤害导</w:t>
      </w:r>
      <w:r>
        <w:rPr>
          <w:spacing w:val="-1"/>
        </w:rPr>
        <w:t>致两个或两个以上肢体自腕关节或踝关节近</w:t>
      </w:r>
      <w:r>
        <w:rPr>
          <w:spacing w:val="-40"/>
        </w:rPr>
        <w:t>端</w:t>
      </w:r>
      <w:r>
        <w:rPr>
          <w:spacing w:val="-1"/>
        </w:rPr>
        <w:t>（靠近躯干端</w:t>
      </w:r>
      <w:r>
        <w:rPr>
          <w:spacing w:val="-39"/>
        </w:rPr>
        <w:t>）</w:t>
      </w:r>
      <w:r>
        <w:rPr>
          <w:spacing w:val="-1"/>
        </w:rPr>
        <w:t>以 上完全性</w:t>
      </w:r>
      <w:r>
        <w:rPr/>
        <w:t>断离。</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spacing w:val="-13"/>
        </w:rPr>
        <w:t>A8</w:t>
      </w:r>
      <w:r>
        <w:rPr>
          <w:spacing w:val="-4"/>
        </w:rPr>
        <w:t>．急性或亚急性重症肝炎</w:t>
      </w:r>
    </w:p>
    <w:p>
      <w:pPr>
        <w:pStyle w:val="BodyText"/>
        <w:spacing w:line="285" w:lineRule="auto"/>
        <w:ind w:left="175" w:right="33"/>
      </w:pPr>
      <w:r>
        <w:rPr/>
        <w:br w:type="column"/>
      </w:r>
      <w:r>
        <w:rPr/>
        <w:t>指因肝炎病毒感染引起肝脏组织弥漫性坏死，导致急性肝功能衰竭，且经血清学或病毒学检查证实，并须满足下列全部条件：</w:t>
      </w:r>
    </w:p>
    <w:p>
      <w:pPr>
        <w:pStyle w:val="ListParagraph"/>
        <w:numPr>
          <w:ilvl w:val="0"/>
          <w:numId w:val="12"/>
        </w:numPr>
        <w:tabs>
          <w:tab w:pos="855" w:val="left" w:leader="none"/>
        </w:tabs>
        <w:spacing w:line="240" w:lineRule="auto" w:before="12" w:after="0"/>
        <w:ind w:left="854" w:right="0" w:hanging="679"/>
        <w:jc w:val="left"/>
        <w:rPr>
          <w:sz w:val="20"/>
        </w:rPr>
      </w:pPr>
      <w:r>
        <w:rPr>
          <w:spacing w:val="-1"/>
          <w:sz w:val="20"/>
        </w:rPr>
        <w:t>重度黄疸或黄疸迅速加重；</w:t>
      </w:r>
    </w:p>
    <w:p>
      <w:pPr>
        <w:pStyle w:val="ListParagraph"/>
        <w:numPr>
          <w:ilvl w:val="0"/>
          <w:numId w:val="12"/>
        </w:numPr>
        <w:tabs>
          <w:tab w:pos="855" w:val="left" w:leader="none"/>
        </w:tabs>
        <w:spacing w:line="240" w:lineRule="auto" w:before="50" w:after="0"/>
        <w:ind w:left="854" w:right="0" w:hanging="679"/>
        <w:jc w:val="left"/>
        <w:rPr>
          <w:sz w:val="20"/>
        </w:rPr>
      </w:pPr>
      <w:r>
        <w:rPr>
          <w:spacing w:val="-1"/>
          <w:sz w:val="20"/>
        </w:rPr>
        <w:t>肝性脑病；</w:t>
      </w:r>
    </w:p>
    <w:p>
      <w:pPr>
        <w:pStyle w:val="ListParagraph"/>
        <w:numPr>
          <w:ilvl w:val="0"/>
          <w:numId w:val="12"/>
        </w:numPr>
        <w:tabs>
          <w:tab w:pos="855" w:val="left" w:leader="none"/>
        </w:tabs>
        <w:spacing w:line="240" w:lineRule="auto" w:before="50" w:after="0"/>
        <w:ind w:left="854" w:right="0" w:hanging="679"/>
        <w:jc w:val="left"/>
        <w:rPr>
          <w:sz w:val="20"/>
        </w:rPr>
      </w:pPr>
      <w:r>
        <w:rPr>
          <w:sz w:val="20"/>
        </w:rPr>
        <w:t>B</w:t>
      </w:r>
      <w:r>
        <w:rPr>
          <w:spacing w:val="-2"/>
          <w:sz w:val="20"/>
        </w:rPr>
        <w:t> 超或其他影像学检查显示肝脏体积急速萎缩；</w:t>
      </w:r>
    </w:p>
    <w:p>
      <w:pPr>
        <w:pStyle w:val="ListParagraph"/>
        <w:numPr>
          <w:ilvl w:val="0"/>
          <w:numId w:val="12"/>
        </w:numPr>
        <w:tabs>
          <w:tab w:pos="855" w:val="left" w:leader="none"/>
        </w:tabs>
        <w:spacing w:line="240" w:lineRule="auto" w:before="50" w:after="0"/>
        <w:ind w:left="854" w:right="0" w:hanging="679"/>
        <w:jc w:val="left"/>
        <w:rPr>
          <w:sz w:val="20"/>
        </w:rPr>
      </w:pPr>
      <w:r>
        <w:rPr>
          <w:spacing w:val="-1"/>
          <w:sz w:val="20"/>
        </w:rPr>
        <w:t>肝功能指标进行性恶化。</w:t>
      </w:r>
    </w:p>
    <w:p>
      <w:pPr>
        <w:spacing w:after="0" w:line="240" w:lineRule="auto"/>
        <w:jc w:val="left"/>
        <w:rPr>
          <w:sz w:val="20"/>
        </w:rPr>
        <w:sectPr>
          <w:type w:val="continuous"/>
          <w:pgSz w:w="11910" w:h="16840"/>
          <w:pgMar w:top="120" w:bottom="1020" w:left="860" w:right="680"/>
          <w:cols w:num="2" w:equalWidth="0">
            <w:col w:w="2517" w:space="40"/>
            <w:col w:w="7813"/>
          </w:cols>
        </w:sectPr>
      </w:pPr>
    </w:p>
    <w:p>
      <w:pPr>
        <w:pStyle w:val="BodyText"/>
        <w:spacing w:before="10"/>
        <w:rPr>
          <w:sz w:val="12"/>
        </w:rPr>
      </w:pPr>
    </w:p>
    <w:p>
      <w:pPr>
        <w:pStyle w:val="BodyText"/>
        <w:spacing w:line="285" w:lineRule="auto"/>
        <w:ind w:left="2731" w:right="106" w:hanging="1981"/>
        <w:jc w:val="both"/>
      </w:pPr>
      <w:r>
        <w:rPr/>
        <w:t>A9．</w:t>
      </w:r>
      <w:r>
        <w:rPr>
          <w:spacing w:val="-5"/>
        </w:rPr>
        <w:t>良性脑肿瘤    指脑的良性肿瘤，已经引起颅内压增高，临床表现为视神经乳头水肿、精神症状、癫痫及运动感觉障碍等，并危及生命。须由头颅断层扫描（CT）、核磁共振检查（MRI）或</w:t>
      </w:r>
      <w:r>
        <w:rPr>
          <w:spacing w:val="-2"/>
        </w:rPr>
        <w:t>正电子发射断层扫描</w:t>
      </w:r>
      <w:r>
        <w:rPr>
          <w:spacing w:val="-1"/>
        </w:rPr>
        <w:t>（PET）等影像学检查证实，并须满足下列至少一项条件：</w:t>
      </w:r>
    </w:p>
    <w:p>
      <w:pPr>
        <w:pStyle w:val="ListParagraph"/>
        <w:numPr>
          <w:ilvl w:val="1"/>
          <w:numId w:val="12"/>
        </w:numPr>
        <w:tabs>
          <w:tab w:pos="3344" w:val="left" w:leader="none"/>
        </w:tabs>
        <w:spacing w:line="240" w:lineRule="auto" w:before="12" w:after="0"/>
        <w:ind w:left="3343" w:right="0" w:hanging="540"/>
        <w:jc w:val="left"/>
        <w:rPr>
          <w:sz w:val="20"/>
        </w:rPr>
      </w:pPr>
      <w:r>
        <w:rPr>
          <w:spacing w:val="-1"/>
          <w:sz w:val="20"/>
        </w:rPr>
        <w:t>实际实施了开颅进行的脑肿瘤完全切除或部分切除的手术；</w:t>
      </w:r>
    </w:p>
    <w:p>
      <w:pPr>
        <w:pStyle w:val="ListParagraph"/>
        <w:numPr>
          <w:ilvl w:val="1"/>
          <w:numId w:val="12"/>
        </w:numPr>
        <w:tabs>
          <w:tab w:pos="3344" w:val="left" w:leader="none"/>
        </w:tabs>
        <w:spacing w:line="240" w:lineRule="auto" w:before="50" w:after="0"/>
        <w:ind w:left="3343" w:right="0" w:hanging="540"/>
        <w:jc w:val="left"/>
        <w:rPr>
          <w:sz w:val="20"/>
        </w:rPr>
      </w:pPr>
      <w:r>
        <w:rPr>
          <w:spacing w:val="-1"/>
          <w:sz w:val="20"/>
        </w:rPr>
        <w:t>实际实施了对脑肿瘤进行的放射治疗。</w:t>
      </w:r>
    </w:p>
    <w:p>
      <w:pPr>
        <w:pStyle w:val="BodyText"/>
        <w:spacing w:before="9"/>
        <w:rPr>
          <w:sz w:val="15"/>
        </w:rPr>
      </w:pPr>
    </w:p>
    <w:p>
      <w:pPr>
        <w:pStyle w:val="Heading1"/>
        <w:spacing w:before="0"/>
        <w:ind w:left="2731"/>
      </w:pPr>
      <w:r>
        <w:rPr>
          <w:w w:val="95"/>
        </w:rPr>
        <w:t>脑垂体瘤、脑囊肿、脑血管性疾病不在保障范围内。</w:t>
      </w:r>
    </w:p>
    <w:p>
      <w:pPr>
        <w:pStyle w:val="BodyText"/>
        <w:spacing w:before="9"/>
        <w:rPr>
          <w:b/>
          <w:sz w:val="15"/>
        </w:rPr>
      </w:pPr>
    </w:p>
    <w:p>
      <w:pPr>
        <w:pStyle w:val="BodyText"/>
        <w:tabs>
          <w:tab w:pos="2731" w:val="left" w:leader="none"/>
        </w:tabs>
        <w:spacing w:before="0"/>
        <w:ind w:left="751"/>
      </w:pPr>
      <w:r>
        <w:rPr>
          <w:spacing w:val="2"/>
        </w:rPr>
        <w:t>A10．</w:t>
      </w:r>
      <w:r>
        <w:rPr>
          <w:spacing w:val="6"/>
        </w:rPr>
        <w:t>慢</w:t>
      </w:r>
      <w:r>
        <w:rPr>
          <w:spacing w:val="7"/>
        </w:rPr>
        <w:t>性</w:t>
      </w:r>
      <w:r>
        <w:rPr>
          <w:spacing w:val="6"/>
        </w:rPr>
        <w:t>肝</w:t>
      </w:r>
      <w:r>
        <w:rPr>
          <w:spacing w:val="7"/>
        </w:rPr>
        <w:t>功</w:t>
      </w:r>
      <w:r>
        <w:rPr>
          <w:spacing w:val="6"/>
        </w:rPr>
        <w:t>能</w:t>
      </w:r>
      <w:r>
        <w:rPr/>
        <w:t>衰</w:t>
        <w:tab/>
      </w:r>
      <w:r>
        <w:rPr>
          <w:spacing w:val="-2"/>
        </w:rPr>
        <w:t>指因慢性肝脏疾病</w:t>
      </w:r>
      <w:r>
        <w:rPr>
          <w:spacing w:val="-1"/>
        </w:rPr>
        <w:t>导致肝功能衰竭。须满足下列全部条件：</w:t>
      </w:r>
    </w:p>
    <w:p>
      <w:pPr>
        <w:spacing w:after="0"/>
        <w:sectPr>
          <w:type w:val="continuous"/>
          <w:pgSz w:w="11910" w:h="16840"/>
          <w:pgMar w:top="120" w:bottom="1020" w:left="860" w:right="680"/>
        </w:sectPr>
      </w:pPr>
    </w:p>
    <w:p>
      <w:pPr>
        <w:pStyle w:val="BodyText"/>
        <w:tabs>
          <w:tab w:pos="2731" w:val="left" w:leader="none"/>
        </w:tabs>
        <w:spacing w:before="14"/>
        <w:ind w:left="751"/>
      </w:pPr>
      <w:r>
        <w:rPr/>
        <w:t>竭失代偿期</w:t>
        <w:tab/>
        <w:t>(1)</w:t>
      </w:r>
      <w:r>
        <w:rPr>
          <w:spacing w:val="18"/>
        </w:rPr>
        <w:t> </w:t>
      </w:r>
      <w:r>
        <w:rPr/>
        <w:t>持续性黄疸；</w:t>
      </w:r>
    </w:p>
    <w:p>
      <w:pPr>
        <w:pStyle w:val="ListParagraph"/>
        <w:numPr>
          <w:ilvl w:val="1"/>
          <w:numId w:val="8"/>
        </w:numPr>
        <w:tabs>
          <w:tab w:pos="3152" w:val="left" w:leader="none"/>
        </w:tabs>
        <w:spacing w:line="240" w:lineRule="auto" w:before="50" w:after="0"/>
        <w:ind w:left="2731" w:right="0" w:firstLine="0"/>
        <w:jc w:val="left"/>
        <w:rPr>
          <w:sz w:val="20"/>
        </w:rPr>
      </w:pPr>
      <w:r>
        <w:rPr>
          <w:sz w:val="20"/>
        </w:rPr>
        <w:t>腹水；</w:t>
      </w:r>
    </w:p>
    <w:p>
      <w:pPr>
        <w:pStyle w:val="ListParagraph"/>
        <w:numPr>
          <w:ilvl w:val="1"/>
          <w:numId w:val="8"/>
        </w:numPr>
        <w:tabs>
          <w:tab w:pos="3152" w:val="left" w:leader="none"/>
        </w:tabs>
        <w:spacing w:line="240" w:lineRule="auto" w:before="50" w:after="0"/>
        <w:ind w:left="2731" w:right="0" w:firstLine="0"/>
        <w:jc w:val="left"/>
        <w:rPr>
          <w:sz w:val="20"/>
        </w:rPr>
      </w:pPr>
      <w:r>
        <w:rPr>
          <w:spacing w:val="-1"/>
          <w:sz w:val="20"/>
        </w:rPr>
        <w:t>肝性脑病；</w:t>
      </w:r>
    </w:p>
    <w:p>
      <w:pPr>
        <w:pStyle w:val="ListParagraph"/>
        <w:numPr>
          <w:ilvl w:val="1"/>
          <w:numId w:val="8"/>
        </w:numPr>
        <w:tabs>
          <w:tab w:pos="3152" w:val="left" w:leader="none"/>
        </w:tabs>
        <w:spacing w:line="429" w:lineRule="auto" w:before="50" w:after="0"/>
        <w:ind w:left="2731" w:right="2889" w:firstLine="0"/>
        <w:jc w:val="left"/>
        <w:rPr>
          <w:b/>
          <w:sz w:val="20"/>
        </w:rPr>
      </w:pPr>
      <w:r>
        <w:rPr>
          <w:spacing w:val="-1"/>
          <w:sz w:val="20"/>
        </w:rPr>
        <w:t>充血性脾肿大伴脾功能亢进或食管胃底静脉曲张。</w:t>
      </w:r>
      <w:r>
        <w:rPr>
          <w:b/>
          <w:spacing w:val="-1"/>
          <w:w w:val="95"/>
          <w:sz w:val="20"/>
        </w:rPr>
        <w:t>因酗酒或药物滥用导致的肝功能衰竭不在保障范围内。</w:t>
      </w:r>
    </w:p>
    <w:p>
      <w:pPr>
        <w:spacing w:after="0" w:line="429" w:lineRule="auto"/>
        <w:jc w:val="left"/>
        <w:rPr>
          <w:sz w:val="20"/>
        </w:rPr>
        <w:sectPr>
          <w:pgSz w:w="11910" w:h="16840"/>
          <w:pgMar w:header="0" w:footer="834" w:top="1420" w:bottom="1100" w:left="860" w:right="600"/>
        </w:sectPr>
      </w:pPr>
    </w:p>
    <w:p>
      <w:pPr>
        <w:pStyle w:val="BodyText"/>
        <w:spacing w:line="285" w:lineRule="auto" w:before="48"/>
        <w:ind w:left="751"/>
      </w:pPr>
      <w:r>
        <w:rPr/>
        <w:t>A11．脑炎后遗症或脑膜炎后遗症</w:t>
      </w:r>
    </w:p>
    <w:p>
      <w:pPr>
        <w:pStyle w:val="BodyText"/>
        <w:spacing w:line="285" w:lineRule="auto" w:before="48"/>
        <w:ind w:left="166" w:right="110"/>
      </w:pPr>
      <w:r>
        <w:rPr/>
        <w:br w:type="column"/>
      </w:r>
      <w:r>
        <w:rPr/>
        <w:t>指因患脑炎或脑膜炎导致的神经系统永久性的功能障碍。神经系统永久性的功能障碍， 指疾病确诊 180 天后，仍遗留下列一种或一种以上障碍：</w:t>
      </w:r>
    </w:p>
    <w:p>
      <w:pPr>
        <w:pStyle w:val="ListParagraph"/>
        <w:numPr>
          <w:ilvl w:val="0"/>
          <w:numId w:val="13"/>
        </w:numPr>
        <w:tabs>
          <w:tab w:pos="587" w:val="left" w:leader="none"/>
        </w:tabs>
        <w:spacing w:line="240" w:lineRule="auto" w:before="12" w:after="0"/>
        <w:ind w:left="586" w:right="0" w:hanging="420"/>
        <w:jc w:val="left"/>
        <w:rPr>
          <w:sz w:val="20"/>
        </w:rPr>
      </w:pPr>
      <w:r>
        <w:rPr>
          <w:spacing w:val="-1"/>
          <w:sz w:val="20"/>
        </w:rPr>
        <w:t>一肢或一肢以上肢体机能完全丧失；</w:t>
      </w:r>
    </w:p>
    <w:p>
      <w:pPr>
        <w:pStyle w:val="ListParagraph"/>
        <w:numPr>
          <w:ilvl w:val="0"/>
          <w:numId w:val="13"/>
        </w:numPr>
        <w:tabs>
          <w:tab w:pos="587" w:val="left" w:leader="none"/>
        </w:tabs>
        <w:spacing w:line="240" w:lineRule="auto" w:before="50" w:after="0"/>
        <w:ind w:left="586" w:right="0" w:hanging="420"/>
        <w:jc w:val="left"/>
        <w:rPr>
          <w:sz w:val="20"/>
        </w:rPr>
      </w:pPr>
      <w:r>
        <w:rPr>
          <w:spacing w:val="-1"/>
          <w:sz w:val="20"/>
        </w:rPr>
        <w:t>语言能力或咀嚼吞咽能力完全丧失；</w:t>
      </w:r>
    </w:p>
    <w:p>
      <w:pPr>
        <w:pStyle w:val="ListParagraph"/>
        <w:numPr>
          <w:ilvl w:val="0"/>
          <w:numId w:val="13"/>
        </w:numPr>
        <w:tabs>
          <w:tab w:pos="587" w:val="left" w:leader="none"/>
        </w:tabs>
        <w:spacing w:line="285" w:lineRule="auto" w:before="50" w:after="0"/>
        <w:ind w:left="586" w:right="211" w:hanging="420"/>
        <w:jc w:val="left"/>
        <w:rPr>
          <w:sz w:val="20"/>
        </w:rPr>
      </w:pPr>
      <w:r>
        <w:rPr>
          <w:sz w:val="20"/>
        </w:rPr>
        <w:t>自主生活能力完全丧失，无法独立完成六项基本日常生活活动中的三项或三项以上。</w:t>
      </w:r>
    </w:p>
    <w:p>
      <w:pPr>
        <w:spacing w:after="0" w:line="285" w:lineRule="auto"/>
        <w:jc w:val="left"/>
        <w:rPr>
          <w:sz w:val="20"/>
        </w:rPr>
        <w:sectPr>
          <w:type w:val="continuous"/>
          <w:pgSz w:w="11910" w:h="16840"/>
          <w:pgMar w:top="120" w:bottom="1020" w:left="860" w:right="600"/>
          <w:cols w:num="2" w:equalWidth="0">
            <w:col w:w="2526" w:space="40"/>
            <w:col w:w="7884"/>
          </w:cols>
        </w:sectPr>
      </w:pPr>
    </w:p>
    <w:p>
      <w:pPr>
        <w:pStyle w:val="BodyText"/>
        <w:spacing w:before="11"/>
        <w:rPr>
          <w:sz w:val="9"/>
        </w:rPr>
      </w:pPr>
    </w:p>
    <w:p>
      <w:pPr>
        <w:pStyle w:val="BodyText"/>
        <w:tabs>
          <w:tab w:pos="2731" w:val="left" w:leader="none"/>
        </w:tabs>
        <w:ind w:left="751"/>
      </w:pPr>
      <w:r>
        <w:rPr/>
        <w:t>A12．双耳失聪</w:t>
        <w:tab/>
        <w:t>指因疾病或意外伤害导致双耳听力永久不可逆性丧失</w:t>
      </w:r>
      <w:r>
        <w:rPr>
          <w:spacing w:val="-40"/>
        </w:rPr>
        <w:t>，</w:t>
      </w:r>
      <w:r>
        <w:rPr/>
        <w:t>在</w:t>
      </w:r>
      <w:r>
        <w:rPr>
          <w:spacing w:val="-55"/>
        </w:rPr>
        <w:t> </w:t>
      </w:r>
      <w:r>
        <w:rPr/>
        <w:t>500</w:t>
      </w:r>
      <w:r>
        <w:rPr>
          <w:spacing w:val="-10"/>
        </w:rPr>
        <w:t> </w:t>
      </w:r>
      <w:r>
        <w:rPr/>
        <w:t>赫兹</w:t>
      </w:r>
      <w:r>
        <w:rPr>
          <w:spacing w:val="-40"/>
        </w:rPr>
        <w:t>、</w:t>
      </w:r>
      <w:r>
        <w:rPr/>
        <w:t>1000</w:t>
      </w:r>
      <w:r>
        <w:rPr>
          <w:spacing w:val="-10"/>
        </w:rPr>
        <w:t> </w:t>
      </w:r>
      <w:r>
        <w:rPr/>
        <w:t>赫兹和</w:t>
      </w:r>
      <w:r>
        <w:rPr>
          <w:spacing w:val="-56"/>
        </w:rPr>
        <w:t> </w:t>
      </w:r>
      <w:r>
        <w:rPr/>
        <w:t>2000</w:t>
      </w:r>
    </w:p>
    <w:p>
      <w:pPr>
        <w:pStyle w:val="BodyText"/>
        <w:spacing w:line="285" w:lineRule="auto" w:before="49"/>
        <w:ind w:left="2731" w:right="185"/>
      </w:pPr>
      <w:r>
        <w:rPr>
          <w:spacing w:val="-6"/>
        </w:rPr>
        <w:t>赫兹语音频率下，平均听阈大于 </w:t>
      </w:r>
      <w:r>
        <w:rPr/>
        <w:t>90</w:t>
      </w:r>
      <w:r>
        <w:rPr>
          <w:spacing w:val="-5"/>
        </w:rPr>
        <w:t> 分贝，且经纯音听力测试、声导抗检测或听觉诱发</w:t>
      </w:r>
      <w:r>
        <w:rPr>
          <w:spacing w:val="-1"/>
        </w:rPr>
        <w:t>电位检测等证实。</w:t>
      </w:r>
    </w:p>
    <w:p>
      <w:pPr>
        <w:pStyle w:val="BodyText"/>
        <w:spacing w:line="285" w:lineRule="auto" w:before="167"/>
        <w:ind w:left="2731" w:right="185" w:hanging="1980"/>
        <w:jc w:val="both"/>
      </w:pPr>
      <w:r>
        <w:rPr/>
        <w:t>A13</w:t>
      </w:r>
      <w:r>
        <w:rPr>
          <w:spacing w:val="-3"/>
        </w:rPr>
        <w:t>．双目失明     指因疾病或意外伤害导致双眼视力永久不可逆性丧失，双眼中较好眼须满足下列至少一项条件：</w:t>
      </w:r>
    </w:p>
    <w:p>
      <w:pPr>
        <w:pStyle w:val="ListParagraph"/>
        <w:numPr>
          <w:ilvl w:val="1"/>
          <w:numId w:val="13"/>
        </w:numPr>
        <w:tabs>
          <w:tab w:pos="3152" w:val="left" w:leader="none"/>
        </w:tabs>
        <w:spacing w:line="240" w:lineRule="auto" w:before="11" w:after="0"/>
        <w:ind w:left="3151" w:right="0" w:hanging="420"/>
        <w:jc w:val="left"/>
        <w:rPr>
          <w:sz w:val="20"/>
        </w:rPr>
      </w:pPr>
      <w:r>
        <w:rPr>
          <w:spacing w:val="-1"/>
          <w:sz w:val="20"/>
        </w:rPr>
        <w:t>眼球缺失或摘除；</w:t>
      </w:r>
    </w:p>
    <w:p>
      <w:pPr>
        <w:pStyle w:val="ListParagraph"/>
        <w:numPr>
          <w:ilvl w:val="1"/>
          <w:numId w:val="13"/>
        </w:numPr>
        <w:tabs>
          <w:tab w:pos="3152" w:val="left" w:leader="none"/>
        </w:tabs>
        <w:spacing w:line="240" w:lineRule="auto" w:before="49" w:after="0"/>
        <w:ind w:left="3151" w:right="0" w:hanging="420"/>
        <w:jc w:val="left"/>
        <w:rPr>
          <w:sz w:val="20"/>
        </w:rPr>
      </w:pPr>
      <w:r>
        <w:rPr>
          <w:spacing w:val="-11"/>
          <w:sz w:val="20"/>
        </w:rPr>
        <w:t>矫正视力低于 </w:t>
      </w:r>
      <w:r>
        <w:rPr>
          <w:spacing w:val="-1"/>
          <w:sz w:val="20"/>
        </w:rPr>
        <w:t>0.02（采用国际标准视力表，如果使用其它视力表应进行换算</w:t>
      </w:r>
      <w:r>
        <w:rPr>
          <w:sz w:val="20"/>
        </w:rPr>
        <w:t>）；</w:t>
      </w:r>
    </w:p>
    <w:p>
      <w:pPr>
        <w:pStyle w:val="ListParagraph"/>
        <w:numPr>
          <w:ilvl w:val="1"/>
          <w:numId w:val="13"/>
        </w:numPr>
        <w:tabs>
          <w:tab w:pos="3152" w:val="left" w:leader="none"/>
        </w:tabs>
        <w:spacing w:line="240" w:lineRule="auto" w:before="49" w:after="0"/>
        <w:ind w:left="3151" w:right="0" w:hanging="420"/>
        <w:jc w:val="left"/>
        <w:rPr>
          <w:sz w:val="20"/>
        </w:rPr>
      </w:pPr>
      <w:r>
        <w:rPr>
          <w:spacing w:val="-8"/>
          <w:sz w:val="20"/>
        </w:rPr>
        <w:t>视野半径小于 </w:t>
      </w:r>
      <w:r>
        <w:rPr>
          <w:sz w:val="20"/>
        </w:rPr>
        <w:t>5</w:t>
      </w:r>
      <w:r>
        <w:rPr>
          <w:spacing w:val="-2"/>
          <w:sz w:val="20"/>
        </w:rPr>
        <w:t> 度。</w:t>
      </w:r>
    </w:p>
    <w:p>
      <w:pPr>
        <w:pStyle w:val="BodyText"/>
        <w:spacing w:before="9"/>
        <w:rPr>
          <w:sz w:val="15"/>
        </w:rPr>
      </w:pPr>
    </w:p>
    <w:p>
      <w:pPr>
        <w:pStyle w:val="BodyText"/>
        <w:tabs>
          <w:tab w:pos="2731" w:val="left" w:leader="none"/>
        </w:tabs>
        <w:spacing w:line="285" w:lineRule="auto" w:before="0"/>
        <w:ind w:left="2731" w:right="185" w:hanging="1980"/>
        <w:jc w:val="both"/>
      </w:pPr>
      <w:r>
        <w:rPr/>
        <w:t>A14．瘫痪</w:t>
        <w:tab/>
      </w:r>
      <w:r>
        <w:rPr>
          <w:spacing w:val="-1"/>
        </w:rPr>
        <w:t>指因疾病或意外伤害导致两肢或两肢以上肢体机能永久</w:t>
      </w:r>
      <w:r>
        <w:rPr/>
        <w:t>完全丧失</w:t>
      </w:r>
      <w:r>
        <w:rPr>
          <w:spacing w:val="-76"/>
        </w:rPr>
        <w:t>。</w:t>
      </w:r>
      <w:r>
        <w:rPr/>
        <w:t>肢体机能永久完全丧 失，指疾病确诊</w:t>
      </w:r>
      <w:r>
        <w:rPr>
          <w:spacing w:val="-44"/>
        </w:rPr>
        <w:t> </w:t>
      </w:r>
      <w:r>
        <w:rPr/>
        <w:t>180</w:t>
      </w:r>
      <w:r>
        <w:rPr>
          <w:spacing w:val="-9"/>
        </w:rPr>
        <w:t> </w:t>
      </w:r>
      <w:r>
        <w:rPr/>
        <w:t>天后或意外伤害发生</w:t>
      </w:r>
      <w:r>
        <w:rPr>
          <w:spacing w:val="-44"/>
        </w:rPr>
        <w:t> </w:t>
      </w:r>
      <w:r>
        <w:rPr/>
        <w:t>180</w:t>
      </w:r>
      <w:r>
        <w:rPr>
          <w:spacing w:val="-9"/>
        </w:rPr>
        <w:t> </w:t>
      </w:r>
      <w:r>
        <w:rPr/>
        <w:t>天后，每肢三大关节中的两大关节仍然</w:t>
      </w:r>
      <w:r>
        <w:rPr>
          <w:spacing w:val="-1"/>
        </w:rPr>
        <w:t>完全僵硬，或不能</w:t>
      </w:r>
      <w:r>
        <w:rPr/>
        <w:t>随意识活动。</w:t>
      </w:r>
    </w:p>
    <w:p>
      <w:pPr>
        <w:pStyle w:val="BodyText"/>
        <w:tabs>
          <w:tab w:pos="2731" w:val="left" w:leader="none"/>
        </w:tabs>
        <w:spacing w:before="168"/>
        <w:ind w:left="751"/>
      </w:pPr>
      <w:r>
        <w:rPr/>
        <w:t>A15．心脏瓣膜手术</w:t>
        <w:tab/>
      </w:r>
      <w:r>
        <w:rPr>
          <w:spacing w:val="-1"/>
        </w:rPr>
        <w:t>指为治疗心脏瓣膜疾病，实际实施了开胸进行</w:t>
      </w:r>
      <w:r>
        <w:rPr/>
        <w:t>的心脏瓣膜置换或修复的手术。</w:t>
      </w:r>
    </w:p>
    <w:p>
      <w:pPr>
        <w:pStyle w:val="BodyText"/>
        <w:spacing w:before="10"/>
        <w:rPr>
          <w:sz w:val="12"/>
        </w:rPr>
      </w:pPr>
    </w:p>
    <w:p>
      <w:pPr>
        <w:spacing w:after="0"/>
        <w:rPr>
          <w:sz w:val="12"/>
        </w:rPr>
        <w:sectPr>
          <w:type w:val="continuous"/>
          <w:pgSz w:w="11910" w:h="16840"/>
          <w:pgMar w:top="120" w:bottom="1020" w:left="860" w:right="600"/>
        </w:sectPr>
      </w:pPr>
    </w:p>
    <w:p>
      <w:pPr>
        <w:pStyle w:val="BodyText"/>
        <w:spacing w:line="285" w:lineRule="auto"/>
        <w:ind w:left="751"/>
      </w:pPr>
      <w:r>
        <w:rPr/>
        <w:t>A16．严重阿尔茨海默病</w:t>
      </w:r>
    </w:p>
    <w:p>
      <w:pPr>
        <w:pStyle w:val="BodyText"/>
        <w:spacing w:line="285" w:lineRule="auto"/>
        <w:ind w:left="166" w:right="185"/>
        <w:jc w:val="both"/>
      </w:pPr>
      <w:r>
        <w:rPr/>
        <w:br w:type="column"/>
      </w:r>
      <w:r>
        <w:rPr>
          <w:spacing w:val="-8"/>
        </w:rPr>
        <w:t>指因大脑进行性、不可逆性改变导致智能严重衰退或丧失，临床表现为明显的认知能力</w:t>
      </w:r>
      <w:r>
        <w:rPr>
          <w:spacing w:val="-9"/>
        </w:rPr>
        <w:t>障碍、行为异常和社交能力减退，其日常生活必须持续受到他人监护。须由头颅断层扫</w:t>
      </w:r>
      <w:r>
        <w:rPr>
          <w:spacing w:val="-10"/>
        </w:rPr>
        <w:t>描</w:t>
      </w:r>
      <w:r>
        <w:rPr>
          <w:spacing w:val="-3"/>
        </w:rPr>
        <w:t>（CT）</w:t>
      </w:r>
      <w:r>
        <w:rPr>
          <w:spacing w:val="-5"/>
        </w:rPr>
        <w:t>、核磁共振检查</w:t>
      </w:r>
      <w:r>
        <w:rPr>
          <w:spacing w:val="-3"/>
        </w:rPr>
        <w:t>（MRI）</w:t>
      </w:r>
      <w:r>
        <w:rPr>
          <w:spacing w:val="-2"/>
        </w:rPr>
        <w:t>或正电子发射断层扫描</w:t>
      </w:r>
      <w:r>
        <w:rPr/>
        <w:t>（PET）</w:t>
      </w:r>
      <w:r>
        <w:rPr>
          <w:spacing w:val="-2"/>
        </w:rPr>
        <w:t>等影像学检查证实，且</w:t>
      </w:r>
      <w:r>
        <w:rPr>
          <w:spacing w:val="-1"/>
        </w:rPr>
        <w:t>自主生活能力完全丧失，无法独立完成六项基本日常生活活动中的三项或三项以上。</w:t>
      </w:r>
    </w:p>
    <w:p>
      <w:pPr>
        <w:pStyle w:val="Heading1"/>
        <w:spacing w:before="168"/>
        <w:ind w:left="166"/>
        <w:jc w:val="both"/>
      </w:pPr>
      <w:r>
        <w:rPr>
          <w:w w:val="95"/>
        </w:rPr>
        <w:t>神经官能症和精神疾病不在保障范围内。</w:t>
      </w:r>
    </w:p>
    <w:p>
      <w:pPr>
        <w:spacing w:after="0"/>
        <w:jc w:val="both"/>
        <w:sectPr>
          <w:type w:val="continuous"/>
          <w:pgSz w:w="11910" w:h="16840"/>
          <w:pgMar w:top="120" w:bottom="1020" w:left="860" w:right="600"/>
          <w:cols w:num="2" w:equalWidth="0">
            <w:col w:w="2526" w:space="40"/>
            <w:col w:w="7884"/>
          </w:cols>
        </w:sectPr>
      </w:pPr>
    </w:p>
    <w:p>
      <w:pPr>
        <w:pStyle w:val="BodyText"/>
        <w:spacing w:before="10"/>
        <w:rPr>
          <w:b/>
          <w:sz w:val="12"/>
        </w:rPr>
      </w:pPr>
    </w:p>
    <w:p>
      <w:pPr>
        <w:pStyle w:val="BodyText"/>
        <w:spacing w:line="285" w:lineRule="auto"/>
        <w:ind w:left="2731" w:right="184" w:hanging="1981"/>
        <w:jc w:val="both"/>
      </w:pPr>
      <w:r>
        <w:rPr/>
        <w:t>A17</w:t>
      </w:r>
      <w:r>
        <w:rPr>
          <w:spacing w:val="-4"/>
        </w:rPr>
        <w:t>．严重脑损伤   指因头部遭受机械性外力，引起脑重要部位损伤，导致神经系统永久性的功能障碍。须</w:t>
      </w:r>
      <w:r>
        <w:rPr>
          <w:spacing w:val="-5"/>
        </w:rPr>
        <w:t>由头颅断层扫描</w:t>
      </w:r>
      <w:r>
        <w:rPr>
          <w:spacing w:val="-4"/>
        </w:rPr>
        <w:t>（CT）</w:t>
      </w:r>
      <w:r>
        <w:rPr>
          <w:spacing w:val="-5"/>
        </w:rPr>
        <w:t>、核磁共振检查</w:t>
      </w:r>
      <w:r>
        <w:rPr>
          <w:spacing w:val="-3"/>
        </w:rPr>
        <w:t>（MRI）</w:t>
      </w:r>
      <w:r>
        <w:rPr>
          <w:spacing w:val="-2"/>
        </w:rPr>
        <w:t>或正电子发射断层扫描</w:t>
      </w:r>
      <w:r>
        <w:rPr>
          <w:spacing w:val="-3"/>
        </w:rPr>
        <w:t>（PET）</w:t>
      </w:r>
      <w:r>
        <w:rPr/>
        <w:t>等影像学</w:t>
      </w:r>
      <w:r>
        <w:rPr>
          <w:spacing w:val="-1"/>
        </w:rPr>
        <w:t>检查证实。神经系统永久性的功能障碍，指脑损伤 </w:t>
      </w:r>
      <w:r>
        <w:rPr/>
        <w:t>180</w:t>
      </w:r>
      <w:r>
        <w:rPr>
          <w:spacing w:val="-2"/>
        </w:rPr>
        <w:t> 天后，仍遗留下列一种或一种</w:t>
      </w:r>
      <w:r>
        <w:rPr>
          <w:spacing w:val="-1"/>
        </w:rPr>
        <w:t>以上障碍：</w:t>
      </w:r>
    </w:p>
    <w:p>
      <w:pPr>
        <w:pStyle w:val="ListParagraph"/>
        <w:numPr>
          <w:ilvl w:val="0"/>
          <w:numId w:val="14"/>
        </w:numPr>
        <w:tabs>
          <w:tab w:pos="3152" w:val="left" w:leader="none"/>
        </w:tabs>
        <w:spacing w:line="240" w:lineRule="auto" w:before="12" w:after="0"/>
        <w:ind w:left="3151" w:right="0" w:hanging="420"/>
        <w:jc w:val="left"/>
        <w:rPr>
          <w:sz w:val="20"/>
        </w:rPr>
      </w:pPr>
      <w:r>
        <w:rPr>
          <w:spacing w:val="-1"/>
          <w:sz w:val="20"/>
        </w:rPr>
        <w:t>一肢或一肢以上肢体机能完全丧失；</w:t>
      </w:r>
    </w:p>
    <w:p>
      <w:pPr>
        <w:pStyle w:val="ListParagraph"/>
        <w:numPr>
          <w:ilvl w:val="0"/>
          <w:numId w:val="14"/>
        </w:numPr>
        <w:tabs>
          <w:tab w:pos="3152" w:val="left" w:leader="none"/>
        </w:tabs>
        <w:spacing w:line="240" w:lineRule="auto" w:before="50" w:after="0"/>
        <w:ind w:left="3151" w:right="0" w:hanging="420"/>
        <w:jc w:val="left"/>
        <w:rPr>
          <w:sz w:val="20"/>
        </w:rPr>
      </w:pPr>
      <w:r>
        <w:rPr>
          <w:spacing w:val="-1"/>
          <w:sz w:val="20"/>
        </w:rPr>
        <w:t>语言能力或咀嚼吞咽能力完全丧失；</w:t>
      </w:r>
    </w:p>
    <w:p>
      <w:pPr>
        <w:pStyle w:val="ListParagraph"/>
        <w:numPr>
          <w:ilvl w:val="0"/>
          <w:numId w:val="14"/>
        </w:numPr>
        <w:tabs>
          <w:tab w:pos="3152" w:val="left" w:leader="none"/>
        </w:tabs>
        <w:spacing w:line="285" w:lineRule="auto" w:before="50" w:after="0"/>
        <w:ind w:left="3151" w:right="211" w:hanging="420"/>
        <w:jc w:val="left"/>
        <w:rPr>
          <w:sz w:val="20"/>
        </w:rPr>
      </w:pPr>
      <w:r>
        <w:rPr>
          <w:sz w:val="20"/>
        </w:rPr>
        <w:t>自主生活能力完全丧失，无法独立完成六项基本日常生活活动中的三项或三项以上。</w:t>
      </w:r>
    </w:p>
    <w:p>
      <w:pPr>
        <w:pStyle w:val="BodyText"/>
        <w:spacing w:line="285" w:lineRule="auto" w:before="168"/>
        <w:ind w:left="2731" w:right="185" w:hanging="1981"/>
        <w:jc w:val="both"/>
      </w:pPr>
      <w:r>
        <w:rPr/>
        <w:t>A18</w:t>
      </w:r>
      <w:r>
        <w:rPr>
          <w:spacing w:val="-4"/>
        </w:rPr>
        <w:t>．严重帕金森病 是一种中枢神经系统的退行性疾病，临床表现为震颤麻痹、共济失调等。须满足下列全部条件：</w:t>
      </w:r>
    </w:p>
    <w:p>
      <w:pPr>
        <w:pStyle w:val="ListParagraph"/>
        <w:numPr>
          <w:ilvl w:val="0"/>
          <w:numId w:val="15"/>
        </w:numPr>
        <w:tabs>
          <w:tab w:pos="3152" w:val="left" w:leader="none"/>
        </w:tabs>
        <w:spacing w:line="240" w:lineRule="auto" w:before="12" w:after="0"/>
        <w:ind w:left="3151" w:right="0" w:hanging="420"/>
        <w:jc w:val="left"/>
        <w:rPr>
          <w:sz w:val="20"/>
        </w:rPr>
      </w:pPr>
      <w:r>
        <w:rPr>
          <w:spacing w:val="-1"/>
          <w:sz w:val="20"/>
        </w:rPr>
        <w:t>药物治疗无法控制病情；</w:t>
      </w:r>
    </w:p>
    <w:p>
      <w:pPr>
        <w:spacing w:after="0" w:line="240" w:lineRule="auto"/>
        <w:jc w:val="left"/>
        <w:rPr>
          <w:sz w:val="20"/>
        </w:rPr>
        <w:sectPr>
          <w:type w:val="continuous"/>
          <w:pgSz w:w="11910" w:h="16840"/>
          <w:pgMar w:top="120" w:bottom="1020" w:left="860" w:right="600"/>
        </w:sectPr>
      </w:pPr>
    </w:p>
    <w:p>
      <w:pPr>
        <w:pStyle w:val="ListParagraph"/>
        <w:numPr>
          <w:ilvl w:val="0"/>
          <w:numId w:val="15"/>
        </w:numPr>
        <w:tabs>
          <w:tab w:pos="3152" w:val="left" w:leader="none"/>
        </w:tabs>
        <w:spacing w:line="285" w:lineRule="auto" w:before="14" w:after="0"/>
        <w:ind w:left="3151" w:right="211" w:hanging="420"/>
        <w:jc w:val="left"/>
        <w:rPr>
          <w:sz w:val="20"/>
        </w:rPr>
      </w:pPr>
      <w:r>
        <w:rPr>
          <w:sz w:val="20"/>
        </w:rPr>
        <w:t>自主生活能力完全丧失，无法独立完成六项基本日常生活活动中的三项或三项以上。</w:t>
      </w:r>
    </w:p>
    <w:p>
      <w:pPr>
        <w:pStyle w:val="Heading1"/>
        <w:spacing w:before="168"/>
        <w:ind w:left="2731"/>
      </w:pPr>
      <w:r>
        <w:rPr>
          <w:w w:val="95"/>
        </w:rPr>
        <w:t>继发性帕金森综合征不在保障范围内。</w:t>
      </w:r>
    </w:p>
    <w:p>
      <w:pPr>
        <w:pStyle w:val="BodyText"/>
        <w:spacing w:before="10"/>
        <w:rPr>
          <w:b/>
          <w:sz w:val="15"/>
        </w:rPr>
      </w:pPr>
    </w:p>
    <w:p>
      <w:pPr>
        <w:pStyle w:val="BodyText"/>
        <w:tabs>
          <w:tab w:pos="2731" w:val="left" w:leader="none"/>
        </w:tabs>
        <w:spacing w:line="285" w:lineRule="auto" w:before="0"/>
        <w:ind w:left="2731" w:right="185" w:hanging="1981"/>
      </w:pPr>
      <w:r>
        <w:rPr/>
        <w:t>A19．严重Ⅲ度烧伤</w:t>
        <w:tab/>
        <w:t>指烧伤程度为Ⅲ度，且Ⅲ度烧伤的面积达到全身体表面积的</w:t>
      </w:r>
      <w:r>
        <w:rPr>
          <w:spacing w:val="-42"/>
        </w:rPr>
        <w:t> </w:t>
      </w:r>
      <w:r>
        <w:rPr/>
        <w:t>20％或</w:t>
      </w:r>
      <w:r>
        <w:rPr>
          <w:spacing w:val="-42"/>
        </w:rPr>
        <w:t> </w:t>
      </w:r>
      <w:r>
        <w:rPr/>
        <w:t>20％以上。体表面</w:t>
      </w:r>
      <w:r>
        <w:rPr>
          <w:spacing w:val="-1"/>
        </w:rPr>
        <w:t>积根据《中国新九</w:t>
      </w:r>
      <w:r>
        <w:rPr/>
        <w:t>分法》计算。</w:t>
      </w:r>
    </w:p>
    <w:p>
      <w:pPr>
        <w:pStyle w:val="BodyText"/>
        <w:spacing w:before="11"/>
        <w:rPr>
          <w:sz w:val="9"/>
        </w:rPr>
      </w:pPr>
    </w:p>
    <w:p>
      <w:pPr>
        <w:spacing w:after="0"/>
        <w:rPr>
          <w:sz w:val="9"/>
        </w:rPr>
        <w:sectPr>
          <w:pgSz w:w="11910" w:h="16840"/>
          <w:pgMar w:header="0" w:footer="834" w:top="1420" w:bottom="1100" w:left="860" w:right="600"/>
        </w:sectPr>
      </w:pPr>
    </w:p>
    <w:p>
      <w:pPr>
        <w:pStyle w:val="BodyText"/>
        <w:spacing w:line="285" w:lineRule="auto"/>
        <w:ind w:left="751"/>
      </w:pPr>
      <w:r>
        <w:rPr/>
        <w:t>A20．严重原发性肺动脉高压</w:t>
      </w:r>
    </w:p>
    <w:p>
      <w:pPr>
        <w:pStyle w:val="BodyText"/>
        <w:spacing w:line="285" w:lineRule="auto"/>
        <w:ind w:left="166" w:right="185"/>
        <w:jc w:val="both"/>
      </w:pPr>
      <w:r>
        <w:rPr/>
        <w:br w:type="column"/>
      </w:r>
      <w:r>
        <w:rPr>
          <w:spacing w:val="-6"/>
        </w:rPr>
        <w:t>指不明原因的肺动脉压力持续性增高，进行性发展而导致的慢性疾病，已经造成永久不</w:t>
      </w:r>
      <w:r>
        <w:rPr>
          <w:spacing w:val="-8"/>
        </w:rPr>
        <w:t>可逆性的体力活动能力受限，达到美国纽约心脏病学会心功能状态分级 </w:t>
      </w:r>
      <w:r>
        <w:rPr/>
        <w:t>IV</w:t>
      </w:r>
      <w:r>
        <w:rPr>
          <w:spacing w:val="-9"/>
        </w:rPr>
        <w:t> 级，且静息</w:t>
      </w:r>
      <w:r>
        <w:rPr>
          <w:spacing w:val="-14"/>
        </w:rPr>
        <w:t>状态下肺动脉平均压超过 </w:t>
      </w:r>
      <w:r>
        <w:rPr/>
        <w:t>30mmHg。</w:t>
      </w:r>
    </w:p>
    <w:p>
      <w:pPr>
        <w:spacing w:after="0" w:line="285" w:lineRule="auto"/>
        <w:jc w:val="both"/>
        <w:sectPr>
          <w:type w:val="continuous"/>
          <w:pgSz w:w="11910" w:h="16840"/>
          <w:pgMar w:top="120" w:bottom="1020" w:left="860" w:right="600"/>
          <w:cols w:num="2" w:equalWidth="0">
            <w:col w:w="2526" w:space="40"/>
            <w:col w:w="7884"/>
          </w:cols>
        </w:sectPr>
      </w:pPr>
    </w:p>
    <w:p>
      <w:pPr>
        <w:pStyle w:val="BodyText"/>
        <w:spacing w:before="11"/>
        <w:rPr>
          <w:sz w:val="9"/>
        </w:rPr>
      </w:pPr>
    </w:p>
    <w:p>
      <w:pPr>
        <w:spacing w:after="0"/>
        <w:rPr>
          <w:sz w:val="9"/>
        </w:rPr>
        <w:sectPr>
          <w:type w:val="continuous"/>
          <w:pgSz w:w="11910" w:h="16840"/>
          <w:pgMar w:top="120" w:bottom="1020" w:left="860" w:right="600"/>
        </w:sectPr>
      </w:pPr>
    </w:p>
    <w:p>
      <w:pPr>
        <w:pStyle w:val="BodyText"/>
        <w:spacing w:line="285" w:lineRule="auto"/>
        <w:ind w:left="751"/>
      </w:pPr>
      <w:r>
        <w:rPr/>
        <w:t>A21．严重运动神经元病</w:t>
      </w:r>
    </w:p>
    <w:p>
      <w:pPr>
        <w:pStyle w:val="BodyText"/>
        <w:spacing w:line="285" w:lineRule="auto"/>
        <w:ind w:left="166" w:right="110"/>
      </w:pPr>
      <w:r>
        <w:rPr/>
        <w:br w:type="column"/>
      </w:r>
      <w:r>
        <w:rPr/>
        <w:t>是一组中枢神经系统运动神经元的进行性变性疾病，包括进行性脊肌萎缩症、进行性延髓麻痹症、原发性侧索硬化症、肌萎缩性侧索硬化症。须满足自主生活能力完全丧失， 无法独立完成六项基本日常生活活动中的三项或三项以上的条件。</w:t>
      </w:r>
    </w:p>
    <w:p>
      <w:pPr>
        <w:spacing w:after="0" w:line="285" w:lineRule="auto"/>
        <w:sectPr>
          <w:type w:val="continuous"/>
          <w:pgSz w:w="11910" w:h="16840"/>
          <w:pgMar w:top="120" w:bottom="1020" w:left="860" w:right="600"/>
          <w:cols w:num="2" w:equalWidth="0">
            <w:col w:w="2526" w:space="40"/>
            <w:col w:w="7884"/>
          </w:cols>
        </w:sectPr>
      </w:pPr>
    </w:p>
    <w:p>
      <w:pPr>
        <w:pStyle w:val="BodyText"/>
        <w:spacing w:before="11"/>
        <w:rPr>
          <w:sz w:val="9"/>
        </w:rPr>
      </w:pPr>
    </w:p>
    <w:p>
      <w:pPr>
        <w:pStyle w:val="BodyText"/>
        <w:tabs>
          <w:tab w:pos="2731" w:val="left" w:leader="none"/>
        </w:tabs>
        <w:spacing w:line="285" w:lineRule="auto"/>
        <w:ind w:left="2731" w:right="185" w:hanging="1981"/>
      </w:pPr>
      <w:r>
        <w:rPr/>
        <w:t>A22．语言能力丧失</w:t>
        <w:tab/>
        <w:t>指因疾病或意外伤害导致完全丧失语言能力，经过积极治疗至少</w:t>
      </w:r>
      <w:r>
        <w:rPr>
          <w:spacing w:val="-43"/>
        </w:rPr>
        <w:t> </w:t>
      </w:r>
      <w:r>
        <w:rPr/>
        <w:t>12</w:t>
      </w:r>
      <w:r>
        <w:rPr>
          <w:spacing w:val="-43"/>
        </w:rPr>
        <w:t> </w:t>
      </w:r>
      <w:r>
        <w:rPr/>
        <w:t>个月（声带完全切</w:t>
      </w:r>
      <w:r>
        <w:rPr>
          <w:spacing w:val="-1"/>
        </w:rPr>
        <w:t>除不受此时间限制），仍无法通</w:t>
      </w:r>
      <w:r>
        <w:rPr/>
        <w:t>过现有医疗手段恢复。</w:t>
      </w:r>
    </w:p>
    <w:p>
      <w:pPr>
        <w:pStyle w:val="Heading1"/>
        <w:spacing w:before="168"/>
        <w:ind w:left="2731"/>
      </w:pPr>
      <w:r>
        <w:rPr>
          <w:w w:val="95"/>
        </w:rPr>
        <w:t>精神心理因素所致的语言能力丧失不在保障范围内。</w:t>
      </w:r>
    </w:p>
    <w:p>
      <w:pPr>
        <w:pStyle w:val="BodyText"/>
        <w:spacing w:before="10"/>
        <w:rPr>
          <w:b/>
          <w:sz w:val="12"/>
        </w:rPr>
      </w:pPr>
    </w:p>
    <w:p>
      <w:pPr>
        <w:spacing w:after="0"/>
        <w:rPr>
          <w:sz w:val="12"/>
        </w:rPr>
        <w:sectPr>
          <w:type w:val="continuous"/>
          <w:pgSz w:w="11910" w:h="16840"/>
          <w:pgMar w:top="120" w:bottom="1020" w:left="860" w:right="600"/>
        </w:sectPr>
      </w:pPr>
    </w:p>
    <w:p>
      <w:pPr>
        <w:pStyle w:val="BodyText"/>
        <w:spacing w:line="285" w:lineRule="auto"/>
        <w:ind w:left="751"/>
      </w:pPr>
      <w:r>
        <w:rPr/>
        <w:t>A23．重型再生障碍性贫血</w:t>
      </w:r>
    </w:p>
    <w:p>
      <w:pPr>
        <w:pStyle w:val="BodyText"/>
        <w:spacing w:line="285" w:lineRule="auto"/>
        <w:ind w:left="166" w:right="113"/>
      </w:pPr>
      <w:r>
        <w:rPr/>
        <w:br w:type="column"/>
      </w:r>
      <w:r>
        <w:rPr/>
        <w:t>指因骨髓造血功能慢性持续性衰竭导致的贫血、中性粒细胞减少及血小板减少。须满足下列全部条件：</w:t>
      </w:r>
    </w:p>
    <w:p>
      <w:pPr>
        <w:pStyle w:val="ListParagraph"/>
        <w:numPr>
          <w:ilvl w:val="0"/>
          <w:numId w:val="16"/>
        </w:numPr>
        <w:tabs>
          <w:tab w:pos="587" w:val="left" w:leader="none"/>
        </w:tabs>
        <w:spacing w:line="240" w:lineRule="auto" w:before="12" w:after="0"/>
        <w:ind w:left="586" w:right="0" w:hanging="420"/>
        <w:jc w:val="left"/>
        <w:rPr>
          <w:sz w:val="20"/>
        </w:rPr>
      </w:pPr>
      <w:r>
        <w:rPr>
          <w:spacing w:val="-1"/>
          <w:sz w:val="20"/>
        </w:rPr>
        <w:t>骨髓穿刺检查或骨髓活检结果支持诊断；</w:t>
      </w:r>
    </w:p>
    <w:p>
      <w:pPr>
        <w:pStyle w:val="ListParagraph"/>
        <w:numPr>
          <w:ilvl w:val="0"/>
          <w:numId w:val="16"/>
        </w:numPr>
        <w:tabs>
          <w:tab w:pos="587" w:val="left" w:leader="none"/>
        </w:tabs>
        <w:spacing w:line="240" w:lineRule="auto" w:before="50" w:after="0"/>
        <w:ind w:left="586" w:right="0" w:hanging="420"/>
        <w:jc w:val="left"/>
        <w:rPr>
          <w:sz w:val="20"/>
        </w:rPr>
      </w:pPr>
      <w:r>
        <w:rPr>
          <w:spacing w:val="-1"/>
          <w:sz w:val="20"/>
        </w:rPr>
        <w:t>外周血象须具备以下三项条件：</w:t>
      </w:r>
    </w:p>
    <w:p>
      <w:pPr>
        <w:pStyle w:val="BodyText"/>
        <w:spacing w:before="50"/>
        <w:ind w:left="598"/>
      </w:pPr>
      <w:r>
        <w:rPr/>
        <w:t>1）中性粒细胞绝对值≤0.5×10</w:t>
      </w:r>
      <w:r>
        <w:rPr>
          <w:position w:val="10"/>
          <w:sz w:val="10"/>
        </w:rPr>
        <w:t>9</w:t>
      </w:r>
      <w:r>
        <w:rPr/>
        <w:t>/L ；</w:t>
      </w:r>
    </w:p>
    <w:p>
      <w:pPr>
        <w:pStyle w:val="BodyText"/>
        <w:spacing w:before="50"/>
        <w:ind w:left="598"/>
      </w:pPr>
      <w:r>
        <w:rPr/>
        <w:t>2）网织红细胞＜1%；</w:t>
      </w:r>
    </w:p>
    <w:p>
      <w:pPr>
        <w:pStyle w:val="BodyText"/>
        <w:spacing w:before="50"/>
        <w:ind w:left="598"/>
      </w:pPr>
      <w:r>
        <w:rPr/>
        <w:t>3）血小板绝对值≤20×10</w:t>
      </w:r>
      <w:r>
        <w:rPr>
          <w:position w:val="10"/>
          <w:sz w:val="10"/>
        </w:rPr>
        <w:t>9</w:t>
      </w:r>
      <w:r>
        <w:rPr/>
        <w:t>/L。</w:t>
      </w:r>
    </w:p>
    <w:p>
      <w:pPr>
        <w:spacing w:after="0"/>
        <w:sectPr>
          <w:type w:val="continuous"/>
          <w:pgSz w:w="11910" w:h="16840"/>
          <w:pgMar w:top="120" w:bottom="1020" w:left="860" w:right="600"/>
          <w:cols w:num="2" w:equalWidth="0">
            <w:col w:w="2526" w:space="40"/>
            <w:col w:w="7884"/>
          </w:cols>
        </w:sectPr>
      </w:pPr>
    </w:p>
    <w:p>
      <w:pPr>
        <w:pStyle w:val="BodyText"/>
        <w:spacing w:before="10"/>
        <w:rPr>
          <w:sz w:val="12"/>
        </w:rPr>
      </w:pPr>
    </w:p>
    <w:p>
      <w:pPr>
        <w:pStyle w:val="BodyText"/>
        <w:tabs>
          <w:tab w:pos="2731" w:val="left" w:leader="none"/>
        </w:tabs>
        <w:spacing w:line="285" w:lineRule="auto"/>
        <w:ind w:left="2731" w:right="185" w:hanging="1981"/>
      </w:pPr>
      <w:r>
        <w:rPr/>
        <w:t>A24．主动脉手术</w:t>
        <w:tab/>
      </w:r>
      <w:r>
        <w:rPr>
          <w:spacing w:val="-1"/>
        </w:rPr>
        <w:t>指为治疗主动脉疾病</w:t>
      </w:r>
      <w:r>
        <w:rPr>
          <w:spacing w:val="-27"/>
        </w:rPr>
        <w:t>，</w:t>
      </w:r>
      <w:r>
        <w:rPr>
          <w:spacing w:val="-1"/>
        </w:rPr>
        <w:t>实际实施了开胸或开腹进行的</w:t>
      </w:r>
      <w:r>
        <w:rPr/>
        <w:t>切除</w:t>
      </w:r>
      <w:r>
        <w:rPr>
          <w:spacing w:val="-26"/>
        </w:rPr>
        <w:t>、</w:t>
      </w:r>
      <w:r>
        <w:rPr/>
        <w:t>置换</w:t>
      </w:r>
      <w:r>
        <w:rPr>
          <w:spacing w:val="-26"/>
        </w:rPr>
        <w:t>、</w:t>
      </w:r>
      <w:r>
        <w:rPr/>
        <w:t>修补病损主动脉血管 </w:t>
      </w:r>
      <w:r>
        <w:rPr>
          <w:spacing w:val="-1"/>
        </w:rPr>
        <w:t>的手术。主动脉指胸主动脉和腹主动脉，不包括胸</w:t>
      </w:r>
      <w:r>
        <w:rPr/>
        <w:t>主动脉和腹主动脉的分支血管。</w:t>
      </w:r>
    </w:p>
    <w:p>
      <w:pPr>
        <w:pStyle w:val="Heading1"/>
        <w:spacing w:before="168"/>
        <w:ind w:left="2731"/>
      </w:pPr>
      <w:r>
        <w:rPr>
          <w:w w:val="95"/>
        </w:rPr>
        <w:t>动脉内血管成形术不在保障范围内。</w:t>
      </w:r>
    </w:p>
    <w:p>
      <w:pPr>
        <w:pStyle w:val="BodyText"/>
        <w:spacing w:before="10"/>
        <w:rPr>
          <w:b/>
          <w:sz w:val="12"/>
        </w:rPr>
      </w:pPr>
    </w:p>
    <w:p>
      <w:pPr>
        <w:spacing w:after="0"/>
        <w:rPr>
          <w:sz w:val="12"/>
        </w:rPr>
        <w:sectPr>
          <w:type w:val="continuous"/>
          <w:pgSz w:w="11910" w:h="16840"/>
          <w:pgMar w:top="120" w:bottom="1020" w:left="860" w:right="600"/>
        </w:sectPr>
      </w:pPr>
    </w:p>
    <w:p>
      <w:pPr>
        <w:pStyle w:val="BodyText"/>
        <w:spacing w:line="285" w:lineRule="auto"/>
        <w:ind w:left="751"/>
      </w:pPr>
      <w:r>
        <w:rPr>
          <w:spacing w:val="-6"/>
        </w:rPr>
        <w:t>二、自行定义的重大疾病</w:t>
      </w:r>
    </w:p>
    <w:p>
      <w:pPr>
        <w:pStyle w:val="BodyText"/>
        <w:ind w:left="174"/>
      </w:pPr>
      <w:r>
        <w:rPr/>
        <w:br w:type="column"/>
      </w:r>
      <w:r>
        <w:rPr/>
        <w:t>以下二十一种重大疾病由于没有行业统一的名称和定义，为自行定义的重大疾病。</w:t>
      </w:r>
    </w:p>
    <w:p>
      <w:pPr>
        <w:spacing w:after="0"/>
        <w:sectPr>
          <w:type w:val="continuous"/>
          <w:pgSz w:w="11910" w:h="16840"/>
          <w:pgMar w:top="120" w:bottom="1020" w:left="860" w:right="600"/>
          <w:cols w:num="2" w:equalWidth="0">
            <w:col w:w="2517" w:space="40"/>
            <w:col w:w="7893"/>
          </w:cols>
        </w:sectPr>
      </w:pPr>
    </w:p>
    <w:p>
      <w:pPr>
        <w:pStyle w:val="BodyText"/>
        <w:spacing w:before="11"/>
        <w:rPr>
          <w:sz w:val="9"/>
        </w:rPr>
      </w:pPr>
    </w:p>
    <w:p>
      <w:pPr>
        <w:pStyle w:val="BodyText"/>
        <w:spacing w:line="285" w:lineRule="auto"/>
        <w:ind w:left="2731" w:right="185" w:hanging="1981"/>
        <w:jc w:val="both"/>
      </w:pPr>
      <w:r>
        <w:rPr/>
        <w:t>A25</w:t>
      </w:r>
      <w:r>
        <w:rPr>
          <w:spacing w:val="-4"/>
        </w:rPr>
        <w:t>．原发性心肌病 指不明原因引起的一类心肌病变，包括原发性扩张型心肌病、原发性肥厚型心肌病及原</w:t>
      </w:r>
      <w:r>
        <w:rPr>
          <w:spacing w:val="-8"/>
        </w:rPr>
        <w:t>发性限制型心肌病三种，病变必须已造成事实上心室功能障碍而出现明显的心功能衰竭</w:t>
      </w:r>
    </w:p>
    <w:p>
      <w:pPr>
        <w:spacing w:line="285" w:lineRule="auto" w:before="12"/>
        <w:ind w:left="2731" w:right="184" w:firstLine="0"/>
        <w:jc w:val="both"/>
        <w:rPr>
          <w:sz w:val="20"/>
        </w:rPr>
      </w:pPr>
      <w:r>
        <w:rPr>
          <w:spacing w:val="-6"/>
          <w:sz w:val="20"/>
        </w:rPr>
        <w:t>( 美国纽约心脏协会心功能分类标准心功能达 </w:t>
      </w:r>
      <w:r>
        <w:rPr>
          <w:sz w:val="20"/>
        </w:rPr>
        <w:t>IV</w:t>
      </w:r>
      <w:r>
        <w:rPr>
          <w:spacing w:val="-13"/>
          <w:sz w:val="20"/>
        </w:rPr>
        <w:t> 级)， 且有相关住院医疗记录显示 </w:t>
      </w:r>
      <w:r>
        <w:rPr>
          <w:sz w:val="20"/>
        </w:rPr>
        <w:t>IV </w:t>
      </w:r>
      <w:r>
        <w:rPr>
          <w:spacing w:val="-6"/>
          <w:sz w:val="20"/>
        </w:rPr>
        <w:t>级心功能衰竭状态持续至少一百八十天。该疾病索赔时须要经心内科专科医生做出明确诊断。</w:t>
      </w:r>
      <w:r>
        <w:rPr>
          <w:b/>
          <w:spacing w:val="-6"/>
          <w:sz w:val="20"/>
        </w:rPr>
        <w:t>继发于全身性疾病或其它器官系统疾病以及由于酒精和药物滥用导致的心肌病不在保障范围内。</w:t>
      </w:r>
      <w:r>
        <w:rPr>
          <w:spacing w:val="-9"/>
          <w:sz w:val="20"/>
        </w:rPr>
        <w:t>美国纽约心脏协会分类标准心功能 </w:t>
      </w:r>
      <w:r>
        <w:rPr>
          <w:sz w:val="20"/>
        </w:rPr>
        <w:t>IV</w:t>
      </w:r>
      <w:r>
        <w:rPr>
          <w:spacing w:val="-7"/>
          <w:sz w:val="20"/>
        </w:rPr>
        <w:t> 级是指有医院的医疗记录显示</w:t>
      </w:r>
      <w:r>
        <w:rPr>
          <w:spacing w:val="-1"/>
          <w:sz w:val="20"/>
        </w:rPr>
        <w:t>病人不能进行任何活动，休息时仍有心悸、呼吸困难等心力衰竭表现。</w:t>
      </w:r>
    </w:p>
    <w:p>
      <w:pPr>
        <w:pStyle w:val="BodyText"/>
        <w:spacing w:line="285" w:lineRule="auto" w:before="168"/>
        <w:ind w:left="2731" w:right="185" w:hanging="1981"/>
        <w:jc w:val="both"/>
      </w:pPr>
      <w:r>
        <w:rPr/>
        <w:t>A26</w:t>
      </w:r>
      <w:r>
        <w:rPr>
          <w:spacing w:val="-3"/>
        </w:rPr>
        <w:t>．脊髓灰质炎   脊髓灰质炎是由于脊髓灰质炎病毒感染所致的瘫痪性疾病，临床表现为运动功能损害或</w:t>
      </w:r>
      <w:r>
        <w:rPr>
          <w:spacing w:val="-9"/>
        </w:rPr>
        <w:t>呼吸无力。脊髓灰质炎必须明确诊断。我们仅对脊髓灰质炎造成的神经系统功能损害导</w:t>
      </w:r>
      <w:r>
        <w:rPr>
          <w:spacing w:val="-4"/>
        </w:rPr>
        <w:t>致被保险人一肢或一肢以上肢体机能永久完全丧失的情况予以理赔。肢体机能永久完全</w:t>
      </w:r>
      <w:r>
        <w:rPr>
          <w:spacing w:val="-13"/>
        </w:rPr>
        <w:t>丧失，指疾病确诊 </w:t>
      </w:r>
      <w:r>
        <w:rPr/>
        <w:t>180</w:t>
      </w:r>
      <w:r>
        <w:rPr>
          <w:spacing w:val="-11"/>
        </w:rPr>
        <w:t> 天后，每肢三大关节中的两大关节仍然完全僵硬，或不能随意识活动。</w:t>
      </w:r>
    </w:p>
    <w:p>
      <w:pPr>
        <w:spacing w:after="0" w:line="285" w:lineRule="auto"/>
        <w:jc w:val="both"/>
        <w:sectPr>
          <w:type w:val="continuous"/>
          <w:pgSz w:w="11910" w:h="16840"/>
          <w:pgMar w:top="120" w:bottom="1020" w:left="860" w:right="600"/>
        </w:sectPr>
      </w:pPr>
    </w:p>
    <w:p>
      <w:pPr>
        <w:pStyle w:val="BodyText"/>
        <w:spacing w:line="285" w:lineRule="auto" w:before="14"/>
        <w:ind w:left="751"/>
        <w:jc w:val="both"/>
      </w:pPr>
      <w:r>
        <w:rPr/>
        <w:t>A27．经输血导致的人类免疫缺陷病毒感染</w:t>
      </w:r>
    </w:p>
    <w:p>
      <w:pPr>
        <w:pStyle w:val="BodyText"/>
        <w:spacing w:before="14"/>
        <w:ind w:left="166"/>
      </w:pPr>
      <w:r>
        <w:rPr/>
        <w:br w:type="column"/>
      </w:r>
      <w:r>
        <w:rPr/>
        <w:t>被保险人感染上人类免疫缺陷病毒（HIV）并且符合下列所有条件：</w:t>
      </w:r>
    </w:p>
    <w:p>
      <w:pPr>
        <w:pStyle w:val="ListParagraph"/>
        <w:numPr>
          <w:ilvl w:val="0"/>
          <w:numId w:val="17"/>
        </w:numPr>
        <w:tabs>
          <w:tab w:pos="587" w:val="left" w:leader="none"/>
        </w:tabs>
        <w:spacing w:line="285" w:lineRule="auto" w:before="50" w:after="0"/>
        <w:ind w:left="586" w:right="131" w:hanging="420"/>
        <w:jc w:val="left"/>
        <w:rPr>
          <w:sz w:val="20"/>
        </w:rPr>
      </w:pPr>
      <w:r>
        <w:rPr>
          <w:sz w:val="20"/>
        </w:rPr>
        <w:t>在保障起始日或效力恢复日之后，被保险人因治疗必需而接受输血，并且因输血</w:t>
      </w:r>
      <w:r>
        <w:rPr>
          <w:spacing w:val="-14"/>
          <w:sz w:val="20"/>
        </w:rPr>
        <w:t>而感染 </w:t>
      </w:r>
      <w:r>
        <w:rPr>
          <w:sz w:val="20"/>
        </w:rPr>
        <w:t>HIV；</w:t>
      </w:r>
    </w:p>
    <w:p>
      <w:pPr>
        <w:pStyle w:val="ListParagraph"/>
        <w:numPr>
          <w:ilvl w:val="0"/>
          <w:numId w:val="17"/>
        </w:numPr>
        <w:tabs>
          <w:tab w:pos="587" w:val="left" w:leader="none"/>
        </w:tabs>
        <w:spacing w:line="285" w:lineRule="auto" w:before="12" w:after="0"/>
        <w:ind w:left="586" w:right="131" w:hanging="420"/>
        <w:jc w:val="left"/>
        <w:rPr>
          <w:sz w:val="20"/>
        </w:rPr>
      </w:pPr>
      <w:r>
        <w:rPr>
          <w:sz w:val="20"/>
        </w:rPr>
        <w:t>提供输血治疗的输血中心或医院出具该项输血感染属医疗责任事故的报告，或者</w:t>
      </w:r>
      <w:r>
        <w:rPr>
          <w:spacing w:val="-1"/>
          <w:sz w:val="20"/>
        </w:rPr>
        <w:t>法院终审裁定为医疗责任；</w:t>
      </w:r>
    </w:p>
    <w:p>
      <w:pPr>
        <w:pStyle w:val="ListParagraph"/>
        <w:numPr>
          <w:ilvl w:val="0"/>
          <w:numId w:val="17"/>
        </w:numPr>
        <w:tabs>
          <w:tab w:pos="587" w:val="left" w:leader="none"/>
        </w:tabs>
        <w:spacing w:line="240" w:lineRule="auto" w:before="12" w:after="0"/>
        <w:ind w:left="586" w:right="0" w:hanging="420"/>
        <w:jc w:val="left"/>
        <w:rPr>
          <w:sz w:val="20"/>
        </w:rPr>
      </w:pPr>
      <w:r>
        <w:rPr>
          <w:spacing w:val="-1"/>
          <w:sz w:val="20"/>
        </w:rPr>
        <w:t>提供输血治疗的输血中心或医院必须拥有合法经营执照；</w:t>
      </w:r>
    </w:p>
    <w:p>
      <w:pPr>
        <w:pStyle w:val="ListParagraph"/>
        <w:numPr>
          <w:ilvl w:val="0"/>
          <w:numId w:val="17"/>
        </w:numPr>
        <w:tabs>
          <w:tab w:pos="587" w:val="left" w:leader="none"/>
        </w:tabs>
        <w:spacing w:line="240" w:lineRule="auto" w:before="50" w:after="0"/>
        <w:ind w:left="586" w:right="0" w:hanging="420"/>
        <w:jc w:val="left"/>
        <w:rPr>
          <w:sz w:val="20"/>
        </w:rPr>
      </w:pPr>
      <w:r>
        <w:rPr>
          <w:spacing w:val="-1"/>
          <w:sz w:val="20"/>
        </w:rPr>
        <w:t>受感染的被保险人不是血友病患者</w:t>
      </w:r>
    </w:p>
    <w:p>
      <w:pPr>
        <w:pStyle w:val="BodyText"/>
        <w:spacing w:before="9"/>
        <w:rPr>
          <w:sz w:val="15"/>
        </w:rPr>
      </w:pPr>
    </w:p>
    <w:p>
      <w:pPr>
        <w:pStyle w:val="Heading1"/>
        <w:spacing w:line="285" w:lineRule="auto" w:before="0"/>
        <w:ind w:left="166" w:right="107"/>
      </w:pPr>
      <w:r>
        <w:rPr>
          <w:spacing w:val="-1"/>
        </w:rPr>
        <w:t>在任何治愈爱滋病</w:t>
      </w:r>
      <w:r>
        <w:rPr/>
        <w:t>（AIDS）</w:t>
      </w:r>
      <w:r>
        <w:rPr>
          <w:spacing w:val="-14"/>
        </w:rPr>
        <w:t>或阻止 </w:t>
      </w:r>
      <w:r>
        <w:rPr/>
        <w:t>HIV</w:t>
      </w:r>
      <w:r>
        <w:rPr>
          <w:spacing w:val="-11"/>
        </w:rPr>
        <w:t> 病毒作用的疗法被发现以后，或能防止 </w:t>
      </w:r>
      <w:r>
        <w:rPr/>
        <w:t>AIDS</w:t>
      </w:r>
      <w:r>
        <w:rPr>
          <w:spacing w:val="-28"/>
        </w:rPr>
        <w:t> 发</w:t>
      </w:r>
      <w:r>
        <w:rPr>
          <w:spacing w:val="-28"/>
          <w:w w:val="95"/>
        </w:rPr>
        <w:t>生的医疗方法被研究出来以后，本保障将不再予以赔付。</w:t>
      </w:r>
    </w:p>
    <w:p>
      <w:pPr>
        <w:spacing w:line="285" w:lineRule="auto" w:before="167"/>
        <w:ind w:left="166" w:right="105" w:firstLine="0"/>
        <w:jc w:val="left"/>
        <w:rPr>
          <w:b/>
          <w:sz w:val="20"/>
        </w:rPr>
      </w:pPr>
      <w:r>
        <w:rPr>
          <w:b/>
          <w:sz w:val="20"/>
        </w:rPr>
        <w:t>任何因其他传播方式（包括：性传播或静脉注射毒品）导致的 HIV 感染不在保障范围内。</w:t>
      </w:r>
    </w:p>
    <w:p>
      <w:pPr>
        <w:pStyle w:val="BodyText"/>
        <w:spacing w:line="285" w:lineRule="auto" w:before="167"/>
        <w:ind w:left="166" w:right="107"/>
      </w:pPr>
      <w:r>
        <w:rPr/>
        <w:t>保险公司必须拥有获得使用被保险人的血液样本的权利和能够对这些样本进行独立检验的权利。</w:t>
      </w:r>
    </w:p>
    <w:p>
      <w:pPr>
        <w:spacing w:after="0" w:line="285" w:lineRule="auto"/>
        <w:sectPr>
          <w:pgSz w:w="11910" w:h="16840"/>
          <w:pgMar w:header="0" w:footer="834" w:top="1420" w:bottom="1100" w:left="860" w:right="680"/>
          <w:cols w:num="2" w:equalWidth="0">
            <w:col w:w="2526" w:space="40"/>
            <w:col w:w="7804"/>
          </w:cols>
        </w:sectPr>
      </w:pPr>
    </w:p>
    <w:p>
      <w:pPr>
        <w:pStyle w:val="BodyText"/>
        <w:spacing w:before="11"/>
        <w:rPr>
          <w:sz w:val="9"/>
        </w:rPr>
      </w:pPr>
    </w:p>
    <w:p>
      <w:pPr>
        <w:pStyle w:val="BodyText"/>
        <w:spacing w:line="285" w:lineRule="auto"/>
        <w:ind w:left="2731" w:right="105" w:hanging="1981"/>
        <w:jc w:val="both"/>
      </w:pPr>
      <w:r>
        <w:rPr/>
        <w:t>A28</w:t>
      </w:r>
      <w:r>
        <w:rPr>
          <w:spacing w:val="-4"/>
        </w:rPr>
        <w:t>．肌营养不良症 指一组遗传性肌肉变性病变，临床特征为与神经系统无关的骨骼肌对称地进行性无力和</w:t>
      </w:r>
      <w:r>
        <w:rPr>
          <w:spacing w:val="-1"/>
        </w:rPr>
        <w:t>萎缩，其诊断需满足下列全部条件：</w:t>
      </w:r>
    </w:p>
    <w:p>
      <w:pPr>
        <w:pStyle w:val="ListParagraph"/>
        <w:numPr>
          <w:ilvl w:val="1"/>
          <w:numId w:val="17"/>
        </w:numPr>
        <w:tabs>
          <w:tab w:pos="3152" w:val="left" w:leader="none"/>
        </w:tabs>
        <w:spacing w:line="240" w:lineRule="auto" w:before="12" w:after="0"/>
        <w:ind w:left="3151" w:right="0" w:hanging="420"/>
        <w:jc w:val="left"/>
        <w:rPr>
          <w:sz w:val="20"/>
        </w:rPr>
      </w:pPr>
      <w:r>
        <w:rPr>
          <w:spacing w:val="-1"/>
          <w:sz w:val="20"/>
        </w:rPr>
        <w:t>肌电图显示典型肌营养不良症的阳性改变；</w:t>
      </w:r>
    </w:p>
    <w:p>
      <w:pPr>
        <w:pStyle w:val="ListParagraph"/>
        <w:numPr>
          <w:ilvl w:val="1"/>
          <w:numId w:val="17"/>
        </w:numPr>
        <w:tabs>
          <w:tab w:pos="3152" w:val="left" w:leader="none"/>
        </w:tabs>
        <w:spacing w:line="240" w:lineRule="auto" w:before="50" w:after="0"/>
        <w:ind w:left="3151" w:right="0" w:hanging="420"/>
        <w:jc w:val="left"/>
        <w:rPr>
          <w:sz w:val="20"/>
        </w:rPr>
      </w:pPr>
      <w:r>
        <w:rPr>
          <w:spacing w:val="-1"/>
          <w:sz w:val="20"/>
        </w:rPr>
        <w:t>肌肉活检的病理学诊断符合肌营养不良症的肌肉细胞变性、坏死等阳性改变；</w:t>
      </w:r>
    </w:p>
    <w:p>
      <w:pPr>
        <w:pStyle w:val="ListParagraph"/>
        <w:numPr>
          <w:ilvl w:val="1"/>
          <w:numId w:val="17"/>
        </w:numPr>
        <w:tabs>
          <w:tab w:pos="3152" w:val="left" w:leader="none"/>
        </w:tabs>
        <w:spacing w:line="285" w:lineRule="auto" w:before="50" w:after="0"/>
        <w:ind w:left="3151" w:right="131" w:hanging="420"/>
        <w:jc w:val="left"/>
        <w:rPr>
          <w:sz w:val="20"/>
        </w:rPr>
      </w:pPr>
      <w:r>
        <w:rPr>
          <w:sz w:val="20"/>
        </w:rPr>
        <w:t>已导致被保险人持续超过三个月无法独立完成六项基本日常生活活动中的三项或</w:t>
      </w:r>
      <w:r>
        <w:rPr>
          <w:spacing w:val="-1"/>
          <w:sz w:val="20"/>
        </w:rPr>
        <w:t>三项以上。</w:t>
      </w:r>
    </w:p>
    <w:p>
      <w:pPr>
        <w:pStyle w:val="BodyText"/>
        <w:spacing w:line="285" w:lineRule="auto" w:before="168"/>
        <w:ind w:left="2731" w:right="106" w:hanging="1981"/>
        <w:jc w:val="both"/>
      </w:pPr>
      <w:r>
        <w:rPr/>
        <w:t>A29</w:t>
      </w:r>
      <w:r>
        <w:rPr>
          <w:spacing w:val="-4"/>
        </w:rPr>
        <w:t>．多发性硬化症 指中枢神经系统白质多灶性脱髓鞘病变，病变有时累及灰质。多发性硬化症必须由我们</w:t>
      </w:r>
      <w:r>
        <w:rPr>
          <w:spacing w:val="-6"/>
        </w:rPr>
        <w:t>认可的医院的神经专科主任级医生确诊。诊断须包括：永久的运动及感觉功能障碍必须不间断地持续至少六个月，必须有典型的脱髓鞘症状和运动及感觉功能障碍的客观证</w:t>
      </w:r>
      <w:r>
        <w:rPr>
          <w:spacing w:val="-4"/>
        </w:rPr>
        <w:t>据，如腰穿、听觉诱发反应、视觉诱发反应和</w:t>
      </w:r>
      <w:r>
        <w:rPr/>
        <w:t>MRI</w:t>
      </w:r>
      <w:r>
        <w:rPr>
          <w:spacing w:val="-8"/>
        </w:rPr>
        <w:t> 检查的典型改变。</w:t>
      </w:r>
    </w:p>
    <w:p>
      <w:pPr>
        <w:pStyle w:val="BodyText"/>
        <w:spacing w:before="11"/>
        <w:rPr>
          <w:sz w:val="9"/>
        </w:rPr>
      </w:pPr>
    </w:p>
    <w:p>
      <w:pPr>
        <w:spacing w:after="0"/>
        <w:rPr>
          <w:sz w:val="9"/>
        </w:rPr>
        <w:sectPr>
          <w:type w:val="continuous"/>
          <w:pgSz w:w="11910" w:h="16840"/>
          <w:pgMar w:top="120" w:bottom="1020" w:left="860" w:right="680"/>
        </w:sectPr>
      </w:pPr>
    </w:p>
    <w:p>
      <w:pPr>
        <w:pStyle w:val="BodyText"/>
        <w:spacing w:line="285" w:lineRule="auto"/>
        <w:ind w:left="751"/>
      </w:pPr>
      <w:r>
        <w:rPr/>
        <w:t>A30．系统性红斑狼疮</w:t>
      </w:r>
    </w:p>
    <w:p>
      <w:pPr>
        <w:pStyle w:val="BodyText"/>
        <w:spacing w:line="285" w:lineRule="auto"/>
        <w:ind w:left="166" w:right="106"/>
        <w:jc w:val="both"/>
        <w:rPr>
          <w:b/>
        </w:rPr>
      </w:pPr>
      <w:r>
        <w:rPr/>
        <w:br w:type="column"/>
      </w:r>
      <w:r>
        <w:rPr/>
        <w:t>由于病理性自身抗体和免疫复合物的沉积破坏了血管和细胞而导致的一种自体免疫性</w:t>
      </w:r>
      <w:r>
        <w:rPr>
          <w:spacing w:val="-9"/>
        </w:rPr>
        <w:t>疾病。由于系统性红斑狼疮会损害肾功能而导致狼疮肾炎，世界卫生组织根据肾脏活检结果将狼疮肾炎分成 </w:t>
      </w:r>
      <w:r>
        <w:rPr/>
        <w:t>I 型到 VI 型六种类型，</w:t>
      </w:r>
      <w:r>
        <w:rPr>
          <w:b/>
        </w:rPr>
        <w:t>但本附加合同仅承保导致世界卫生组织</w:t>
      </w:r>
    </w:p>
    <w:p>
      <w:pPr>
        <w:spacing w:line="285" w:lineRule="auto" w:before="11"/>
        <w:ind w:left="166" w:right="105" w:firstLine="0"/>
        <w:jc w:val="both"/>
        <w:rPr>
          <w:sz w:val="20"/>
        </w:rPr>
      </w:pPr>
      <w:r>
        <w:rPr>
          <w:b/>
          <w:sz w:val="20"/>
        </w:rPr>
        <w:t>（WHO）</w:t>
      </w:r>
      <w:r>
        <w:rPr>
          <w:b/>
          <w:spacing w:val="-7"/>
          <w:sz w:val="20"/>
        </w:rPr>
        <w:t>狼疮肾炎分类的 </w:t>
      </w:r>
      <w:r>
        <w:rPr>
          <w:b/>
          <w:sz w:val="20"/>
        </w:rPr>
        <w:t>III</w:t>
      </w:r>
      <w:r>
        <w:rPr>
          <w:b/>
          <w:spacing w:val="-28"/>
          <w:sz w:val="20"/>
        </w:rPr>
        <w:t> 型到 </w:t>
      </w:r>
      <w:r>
        <w:rPr>
          <w:b/>
          <w:sz w:val="20"/>
        </w:rPr>
        <w:t>VI</w:t>
      </w:r>
      <w:r>
        <w:rPr>
          <w:b/>
          <w:spacing w:val="-8"/>
          <w:sz w:val="20"/>
        </w:rPr>
        <w:t> 型的系统性红斑狼疮</w:t>
      </w:r>
      <w:r>
        <w:rPr>
          <w:sz w:val="20"/>
        </w:rPr>
        <w:t>。世界卫生组织（WHO）对狼</w:t>
      </w:r>
      <w:r>
        <w:rPr>
          <w:spacing w:val="-1"/>
          <w:sz w:val="20"/>
        </w:rPr>
        <w:t>疮肾炎的六种分类为：</w:t>
      </w:r>
    </w:p>
    <w:p>
      <w:pPr>
        <w:pStyle w:val="BodyText"/>
        <w:spacing w:before="11"/>
        <w:ind w:left="418"/>
      </w:pPr>
      <w:r>
        <w:rPr/>
        <w:t>WHO I 型： 正常肾小球；</w:t>
      </w:r>
    </w:p>
    <w:p>
      <w:pPr>
        <w:pStyle w:val="BodyText"/>
        <w:spacing w:before="49"/>
        <w:ind w:left="418"/>
      </w:pPr>
      <w:r>
        <w:rPr/>
        <w:t>WHO II 型：单纯系膜增生型；</w:t>
      </w:r>
    </w:p>
    <w:p>
      <w:pPr>
        <w:pStyle w:val="BodyText"/>
        <w:spacing w:line="285" w:lineRule="auto" w:before="49"/>
        <w:ind w:left="418" w:right="3166"/>
      </w:pPr>
      <w:r>
        <w:rPr/>
        <w:t>WHO III 型：局灶或节段性增生性肾小球肾炎； WHO IV 型：弥漫性增生性肾小球肾炎；</w:t>
      </w:r>
    </w:p>
    <w:p>
      <w:pPr>
        <w:pStyle w:val="BodyText"/>
        <w:spacing w:before="11"/>
        <w:ind w:left="418"/>
      </w:pPr>
      <w:r>
        <w:rPr/>
        <w:t>WHO V 型：弥漫膜性肾小球肾炎；</w:t>
      </w:r>
    </w:p>
    <w:p>
      <w:pPr>
        <w:pStyle w:val="BodyText"/>
        <w:spacing w:before="49"/>
        <w:ind w:left="418"/>
      </w:pPr>
      <w:r>
        <w:rPr/>
        <w:t>WHO VI 型：进行性硬化性肾小球肾炎。</w:t>
      </w:r>
    </w:p>
    <w:p>
      <w:pPr>
        <w:pStyle w:val="BodyText"/>
        <w:spacing w:before="9"/>
        <w:rPr>
          <w:sz w:val="15"/>
        </w:rPr>
      </w:pPr>
    </w:p>
    <w:p>
      <w:pPr>
        <w:pStyle w:val="Heading1"/>
        <w:spacing w:line="285" w:lineRule="auto" w:before="0"/>
        <w:ind w:left="166" w:right="107"/>
        <w:jc w:val="both"/>
      </w:pPr>
      <w:r>
        <w:rPr/>
        <w:t>其他类型的狼疮，例如盘状红斑狼疮或那些只影响血液和关节的红斑狼疮，不在保障</w:t>
      </w:r>
      <w:r>
        <w:rPr>
          <w:w w:val="95"/>
        </w:rPr>
        <w:t>范围内。</w:t>
      </w:r>
    </w:p>
    <w:p>
      <w:pPr>
        <w:spacing w:after="0" w:line="285" w:lineRule="auto"/>
        <w:jc w:val="both"/>
        <w:sectPr>
          <w:type w:val="continuous"/>
          <w:pgSz w:w="11910" w:h="16840"/>
          <w:pgMar w:top="120" w:bottom="1020" w:left="860" w:right="680"/>
          <w:cols w:num="2" w:equalWidth="0">
            <w:col w:w="2526" w:space="40"/>
            <w:col w:w="7804"/>
          </w:cols>
        </w:sectPr>
      </w:pPr>
    </w:p>
    <w:p>
      <w:pPr>
        <w:pStyle w:val="BodyText"/>
        <w:spacing w:before="11"/>
        <w:rPr>
          <w:b/>
          <w:sz w:val="9"/>
        </w:rPr>
      </w:pPr>
    </w:p>
    <w:p>
      <w:pPr>
        <w:pStyle w:val="BodyText"/>
        <w:spacing w:line="285" w:lineRule="auto"/>
        <w:ind w:left="2731" w:right="105" w:hanging="1981"/>
        <w:jc w:val="both"/>
      </w:pPr>
      <w:r>
        <w:rPr/>
        <w:t>A31</w:t>
      </w:r>
      <w:r>
        <w:rPr>
          <w:spacing w:val="-4"/>
        </w:rPr>
        <w:t>．系统性硬化病 系统性硬化病又称硬皮病，是以弥漫性皮肤、血管及内脏器官结缔组织纤维化、硬化及</w:t>
      </w:r>
      <w:r>
        <w:rPr>
          <w:spacing w:val="-6"/>
        </w:rPr>
        <w:t>萎缩为特点的结缔组织病。必须由具有执业医师资格的风湿免疫专科医生确诊。必须有</w:t>
      </w:r>
      <w:r>
        <w:rPr>
          <w:spacing w:val="-1"/>
        </w:rPr>
        <w:t>活体组织检查和血清学的检查作为确诊依据。病变需累及心脏，肺脏或肾脏。</w:t>
      </w:r>
    </w:p>
    <w:p>
      <w:pPr>
        <w:pStyle w:val="Heading1"/>
        <w:spacing w:before="168"/>
        <w:ind w:left="2731"/>
      </w:pPr>
      <w:r>
        <w:rPr>
          <w:w w:val="95"/>
        </w:rPr>
        <w:t>下列疾病不在保障范围内：</w:t>
      </w:r>
    </w:p>
    <w:p>
      <w:pPr>
        <w:spacing w:after="0"/>
        <w:sectPr>
          <w:type w:val="continuous"/>
          <w:pgSz w:w="11910" w:h="16840"/>
          <w:pgMar w:top="120" w:bottom="1020" w:left="860" w:right="680"/>
        </w:sectPr>
      </w:pPr>
    </w:p>
    <w:p>
      <w:pPr>
        <w:pStyle w:val="ListParagraph"/>
        <w:numPr>
          <w:ilvl w:val="0"/>
          <w:numId w:val="18"/>
        </w:numPr>
        <w:tabs>
          <w:tab w:pos="3152" w:val="left" w:leader="none"/>
        </w:tabs>
        <w:spacing w:line="240" w:lineRule="auto" w:before="14" w:after="0"/>
        <w:ind w:left="3151" w:right="0" w:hanging="420"/>
        <w:jc w:val="left"/>
        <w:rPr>
          <w:b/>
          <w:sz w:val="20"/>
        </w:rPr>
      </w:pPr>
      <w:r>
        <w:rPr>
          <w:b/>
          <w:w w:val="95"/>
          <w:sz w:val="20"/>
        </w:rPr>
        <w:t>局限性硬皮病（包括带状硬皮病、硬斑病）；</w:t>
      </w:r>
    </w:p>
    <w:p>
      <w:pPr>
        <w:pStyle w:val="ListParagraph"/>
        <w:numPr>
          <w:ilvl w:val="0"/>
          <w:numId w:val="18"/>
        </w:numPr>
        <w:tabs>
          <w:tab w:pos="3152" w:val="left" w:leader="none"/>
        </w:tabs>
        <w:spacing w:line="240" w:lineRule="auto" w:before="50" w:after="0"/>
        <w:ind w:left="3151" w:right="0" w:hanging="420"/>
        <w:jc w:val="left"/>
        <w:rPr>
          <w:b/>
          <w:sz w:val="20"/>
        </w:rPr>
      </w:pPr>
      <w:r>
        <w:rPr>
          <w:b/>
          <w:w w:val="95"/>
          <w:sz w:val="20"/>
        </w:rPr>
        <w:t>嗜酸细胞性筋膜炎；</w:t>
      </w:r>
    </w:p>
    <w:p>
      <w:pPr>
        <w:pStyle w:val="ListParagraph"/>
        <w:numPr>
          <w:ilvl w:val="0"/>
          <w:numId w:val="18"/>
        </w:numPr>
        <w:tabs>
          <w:tab w:pos="3152" w:val="left" w:leader="none"/>
        </w:tabs>
        <w:spacing w:line="240" w:lineRule="auto" w:before="50" w:after="0"/>
        <w:ind w:left="3151" w:right="0" w:hanging="420"/>
        <w:jc w:val="left"/>
        <w:rPr>
          <w:b/>
          <w:sz w:val="20"/>
        </w:rPr>
      </w:pPr>
      <w:r>
        <w:rPr>
          <w:b/>
          <w:sz w:val="20"/>
        </w:rPr>
        <w:t>CREST</w:t>
      </w:r>
      <w:r>
        <w:rPr>
          <w:b/>
          <w:spacing w:val="-12"/>
          <w:sz w:val="20"/>
        </w:rPr>
        <w:t> 综合征。</w:t>
      </w:r>
    </w:p>
    <w:p>
      <w:pPr>
        <w:pStyle w:val="BodyText"/>
        <w:spacing w:before="9"/>
        <w:rPr>
          <w:b/>
          <w:sz w:val="15"/>
        </w:rPr>
      </w:pPr>
    </w:p>
    <w:p>
      <w:pPr>
        <w:pStyle w:val="BodyText"/>
        <w:spacing w:line="285" w:lineRule="auto" w:before="0"/>
        <w:ind w:left="2731" w:right="206" w:hanging="1981"/>
        <w:jc w:val="both"/>
      </w:pPr>
      <w:r>
        <w:rPr/>
        <w:t>A32</w:t>
      </w:r>
      <w:r>
        <w:rPr>
          <w:spacing w:val="-3"/>
        </w:rPr>
        <w:t>．严重克隆病   克隆病是一种慢性肉芽肿性肠炎，具有特征性的克隆病病理组织学变化。诊断必须由病理检查结果证实。被保险人所患的克隆病必须已经造成瘘管形成并伴有肠梗阻或肠穿孔。</w:t>
      </w:r>
    </w:p>
    <w:p>
      <w:pPr>
        <w:pStyle w:val="BodyText"/>
        <w:spacing w:before="11"/>
        <w:rPr>
          <w:sz w:val="9"/>
        </w:rPr>
      </w:pPr>
    </w:p>
    <w:p>
      <w:pPr>
        <w:spacing w:after="0"/>
        <w:rPr>
          <w:sz w:val="9"/>
        </w:rPr>
        <w:sectPr>
          <w:pgSz w:w="11910" w:h="16840"/>
          <w:pgMar w:header="0" w:footer="834" w:top="1420" w:bottom="1100" w:left="860" w:right="580"/>
        </w:sectPr>
      </w:pPr>
    </w:p>
    <w:p>
      <w:pPr>
        <w:pStyle w:val="BodyText"/>
        <w:spacing w:line="285" w:lineRule="auto"/>
        <w:ind w:left="751"/>
      </w:pPr>
      <w:r>
        <w:rPr/>
        <w:t>A33．严重溃疡性结肠炎</w:t>
      </w:r>
    </w:p>
    <w:p>
      <w:pPr>
        <w:pStyle w:val="BodyText"/>
        <w:spacing w:line="285" w:lineRule="auto"/>
        <w:ind w:left="166" w:right="206"/>
        <w:jc w:val="both"/>
      </w:pPr>
      <w:r>
        <w:rPr/>
        <w:br w:type="column"/>
      </w:r>
      <w:r>
        <w:rPr>
          <w:spacing w:val="-5"/>
        </w:rPr>
        <w:t>指伴有致命性电解质紊乱的急性暴发性溃疡性结肠炎，病变累及全结肠，表现为严重的</w:t>
      </w:r>
      <w:r>
        <w:rPr>
          <w:spacing w:val="-7"/>
        </w:rPr>
        <w:t>血便和系统性症状体征，治疗通常采取全结肠切除和回肠造瘘术。溃疡性结肠炎必须根</w:t>
      </w:r>
      <w:r>
        <w:rPr>
          <w:spacing w:val="-1"/>
        </w:rPr>
        <w:t>据组织病理学特点诊断，并且被保险人已经接受了结肠切除和回肠造瘘术。</w:t>
      </w:r>
    </w:p>
    <w:p>
      <w:pPr>
        <w:spacing w:after="0" w:line="285" w:lineRule="auto"/>
        <w:jc w:val="both"/>
        <w:sectPr>
          <w:type w:val="continuous"/>
          <w:pgSz w:w="11910" w:h="16840"/>
          <w:pgMar w:top="120" w:bottom="1020" w:left="860" w:right="580"/>
          <w:cols w:num="2" w:equalWidth="0">
            <w:col w:w="2526" w:space="40"/>
            <w:col w:w="7904"/>
          </w:cols>
        </w:sectPr>
      </w:pPr>
    </w:p>
    <w:p>
      <w:pPr>
        <w:pStyle w:val="BodyText"/>
        <w:spacing w:before="11"/>
        <w:rPr>
          <w:sz w:val="9"/>
        </w:rPr>
      </w:pPr>
    </w:p>
    <w:p>
      <w:pPr>
        <w:spacing w:after="0"/>
        <w:rPr>
          <w:sz w:val="9"/>
        </w:rPr>
        <w:sectPr>
          <w:type w:val="continuous"/>
          <w:pgSz w:w="11910" w:h="16840"/>
          <w:pgMar w:top="120" w:bottom="1020" w:left="860" w:right="580"/>
        </w:sectPr>
      </w:pPr>
    </w:p>
    <w:p>
      <w:pPr>
        <w:pStyle w:val="BodyText"/>
        <w:spacing w:line="285" w:lineRule="auto"/>
        <w:ind w:left="751"/>
      </w:pPr>
      <w:r>
        <w:rPr/>
        <w:t>A34．急性坏死性胰腺炎</w:t>
      </w:r>
    </w:p>
    <w:p>
      <w:pPr>
        <w:pStyle w:val="BodyText"/>
        <w:spacing w:line="285" w:lineRule="auto"/>
        <w:ind w:left="166" w:right="133"/>
      </w:pPr>
      <w:r>
        <w:rPr/>
        <w:br w:type="column"/>
      </w:r>
      <w:r>
        <w:rPr/>
        <w:t>指由专科医生确诊为急性出血坏死性胰腺炎，并已经接受了外科开腹手术治疗，以进行坏死组织清除、坏死病灶切除或胰腺切除。</w:t>
      </w:r>
    </w:p>
    <w:p>
      <w:pPr>
        <w:pStyle w:val="Heading1"/>
        <w:spacing w:before="167"/>
        <w:ind w:left="166"/>
      </w:pPr>
      <w:r>
        <w:rPr>
          <w:w w:val="95"/>
        </w:rPr>
        <w:t>因饮酒所致的急性出血坏死性胰腺炎或经腹腔镜手术进行的治疗不在保障范围内。</w:t>
      </w:r>
    </w:p>
    <w:p>
      <w:pPr>
        <w:spacing w:after="0"/>
        <w:sectPr>
          <w:type w:val="continuous"/>
          <w:pgSz w:w="11910" w:h="16840"/>
          <w:pgMar w:top="120" w:bottom="1020" w:left="860" w:right="580"/>
          <w:cols w:num="2" w:equalWidth="0">
            <w:col w:w="2526" w:space="40"/>
            <w:col w:w="7904"/>
          </w:cols>
        </w:sectPr>
      </w:pPr>
    </w:p>
    <w:p>
      <w:pPr>
        <w:pStyle w:val="BodyText"/>
        <w:spacing w:before="9"/>
        <w:rPr>
          <w:b/>
          <w:sz w:val="12"/>
        </w:rPr>
      </w:pPr>
    </w:p>
    <w:p>
      <w:pPr>
        <w:spacing w:after="0"/>
        <w:rPr>
          <w:sz w:val="12"/>
        </w:rPr>
        <w:sectPr>
          <w:type w:val="continuous"/>
          <w:pgSz w:w="11910" w:h="16840"/>
          <w:pgMar w:top="120" w:bottom="1020" w:left="860" w:right="580"/>
        </w:sectPr>
      </w:pPr>
    </w:p>
    <w:p>
      <w:pPr>
        <w:pStyle w:val="BodyText"/>
        <w:spacing w:line="285" w:lineRule="auto"/>
        <w:ind w:left="751"/>
      </w:pPr>
      <w:r>
        <w:rPr/>
        <w:t>A35．慢性复发性胰腺炎</w:t>
      </w:r>
    </w:p>
    <w:p>
      <w:pPr>
        <w:pStyle w:val="BodyText"/>
        <w:spacing w:line="285" w:lineRule="auto"/>
        <w:ind w:left="166" w:right="130"/>
      </w:pPr>
      <w:r>
        <w:rPr/>
        <w:br w:type="column"/>
      </w:r>
      <w:r>
        <w:rPr>
          <w:spacing w:val="-3"/>
        </w:rPr>
        <w:t>胰腺炎反复发作超过三次以上并导致胰腺功能紊乱和营养不良，且已持续接受酶替代治</w:t>
      </w:r>
      <w:r>
        <w:rPr>
          <w:spacing w:val="-35"/>
        </w:rPr>
        <w:t>疗 </w:t>
      </w:r>
      <w:r>
        <w:rPr/>
        <w:t>180</w:t>
      </w:r>
      <w:r>
        <w:rPr>
          <w:spacing w:val="-9"/>
        </w:rPr>
        <w:t> 天以上。诊断必须有消化科专科医生确认并且有内窥镜逆行胰胆管造影所证实。</w:t>
      </w:r>
    </w:p>
    <w:p>
      <w:pPr>
        <w:pStyle w:val="Heading1"/>
        <w:spacing w:before="167"/>
        <w:ind w:left="166"/>
      </w:pPr>
      <w:r>
        <w:rPr>
          <w:w w:val="95"/>
        </w:rPr>
        <w:t>因酒精所致的慢性复发性胰腺炎不在保障范围内。</w:t>
      </w:r>
    </w:p>
    <w:p>
      <w:pPr>
        <w:spacing w:after="0"/>
        <w:sectPr>
          <w:type w:val="continuous"/>
          <w:pgSz w:w="11910" w:h="16840"/>
          <w:pgMar w:top="120" w:bottom="1020" w:left="860" w:right="580"/>
          <w:cols w:num="2" w:equalWidth="0">
            <w:col w:w="2526" w:space="40"/>
            <w:col w:w="7904"/>
          </w:cols>
        </w:sectPr>
      </w:pPr>
    </w:p>
    <w:p>
      <w:pPr>
        <w:pStyle w:val="BodyText"/>
        <w:spacing w:before="9"/>
        <w:rPr>
          <w:b/>
          <w:sz w:val="12"/>
        </w:rPr>
      </w:pPr>
    </w:p>
    <w:p>
      <w:pPr>
        <w:spacing w:after="0"/>
        <w:rPr>
          <w:sz w:val="12"/>
        </w:rPr>
        <w:sectPr>
          <w:type w:val="continuous"/>
          <w:pgSz w:w="11910" w:h="16840"/>
          <w:pgMar w:top="120" w:bottom="1020" w:left="860" w:right="580"/>
        </w:sectPr>
      </w:pPr>
    </w:p>
    <w:p>
      <w:pPr>
        <w:pStyle w:val="BodyText"/>
        <w:spacing w:line="285" w:lineRule="auto"/>
        <w:ind w:left="751"/>
      </w:pPr>
      <w:r>
        <w:rPr/>
        <w:t>A36．原发性硬化性胆管炎</w:t>
      </w:r>
    </w:p>
    <w:p>
      <w:pPr>
        <w:pStyle w:val="BodyText"/>
        <w:spacing w:line="285" w:lineRule="auto"/>
        <w:ind w:left="166" w:right="205"/>
        <w:jc w:val="both"/>
      </w:pPr>
      <w:r>
        <w:rPr/>
        <w:br w:type="column"/>
      </w:r>
      <w:r>
        <w:rPr>
          <w:spacing w:val="-7"/>
        </w:rPr>
        <w:t>指一种胆汁淤积综合征，其特征是肝内、肝外胆道因纤维化性炎症逐渐狭窄，并最终导</w:t>
      </w:r>
      <w:r>
        <w:rPr>
          <w:spacing w:val="-6"/>
        </w:rPr>
        <w:t>致完全阻塞而发展为肝硬化。本病须经内镜逆行胰胆管造影等影像学检查证实，并须满</w:t>
      </w:r>
      <w:r>
        <w:rPr>
          <w:spacing w:val="-1"/>
        </w:rPr>
        <w:t>足下列全部条件：</w:t>
      </w:r>
    </w:p>
    <w:p>
      <w:pPr>
        <w:pStyle w:val="BodyText"/>
        <w:spacing w:before="11"/>
        <w:ind w:left="166"/>
        <w:jc w:val="both"/>
      </w:pPr>
      <w:r>
        <w:rPr/>
        <w:t>（1）总胆红素和直接胆红素同时升高，血清 ALP&gt;200U/L；</w:t>
      </w:r>
    </w:p>
    <w:p>
      <w:pPr>
        <w:pStyle w:val="BodyText"/>
        <w:spacing w:before="49"/>
        <w:ind w:left="166"/>
        <w:jc w:val="both"/>
      </w:pPr>
      <w:r>
        <w:rPr/>
        <w:t>（2）持续性黄疸病史；</w:t>
      </w:r>
    </w:p>
    <w:p>
      <w:pPr>
        <w:pStyle w:val="BodyText"/>
        <w:spacing w:before="49"/>
        <w:ind w:left="166"/>
        <w:jc w:val="both"/>
      </w:pPr>
      <w:r>
        <w:rPr/>
        <w:t>（3）出现胆汁性肝硬化或门脉高压。</w:t>
      </w:r>
    </w:p>
    <w:p>
      <w:pPr>
        <w:pStyle w:val="BodyText"/>
        <w:spacing w:before="9"/>
        <w:rPr>
          <w:sz w:val="15"/>
        </w:rPr>
      </w:pPr>
    </w:p>
    <w:p>
      <w:pPr>
        <w:pStyle w:val="Heading1"/>
        <w:spacing w:before="0"/>
        <w:ind w:left="166"/>
        <w:jc w:val="both"/>
      </w:pPr>
      <w:r>
        <w:rPr>
          <w:w w:val="95"/>
        </w:rPr>
        <w:t>因肿瘤或胆管损伤等继发性的硬化性胆管炎不在保障范围内。</w:t>
      </w:r>
    </w:p>
    <w:p>
      <w:pPr>
        <w:spacing w:after="0"/>
        <w:jc w:val="both"/>
        <w:sectPr>
          <w:type w:val="continuous"/>
          <w:pgSz w:w="11910" w:h="16840"/>
          <w:pgMar w:top="120" w:bottom="1020" w:left="860" w:right="580"/>
          <w:cols w:num="2" w:equalWidth="0">
            <w:col w:w="2526" w:space="40"/>
            <w:col w:w="7904"/>
          </w:cols>
        </w:sectPr>
      </w:pPr>
    </w:p>
    <w:p>
      <w:pPr>
        <w:pStyle w:val="BodyText"/>
        <w:spacing w:before="10"/>
        <w:rPr>
          <w:b/>
          <w:sz w:val="12"/>
        </w:rPr>
      </w:pPr>
    </w:p>
    <w:p>
      <w:pPr>
        <w:pStyle w:val="BodyText"/>
        <w:tabs>
          <w:tab w:pos="2731" w:val="left" w:leader="none"/>
        </w:tabs>
        <w:ind w:left="751"/>
      </w:pPr>
      <w:r>
        <w:rPr/>
        <w:t>A37．坏死性筋膜炎</w:t>
        <w:tab/>
      </w:r>
      <w:r>
        <w:rPr>
          <w:spacing w:val="-1"/>
        </w:rPr>
        <w:t>坏死性筋膜炎的诊断须同时</w:t>
      </w:r>
      <w:r>
        <w:rPr/>
        <w:t>符合下列要求：</w:t>
      </w:r>
    </w:p>
    <w:p>
      <w:pPr>
        <w:pStyle w:val="BodyText"/>
        <w:spacing w:before="50"/>
        <w:ind w:left="2731"/>
      </w:pPr>
      <w:r>
        <w:rPr/>
        <w:t>（1）符合坏死性筋膜炎的一般临床表现；</w:t>
      </w:r>
    </w:p>
    <w:p>
      <w:pPr>
        <w:pStyle w:val="BodyText"/>
        <w:spacing w:before="50"/>
        <w:ind w:left="2731"/>
      </w:pPr>
      <w:r>
        <w:rPr/>
        <w:t>（2）细菌培养检出致病菌；</w:t>
      </w:r>
    </w:p>
    <w:p>
      <w:pPr>
        <w:spacing w:line="429" w:lineRule="auto" w:before="50"/>
        <w:ind w:left="2731" w:right="36" w:firstLine="0"/>
        <w:jc w:val="left"/>
        <w:rPr>
          <w:b/>
          <w:sz w:val="20"/>
        </w:rPr>
      </w:pPr>
      <w:r>
        <w:rPr>
          <w:sz w:val="20"/>
        </w:rPr>
        <w:t>（3）出现广泛性肌肉及组织坏死，并确实实施了坏死组织和筋膜以及肌肉的切除手术。</w:t>
      </w:r>
      <w:r>
        <w:rPr>
          <w:b/>
          <w:w w:val="95"/>
          <w:sz w:val="20"/>
        </w:rPr>
        <w:t>清创术不属于保险责任范围。</w:t>
      </w:r>
    </w:p>
    <w:p>
      <w:pPr>
        <w:spacing w:after="0" w:line="429" w:lineRule="auto"/>
        <w:jc w:val="left"/>
        <w:rPr>
          <w:sz w:val="20"/>
        </w:rPr>
        <w:sectPr>
          <w:type w:val="continuous"/>
          <w:pgSz w:w="11910" w:h="16840"/>
          <w:pgMar w:top="120" w:bottom="1020" w:left="860" w:right="580"/>
        </w:sectPr>
      </w:pPr>
    </w:p>
    <w:p>
      <w:pPr>
        <w:pStyle w:val="BodyText"/>
        <w:spacing w:line="285" w:lineRule="auto" w:before="48"/>
        <w:ind w:left="751"/>
      </w:pPr>
      <w:r>
        <w:rPr/>
        <w:t>A38．慢性肾上腺皮质功能衰竭</w:t>
      </w:r>
    </w:p>
    <w:p>
      <w:pPr>
        <w:pStyle w:val="BodyText"/>
        <w:spacing w:line="285" w:lineRule="auto" w:before="48"/>
        <w:ind w:left="166" w:right="206"/>
      </w:pPr>
      <w:r>
        <w:rPr/>
        <w:br w:type="column"/>
      </w:r>
      <w:r>
        <w:rPr>
          <w:spacing w:val="-7"/>
        </w:rPr>
        <w:t>因为自身免疫功能紊乱，使肾上腺组织逐渐受损，而需要长期接受糖皮质激素及肾上腺</w:t>
      </w:r>
      <w:r>
        <w:rPr>
          <w:spacing w:val="-1"/>
        </w:rPr>
        <w:t>皮质激素替代疗法。该病必须经内分泌专科医生确诊，并有以下报告作为证据：</w:t>
      </w:r>
    </w:p>
    <w:p>
      <w:pPr>
        <w:pStyle w:val="BodyText"/>
        <w:spacing w:before="12"/>
        <w:ind w:left="166"/>
      </w:pPr>
      <w:r>
        <w:rPr/>
        <w:t>（1）促肾上腺皮质激素(ACTH)刺激试验；</w:t>
      </w:r>
    </w:p>
    <w:p>
      <w:pPr>
        <w:pStyle w:val="BodyText"/>
        <w:spacing w:before="50"/>
        <w:ind w:left="166"/>
      </w:pPr>
      <w:r>
        <w:rPr/>
        <w:t>（2）胰岛素血糖减少测试；</w:t>
      </w:r>
    </w:p>
    <w:p>
      <w:pPr>
        <w:pStyle w:val="BodyText"/>
        <w:spacing w:before="50"/>
        <w:ind w:left="166"/>
      </w:pPr>
      <w:r>
        <w:rPr/>
        <w:t>（3）血浆促肾上腺皮质激素(ACTH)水平测定；</w:t>
      </w:r>
    </w:p>
    <w:p>
      <w:pPr>
        <w:pStyle w:val="BodyText"/>
        <w:spacing w:before="50"/>
        <w:ind w:left="166"/>
      </w:pPr>
      <w:r>
        <w:rPr/>
        <w:t>（4）血浆肾素活性(PRA)测定</w:t>
      </w:r>
    </w:p>
    <w:p>
      <w:pPr>
        <w:pStyle w:val="BodyText"/>
        <w:spacing w:before="9"/>
        <w:rPr>
          <w:sz w:val="15"/>
        </w:rPr>
      </w:pPr>
    </w:p>
    <w:p>
      <w:pPr>
        <w:pStyle w:val="Heading1"/>
        <w:spacing w:before="1"/>
        <w:ind w:left="166"/>
      </w:pPr>
      <w:r>
        <w:rPr>
          <w:w w:val="95"/>
        </w:rPr>
        <w:t>非由自身免疫功能紊乱引起的慢性肾上腺皮质功能衰竭不在保障范围内。</w:t>
      </w:r>
    </w:p>
    <w:p>
      <w:pPr>
        <w:spacing w:after="0"/>
        <w:sectPr>
          <w:type w:val="continuous"/>
          <w:pgSz w:w="11910" w:h="16840"/>
          <w:pgMar w:top="120" w:bottom="1020" w:left="860" w:right="580"/>
          <w:cols w:num="2" w:equalWidth="0">
            <w:col w:w="2526" w:space="40"/>
            <w:col w:w="7904"/>
          </w:cols>
        </w:sectPr>
      </w:pPr>
    </w:p>
    <w:p>
      <w:pPr>
        <w:pStyle w:val="BodyText"/>
        <w:spacing w:before="10"/>
        <w:rPr>
          <w:b/>
          <w:sz w:val="12"/>
        </w:rPr>
      </w:pPr>
    </w:p>
    <w:p>
      <w:pPr>
        <w:spacing w:after="0"/>
        <w:rPr>
          <w:sz w:val="12"/>
        </w:rPr>
        <w:sectPr>
          <w:type w:val="continuous"/>
          <w:pgSz w:w="11910" w:h="16840"/>
          <w:pgMar w:top="120" w:bottom="1020" w:left="860" w:right="580"/>
        </w:sectPr>
      </w:pPr>
    </w:p>
    <w:p>
      <w:pPr>
        <w:pStyle w:val="BodyText"/>
        <w:spacing w:line="285" w:lineRule="auto"/>
        <w:ind w:left="751"/>
      </w:pPr>
      <w:r>
        <w:rPr/>
        <w:t>A39．慢性呼吸功能衰竭</w:t>
      </w:r>
    </w:p>
    <w:p>
      <w:pPr>
        <w:pStyle w:val="BodyText"/>
        <w:spacing w:line="285" w:lineRule="auto"/>
        <w:ind w:left="166" w:right="133"/>
      </w:pPr>
      <w:r>
        <w:rPr/>
        <w:br w:type="column"/>
      </w:r>
      <w:r>
        <w:rPr/>
        <w:t>慢性肺部疾病导致永久不可逆性的慢性呼吸功能衰竭，必须由呼吸专科医师确认并符合下列所有条件：</w:t>
      </w:r>
    </w:p>
    <w:p>
      <w:pPr>
        <w:pStyle w:val="BodyText"/>
        <w:spacing w:before="12"/>
        <w:ind w:left="166"/>
      </w:pPr>
      <w:r>
        <w:rPr/>
        <w:t>（1）休息时出现呼吸困难；</w:t>
      </w:r>
    </w:p>
    <w:p>
      <w:pPr>
        <w:pStyle w:val="BodyText"/>
        <w:spacing w:before="50"/>
        <w:ind w:left="166"/>
      </w:pPr>
      <w:r>
        <w:rPr>
          <w:position w:val="1"/>
        </w:rPr>
        <w:t>（2）动脉氧分压 （PaO</w:t>
      </w:r>
      <w:r>
        <w:rPr>
          <w:sz w:val="10"/>
        </w:rPr>
        <w:t>2</w:t>
      </w:r>
      <w:r>
        <w:rPr>
          <w:position w:val="1"/>
        </w:rPr>
        <w:t>）&lt; 50mmHg；</w:t>
      </w:r>
    </w:p>
    <w:p>
      <w:pPr>
        <w:spacing w:after="0"/>
        <w:sectPr>
          <w:type w:val="continuous"/>
          <w:pgSz w:w="11910" w:h="16840"/>
          <w:pgMar w:top="120" w:bottom="1020" w:left="860" w:right="580"/>
          <w:cols w:num="2" w:equalWidth="0">
            <w:col w:w="2526" w:space="40"/>
            <w:col w:w="7904"/>
          </w:cols>
        </w:sectPr>
      </w:pPr>
    </w:p>
    <w:p>
      <w:pPr>
        <w:pStyle w:val="BodyText"/>
        <w:spacing w:before="14"/>
        <w:ind w:left="2811"/>
      </w:pPr>
      <w:r>
        <w:rPr>
          <w:position w:val="1"/>
        </w:rPr>
        <w:t>（3）动脉血氧饱和度 （SaO</w:t>
      </w:r>
      <w:r>
        <w:rPr>
          <w:sz w:val="10"/>
        </w:rPr>
        <w:t>2</w:t>
      </w:r>
      <w:r>
        <w:rPr>
          <w:position w:val="1"/>
        </w:rPr>
        <w:t>）&lt; 80％；</w:t>
      </w:r>
    </w:p>
    <w:p>
      <w:pPr>
        <w:pStyle w:val="BodyText"/>
        <w:spacing w:before="50"/>
        <w:ind w:left="2811"/>
      </w:pPr>
      <w:r>
        <w:rPr/>
        <w:t>（4）因缺氧必须接受持续的输氧治疗。</w:t>
      </w:r>
    </w:p>
    <w:p>
      <w:pPr>
        <w:pStyle w:val="BodyText"/>
        <w:spacing w:before="9"/>
        <w:rPr>
          <w:sz w:val="15"/>
        </w:rPr>
      </w:pPr>
    </w:p>
    <w:p>
      <w:pPr>
        <w:pStyle w:val="BodyText"/>
        <w:spacing w:line="285" w:lineRule="auto" w:before="0"/>
        <w:ind w:left="2811" w:right="106" w:hanging="1981"/>
        <w:jc w:val="both"/>
      </w:pPr>
      <w:r>
        <w:rPr/>
        <w:t>A40</w:t>
      </w:r>
      <w:r>
        <w:rPr>
          <w:spacing w:val="-5"/>
        </w:rPr>
        <w:t>．象皮病       指末期丝虫病，按国际淋巴学会分级为三度淋巴液肿，其临床表现为肢体非凹陷性水肿</w:t>
      </w:r>
      <w:r>
        <w:rPr>
          <w:spacing w:val="-10"/>
        </w:rPr>
        <w:t>伴畸形增大、硬皮症和疣状增生。此病症须经专科医生根据临床表现和微丝蚴的化验结果确诊。</w:t>
      </w:r>
    </w:p>
    <w:p>
      <w:pPr>
        <w:pStyle w:val="BodyText"/>
        <w:spacing w:before="11"/>
        <w:rPr>
          <w:sz w:val="9"/>
        </w:rPr>
      </w:pPr>
    </w:p>
    <w:p>
      <w:pPr>
        <w:spacing w:after="0"/>
        <w:rPr>
          <w:sz w:val="9"/>
        </w:rPr>
        <w:sectPr>
          <w:pgSz w:w="11910" w:h="16840"/>
          <w:pgMar w:header="0" w:footer="834" w:top="1420" w:bottom="1100" w:left="780" w:right="680"/>
        </w:sectPr>
      </w:pPr>
    </w:p>
    <w:p>
      <w:pPr>
        <w:pStyle w:val="BodyText"/>
        <w:spacing w:line="285" w:lineRule="auto"/>
        <w:ind w:left="831"/>
      </w:pPr>
      <w:r>
        <w:rPr/>
        <w:t>A41．埃博拉病毒感染</w:t>
      </w:r>
    </w:p>
    <w:p>
      <w:pPr>
        <w:pStyle w:val="BodyText"/>
        <w:spacing w:line="285" w:lineRule="auto"/>
        <w:ind w:left="166" w:right="106"/>
      </w:pPr>
      <w:r>
        <w:rPr/>
        <w:br w:type="column"/>
      </w:r>
      <w:r>
        <w:rPr>
          <w:spacing w:val="-6"/>
        </w:rPr>
        <w:t>受埃博拉病毒感染导致出血性发热。埃博拉病必须经传染病专家确诊，并且埃博拉病毒</w:t>
      </w:r>
      <w:r>
        <w:rPr>
          <w:spacing w:val="-1"/>
        </w:rPr>
        <w:t>的存在必须经过实验室检查证实。该病必须从症状开始后三十天后持续出现并发症。</w:t>
      </w:r>
    </w:p>
    <w:p>
      <w:pPr>
        <w:spacing w:after="0" w:line="285" w:lineRule="auto"/>
        <w:sectPr>
          <w:type w:val="continuous"/>
          <w:pgSz w:w="11910" w:h="16840"/>
          <w:pgMar w:top="120" w:bottom="1020" w:left="780" w:right="680"/>
          <w:cols w:num="2" w:equalWidth="0">
            <w:col w:w="2606" w:space="40"/>
            <w:col w:w="7804"/>
          </w:cols>
        </w:sectPr>
      </w:pPr>
    </w:p>
    <w:p>
      <w:pPr>
        <w:pStyle w:val="BodyText"/>
        <w:spacing w:before="11"/>
        <w:rPr>
          <w:sz w:val="9"/>
        </w:rPr>
      </w:pPr>
    </w:p>
    <w:p>
      <w:pPr>
        <w:spacing w:after="0"/>
        <w:rPr>
          <w:sz w:val="9"/>
        </w:rPr>
        <w:sectPr>
          <w:type w:val="continuous"/>
          <w:pgSz w:w="11910" w:h="16840"/>
          <w:pgMar w:top="120" w:bottom="1020" w:left="780" w:right="680"/>
        </w:sectPr>
      </w:pPr>
    </w:p>
    <w:p>
      <w:pPr>
        <w:pStyle w:val="BodyText"/>
        <w:spacing w:line="285" w:lineRule="auto"/>
        <w:ind w:left="831"/>
      </w:pPr>
      <w:r>
        <w:rPr/>
        <w:t>A42．全身性重症肌无力</w:t>
      </w:r>
    </w:p>
    <w:p>
      <w:pPr>
        <w:pStyle w:val="BodyText"/>
        <w:spacing w:line="285" w:lineRule="auto"/>
        <w:ind w:left="166" w:right="106"/>
        <w:jc w:val="both"/>
      </w:pPr>
      <w:r>
        <w:rPr/>
        <w:br w:type="column"/>
      </w:r>
      <w:r>
        <w:rPr>
          <w:spacing w:val="-5"/>
        </w:rPr>
        <w:t>重症肌无力是一种神经肌肉接头传递障碍所致的疾病，表现为局部或全身骨骼肌</w:t>
      </w:r>
      <w:r>
        <w:rPr/>
        <w:t>（特别</w:t>
      </w:r>
      <w:r>
        <w:rPr>
          <w:spacing w:val="-1"/>
        </w:rPr>
        <w:t>是眼外肌</w:t>
      </w:r>
      <w:r>
        <w:rPr>
          <w:spacing w:val="-20"/>
        </w:rPr>
        <w:t>）</w:t>
      </w:r>
      <w:r>
        <w:rPr>
          <w:spacing w:val="-7"/>
        </w:rPr>
        <w:t>极易疲劳。疾病可以累及呼吸肌、上肢或下肢的近端肌群或全身肌肉，必须</w:t>
      </w:r>
      <w:r>
        <w:rPr>
          <w:spacing w:val="-1"/>
        </w:rPr>
        <w:t>满足下列全部条件：</w:t>
      </w:r>
    </w:p>
    <w:p>
      <w:pPr>
        <w:pStyle w:val="BodyText"/>
        <w:spacing w:before="12"/>
        <w:ind w:left="166"/>
      </w:pPr>
      <w:r>
        <w:rPr/>
        <w:t>（1）经药物治疗和胸腺切除治疗一年以上仍无法控制病情；</w:t>
      </w:r>
    </w:p>
    <w:p>
      <w:pPr>
        <w:pStyle w:val="BodyText"/>
        <w:spacing w:line="285" w:lineRule="auto" w:before="50"/>
        <w:ind w:left="166" w:right="106"/>
        <w:jc w:val="both"/>
      </w:pPr>
      <w:r>
        <w:rPr/>
        <w:t>（2）自主生活能力完全丧失，无法独立完成六项基本日常生活活动中的三项或三项以上。</w:t>
      </w:r>
    </w:p>
    <w:p>
      <w:pPr>
        <w:spacing w:after="0" w:line="285" w:lineRule="auto"/>
        <w:jc w:val="both"/>
        <w:sectPr>
          <w:type w:val="continuous"/>
          <w:pgSz w:w="11910" w:h="16840"/>
          <w:pgMar w:top="120" w:bottom="1020" w:left="780" w:right="680"/>
          <w:cols w:num="2" w:equalWidth="0">
            <w:col w:w="2606" w:space="40"/>
            <w:col w:w="7804"/>
          </w:cols>
        </w:sectPr>
      </w:pPr>
    </w:p>
    <w:p>
      <w:pPr>
        <w:pStyle w:val="BodyText"/>
        <w:spacing w:before="11"/>
        <w:rPr>
          <w:sz w:val="9"/>
        </w:rPr>
      </w:pPr>
    </w:p>
    <w:p>
      <w:pPr>
        <w:pStyle w:val="BodyText"/>
        <w:tabs>
          <w:tab w:pos="1979" w:val="left" w:leader="none"/>
        </w:tabs>
        <w:ind w:right="1998"/>
        <w:jc w:val="center"/>
      </w:pPr>
      <w:r>
        <w:rPr/>
        <w:t>A43．疯牛病</w:t>
        <w:tab/>
      </w:r>
      <w:r>
        <w:rPr>
          <w:spacing w:val="-1"/>
        </w:rPr>
        <w:t>神经系统疾病及致命的成胶质状</w:t>
      </w:r>
      <w:r>
        <w:rPr/>
        <w:t>脑病，并有以下症状：</w:t>
      </w:r>
    </w:p>
    <w:p>
      <w:pPr>
        <w:pStyle w:val="BodyText"/>
        <w:spacing w:before="50"/>
        <w:ind w:left="2811"/>
      </w:pPr>
      <w:r>
        <w:rPr/>
        <w:t>（1）不能控制的肌肉痉挛及震颤；</w:t>
      </w:r>
    </w:p>
    <w:p>
      <w:pPr>
        <w:pStyle w:val="BodyText"/>
        <w:spacing w:before="50"/>
        <w:ind w:left="2811"/>
      </w:pPr>
      <w:r>
        <w:rPr/>
        <w:t>（2）逐渐痴呆；</w:t>
      </w:r>
    </w:p>
    <w:p>
      <w:pPr>
        <w:pStyle w:val="BodyText"/>
        <w:spacing w:before="50"/>
        <w:ind w:left="2811"/>
      </w:pPr>
      <w:r>
        <w:rPr/>
        <w:t>（3）小脑功能不良，共济失调；</w:t>
      </w:r>
    </w:p>
    <w:p>
      <w:pPr>
        <w:pStyle w:val="BodyText"/>
        <w:spacing w:before="50"/>
        <w:ind w:left="2811"/>
      </w:pPr>
      <w:r>
        <w:rPr/>
        <w:t>（4）手足徐动症。</w:t>
      </w:r>
    </w:p>
    <w:p>
      <w:pPr>
        <w:pStyle w:val="BodyText"/>
        <w:spacing w:before="9"/>
        <w:rPr>
          <w:sz w:val="15"/>
        </w:rPr>
      </w:pPr>
    </w:p>
    <w:p>
      <w:pPr>
        <w:pStyle w:val="BodyText"/>
        <w:spacing w:line="285" w:lineRule="auto" w:before="0"/>
        <w:ind w:left="2811" w:right="34"/>
      </w:pPr>
      <w:r>
        <w:rPr/>
        <w:t>诊断必须由神经科专科医生基于以下检查报告作出：脑电图、脑脊液报告、电脑断层扫描(CT)及核磁共振(MRI)。</w:t>
      </w:r>
    </w:p>
    <w:p>
      <w:pPr>
        <w:pStyle w:val="BodyText"/>
        <w:spacing w:before="11"/>
        <w:rPr>
          <w:sz w:val="9"/>
        </w:rPr>
      </w:pPr>
    </w:p>
    <w:p>
      <w:pPr>
        <w:spacing w:after="0"/>
        <w:rPr>
          <w:sz w:val="9"/>
        </w:rPr>
        <w:sectPr>
          <w:type w:val="continuous"/>
          <w:pgSz w:w="11910" w:h="16840"/>
          <w:pgMar w:top="120" w:bottom="1020" w:left="780" w:right="680"/>
        </w:sectPr>
      </w:pPr>
    </w:p>
    <w:p>
      <w:pPr>
        <w:pStyle w:val="BodyText"/>
        <w:spacing w:line="285" w:lineRule="auto" w:before="38"/>
        <w:ind w:left="831"/>
      </w:pPr>
      <w:r>
        <w:rPr/>
        <w:t>A44．严重类风湿性关节炎</w:t>
      </w:r>
    </w:p>
    <w:p>
      <w:pPr>
        <w:pStyle w:val="BodyText"/>
        <w:spacing w:line="285" w:lineRule="auto" w:before="38"/>
        <w:ind w:left="166" w:right="105"/>
        <w:jc w:val="both"/>
      </w:pPr>
      <w:r>
        <w:rPr/>
        <w:br w:type="column"/>
      </w:r>
      <w:r>
        <w:rPr>
          <w:spacing w:val="-5"/>
        </w:rPr>
        <w:t>类风湿性关节炎为广泛分布的慢性进行性多关节病变，表现为关节严重变形，侵犯至少</w:t>
      </w:r>
      <w:r>
        <w:rPr>
          <w:spacing w:val="-6"/>
        </w:rPr>
        <w:t>三个主要关节或关节组，如双手(多手指)关节、双足(多足趾)关节、双腕关节、双膝关</w:t>
      </w:r>
      <w:r>
        <w:rPr>
          <w:spacing w:val="-10"/>
        </w:rPr>
        <w:t>节和双髋关节。被保险人所患的类风湿性关节炎必须已经达到类风湿性关节炎功能分级</w:t>
      </w:r>
    </w:p>
    <w:p>
      <w:pPr>
        <w:pStyle w:val="BodyText"/>
        <w:spacing w:line="285" w:lineRule="auto" w:before="11"/>
        <w:ind w:left="166" w:right="31"/>
      </w:pPr>
      <w:r>
        <w:rPr/>
        <w:t>Ⅲ级以上的功能障碍（关节活动严重限制，不能完成大部分的日常工作和活动）并须满足下列全部条件：</w:t>
      </w:r>
    </w:p>
    <w:p>
      <w:pPr>
        <w:pStyle w:val="BodyText"/>
        <w:spacing w:before="11"/>
        <w:ind w:left="166"/>
        <w:jc w:val="both"/>
      </w:pPr>
      <w:r>
        <w:rPr/>
        <w:t>（1）晨僵；</w:t>
      </w:r>
    </w:p>
    <w:p>
      <w:pPr>
        <w:pStyle w:val="BodyText"/>
        <w:spacing w:before="49"/>
        <w:ind w:left="166"/>
        <w:jc w:val="both"/>
      </w:pPr>
      <w:r>
        <w:rPr/>
        <w:t>（2）对称性关节炎；</w:t>
      </w:r>
    </w:p>
    <w:p>
      <w:pPr>
        <w:pStyle w:val="BodyText"/>
        <w:spacing w:before="49"/>
        <w:ind w:left="166"/>
        <w:jc w:val="both"/>
      </w:pPr>
      <w:r>
        <w:rPr/>
        <w:t>（3）类风湿性皮下结节；</w:t>
      </w:r>
    </w:p>
    <w:p>
      <w:pPr>
        <w:pStyle w:val="BodyText"/>
        <w:spacing w:before="49"/>
        <w:ind w:left="166"/>
        <w:jc w:val="both"/>
      </w:pPr>
      <w:r>
        <w:rPr/>
        <w:t>（4）类风湿因子滴度升高；</w:t>
      </w:r>
    </w:p>
    <w:p>
      <w:pPr>
        <w:pStyle w:val="BodyText"/>
        <w:spacing w:before="49"/>
        <w:ind w:left="166"/>
        <w:jc w:val="both"/>
      </w:pPr>
      <w:r>
        <w:rPr/>
        <w:t>（5）X 线显示严重的关节(软骨和骨)破坏和关节畸形。</w:t>
      </w:r>
    </w:p>
    <w:p>
      <w:pPr>
        <w:spacing w:after="0"/>
        <w:jc w:val="both"/>
        <w:sectPr>
          <w:type w:val="continuous"/>
          <w:pgSz w:w="11910" w:h="16840"/>
          <w:pgMar w:top="120" w:bottom="1020" w:left="780" w:right="680"/>
          <w:cols w:num="2" w:equalWidth="0">
            <w:col w:w="2606" w:space="40"/>
            <w:col w:w="7804"/>
          </w:cols>
        </w:sectPr>
      </w:pPr>
    </w:p>
    <w:p>
      <w:pPr>
        <w:pStyle w:val="BodyText"/>
        <w:spacing w:before="9"/>
        <w:rPr>
          <w:sz w:val="12"/>
        </w:rPr>
      </w:pPr>
    </w:p>
    <w:p>
      <w:pPr>
        <w:pStyle w:val="BodyText"/>
        <w:tabs>
          <w:tab w:pos="2811" w:val="left" w:leader="none"/>
        </w:tabs>
        <w:spacing w:line="285" w:lineRule="auto"/>
        <w:ind w:left="2811" w:right="107" w:hanging="1981"/>
      </w:pPr>
      <w:r>
        <w:rPr/>
        <w:t>A45．严重心肌炎</w:t>
        <w:tab/>
        <w:t>指心肌局限性或弥漫性的急性或慢性炎症病变,</w:t>
      </w:r>
      <w:r>
        <w:rPr>
          <w:spacing w:val="52"/>
        </w:rPr>
        <w:t> </w:t>
      </w:r>
      <w:r>
        <w:rPr/>
        <w:t>导致心脏功能障碍,</w:t>
      </w:r>
      <w:r>
        <w:rPr>
          <w:spacing w:val="50"/>
        </w:rPr>
        <w:t> </w:t>
      </w:r>
      <w:r>
        <w:rPr/>
        <w:t>达到美国纽约心脏病学会心功能状态分</w:t>
      </w:r>
      <w:r>
        <w:rPr>
          <w:spacing w:val="47"/>
        </w:rPr>
        <w:t>级</w:t>
      </w:r>
      <w:r>
        <w:rPr/>
        <w:t>IV</w:t>
      </w:r>
      <w:r>
        <w:rPr>
          <w:spacing w:val="-51"/>
        </w:rPr>
        <w:t> </w:t>
      </w:r>
      <w:r>
        <w:rPr/>
        <w:t>级,且持续至少</w:t>
      </w:r>
      <w:r>
        <w:rPr>
          <w:spacing w:val="-53"/>
        </w:rPr>
        <w:t> </w:t>
      </w:r>
      <w:r>
        <w:rPr/>
        <w:t>90</w:t>
      </w:r>
      <w:r>
        <w:rPr>
          <w:spacing w:val="-51"/>
        </w:rPr>
        <w:t> </w:t>
      </w:r>
      <w:r>
        <w:rPr/>
        <w:t>天。</w:t>
      </w:r>
    </w:p>
    <w:p>
      <w:pPr>
        <w:pStyle w:val="Heading1"/>
        <w:numPr>
          <w:ilvl w:val="1"/>
          <w:numId w:val="2"/>
        </w:numPr>
        <w:tabs>
          <w:tab w:pos="830" w:val="left" w:leader="none"/>
          <w:tab w:pos="831" w:val="left" w:leader="none"/>
          <w:tab w:pos="2810" w:val="left" w:leader="none"/>
        </w:tabs>
        <w:spacing w:line="240" w:lineRule="auto" w:before="167" w:after="0"/>
        <w:ind w:left="830" w:right="0" w:hanging="719"/>
        <w:jc w:val="left"/>
      </w:pPr>
      <w:r>
        <w:rPr/>
        <w:t>重大疾病的分组</w:t>
        <w:tab/>
      </w:r>
      <w:r>
        <w:rPr>
          <w:w w:val="95"/>
        </w:rPr>
        <w:t>本附加合同所承保的所有重大疾病分为以下三组：</w:t>
      </w:r>
    </w:p>
    <w:p>
      <w:pPr>
        <w:pStyle w:val="BodyText"/>
        <w:spacing w:before="1"/>
        <w:rPr>
          <w:b/>
          <w:sz w:val="16"/>
        </w:rPr>
      </w:pPr>
    </w:p>
    <w:tbl>
      <w:tblPr>
        <w:tblW w:w="0" w:type="auto"/>
        <w:jc w:val="left"/>
        <w:tblInd w:w="28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3240"/>
        <w:gridCol w:w="3420"/>
      </w:tblGrid>
      <w:tr>
        <w:trPr>
          <w:trHeight w:val="361" w:hRule="atLeast"/>
        </w:trPr>
        <w:tc>
          <w:tcPr>
            <w:tcW w:w="782" w:type="dxa"/>
          </w:tcPr>
          <w:p>
            <w:pPr>
              <w:pStyle w:val="TableParagraph"/>
              <w:spacing w:line="257" w:lineRule="exact"/>
              <w:ind w:left="189"/>
              <w:rPr>
                <w:b/>
                <w:sz w:val="20"/>
              </w:rPr>
            </w:pPr>
            <w:r>
              <w:rPr>
                <w:b/>
                <w:sz w:val="20"/>
              </w:rPr>
              <w:t>组别</w:t>
            </w:r>
          </w:p>
        </w:tc>
        <w:tc>
          <w:tcPr>
            <w:tcW w:w="6660" w:type="dxa"/>
            <w:gridSpan w:val="2"/>
          </w:tcPr>
          <w:p>
            <w:pPr>
              <w:pStyle w:val="TableParagraph"/>
              <w:spacing w:line="257" w:lineRule="exact"/>
              <w:ind w:left="2927" w:right="2909"/>
              <w:jc w:val="center"/>
              <w:rPr>
                <w:b/>
                <w:sz w:val="20"/>
              </w:rPr>
            </w:pPr>
            <w:r>
              <w:rPr>
                <w:b/>
                <w:w w:val="95"/>
                <w:sz w:val="20"/>
              </w:rPr>
              <w:t>重大疾病</w:t>
            </w:r>
          </w:p>
        </w:tc>
      </w:tr>
      <w:tr>
        <w:trPr>
          <w:trHeight w:val="1588" w:hRule="atLeast"/>
        </w:trPr>
        <w:tc>
          <w:tcPr>
            <w:tcW w:w="782" w:type="dxa"/>
          </w:tcPr>
          <w:p>
            <w:pPr>
              <w:pStyle w:val="TableParagraph"/>
              <w:rPr>
                <w:b/>
                <w:sz w:val="20"/>
              </w:rPr>
            </w:pPr>
          </w:p>
          <w:p>
            <w:pPr>
              <w:pStyle w:val="TableParagraph"/>
              <w:spacing w:before="7"/>
              <w:rPr>
                <w:b/>
                <w:sz w:val="25"/>
              </w:rPr>
            </w:pPr>
          </w:p>
          <w:p>
            <w:pPr>
              <w:pStyle w:val="TableParagraph"/>
              <w:ind w:left="214"/>
              <w:rPr>
                <w:b/>
                <w:sz w:val="20"/>
              </w:rPr>
            </w:pPr>
            <w:r>
              <w:rPr>
                <w:b/>
                <w:sz w:val="20"/>
              </w:rPr>
              <w:t>A组 </w:t>
            </w:r>
          </w:p>
        </w:tc>
        <w:tc>
          <w:tcPr>
            <w:tcW w:w="3240" w:type="dxa"/>
          </w:tcPr>
          <w:p>
            <w:pPr>
              <w:pStyle w:val="TableParagraph"/>
              <w:spacing w:before="66"/>
              <w:ind w:left="108"/>
              <w:rPr>
                <w:b/>
                <w:sz w:val="20"/>
              </w:rPr>
            </w:pPr>
            <w:r>
              <w:rPr>
                <w:b/>
                <w:w w:val="95"/>
                <w:sz w:val="20"/>
              </w:rPr>
              <w:t>十八周岁前：</w:t>
            </w:r>
          </w:p>
          <w:p>
            <w:pPr>
              <w:pStyle w:val="TableParagraph"/>
              <w:spacing w:before="9"/>
              <w:rPr>
                <w:b/>
                <w:sz w:val="18"/>
              </w:rPr>
            </w:pPr>
          </w:p>
          <w:p>
            <w:pPr>
              <w:pStyle w:val="TableParagraph"/>
              <w:ind w:left="108"/>
              <w:rPr>
                <w:b/>
                <w:sz w:val="20"/>
              </w:rPr>
            </w:pPr>
            <w:r>
              <w:rPr>
                <w:b/>
                <w:sz w:val="20"/>
              </w:rPr>
              <w:t>J1. 恶性肿瘤</w:t>
            </w:r>
          </w:p>
          <w:p>
            <w:pPr>
              <w:pStyle w:val="TableParagraph"/>
              <w:spacing w:line="310" w:lineRule="atLeast" w:before="75"/>
              <w:ind w:left="108" w:right="85"/>
              <w:rPr>
                <w:b/>
                <w:sz w:val="20"/>
              </w:rPr>
            </w:pPr>
            <w:r>
              <w:rPr>
                <w:b/>
                <w:sz w:val="20"/>
              </w:rPr>
              <w:t>J2. 重大器官移植术或造血干细胞</w:t>
            </w:r>
            <w:r>
              <w:rPr>
                <w:b/>
                <w:w w:val="95"/>
                <w:sz w:val="20"/>
              </w:rPr>
              <w:t>移植术</w:t>
            </w:r>
          </w:p>
        </w:tc>
        <w:tc>
          <w:tcPr>
            <w:tcW w:w="3420" w:type="dxa"/>
          </w:tcPr>
          <w:p>
            <w:pPr>
              <w:pStyle w:val="TableParagraph"/>
              <w:spacing w:before="66"/>
              <w:ind w:left="108"/>
              <w:rPr>
                <w:b/>
                <w:sz w:val="20"/>
              </w:rPr>
            </w:pPr>
            <w:r>
              <w:rPr>
                <w:b/>
                <w:w w:val="95"/>
                <w:sz w:val="20"/>
              </w:rPr>
              <w:t>十八周岁后：</w:t>
            </w:r>
          </w:p>
          <w:p>
            <w:pPr>
              <w:pStyle w:val="TableParagraph"/>
              <w:spacing w:before="9"/>
              <w:rPr>
                <w:b/>
                <w:sz w:val="18"/>
              </w:rPr>
            </w:pPr>
          </w:p>
          <w:p>
            <w:pPr>
              <w:pStyle w:val="TableParagraph"/>
              <w:ind w:left="107"/>
              <w:rPr>
                <w:b/>
                <w:sz w:val="20"/>
              </w:rPr>
            </w:pPr>
            <w:r>
              <w:rPr>
                <w:b/>
                <w:sz w:val="20"/>
              </w:rPr>
              <w:t>A1. 恶性肿瘤</w:t>
            </w:r>
          </w:p>
          <w:p>
            <w:pPr>
              <w:pStyle w:val="TableParagraph"/>
              <w:spacing w:line="310" w:lineRule="atLeast" w:before="75"/>
              <w:ind w:left="108" w:right="84"/>
              <w:rPr>
                <w:b/>
                <w:sz w:val="20"/>
              </w:rPr>
            </w:pPr>
            <w:r>
              <w:rPr>
                <w:b/>
                <w:sz w:val="20"/>
              </w:rPr>
              <w:t>A4. 重大器官移植术或造血干细胞</w:t>
            </w:r>
            <w:r>
              <w:rPr>
                <w:b/>
                <w:w w:val="95"/>
                <w:sz w:val="20"/>
              </w:rPr>
              <w:t>移植术</w:t>
            </w:r>
          </w:p>
        </w:tc>
      </w:tr>
    </w:tbl>
    <w:p>
      <w:pPr>
        <w:spacing w:after="0" w:line="310" w:lineRule="atLeast"/>
        <w:rPr>
          <w:sz w:val="20"/>
        </w:rPr>
        <w:sectPr>
          <w:type w:val="continuous"/>
          <w:pgSz w:w="11910" w:h="16840"/>
          <w:pgMar w:top="120" w:bottom="1020" w:left="780" w:right="680"/>
        </w:sectPr>
      </w:pPr>
    </w:p>
    <w:tbl>
      <w:tblPr>
        <w:tblW w:w="0" w:type="auto"/>
        <w:jc w:val="left"/>
        <w:tblInd w:w="27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3240"/>
        <w:gridCol w:w="3420"/>
      </w:tblGrid>
      <w:tr>
        <w:trPr>
          <w:trHeight w:val="312" w:hRule="atLeast"/>
        </w:trPr>
        <w:tc>
          <w:tcPr>
            <w:tcW w:w="782" w:type="dxa"/>
            <w:tcBorders>
              <w:bottom w:val="nil"/>
            </w:tcBorders>
          </w:tcPr>
          <w:p>
            <w:pPr>
              <w:pStyle w:val="TableParagraph"/>
              <w:rPr>
                <w:rFonts w:ascii="Times New Roman"/>
                <w:sz w:val="18"/>
              </w:rPr>
            </w:pPr>
          </w:p>
        </w:tc>
        <w:tc>
          <w:tcPr>
            <w:tcW w:w="3240" w:type="dxa"/>
            <w:tcBorders>
              <w:bottom w:val="nil"/>
            </w:tcBorders>
          </w:tcPr>
          <w:p>
            <w:pPr>
              <w:pStyle w:val="TableParagraph"/>
              <w:spacing w:line="257" w:lineRule="exact"/>
              <w:ind w:left="108"/>
              <w:rPr>
                <w:b/>
                <w:sz w:val="20"/>
              </w:rPr>
            </w:pPr>
            <w:r>
              <w:rPr>
                <w:b/>
                <w:sz w:val="20"/>
              </w:rPr>
              <w:t>J3. 终末期肾病（或称慢性肾功能</w:t>
            </w:r>
          </w:p>
        </w:tc>
        <w:tc>
          <w:tcPr>
            <w:tcW w:w="3420" w:type="dxa"/>
            <w:tcBorders>
              <w:bottom w:val="nil"/>
            </w:tcBorders>
          </w:tcPr>
          <w:p>
            <w:pPr>
              <w:pStyle w:val="TableParagraph"/>
              <w:spacing w:line="257" w:lineRule="exact"/>
              <w:ind w:left="108"/>
              <w:rPr>
                <w:b/>
                <w:sz w:val="20"/>
              </w:rPr>
            </w:pPr>
            <w:r>
              <w:rPr>
                <w:b/>
                <w:sz w:val="20"/>
              </w:rPr>
              <w:t>A6. 终末期肾病（或称慢性肾功能衰</w:t>
            </w: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衰竭尿毒症期）</w:t>
            </w:r>
          </w:p>
        </w:tc>
        <w:tc>
          <w:tcPr>
            <w:tcW w:w="3420" w:type="dxa"/>
            <w:tcBorders>
              <w:top w:val="nil"/>
              <w:bottom w:val="nil"/>
            </w:tcBorders>
          </w:tcPr>
          <w:p>
            <w:pPr>
              <w:pStyle w:val="TableParagraph"/>
              <w:spacing w:line="256" w:lineRule="exact"/>
              <w:ind w:left="108"/>
              <w:rPr>
                <w:b/>
                <w:sz w:val="20"/>
              </w:rPr>
            </w:pPr>
            <w:r>
              <w:rPr>
                <w:b/>
                <w:w w:val="95"/>
                <w:sz w:val="20"/>
              </w:rPr>
              <w:t>竭尿毒症期）</w:t>
            </w: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sz w:val="20"/>
              </w:rPr>
              <w:t>J4. 多个肢体缺失</w:t>
            </w:r>
          </w:p>
        </w:tc>
        <w:tc>
          <w:tcPr>
            <w:tcW w:w="3420" w:type="dxa"/>
            <w:tcBorders>
              <w:top w:val="nil"/>
              <w:bottom w:val="nil"/>
            </w:tcBorders>
          </w:tcPr>
          <w:p>
            <w:pPr>
              <w:pStyle w:val="TableParagraph"/>
              <w:spacing w:line="256" w:lineRule="exact"/>
              <w:ind w:left="108"/>
              <w:rPr>
                <w:b/>
                <w:sz w:val="20"/>
              </w:rPr>
            </w:pPr>
            <w:r>
              <w:rPr>
                <w:b/>
                <w:sz w:val="20"/>
              </w:rPr>
              <w:t>A7. 多个肢体缺失</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sz w:val="20"/>
              </w:rPr>
              <w:t>J5. 急性或亚急性重症肝炎</w:t>
            </w:r>
          </w:p>
        </w:tc>
        <w:tc>
          <w:tcPr>
            <w:tcW w:w="3420" w:type="dxa"/>
            <w:tcBorders>
              <w:top w:val="nil"/>
              <w:bottom w:val="nil"/>
            </w:tcBorders>
          </w:tcPr>
          <w:p>
            <w:pPr>
              <w:pStyle w:val="TableParagraph"/>
              <w:spacing w:line="256" w:lineRule="exact"/>
              <w:ind w:left="108"/>
              <w:rPr>
                <w:b/>
                <w:sz w:val="20"/>
              </w:rPr>
            </w:pPr>
            <w:r>
              <w:rPr>
                <w:b/>
                <w:sz w:val="20"/>
              </w:rPr>
              <w:t>A8. 急性或亚急性重症肝炎</w:t>
            </w: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J11.严重Ⅲ度烧伤</w:t>
            </w:r>
          </w:p>
        </w:tc>
        <w:tc>
          <w:tcPr>
            <w:tcW w:w="3420" w:type="dxa"/>
            <w:tcBorders>
              <w:top w:val="nil"/>
              <w:bottom w:val="nil"/>
            </w:tcBorders>
          </w:tcPr>
          <w:p>
            <w:pPr>
              <w:pStyle w:val="TableParagraph"/>
              <w:spacing w:line="256" w:lineRule="exact"/>
              <w:ind w:left="107"/>
              <w:rPr>
                <w:b/>
                <w:sz w:val="20"/>
              </w:rPr>
            </w:pPr>
            <w:r>
              <w:rPr>
                <w:b/>
                <w:w w:val="95"/>
                <w:sz w:val="20"/>
              </w:rPr>
              <w:t>A10.慢性肝功能衰竭失代偿期</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J12.重型再生障碍性贫血</w:t>
            </w:r>
          </w:p>
        </w:tc>
        <w:tc>
          <w:tcPr>
            <w:tcW w:w="3420" w:type="dxa"/>
            <w:tcBorders>
              <w:top w:val="nil"/>
              <w:bottom w:val="nil"/>
            </w:tcBorders>
          </w:tcPr>
          <w:p>
            <w:pPr>
              <w:pStyle w:val="TableParagraph"/>
              <w:spacing w:line="256" w:lineRule="exact"/>
              <w:ind w:left="108"/>
              <w:rPr>
                <w:b/>
                <w:sz w:val="20"/>
              </w:rPr>
            </w:pPr>
            <w:r>
              <w:rPr>
                <w:b/>
                <w:w w:val="95"/>
                <w:sz w:val="20"/>
              </w:rPr>
              <w:t>A19.严重Ⅲ度烧伤</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sz w:val="20"/>
              </w:rPr>
              <w:t>J14.胰岛素依赖型糖尿病（I 型糖</w:t>
            </w:r>
          </w:p>
        </w:tc>
        <w:tc>
          <w:tcPr>
            <w:tcW w:w="3420" w:type="dxa"/>
            <w:tcBorders>
              <w:top w:val="nil"/>
              <w:bottom w:val="nil"/>
            </w:tcBorders>
          </w:tcPr>
          <w:p>
            <w:pPr>
              <w:pStyle w:val="TableParagraph"/>
              <w:spacing w:line="256" w:lineRule="exact"/>
              <w:ind w:left="108"/>
              <w:rPr>
                <w:b/>
                <w:sz w:val="20"/>
              </w:rPr>
            </w:pPr>
            <w:r>
              <w:rPr>
                <w:b/>
                <w:w w:val="95"/>
                <w:sz w:val="20"/>
              </w:rPr>
              <w:t>A23.重型再生障碍性贫血</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w w:val="95"/>
                <w:sz w:val="20"/>
              </w:rPr>
              <w:t>尿病）</w:t>
            </w:r>
          </w:p>
        </w:tc>
        <w:tc>
          <w:tcPr>
            <w:tcW w:w="3420" w:type="dxa"/>
            <w:tcBorders>
              <w:top w:val="nil"/>
              <w:bottom w:val="nil"/>
            </w:tcBorders>
          </w:tcPr>
          <w:p>
            <w:pPr>
              <w:pStyle w:val="TableParagraph"/>
              <w:rPr>
                <w:rFonts w:ascii="Times New Roman"/>
                <w:sz w:val="18"/>
              </w:rPr>
            </w:pP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A30.系统性红斑狼疮</w:t>
            </w:r>
          </w:p>
        </w:tc>
      </w:tr>
      <w:tr>
        <w:trPr>
          <w:trHeight w:val="623" w:hRule="atLeast"/>
        </w:trPr>
        <w:tc>
          <w:tcPr>
            <w:tcW w:w="782" w:type="dxa"/>
            <w:tcBorders>
              <w:top w:val="nil"/>
              <w:bottom w:val="nil"/>
            </w:tcBorders>
          </w:tcPr>
          <w:p>
            <w:pPr>
              <w:pStyle w:val="TableParagraph"/>
              <w:spacing w:before="139"/>
              <w:ind w:right="142"/>
              <w:jc w:val="right"/>
              <w:rPr>
                <w:b/>
                <w:sz w:val="20"/>
              </w:rPr>
            </w:pPr>
            <w:r>
              <w:rPr>
                <w:b/>
                <w:sz w:val="20"/>
              </w:rPr>
              <w:t>A组 </w:t>
            </w: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A31.系统性硬化病</w:t>
            </w:r>
          </w:p>
          <w:p>
            <w:pPr>
              <w:pStyle w:val="TableParagraph"/>
              <w:spacing w:before="50"/>
              <w:ind w:left="107"/>
              <w:rPr>
                <w:b/>
                <w:sz w:val="20"/>
              </w:rPr>
            </w:pPr>
            <w:r>
              <w:rPr>
                <w:b/>
                <w:w w:val="95"/>
                <w:sz w:val="20"/>
              </w:rPr>
              <w:t>A32.严重克隆病</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A33.严重溃疡性结肠炎</w:t>
            </w: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A34.急性坏死性胰腺炎</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A35.慢性复发性胰腺炎</w:t>
            </w: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A36.原发性硬化性胆管炎</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A37.坏死性筋膜炎</w:t>
            </w: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A38.慢性肾上腺皮质功能衰竭</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A39.慢性呼吸功能衰竭</w:t>
            </w:r>
          </w:p>
        </w:tc>
      </w:tr>
      <w:tr>
        <w:trPr>
          <w:trHeight w:val="31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A40.象皮病</w:t>
            </w:r>
          </w:p>
        </w:tc>
      </w:tr>
      <w:tr>
        <w:trPr>
          <w:trHeight w:val="311" w:hRule="atLeast"/>
        </w:trPr>
        <w:tc>
          <w:tcPr>
            <w:tcW w:w="782" w:type="dxa"/>
            <w:tcBorders>
              <w:top w:val="nil"/>
            </w:tcBorders>
          </w:tcPr>
          <w:p>
            <w:pPr>
              <w:pStyle w:val="TableParagraph"/>
              <w:rPr>
                <w:rFonts w:ascii="Times New Roman"/>
                <w:sz w:val="18"/>
              </w:rPr>
            </w:pPr>
          </w:p>
        </w:tc>
        <w:tc>
          <w:tcPr>
            <w:tcW w:w="3240" w:type="dxa"/>
            <w:tcBorders>
              <w:top w:val="nil"/>
            </w:tcBorders>
          </w:tcPr>
          <w:p>
            <w:pPr>
              <w:pStyle w:val="TableParagraph"/>
              <w:rPr>
                <w:rFonts w:ascii="Times New Roman"/>
                <w:sz w:val="18"/>
              </w:rPr>
            </w:pPr>
          </w:p>
        </w:tc>
        <w:tc>
          <w:tcPr>
            <w:tcW w:w="3420" w:type="dxa"/>
            <w:tcBorders>
              <w:top w:val="nil"/>
            </w:tcBorders>
          </w:tcPr>
          <w:p>
            <w:pPr>
              <w:pStyle w:val="TableParagraph"/>
              <w:spacing w:line="256" w:lineRule="exact"/>
              <w:ind w:left="107"/>
              <w:rPr>
                <w:b/>
                <w:sz w:val="20"/>
              </w:rPr>
            </w:pPr>
            <w:r>
              <w:rPr>
                <w:b/>
                <w:w w:val="95"/>
                <w:sz w:val="20"/>
              </w:rPr>
              <w:t>A41.埃博拉病毒感染</w:t>
            </w:r>
          </w:p>
        </w:tc>
      </w:tr>
      <w:tr>
        <w:trPr>
          <w:trHeight w:val="322" w:hRule="atLeast"/>
        </w:trPr>
        <w:tc>
          <w:tcPr>
            <w:tcW w:w="782" w:type="dxa"/>
            <w:tcBorders>
              <w:bottom w:val="nil"/>
            </w:tcBorders>
          </w:tcPr>
          <w:p>
            <w:pPr>
              <w:pStyle w:val="TableParagraph"/>
              <w:rPr>
                <w:rFonts w:ascii="Times New Roman"/>
                <w:sz w:val="18"/>
              </w:rPr>
            </w:pPr>
          </w:p>
        </w:tc>
        <w:tc>
          <w:tcPr>
            <w:tcW w:w="3240" w:type="dxa"/>
            <w:tcBorders>
              <w:bottom w:val="nil"/>
            </w:tcBorders>
          </w:tcPr>
          <w:p>
            <w:pPr>
              <w:pStyle w:val="TableParagraph"/>
              <w:spacing w:line="257" w:lineRule="exact"/>
              <w:ind w:left="108"/>
              <w:rPr>
                <w:b/>
                <w:sz w:val="20"/>
              </w:rPr>
            </w:pPr>
            <w:r>
              <w:rPr>
                <w:b/>
                <w:w w:val="95"/>
                <w:sz w:val="20"/>
              </w:rPr>
              <w:t>十八周岁前：</w:t>
            </w:r>
          </w:p>
        </w:tc>
        <w:tc>
          <w:tcPr>
            <w:tcW w:w="3420" w:type="dxa"/>
            <w:tcBorders>
              <w:bottom w:val="nil"/>
            </w:tcBorders>
          </w:tcPr>
          <w:p>
            <w:pPr>
              <w:pStyle w:val="TableParagraph"/>
              <w:spacing w:line="257" w:lineRule="exact"/>
              <w:ind w:left="108"/>
              <w:rPr>
                <w:b/>
                <w:sz w:val="20"/>
              </w:rPr>
            </w:pPr>
            <w:r>
              <w:rPr>
                <w:b/>
                <w:w w:val="95"/>
                <w:sz w:val="20"/>
              </w:rPr>
              <w:t>十八周岁后：</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J6. 良性脑肿瘤</w:t>
            </w:r>
          </w:p>
        </w:tc>
        <w:tc>
          <w:tcPr>
            <w:tcW w:w="3420" w:type="dxa"/>
            <w:tcBorders>
              <w:top w:val="nil"/>
              <w:bottom w:val="nil"/>
            </w:tcBorders>
          </w:tcPr>
          <w:p>
            <w:pPr>
              <w:pStyle w:val="TableParagraph"/>
              <w:spacing w:before="4"/>
              <w:ind w:left="108"/>
              <w:rPr>
                <w:b/>
                <w:sz w:val="20"/>
              </w:rPr>
            </w:pPr>
            <w:r>
              <w:rPr>
                <w:b/>
                <w:sz w:val="20"/>
              </w:rPr>
              <w:t>A3. 脑中风后遗症</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J7. 双耳失聪</w:t>
            </w:r>
          </w:p>
        </w:tc>
        <w:tc>
          <w:tcPr>
            <w:tcW w:w="3420" w:type="dxa"/>
            <w:tcBorders>
              <w:top w:val="nil"/>
              <w:bottom w:val="nil"/>
            </w:tcBorders>
          </w:tcPr>
          <w:p>
            <w:pPr>
              <w:pStyle w:val="TableParagraph"/>
              <w:spacing w:before="4"/>
              <w:ind w:left="108"/>
              <w:rPr>
                <w:b/>
                <w:sz w:val="20"/>
              </w:rPr>
            </w:pPr>
            <w:r>
              <w:rPr>
                <w:b/>
                <w:sz w:val="20"/>
              </w:rPr>
              <w:t>A9. 良性脑肿瘤</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J8. 双目失明</w:t>
            </w:r>
          </w:p>
        </w:tc>
        <w:tc>
          <w:tcPr>
            <w:tcW w:w="3420" w:type="dxa"/>
            <w:tcBorders>
              <w:top w:val="nil"/>
              <w:bottom w:val="nil"/>
            </w:tcBorders>
          </w:tcPr>
          <w:p>
            <w:pPr>
              <w:pStyle w:val="TableParagraph"/>
              <w:spacing w:before="4"/>
              <w:ind w:left="108"/>
              <w:rPr>
                <w:b/>
                <w:sz w:val="20"/>
              </w:rPr>
            </w:pPr>
            <w:r>
              <w:rPr>
                <w:b/>
                <w:w w:val="95"/>
                <w:sz w:val="20"/>
              </w:rPr>
              <w:t>A11.脑炎后遗症或脑膜炎后遗症</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sz w:val="20"/>
              </w:rPr>
              <w:t>J9. 瘫痪</w:t>
            </w:r>
          </w:p>
        </w:tc>
        <w:tc>
          <w:tcPr>
            <w:tcW w:w="3420" w:type="dxa"/>
            <w:tcBorders>
              <w:top w:val="nil"/>
              <w:bottom w:val="nil"/>
            </w:tcBorders>
          </w:tcPr>
          <w:p>
            <w:pPr>
              <w:pStyle w:val="TableParagraph"/>
              <w:spacing w:before="4"/>
              <w:ind w:left="107"/>
              <w:rPr>
                <w:b/>
                <w:sz w:val="20"/>
              </w:rPr>
            </w:pPr>
            <w:r>
              <w:rPr>
                <w:b/>
                <w:w w:val="95"/>
                <w:sz w:val="20"/>
              </w:rPr>
              <w:t>A12.双耳失聪</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J10.严重脑损伤</w:t>
            </w:r>
          </w:p>
        </w:tc>
        <w:tc>
          <w:tcPr>
            <w:tcW w:w="3420" w:type="dxa"/>
            <w:tcBorders>
              <w:top w:val="nil"/>
              <w:bottom w:val="nil"/>
            </w:tcBorders>
          </w:tcPr>
          <w:p>
            <w:pPr>
              <w:pStyle w:val="TableParagraph"/>
              <w:spacing w:before="4"/>
              <w:ind w:left="107"/>
              <w:rPr>
                <w:b/>
                <w:sz w:val="20"/>
              </w:rPr>
            </w:pPr>
            <w:r>
              <w:rPr>
                <w:b/>
                <w:w w:val="95"/>
                <w:sz w:val="20"/>
              </w:rPr>
              <w:t>A13.双目失明</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J15.脊髓灰质炎</w:t>
            </w:r>
          </w:p>
        </w:tc>
        <w:tc>
          <w:tcPr>
            <w:tcW w:w="3420" w:type="dxa"/>
            <w:tcBorders>
              <w:top w:val="nil"/>
              <w:bottom w:val="nil"/>
            </w:tcBorders>
          </w:tcPr>
          <w:p>
            <w:pPr>
              <w:pStyle w:val="TableParagraph"/>
              <w:spacing w:before="4"/>
              <w:ind w:left="109"/>
              <w:rPr>
                <w:b/>
                <w:sz w:val="20"/>
              </w:rPr>
            </w:pPr>
            <w:r>
              <w:rPr>
                <w:b/>
                <w:w w:val="95"/>
                <w:sz w:val="20"/>
              </w:rPr>
              <w:t>A14.瘫痪</w:t>
            </w:r>
          </w:p>
        </w:tc>
      </w:tr>
      <w:tr>
        <w:trPr>
          <w:trHeight w:val="327"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J16.全身性重症肌无力</w:t>
            </w:r>
          </w:p>
        </w:tc>
        <w:tc>
          <w:tcPr>
            <w:tcW w:w="3420" w:type="dxa"/>
            <w:tcBorders>
              <w:top w:val="nil"/>
              <w:bottom w:val="nil"/>
            </w:tcBorders>
          </w:tcPr>
          <w:p>
            <w:pPr>
              <w:pStyle w:val="TableParagraph"/>
              <w:spacing w:before="4"/>
              <w:ind w:left="108"/>
              <w:rPr>
                <w:b/>
                <w:sz w:val="20"/>
              </w:rPr>
            </w:pPr>
            <w:r>
              <w:rPr>
                <w:b/>
                <w:w w:val="95"/>
                <w:sz w:val="20"/>
              </w:rPr>
              <w:t>A16.严重阿尔茨海默病</w:t>
            </w:r>
          </w:p>
        </w:tc>
      </w:tr>
      <w:tr>
        <w:trPr>
          <w:trHeight w:val="337" w:hRule="atLeast"/>
        </w:trPr>
        <w:tc>
          <w:tcPr>
            <w:tcW w:w="782" w:type="dxa"/>
            <w:tcBorders>
              <w:top w:val="nil"/>
              <w:bottom w:val="nil"/>
            </w:tcBorders>
          </w:tcPr>
          <w:p>
            <w:pPr>
              <w:pStyle w:val="TableParagraph"/>
              <w:ind w:right="142"/>
              <w:jc w:val="right"/>
              <w:rPr>
                <w:b/>
                <w:sz w:val="20"/>
              </w:rPr>
            </w:pPr>
            <w:r>
              <w:rPr>
                <w:b/>
                <w:sz w:val="20"/>
              </w:rPr>
              <w:t>B组 </w:t>
            </w:r>
          </w:p>
        </w:tc>
        <w:tc>
          <w:tcPr>
            <w:tcW w:w="3240" w:type="dxa"/>
            <w:tcBorders>
              <w:top w:val="nil"/>
              <w:bottom w:val="nil"/>
            </w:tcBorders>
          </w:tcPr>
          <w:p>
            <w:pPr>
              <w:pStyle w:val="TableParagraph"/>
              <w:spacing w:before="9"/>
              <w:ind w:left="108"/>
              <w:rPr>
                <w:b/>
                <w:sz w:val="20"/>
              </w:rPr>
            </w:pPr>
            <w:r>
              <w:rPr>
                <w:b/>
                <w:w w:val="95"/>
                <w:sz w:val="20"/>
              </w:rPr>
              <w:t>J17.脑膜炎</w:t>
            </w:r>
          </w:p>
        </w:tc>
        <w:tc>
          <w:tcPr>
            <w:tcW w:w="3420" w:type="dxa"/>
            <w:tcBorders>
              <w:top w:val="nil"/>
              <w:bottom w:val="nil"/>
            </w:tcBorders>
          </w:tcPr>
          <w:p>
            <w:pPr>
              <w:pStyle w:val="TableParagraph"/>
              <w:spacing w:before="9"/>
              <w:ind w:left="107"/>
              <w:rPr>
                <w:b/>
                <w:sz w:val="20"/>
              </w:rPr>
            </w:pPr>
            <w:r>
              <w:rPr>
                <w:b/>
                <w:w w:val="95"/>
                <w:sz w:val="20"/>
              </w:rPr>
              <w:t>A17.严重脑损伤</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before="4"/>
              <w:ind w:left="108"/>
              <w:rPr>
                <w:b/>
                <w:sz w:val="20"/>
              </w:rPr>
            </w:pPr>
            <w:r>
              <w:rPr>
                <w:b/>
                <w:w w:val="95"/>
                <w:sz w:val="20"/>
              </w:rPr>
              <w:t>J18.脑炎</w:t>
            </w:r>
          </w:p>
        </w:tc>
        <w:tc>
          <w:tcPr>
            <w:tcW w:w="3420" w:type="dxa"/>
            <w:tcBorders>
              <w:top w:val="nil"/>
              <w:bottom w:val="nil"/>
            </w:tcBorders>
          </w:tcPr>
          <w:p>
            <w:pPr>
              <w:pStyle w:val="TableParagraph"/>
              <w:spacing w:before="4"/>
              <w:ind w:left="107"/>
              <w:rPr>
                <w:b/>
                <w:sz w:val="20"/>
              </w:rPr>
            </w:pPr>
            <w:r>
              <w:rPr>
                <w:b/>
                <w:w w:val="95"/>
                <w:sz w:val="20"/>
              </w:rPr>
              <w:t>A18.严重帕金森病</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A21.严重运动神经元病</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A22.语言能力丧失</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A26.脊髓灰质炎</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A28.肌营养不良症</w:t>
            </w:r>
          </w:p>
        </w:tc>
      </w:tr>
      <w:tr>
        <w:trPr>
          <w:trHeight w:val="33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A29.多发性硬化症</w:t>
            </w:r>
          </w:p>
        </w:tc>
      </w:tr>
      <w:tr>
        <w:trPr>
          <w:trHeight w:val="331"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before="4"/>
              <w:ind w:left="107"/>
              <w:rPr>
                <w:b/>
                <w:sz w:val="20"/>
              </w:rPr>
            </w:pPr>
            <w:r>
              <w:rPr>
                <w:b/>
                <w:w w:val="95"/>
                <w:sz w:val="20"/>
              </w:rPr>
              <w:t>A42.全身性重症肌无力</w:t>
            </w:r>
          </w:p>
        </w:tc>
      </w:tr>
      <w:tr>
        <w:trPr>
          <w:trHeight w:val="321" w:hRule="atLeast"/>
        </w:trPr>
        <w:tc>
          <w:tcPr>
            <w:tcW w:w="782" w:type="dxa"/>
            <w:tcBorders>
              <w:top w:val="nil"/>
            </w:tcBorders>
          </w:tcPr>
          <w:p>
            <w:pPr>
              <w:pStyle w:val="TableParagraph"/>
              <w:rPr>
                <w:rFonts w:ascii="Times New Roman"/>
                <w:sz w:val="18"/>
              </w:rPr>
            </w:pPr>
          </w:p>
        </w:tc>
        <w:tc>
          <w:tcPr>
            <w:tcW w:w="3240" w:type="dxa"/>
            <w:tcBorders>
              <w:top w:val="nil"/>
            </w:tcBorders>
          </w:tcPr>
          <w:p>
            <w:pPr>
              <w:pStyle w:val="TableParagraph"/>
              <w:rPr>
                <w:rFonts w:ascii="Times New Roman"/>
                <w:sz w:val="18"/>
              </w:rPr>
            </w:pPr>
          </w:p>
        </w:tc>
        <w:tc>
          <w:tcPr>
            <w:tcW w:w="3420" w:type="dxa"/>
            <w:tcBorders>
              <w:top w:val="nil"/>
            </w:tcBorders>
          </w:tcPr>
          <w:p>
            <w:pPr>
              <w:pStyle w:val="TableParagraph"/>
              <w:spacing w:before="4"/>
              <w:ind w:left="107"/>
              <w:rPr>
                <w:b/>
                <w:sz w:val="20"/>
              </w:rPr>
            </w:pPr>
            <w:r>
              <w:rPr>
                <w:b/>
                <w:w w:val="95"/>
                <w:sz w:val="20"/>
              </w:rPr>
              <w:t>A43.疯牛病</w:t>
            </w:r>
          </w:p>
        </w:tc>
      </w:tr>
      <w:tr>
        <w:trPr>
          <w:trHeight w:val="312" w:hRule="atLeast"/>
        </w:trPr>
        <w:tc>
          <w:tcPr>
            <w:tcW w:w="782" w:type="dxa"/>
            <w:tcBorders>
              <w:bottom w:val="nil"/>
            </w:tcBorders>
          </w:tcPr>
          <w:p>
            <w:pPr>
              <w:pStyle w:val="TableParagraph"/>
              <w:rPr>
                <w:rFonts w:ascii="Times New Roman"/>
                <w:sz w:val="18"/>
              </w:rPr>
            </w:pPr>
          </w:p>
        </w:tc>
        <w:tc>
          <w:tcPr>
            <w:tcW w:w="3240" w:type="dxa"/>
            <w:tcBorders>
              <w:bottom w:val="nil"/>
            </w:tcBorders>
          </w:tcPr>
          <w:p>
            <w:pPr>
              <w:pStyle w:val="TableParagraph"/>
              <w:spacing w:line="257" w:lineRule="exact"/>
              <w:ind w:left="108"/>
              <w:rPr>
                <w:b/>
                <w:sz w:val="20"/>
              </w:rPr>
            </w:pPr>
            <w:r>
              <w:rPr>
                <w:b/>
                <w:w w:val="95"/>
                <w:sz w:val="20"/>
              </w:rPr>
              <w:t>十八周岁前：</w:t>
            </w:r>
          </w:p>
        </w:tc>
        <w:tc>
          <w:tcPr>
            <w:tcW w:w="3420" w:type="dxa"/>
            <w:tcBorders>
              <w:bottom w:val="nil"/>
            </w:tcBorders>
          </w:tcPr>
          <w:p>
            <w:pPr>
              <w:pStyle w:val="TableParagraph"/>
              <w:spacing w:line="257" w:lineRule="exact"/>
              <w:ind w:left="108"/>
              <w:rPr>
                <w:b/>
                <w:sz w:val="20"/>
              </w:rPr>
            </w:pPr>
            <w:r>
              <w:rPr>
                <w:b/>
                <w:w w:val="95"/>
                <w:sz w:val="20"/>
              </w:rPr>
              <w:t>十八周岁后：</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spacing w:line="256" w:lineRule="exact"/>
              <w:ind w:left="108"/>
              <w:rPr>
                <w:b/>
                <w:sz w:val="20"/>
              </w:rPr>
            </w:pPr>
            <w:r>
              <w:rPr>
                <w:b/>
                <w:sz w:val="20"/>
              </w:rPr>
              <w:t>J13.经输血导致的人类免疫缺陷病</w:t>
            </w:r>
          </w:p>
        </w:tc>
        <w:tc>
          <w:tcPr>
            <w:tcW w:w="3420" w:type="dxa"/>
            <w:tcBorders>
              <w:top w:val="nil"/>
              <w:bottom w:val="nil"/>
            </w:tcBorders>
          </w:tcPr>
          <w:p>
            <w:pPr>
              <w:pStyle w:val="TableParagraph"/>
              <w:spacing w:line="256" w:lineRule="exact"/>
              <w:ind w:left="108"/>
              <w:rPr>
                <w:b/>
                <w:sz w:val="20"/>
              </w:rPr>
            </w:pPr>
            <w:r>
              <w:rPr>
                <w:b/>
                <w:sz w:val="20"/>
              </w:rPr>
              <w:t>A2. 急性心肌梗塞</w:t>
            </w:r>
          </w:p>
        </w:tc>
      </w:tr>
      <w:tr>
        <w:trPr>
          <w:trHeight w:val="623" w:hRule="atLeast"/>
        </w:trPr>
        <w:tc>
          <w:tcPr>
            <w:tcW w:w="782" w:type="dxa"/>
            <w:tcBorders>
              <w:top w:val="nil"/>
              <w:bottom w:val="nil"/>
            </w:tcBorders>
          </w:tcPr>
          <w:p>
            <w:pPr>
              <w:pStyle w:val="TableParagraph"/>
              <w:spacing w:before="139"/>
              <w:ind w:right="142"/>
              <w:jc w:val="right"/>
              <w:rPr>
                <w:b/>
                <w:sz w:val="20"/>
              </w:rPr>
            </w:pPr>
            <w:r>
              <w:rPr>
                <w:b/>
                <w:sz w:val="20"/>
              </w:rPr>
              <w:t>C组 </w:t>
            </w:r>
          </w:p>
        </w:tc>
        <w:tc>
          <w:tcPr>
            <w:tcW w:w="3240" w:type="dxa"/>
            <w:tcBorders>
              <w:top w:val="nil"/>
              <w:bottom w:val="nil"/>
            </w:tcBorders>
          </w:tcPr>
          <w:p>
            <w:pPr>
              <w:pStyle w:val="TableParagraph"/>
              <w:spacing w:line="256" w:lineRule="exact"/>
              <w:ind w:left="108"/>
              <w:rPr>
                <w:b/>
                <w:sz w:val="20"/>
              </w:rPr>
            </w:pPr>
            <w:r>
              <w:rPr>
                <w:b/>
                <w:w w:val="95"/>
                <w:sz w:val="20"/>
              </w:rPr>
              <w:t>毒感染</w:t>
            </w:r>
          </w:p>
          <w:p>
            <w:pPr>
              <w:pStyle w:val="TableParagraph"/>
              <w:spacing w:before="50"/>
              <w:ind w:left="108"/>
              <w:rPr>
                <w:b/>
                <w:sz w:val="20"/>
              </w:rPr>
            </w:pPr>
            <w:r>
              <w:rPr>
                <w:b/>
                <w:w w:val="95"/>
                <w:sz w:val="20"/>
              </w:rPr>
              <w:t>J19.幼年型类风湿性关节炎</w:t>
            </w:r>
          </w:p>
        </w:tc>
        <w:tc>
          <w:tcPr>
            <w:tcW w:w="3420" w:type="dxa"/>
            <w:tcBorders>
              <w:top w:val="nil"/>
              <w:bottom w:val="nil"/>
            </w:tcBorders>
          </w:tcPr>
          <w:p>
            <w:pPr>
              <w:pStyle w:val="TableParagraph"/>
              <w:spacing w:before="5"/>
              <w:rPr>
                <w:b/>
                <w:sz w:val="23"/>
              </w:rPr>
            </w:pPr>
          </w:p>
          <w:p>
            <w:pPr>
              <w:pStyle w:val="TableParagraph"/>
              <w:ind w:left="108"/>
              <w:rPr>
                <w:b/>
                <w:sz w:val="20"/>
              </w:rPr>
            </w:pPr>
            <w:r>
              <w:rPr>
                <w:b/>
                <w:sz w:val="20"/>
              </w:rPr>
              <w:t>A5. 冠状动脉搭桥术（或称冠状动脉</w:t>
            </w:r>
          </w:p>
        </w:tc>
      </w:tr>
      <w:tr>
        <w:trPr>
          <w:trHeight w:val="312" w:hRule="atLeast"/>
        </w:trPr>
        <w:tc>
          <w:tcPr>
            <w:tcW w:w="782" w:type="dxa"/>
            <w:tcBorders>
              <w:top w:val="nil"/>
              <w:bottom w:val="nil"/>
            </w:tcBorders>
          </w:tcPr>
          <w:p>
            <w:pPr>
              <w:pStyle w:val="TableParagraph"/>
              <w:rPr>
                <w:rFonts w:ascii="Times New Roman"/>
                <w:sz w:val="18"/>
              </w:rPr>
            </w:pPr>
          </w:p>
        </w:tc>
        <w:tc>
          <w:tcPr>
            <w:tcW w:w="3240" w:type="dxa"/>
            <w:tcBorders>
              <w:top w:val="nil"/>
              <w:bottom w:val="nil"/>
            </w:tcBorders>
          </w:tcPr>
          <w:p>
            <w:pPr>
              <w:pStyle w:val="TableParagraph"/>
              <w:rPr>
                <w:rFonts w:ascii="Times New Roman"/>
                <w:sz w:val="18"/>
              </w:rPr>
            </w:pPr>
          </w:p>
        </w:tc>
        <w:tc>
          <w:tcPr>
            <w:tcW w:w="3420" w:type="dxa"/>
            <w:tcBorders>
              <w:top w:val="nil"/>
              <w:bottom w:val="nil"/>
            </w:tcBorders>
          </w:tcPr>
          <w:p>
            <w:pPr>
              <w:pStyle w:val="TableParagraph"/>
              <w:spacing w:line="256" w:lineRule="exact"/>
              <w:ind w:left="107"/>
              <w:rPr>
                <w:b/>
                <w:sz w:val="20"/>
              </w:rPr>
            </w:pPr>
            <w:r>
              <w:rPr>
                <w:b/>
                <w:w w:val="95"/>
                <w:sz w:val="20"/>
              </w:rPr>
              <w:t>旁路移植术）</w:t>
            </w:r>
          </w:p>
        </w:tc>
      </w:tr>
      <w:tr>
        <w:trPr>
          <w:trHeight w:val="311" w:hRule="atLeast"/>
        </w:trPr>
        <w:tc>
          <w:tcPr>
            <w:tcW w:w="782" w:type="dxa"/>
            <w:tcBorders>
              <w:top w:val="nil"/>
            </w:tcBorders>
          </w:tcPr>
          <w:p>
            <w:pPr>
              <w:pStyle w:val="TableParagraph"/>
              <w:rPr>
                <w:rFonts w:ascii="Times New Roman"/>
                <w:sz w:val="18"/>
              </w:rPr>
            </w:pPr>
          </w:p>
        </w:tc>
        <w:tc>
          <w:tcPr>
            <w:tcW w:w="3240" w:type="dxa"/>
            <w:tcBorders>
              <w:top w:val="nil"/>
            </w:tcBorders>
          </w:tcPr>
          <w:p>
            <w:pPr>
              <w:pStyle w:val="TableParagraph"/>
              <w:spacing w:line="256" w:lineRule="exact"/>
              <w:ind w:left="108"/>
              <w:rPr>
                <w:b/>
                <w:sz w:val="20"/>
              </w:rPr>
            </w:pPr>
            <w:r>
              <w:rPr>
                <w:b/>
                <w:w w:val="95"/>
                <w:sz w:val="20"/>
              </w:rPr>
              <w:t>J20.川崎病（伴冠状动脉瘤）</w:t>
            </w:r>
          </w:p>
        </w:tc>
        <w:tc>
          <w:tcPr>
            <w:tcW w:w="3420" w:type="dxa"/>
            <w:tcBorders>
              <w:top w:val="nil"/>
            </w:tcBorders>
          </w:tcPr>
          <w:p>
            <w:pPr>
              <w:pStyle w:val="TableParagraph"/>
              <w:spacing w:line="256" w:lineRule="exact"/>
              <w:ind w:left="109"/>
              <w:rPr>
                <w:b/>
                <w:sz w:val="20"/>
              </w:rPr>
            </w:pPr>
            <w:r>
              <w:rPr>
                <w:b/>
                <w:w w:val="95"/>
                <w:sz w:val="20"/>
              </w:rPr>
              <w:t>A15.心脏瓣膜手术</w:t>
            </w:r>
          </w:p>
        </w:tc>
      </w:tr>
    </w:tbl>
    <w:p>
      <w:pPr>
        <w:spacing w:after="0" w:line="256" w:lineRule="exact"/>
        <w:rPr>
          <w:sz w:val="20"/>
        </w:rPr>
        <w:sectPr>
          <w:pgSz w:w="11910" w:h="16840"/>
          <w:pgMar w:header="0" w:footer="834" w:top="1440" w:bottom="1020" w:left="860" w:right="740"/>
        </w:sectPr>
      </w:pPr>
    </w:p>
    <w:tbl>
      <w:tblPr>
        <w:tblW w:w="0" w:type="auto"/>
        <w:jc w:val="left"/>
        <w:tblInd w:w="2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3240"/>
        <w:gridCol w:w="3420"/>
      </w:tblGrid>
      <w:tr>
        <w:trPr>
          <w:trHeight w:val="2184" w:hRule="atLeast"/>
        </w:trPr>
        <w:tc>
          <w:tcPr>
            <w:tcW w:w="782" w:type="dxa"/>
          </w:tcPr>
          <w:p>
            <w:pPr>
              <w:pStyle w:val="TableParagraph"/>
              <w:rPr>
                <w:b/>
                <w:sz w:val="20"/>
              </w:rPr>
            </w:pPr>
          </w:p>
          <w:p>
            <w:pPr>
              <w:pStyle w:val="TableParagraph"/>
              <w:rPr>
                <w:b/>
                <w:sz w:val="20"/>
              </w:rPr>
            </w:pPr>
          </w:p>
          <w:p>
            <w:pPr>
              <w:pStyle w:val="TableParagraph"/>
              <w:rPr>
                <w:b/>
                <w:sz w:val="20"/>
              </w:rPr>
            </w:pPr>
          </w:p>
          <w:p>
            <w:pPr>
              <w:pStyle w:val="TableParagraph"/>
              <w:spacing w:before="135"/>
              <w:ind w:left="214"/>
              <w:rPr>
                <w:b/>
                <w:sz w:val="20"/>
              </w:rPr>
            </w:pPr>
            <w:r>
              <w:rPr>
                <w:b/>
                <w:sz w:val="20"/>
              </w:rPr>
              <w:t>C组 </w:t>
            </w:r>
          </w:p>
        </w:tc>
        <w:tc>
          <w:tcPr>
            <w:tcW w:w="3240" w:type="dxa"/>
          </w:tcPr>
          <w:p>
            <w:pPr>
              <w:pStyle w:val="TableParagraph"/>
              <w:rPr>
                <w:rFonts w:ascii="Times New Roman"/>
                <w:sz w:val="18"/>
              </w:rPr>
            </w:pPr>
          </w:p>
        </w:tc>
        <w:tc>
          <w:tcPr>
            <w:tcW w:w="3420" w:type="dxa"/>
          </w:tcPr>
          <w:p>
            <w:pPr>
              <w:pStyle w:val="TableParagraph"/>
              <w:spacing w:line="285" w:lineRule="auto"/>
              <w:ind w:left="107" w:right="879"/>
              <w:rPr>
                <w:b/>
                <w:sz w:val="20"/>
              </w:rPr>
            </w:pPr>
            <w:r>
              <w:rPr>
                <w:b/>
                <w:w w:val="95"/>
                <w:sz w:val="20"/>
              </w:rPr>
              <w:t>A20.严重原发性肺动脉高压</w:t>
            </w:r>
            <w:r>
              <w:rPr>
                <w:b/>
                <w:sz w:val="20"/>
              </w:rPr>
              <w:t>A24.主动脉手术       </w:t>
            </w:r>
            <w:r>
              <w:rPr>
                <w:b/>
                <w:w w:val="95"/>
                <w:sz w:val="20"/>
              </w:rPr>
              <w:t>A25.原发性心肌病</w:t>
            </w:r>
          </w:p>
          <w:p>
            <w:pPr>
              <w:pStyle w:val="TableParagraph"/>
              <w:spacing w:line="285" w:lineRule="auto" w:before="17"/>
              <w:ind w:left="107" w:right="86"/>
              <w:rPr>
                <w:b/>
                <w:sz w:val="20"/>
              </w:rPr>
            </w:pPr>
            <w:r>
              <w:rPr>
                <w:b/>
                <w:sz w:val="20"/>
              </w:rPr>
              <w:t>A27.经输血导致的人类免疫缺陷病</w:t>
            </w:r>
            <w:r>
              <w:rPr>
                <w:b/>
                <w:w w:val="95"/>
                <w:sz w:val="20"/>
              </w:rPr>
              <w:t>毒感染</w:t>
            </w:r>
          </w:p>
          <w:p>
            <w:pPr>
              <w:pStyle w:val="TableParagraph"/>
              <w:spacing w:before="12"/>
              <w:ind w:left="107"/>
              <w:rPr>
                <w:b/>
                <w:sz w:val="20"/>
              </w:rPr>
            </w:pPr>
            <w:r>
              <w:rPr>
                <w:b/>
                <w:w w:val="95"/>
                <w:sz w:val="20"/>
              </w:rPr>
              <w:t>A44.严重类风湿性关节炎</w:t>
            </w:r>
          </w:p>
          <w:p>
            <w:pPr>
              <w:pStyle w:val="TableParagraph"/>
              <w:spacing w:before="50"/>
              <w:ind w:left="107"/>
              <w:rPr>
                <w:b/>
                <w:sz w:val="20"/>
              </w:rPr>
            </w:pPr>
            <w:r>
              <w:rPr>
                <w:b/>
                <w:w w:val="95"/>
                <w:sz w:val="20"/>
              </w:rPr>
              <w:t>A45.严重心肌炎</w:t>
            </w:r>
          </w:p>
        </w:tc>
      </w:tr>
    </w:tbl>
    <w:p>
      <w:pPr>
        <w:pStyle w:val="BodyText"/>
        <w:spacing w:before="2"/>
        <w:rPr>
          <w:b/>
          <w:sz w:val="16"/>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1"/>
        <w:gridCol w:w="2092"/>
        <w:gridCol w:w="7774"/>
      </w:tblGrid>
      <w:tr>
        <w:trPr>
          <w:trHeight w:val="256" w:hRule="atLeast"/>
        </w:trPr>
        <w:tc>
          <w:tcPr>
            <w:tcW w:w="561" w:type="dxa"/>
          </w:tcPr>
          <w:p>
            <w:pPr>
              <w:pStyle w:val="TableParagraph"/>
              <w:spacing w:line="200" w:lineRule="exact"/>
              <w:ind w:left="50"/>
              <w:rPr>
                <w:b/>
                <w:sz w:val="20"/>
              </w:rPr>
            </w:pPr>
            <w:r>
              <w:rPr>
                <w:b/>
                <w:sz w:val="20"/>
              </w:rPr>
              <w:t>2.7</w:t>
            </w:r>
          </w:p>
        </w:tc>
        <w:tc>
          <w:tcPr>
            <w:tcW w:w="2092" w:type="dxa"/>
          </w:tcPr>
          <w:p>
            <w:pPr>
              <w:pStyle w:val="TableParagraph"/>
              <w:spacing w:line="200" w:lineRule="exact"/>
              <w:ind w:left="209"/>
              <w:rPr>
                <w:b/>
                <w:sz w:val="20"/>
              </w:rPr>
            </w:pPr>
            <w:r>
              <w:rPr>
                <w:b/>
                <w:sz w:val="20"/>
              </w:rPr>
              <w:t>特定恶性肿瘤的定</w:t>
            </w:r>
          </w:p>
        </w:tc>
        <w:tc>
          <w:tcPr>
            <w:tcW w:w="7774" w:type="dxa"/>
          </w:tcPr>
          <w:p>
            <w:pPr>
              <w:pStyle w:val="TableParagraph"/>
              <w:spacing w:line="200" w:lineRule="exact"/>
              <w:ind w:left="97"/>
              <w:rPr>
                <w:sz w:val="20"/>
              </w:rPr>
            </w:pPr>
            <w:r>
              <w:rPr>
                <w:sz w:val="20"/>
              </w:rPr>
              <w:t>指原发于男性睾丸、阴茎、前列腺或女性子宫体、子宫颈、乳腺、卵巢、输卵管及阴道</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line="256" w:lineRule="exact"/>
              <w:ind w:left="209"/>
              <w:rPr>
                <w:b/>
                <w:sz w:val="20"/>
              </w:rPr>
            </w:pPr>
            <w:r>
              <w:rPr>
                <w:b/>
                <w:w w:val="99"/>
                <w:sz w:val="20"/>
              </w:rPr>
              <w:t>义</w:t>
            </w:r>
          </w:p>
        </w:tc>
        <w:tc>
          <w:tcPr>
            <w:tcW w:w="7774" w:type="dxa"/>
          </w:tcPr>
          <w:p>
            <w:pPr>
              <w:pStyle w:val="TableParagraph"/>
              <w:spacing w:line="256" w:lineRule="exact"/>
              <w:ind w:left="97"/>
              <w:rPr>
                <w:sz w:val="20"/>
              </w:rPr>
            </w:pPr>
            <w:r>
              <w:rPr>
                <w:sz w:val="20"/>
              </w:rPr>
              <w:t>器官的，且符合本附加合同 2.4“J1”或 2.5“A1”定义的恶性肿瘤。</w:t>
            </w:r>
          </w:p>
        </w:tc>
      </w:tr>
      <w:tr>
        <w:trPr>
          <w:trHeight w:val="386" w:hRule="atLeast"/>
        </w:trPr>
        <w:tc>
          <w:tcPr>
            <w:tcW w:w="561" w:type="dxa"/>
          </w:tcPr>
          <w:p>
            <w:pPr>
              <w:pStyle w:val="TableParagraph"/>
              <w:spacing w:before="72"/>
              <w:ind w:left="50"/>
              <w:rPr>
                <w:b/>
                <w:sz w:val="20"/>
              </w:rPr>
            </w:pPr>
            <w:r>
              <w:rPr>
                <w:b/>
                <w:sz w:val="20"/>
              </w:rPr>
              <w:t>2.8</w:t>
            </w:r>
          </w:p>
        </w:tc>
        <w:tc>
          <w:tcPr>
            <w:tcW w:w="2092" w:type="dxa"/>
          </w:tcPr>
          <w:p>
            <w:pPr>
              <w:pStyle w:val="TableParagraph"/>
              <w:spacing w:before="72"/>
              <w:ind w:left="208"/>
              <w:rPr>
                <w:b/>
                <w:sz w:val="20"/>
              </w:rPr>
            </w:pPr>
            <w:r>
              <w:rPr>
                <w:b/>
                <w:sz w:val="20"/>
              </w:rPr>
              <w:t>十八周岁前轻症重</w:t>
            </w:r>
          </w:p>
        </w:tc>
        <w:tc>
          <w:tcPr>
            <w:tcW w:w="7774" w:type="dxa"/>
          </w:tcPr>
          <w:p>
            <w:pPr>
              <w:pStyle w:val="TableParagraph"/>
              <w:spacing w:before="72"/>
              <w:ind w:left="168"/>
              <w:rPr>
                <w:sz w:val="20"/>
              </w:rPr>
            </w:pPr>
            <w:r>
              <w:rPr>
                <w:sz w:val="20"/>
              </w:rPr>
              <w:t>若被保险人在年满十八周岁后的首个保单周年日前患有符合以下定义所述条件并由相</w:t>
            </w:r>
          </w:p>
        </w:tc>
      </w:tr>
      <w:tr>
        <w:trPr>
          <w:trHeight w:val="705" w:hRule="atLeast"/>
        </w:trPr>
        <w:tc>
          <w:tcPr>
            <w:tcW w:w="561" w:type="dxa"/>
          </w:tcPr>
          <w:p>
            <w:pPr>
              <w:pStyle w:val="TableParagraph"/>
              <w:rPr>
                <w:rFonts w:ascii="Times New Roman"/>
                <w:sz w:val="18"/>
              </w:rPr>
            </w:pPr>
          </w:p>
        </w:tc>
        <w:tc>
          <w:tcPr>
            <w:tcW w:w="2092" w:type="dxa"/>
          </w:tcPr>
          <w:p>
            <w:pPr>
              <w:pStyle w:val="TableParagraph"/>
              <w:spacing w:line="259" w:lineRule="exact"/>
              <w:ind w:left="208"/>
              <w:rPr>
                <w:b/>
                <w:sz w:val="20"/>
              </w:rPr>
            </w:pPr>
            <w:r>
              <w:rPr>
                <w:b/>
                <w:w w:val="95"/>
                <w:sz w:val="20"/>
              </w:rPr>
              <w:t>疾的定义</w:t>
            </w:r>
          </w:p>
        </w:tc>
        <w:tc>
          <w:tcPr>
            <w:tcW w:w="7774" w:type="dxa"/>
          </w:tcPr>
          <w:p>
            <w:pPr>
              <w:pStyle w:val="TableParagraph"/>
              <w:spacing w:line="271" w:lineRule="auto"/>
              <w:ind w:left="168" w:right="151"/>
              <w:rPr>
                <w:sz w:val="20"/>
              </w:rPr>
            </w:pPr>
            <w:r>
              <w:rPr>
                <w:spacing w:val="-7"/>
                <w:sz w:val="20"/>
              </w:rPr>
              <w:t>应的专科医生明确诊断的五种轻症重疾之一，我们按照本附加合同 </w:t>
            </w:r>
            <w:r>
              <w:rPr>
                <w:rFonts w:ascii="Times New Roman" w:eastAsia="Times New Roman"/>
                <w:sz w:val="20"/>
              </w:rPr>
              <w:t>2.2 </w:t>
            </w:r>
            <w:r>
              <w:rPr>
                <w:sz w:val="20"/>
              </w:rPr>
              <w:t>条的约定给付保险金。</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before="72"/>
              <w:ind w:left="208"/>
              <w:rPr>
                <w:sz w:val="20"/>
              </w:rPr>
            </w:pPr>
            <w:r>
              <w:rPr>
                <w:sz w:val="20"/>
              </w:rPr>
              <w:t>1．极早期的恶性肿</w:t>
            </w:r>
          </w:p>
        </w:tc>
        <w:tc>
          <w:tcPr>
            <w:tcW w:w="7774" w:type="dxa"/>
          </w:tcPr>
          <w:p>
            <w:pPr>
              <w:pStyle w:val="TableParagraph"/>
              <w:spacing w:before="72"/>
              <w:ind w:left="96"/>
              <w:rPr>
                <w:sz w:val="20"/>
              </w:rPr>
            </w:pPr>
            <w:r>
              <w:rPr>
                <w:sz w:val="20"/>
              </w:rPr>
              <w:t>指经组织病理学检查被明确诊断为下列恶性病变，并且接受了相应的治疗。</w:t>
            </w:r>
          </w:p>
        </w:tc>
      </w:tr>
      <w:tr>
        <w:trPr>
          <w:trHeight w:val="312" w:hRule="atLeast"/>
        </w:trPr>
        <w:tc>
          <w:tcPr>
            <w:tcW w:w="561" w:type="dxa"/>
          </w:tcPr>
          <w:p>
            <w:pPr>
              <w:pStyle w:val="TableParagraph"/>
              <w:rPr>
                <w:rFonts w:ascii="Times New Roman"/>
                <w:sz w:val="18"/>
              </w:rPr>
            </w:pPr>
          </w:p>
        </w:tc>
        <w:tc>
          <w:tcPr>
            <w:tcW w:w="2092" w:type="dxa"/>
          </w:tcPr>
          <w:p>
            <w:pPr>
              <w:pStyle w:val="TableParagraph"/>
              <w:spacing w:line="256" w:lineRule="exact"/>
              <w:ind w:left="208"/>
              <w:rPr>
                <w:sz w:val="20"/>
              </w:rPr>
            </w:pPr>
            <w:r>
              <w:rPr>
                <w:sz w:val="20"/>
              </w:rPr>
              <w:t>瘤或恶性病变</w:t>
            </w:r>
          </w:p>
        </w:tc>
        <w:tc>
          <w:tcPr>
            <w:tcW w:w="7774" w:type="dxa"/>
          </w:tcPr>
          <w:p>
            <w:pPr>
              <w:pStyle w:val="TableParagraph"/>
              <w:spacing w:line="256" w:lineRule="exact"/>
              <w:ind w:left="96"/>
              <w:rPr>
                <w:sz w:val="20"/>
              </w:rPr>
            </w:pPr>
            <w:r>
              <w:rPr>
                <w:sz w:val="20"/>
              </w:rPr>
              <w:t>（1）原位癌；</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（2）相当于 Binet 分期方案 A 期程度的慢性淋巴细胞白血病；</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（3）相当于 Ann Arbor 分期方案 I 期程度的何杰金氏病；</w:t>
            </w:r>
          </w:p>
        </w:tc>
      </w:tr>
      <w:tr>
        <w:trPr>
          <w:trHeight w:val="311"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（4）皮肤癌（不包括恶性黑色素瘤及已发生转移的皮肤癌）；</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position w:val="1"/>
                <w:sz w:val="20"/>
              </w:rPr>
              <w:t>（5）TNM 分期为 T</w:t>
            </w:r>
            <w:r>
              <w:rPr>
                <w:sz w:val="10"/>
              </w:rPr>
              <w:t>1</w:t>
            </w:r>
            <w:r>
              <w:rPr>
                <w:position w:val="1"/>
                <w:sz w:val="20"/>
              </w:rPr>
              <w:t>N</w:t>
            </w:r>
            <w:r>
              <w:rPr>
                <w:sz w:val="10"/>
              </w:rPr>
              <w:t>0</w:t>
            </w:r>
            <w:r>
              <w:rPr>
                <w:position w:val="1"/>
                <w:sz w:val="20"/>
              </w:rPr>
              <w:t>M</w:t>
            </w:r>
            <w:r>
              <w:rPr>
                <w:sz w:val="10"/>
              </w:rPr>
              <w:t>0 </w:t>
            </w:r>
            <w:r>
              <w:rPr>
                <w:position w:val="1"/>
                <w:sz w:val="20"/>
              </w:rPr>
              <w:t>期或更轻分期的前列腺癌。</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before="72"/>
              <w:ind w:left="97"/>
              <w:rPr>
                <w:sz w:val="20"/>
              </w:rPr>
            </w:pPr>
            <w:r>
              <w:rPr>
                <w:sz w:val="20"/>
              </w:rPr>
              <w:t>上述原位癌是指恶性细胞局限于上皮内尚未穿破基底膜浸润周围正常组织的癌细胞新</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7"/>
              <w:rPr>
                <w:sz w:val="20"/>
              </w:rPr>
            </w:pPr>
            <w:r>
              <w:rPr>
                <w:sz w:val="20"/>
              </w:rPr>
              <w:t>生物。原位癌必须经对固定活组织的组织病理学检查明确诊断。被保险人必须已经接受</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7"/>
              <w:rPr>
                <w:sz w:val="20"/>
              </w:rPr>
            </w:pPr>
            <w:r>
              <w:rPr>
                <w:sz w:val="20"/>
              </w:rPr>
              <w:t>了针对原位癌病灶的积极治疗。</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before="72"/>
              <w:ind w:left="209"/>
              <w:rPr>
                <w:sz w:val="20"/>
              </w:rPr>
            </w:pPr>
            <w:r>
              <w:rPr>
                <w:sz w:val="20"/>
              </w:rPr>
              <w:t>2．较小面积 III 度</w:t>
            </w:r>
          </w:p>
        </w:tc>
        <w:tc>
          <w:tcPr>
            <w:tcW w:w="7774" w:type="dxa"/>
          </w:tcPr>
          <w:p>
            <w:pPr>
              <w:pStyle w:val="TableParagraph"/>
              <w:spacing w:before="72"/>
              <w:ind w:left="97"/>
              <w:rPr>
                <w:sz w:val="20"/>
              </w:rPr>
            </w:pPr>
            <w:r>
              <w:rPr>
                <w:sz w:val="20"/>
              </w:rPr>
              <w:t>指烧伤程度为Ⅲ度，且Ⅲ度烧伤的面积达到全身体表面积的 15％或 15%以上，但少于</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line="256" w:lineRule="exact"/>
              <w:ind w:left="209"/>
              <w:rPr>
                <w:sz w:val="20"/>
              </w:rPr>
            </w:pPr>
            <w:r>
              <w:rPr>
                <w:sz w:val="20"/>
              </w:rPr>
              <w:t>烧伤</w:t>
            </w:r>
          </w:p>
        </w:tc>
        <w:tc>
          <w:tcPr>
            <w:tcW w:w="7774" w:type="dxa"/>
          </w:tcPr>
          <w:p>
            <w:pPr>
              <w:pStyle w:val="TableParagraph"/>
              <w:spacing w:line="256" w:lineRule="exact"/>
              <w:ind w:left="97"/>
              <w:rPr>
                <w:sz w:val="20"/>
              </w:rPr>
            </w:pPr>
            <w:r>
              <w:rPr>
                <w:sz w:val="20"/>
              </w:rPr>
              <w:t>20%。体表面积根据《中国新九分法》计算。</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before="72"/>
              <w:ind w:left="208"/>
              <w:rPr>
                <w:sz w:val="20"/>
              </w:rPr>
            </w:pPr>
            <w:r>
              <w:rPr>
                <w:sz w:val="20"/>
              </w:rPr>
              <w:t>3．慢性肾功能不全</w:t>
            </w:r>
          </w:p>
        </w:tc>
        <w:tc>
          <w:tcPr>
            <w:tcW w:w="7774" w:type="dxa"/>
          </w:tcPr>
          <w:p>
            <w:pPr>
              <w:pStyle w:val="TableParagraph"/>
              <w:spacing w:before="72"/>
              <w:ind w:left="96"/>
              <w:rPr>
                <w:sz w:val="20"/>
              </w:rPr>
            </w:pPr>
            <w:r>
              <w:rPr>
                <w:sz w:val="20"/>
              </w:rPr>
              <w:t>指双肾慢性肾功能不全，虽未达到重大疾病“终末期肾病”的给付标准，但满足下列全</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部条件：</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（1）肌酐清除率(Ccr)低于 30ml/min，持续超过 90 天；</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（2）血肌酐(Scr)高于 400umol/l，持续超过 90 天。</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before="72"/>
              <w:ind w:left="208"/>
              <w:rPr>
                <w:sz w:val="20"/>
              </w:rPr>
            </w:pPr>
            <w:r>
              <w:rPr>
                <w:sz w:val="20"/>
              </w:rPr>
              <w:t>4．脑垂体瘤、脑囊</w:t>
            </w:r>
          </w:p>
        </w:tc>
        <w:tc>
          <w:tcPr>
            <w:tcW w:w="7774" w:type="dxa"/>
          </w:tcPr>
          <w:p>
            <w:pPr>
              <w:pStyle w:val="TableParagraph"/>
              <w:spacing w:before="72"/>
              <w:ind w:left="96"/>
              <w:rPr>
                <w:sz w:val="20"/>
              </w:rPr>
            </w:pPr>
            <w:r>
              <w:rPr>
                <w:sz w:val="20"/>
              </w:rPr>
              <w:t>指经头颅断层扫描（CT）、核磁共振（MRI）或其他影像学检查被确诊为下列病变，并</w:t>
            </w:r>
          </w:p>
        </w:tc>
      </w:tr>
      <w:tr>
        <w:trPr>
          <w:trHeight w:val="312" w:hRule="atLeast"/>
        </w:trPr>
        <w:tc>
          <w:tcPr>
            <w:tcW w:w="561" w:type="dxa"/>
          </w:tcPr>
          <w:p>
            <w:pPr>
              <w:pStyle w:val="TableParagraph"/>
              <w:rPr>
                <w:rFonts w:ascii="Times New Roman"/>
                <w:sz w:val="18"/>
              </w:rPr>
            </w:pPr>
          </w:p>
        </w:tc>
        <w:tc>
          <w:tcPr>
            <w:tcW w:w="2092" w:type="dxa"/>
          </w:tcPr>
          <w:p>
            <w:pPr>
              <w:pStyle w:val="TableParagraph"/>
              <w:spacing w:line="256" w:lineRule="exact"/>
              <w:ind w:left="208"/>
              <w:rPr>
                <w:sz w:val="20"/>
              </w:rPr>
            </w:pPr>
            <w:r>
              <w:rPr>
                <w:sz w:val="20"/>
              </w:rPr>
              <w:t>肿、脑动脉瘤及脑血</w:t>
            </w:r>
          </w:p>
        </w:tc>
        <w:tc>
          <w:tcPr>
            <w:tcW w:w="7774" w:type="dxa"/>
          </w:tcPr>
          <w:p>
            <w:pPr>
              <w:pStyle w:val="TableParagraph"/>
              <w:spacing w:line="256" w:lineRule="exact"/>
              <w:ind w:left="96"/>
              <w:rPr>
                <w:sz w:val="20"/>
              </w:rPr>
            </w:pPr>
            <w:r>
              <w:rPr>
                <w:sz w:val="20"/>
              </w:rPr>
              <w:t>实际接受了手术或放射治疗。</w:t>
            </w:r>
          </w:p>
        </w:tc>
      </w:tr>
      <w:tr>
        <w:trPr>
          <w:trHeight w:val="312" w:hRule="atLeast"/>
        </w:trPr>
        <w:tc>
          <w:tcPr>
            <w:tcW w:w="561" w:type="dxa"/>
          </w:tcPr>
          <w:p>
            <w:pPr>
              <w:pStyle w:val="TableParagraph"/>
              <w:rPr>
                <w:rFonts w:ascii="Times New Roman"/>
                <w:sz w:val="18"/>
              </w:rPr>
            </w:pPr>
          </w:p>
        </w:tc>
        <w:tc>
          <w:tcPr>
            <w:tcW w:w="2092" w:type="dxa"/>
          </w:tcPr>
          <w:p>
            <w:pPr>
              <w:pStyle w:val="TableParagraph"/>
              <w:spacing w:line="256" w:lineRule="exact"/>
              <w:ind w:left="208"/>
              <w:rPr>
                <w:sz w:val="20"/>
              </w:rPr>
            </w:pPr>
            <w:r>
              <w:rPr>
                <w:sz w:val="20"/>
              </w:rPr>
              <w:t>管瘤</w:t>
            </w:r>
          </w:p>
        </w:tc>
        <w:tc>
          <w:tcPr>
            <w:tcW w:w="7774" w:type="dxa"/>
          </w:tcPr>
          <w:p>
            <w:pPr>
              <w:pStyle w:val="TableParagraph"/>
              <w:spacing w:line="256" w:lineRule="exact"/>
              <w:ind w:left="96"/>
              <w:rPr>
                <w:sz w:val="20"/>
              </w:rPr>
            </w:pPr>
            <w:r>
              <w:rPr>
                <w:sz w:val="20"/>
              </w:rPr>
              <w:t>（1）脑垂体瘤；</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（2）脑囊肿；</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（3）脑动脉瘤、脑血管瘤。</w:t>
            </w:r>
          </w:p>
        </w:tc>
      </w:tr>
      <w:tr>
        <w:trPr>
          <w:trHeight w:val="389" w:hRule="atLeast"/>
        </w:trPr>
        <w:tc>
          <w:tcPr>
            <w:tcW w:w="561" w:type="dxa"/>
          </w:tcPr>
          <w:p>
            <w:pPr>
              <w:pStyle w:val="TableParagraph"/>
              <w:rPr>
                <w:rFonts w:ascii="Times New Roman"/>
                <w:sz w:val="18"/>
              </w:rPr>
            </w:pPr>
          </w:p>
        </w:tc>
        <w:tc>
          <w:tcPr>
            <w:tcW w:w="2092" w:type="dxa"/>
          </w:tcPr>
          <w:p>
            <w:pPr>
              <w:pStyle w:val="TableParagraph"/>
              <w:spacing w:before="72"/>
              <w:ind w:left="208"/>
              <w:rPr>
                <w:sz w:val="20"/>
              </w:rPr>
            </w:pPr>
            <w:r>
              <w:rPr>
                <w:sz w:val="20"/>
              </w:rPr>
              <w:t>5．视力严重受损</w:t>
            </w:r>
          </w:p>
        </w:tc>
        <w:tc>
          <w:tcPr>
            <w:tcW w:w="7774" w:type="dxa"/>
          </w:tcPr>
          <w:p>
            <w:pPr>
              <w:pStyle w:val="TableParagraph"/>
              <w:spacing w:before="72"/>
              <w:ind w:left="96"/>
              <w:rPr>
                <w:sz w:val="20"/>
              </w:rPr>
            </w:pPr>
            <w:r>
              <w:rPr>
                <w:spacing w:val="-8"/>
                <w:sz w:val="20"/>
              </w:rPr>
              <w:t>指因疾病或意外伤害导致双目视力永久不可逆性丧失，虽然未达到重大疾病“双目失明”</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的给付标准，但满足下列全部条件：</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（1）双眼中较好眼矫正视力低于 0.1（采用国际标准视力表，如果使用其他视力表应</w:t>
            </w:r>
          </w:p>
        </w:tc>
      </w:tr>
      <w:tr>
        <w:trPr>
          <w:trHeight w:val="312"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进行换算）；</w:t>
            </w:r>
          </w:p>
        </w:tc>
      </w:tr>
      <w:tr>
        <w:trPr>
          <w:trHeight w:val="389"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56" w:lineRule="exact"/>
              <w:ind w:left="96"/>
              <w:rPr>
                <w:sz w:val="20"/>
              </w:rPr>
            </w:pPr>
            <w:r>
              <w:rPr>
                <w:sz w:val="20"/>
              </w:rPr>
              <w:t>（2）视野半径小于 20 度。</w:t>
            </w:r>
          </w:p>
        </w:tc>
      </w:tr>
      <w:tr>
        <w:trPr>
          <w:trHeight w:val="467"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before="72"/>
              <w:ind w:left="96"/>
              <w:rPr>
                <w:b/>
                <w:sz w:val="20"/>
              </w:rPr>
            </w:pPr>
            <w:r>
              <w:rPr>
                <w:b/>
                <w:w w:val="95"/>
                <w:sz w:val="20"/>
              </w:rPr>
              <w:t>白内障导致的视力受损不在保障范围内。</w:t>
            </w:r>
          </w:p>
        </w:tc>
      </w:tr>
      <w:tr>
        <w:trPr>
          <w:trHeight w:val="334" w:hRule="atLeast"/>
        </w:trPr>
        <w:tc>
          <w:tcPr>
            <w:tcW w:w="561" w:type="dxa"/>
          </w:tcPr>
          <w:p>
            <w:pPr>
              <w:pStyle w:val="TableParagraph"/>
              <w:rPr>
                <w:rFonts w:ascii="Times New Roman"/>
                <w:sz w:val="18"/>
              </w:rPr>
            </w:pPr>
          </w:p>
        </w:tc>
        <w:tc>
          <w:tcPr>
            <w:tcW w:w="2092" w:type="dxa"/>
          </w:tcPr>
          <w:p>
            <w:pPr>
              <w:pStyle w:val="TableParagraph"/>
              <w:rPr>
                <w:rFonts w:ascii="Times New Roman"/>
                <w:sz w:val="18"/>
              </w:rPr>
            </w:pPr>
          </w:p>
        </w:tc>
        <w:tc>
          <w:tcPr>
            <w:tcW w:w="7774" w:type="dxa"/>
          </w:tcPr>
          <w:p>
            <w:pPr>
              <w:pStyle w:val="TableParagraph"/>
              <w:spacing w:line="242" w:lineRule="exact" w:before="72"/>
              <w:ind w:left="96"/>
              <w:rPr>
                <w:sz w:val="20"/>
              </w:rPr>
            </w:pPr>
            <w:r>
              <w:rPr>
                <w:sz w:val="20"/>
              </w:rPr>
              <w:t>申请理赔时，被保险人年龄必须在 3 周岁以上，并且须提供理赔当时的视力严重受损</w:t>
            </w:r>
          </w:p>
        </w:tc>
      </w:tr>
    </w:tbl>
    <w:p>
      <w:pPr>
        <w:spacing w:after="0" w:line="242" w:lineRule="exact"/>
        <w:rPr>
          <w:sz w:val="20"/>
        </w:rPr>
        <w:sectPr>
          <w:pgSz w:w="11910" w:h="16840"/>
          <w:pgMar w:header="0" w:footer="834" w:top="1440" w:bottom="1020" w:left="740" w:right="520"/>
        </w:sectPr>
      </w:pPr>
    </w:p>
    <w:p>
      <w:pPr>
        <w:pStyle w:val="BodyText"/>
        <w:spacing w:before="14"/>
        <w:ind w:left="2811"/>
      </w:pPr>
      <w:r>
        <w:rPr/>
        <w:t>诊断及检查证据。</w:t>
      </w:r>
    </w:p>
    <w:p>
      <w:pPr>
        <w:pStyle w:val="BodyText"/>
        <w:spacing w:before="10"/>
        <w:rPr>
          <w:sz w:val="12"/>
        </w:rPr>
      </w:pPr>
    </w:p>
    <w:p>
      <w:pPr>
        <w:spacing w:after="0"/>
        <w:rPr>
          <w:sz w:val="12"/>
        </w:rPr>
        <w:sectPr>
          <w:pgSz w:w="11910" w:h="16840"/>
          <w:pgMar w:header="0" w:footer="834" w:top="1420" w:bottom="1100" w:left="780" w:right="580"/>
        </w:sectPr>
      </w:pPr>
    </w:p>
    <w:p>
      <w:pPr>
        <w:pStyle w:val="Heading1"/>
        <w:tabs>
          <w:tab w:pos="831" w:val="left" w:leader="none"/>
        </w:tabs>
        <w:spacing w:line="285" w:lineRule="auto" w:before="39"/>
        <w:ind w:left="831" w:hanging="720"/>
      </w:pPr>
      <w:r>
        <w:rPr/>
        <w:t>2.9</w:t>
        <w:tab/>
      </w:r>
      <w:r>
        <w:rPr>
          <w:spacing w:val="20"/>
        </w:rPr>
        <w:t>十八周岁后轻症重 </w:t>
      </w:r>
      <w:r>
        <w:rPr>
          <w:w w:val="95"/>
        </w:rPr>
        <w:t>疾的定义</w:t>
      </w:r>
    </w:p>
    <w:p>
      <w:pPr>
        <w:pStyle w:val="BodyText"/>
        <w:spacing w:line="278" w:lineRule="auto"/>
        <w:ind w:left="111" w:right="258"/>
      </w:pPr>
      <w:r>
        <w:rPr/>
        <w:br w:type="column"/>
      </w:r>
      <w:r>
        <w:rPr/>
        <w:t>若被保险人在年满十八周岁后的首个保单周年日后（含当日）患有符合以下定义所述条件并由相应的专科医生明确诊断的十二种轻症重疾之一，我们按照本附加合同 </w:t>
      </w:r>
      <w:r>
        <w:rPr>
          <w:rFonts w:ascii="Times New Roman" w:eastAsia="Times New Roman"/>
        </w:rPr>
        <w:t>2.2 </w:t>
      </w:r>
      <w:r>
        <w:rPr/>
        <w:t>条的约定给付保险金。</w:t>
      </w:r>
    </w:p>
    <w:p>
      <w:pPr>
        <w:spacing w:after="0" w:line="278" w:lineRule="auto"/>
        <w:sectPr>
          <w:type w:val="continuous"/>
          <w:pgSz w:w="11910" w:h="16840"/>
          <w:pgMar w:top="120" w:bottom="1020" w:left="780" w:right="580"/>
          <w:cols w:num="2" w:equalWidth="0">
            <w:col w:w="2618" w:space="154"/>
            <w:col w:w="7778"/>
          </w:cols>
        </w:sectPr>
      </w:pPr>
    </w:p>
    <w:p>
      <w:pPr>
        <w:pStyle w:val="BodyText"/>
        <w:spacing w:before="4"/>
        <w:rPr>
          <w:sz w:val="10"/>
        </w:rPr>
      </w:pPr>
    </w:p>
    <w:p>
      <w:pPr>
        <w:spacing w:after="0"/>
        <w:rPr>
          <w:sz w:val="10"/>
        </w:rPr>
        <w:sectPr>
          <w:type w:val="continuous"/>
          <w:pgSz w:w="11910" w:h="16840"/>
          <w:pgMar w:top="120" w:bottom="1020" w:left="780" w:right="580"/>
        </w:sectPr>
      </w:pPr>
    </w:p>
    <w:p>
      <w:pPr>
        <w:pStyle w:val="BodyText"/>
        <w:spacing w:line="285" w:lineRule="auto"/>
        <w:ind w:left="831"/>
      </w:pPr>
      <w:r>
        <w:rPr/>
        <w:t>1．极早期的恶性肿瘤或恶性病变</w:t>
      </w:r>
    </w:p>
    <w:p>
      <w:pPr>
        <w:pStyle w:val="BodyText"/>
        <w:ind w:left="167"/>
        <w:jc w:val="both"/>
      </w:pPr>
      <w:r>
        <w:rPr/>
        <w:br w:type="column"/>
      </w:r>
      <w:r>
        <w:rPr/>
        <w:t>指经组织病理学检查被明确诊断为下列恶性病变，并且接受了相应的治疗。</w:t>
      </w:r>
    </w:p>
    <w:p>
      <w:pPr>
        <w:pStyle w:val="BodyText"/>
        <w:spacing w:before="49"/>
        <w:ind w:left="167"/>
        <w:jc w:val="both"/>
      </w:pPr>
      <w:r>
        <w:rPr/>
        <w:t>（1）原位癌；</w:t>
      </w:r>
    </w:p>
    <w:p>
      <w:pPr>
        <w:pStyle w:val="BodyText"/>
        <w:spacing w:before="49"/>
        <w:ind w:left="167"/>
        <w:jc w:val="both"/>
      </w:pPr>
      <w:r>
        <w:rPr/>
        <w:t>（2）相当于 Binet 分期方案 A 期程度的慢性淋巴细胞白血病；</w:t>
      </w:r>
    </w:p>
    <w:p>
      <w:pPr>
        <w:pStyle w:val="BodyText"/>
        <w:spacing w:before="49"/>
        <w:ind w:left="167"/>
        <w:jc w:val="both"/>
      </w:pPr>
      <w:r>
        <w:rPr/>
        <w:t>（3）相当于 Ann Arbor 分期方案 I 期程度的何杰金氏病；</w:t>
      </w:r>
    </w:p>
    <w:p>
      <w:pPr>
        <w:pStyle w:val="BodyText"/>
        <w:spacing w:before="49"/>
        <w:ind w:left="167"/>
        <w:jc w:val="both"/>
      </w:pPr>
      <w:r>
        <w:rPr/>
        <w:t>（4）皮肤癌（不包括恶性黑色素瘤及已发生转移的皮肤癌）；</w:t>
      </w:r>
    </w:p>
    <w:p>
      <w:pPr>
        <w:pStyle w:val="ListParagraph"/>
        <w:numPr>
          <w:ilvl w:val="0"/>
          <w:numId w:val="12"/>
        </w:numPr>
        <w:tabs>
          <w:tab w:pos="670" w:val="left" w:leader="none"/>
        </w:tabs>
        <w:spacing w:line="240" w:lineRule="auto" w:before="49" w:after="0"/>
        <w:ind w:left="669" w:right="0" w:hanging="502"/>
        <w:jc w:val="both"/>
        <w:rPr>
          <w:sz w:val="20"/>
        </w:rPr>
      </w:pPr>
      <w:r>
        <w:rPr>
          <w:position w:val="1"/>
          <w:sz w:val="20"/>
        </w:rPr>
        <w:t>TNM</w:t>
      </w:r>
      <w:r>
        <w:rPr>
          <w:spacing w:val="-23"/>
          <w:position w:val="1"/>
          <w:sz w:val="20"/>
        </w:rPr>
        <w:t> 分期为 </w:t>
      </w:r>
      <w:r>
        <w:rPr>
          <w:position w:val="1"/>
          <w:sz w:val="20"/>
        </w:rPr>
        <w:t>T</w:t>
      </w:r>
      <w:r>
        <w:rPr>
          <w:sz w:val="10"/>
        </w:rPr>
        <w:t>1</w:t>
      </w:r>
      <w:r>
        <w:rPr>
          <w:position w:val="1"/>
          <w:sz w:val="20"/>
        </w:rPr>
        <w:t>N</w:t>
      </w:r>
      <w:r>
        <w:rPr>
          <w:sz w:val="10"/>
        </w:rPr>
        <w:t>0</w:t>
      </w:r>
      <w:r>
        <w:rPr>
          <w:position w:val="1"/>
          <w:sz w:val="20"/>
        </w:rPr>
        <w:t>M</w:t>
      </w:r>
      <w:r>
        <w:rPr>
          <w:sz w:val="10"/>
        </w:rPr>
        <w:t>0</w:t>
      </w:r>
      <w:r>
        <w:rPr>
          <w:spacing w:val="-39"/>
          <w:sz w:val="10"/>
        </w:rPr>
        <w:t> </w:t>
      </w:r>
      <w:r>
        <w:rPr>
          <w:position w:val="1"/>
          <w:sz w:val="20"/>
        </w:rPr>
        <w:t>期或更轻分期的前列腺癌。</w:t>
      </w:r>
    </w:p>
    <w:p>
      <w:pPr>
        <w:pStyle w:val="BodyText"/>
        <w:spacing w:before="10"/>
        <w:rPr>
          <w:sz w:val="15"/>
        </w:rPr>
      </w:pPr>
    </w:p>
    <w:p>
      <w:pPr>
        <w:pStyle w:val="BodyText"/>
        <w:spacing w:line="285" w:lineRule="auto" w:before="0"/>
        <w:ind w:left="167" w:right="206"/>
        <w:jc w:val="both"/>
      </w:pPr>
      <w:r>
        <w:rPr/>
        <w:t>上述原位癌是指恶性细胞局限于上皮内尚未穿破基底膜浸润周围正常组织的癌细胞新</w:t>
      </w:r>
      <w:r>
        <w:rPr>
          <w:spacing w:val="-9"/>
        </w:rPr>
        <w:t>生物。原位癌必须经对固定活组织的组织病理学检查明确诊断。被保险人必须已经接受</w:t>
      </w:r>
      <w:r>
        <w:rPr>
          <w:spacing w:val="-1"/>
        </w:rPr>
        <w:t>了针对原位癌病灶的积极治疗。</w:t>
      </w:r>
    </w:p>
    <w:p>
      <w:pPr>
        <w:spacing w:after="0" w:line="285" w:lineRule="auto"/>
        <w:jc w:val="both"/>
        <w:sectPr>
          <w:type w:val="continuous"/>
          <w:pgSz w:w="11910" w:h="16840"/>
          <w:pgMar w:top="120" w:bottom="1020" w:left="780" w:right="580"/>
          <w:cols w:num="2" w:equalWidth="0">
            <w:col w:w="2605" w:space="40"/>
            <w:col w:w="7905"/>
          </w:cols>
        </w:sectPr>
      </w:pPr>
    </w:p>
    <w:p>
      <w:pPr>
        <w:pStyle w:val="BodyText"/>
        <w:spacing w:before="11"/>
        <w:rPr>
          <w:sz w:val="9"/>
        </w:rPr>
      </w:pPr>
    </w:p>
    <w:p>
      <w:pPr>
        <w:spacing w:after="0"/>
        <w:rPr>
          <w:sz w:val="9"/>
        </w:rPr>
        <w:sectPr>
          <w:type w:val="continuous"/>
          <w:pgSz w:w="11910" w:h="16840"/>
          <w:pgMar w:top="120" w:bottom="1020" w:left="780" w:right="580"/>
        </w:sectPr>
      </w:pPr>
    </w:p>
    <w:p>
      <w:pPr>
        <w:pStyle w:val="BodyText"/>
        <w:spacing w:line="285" w:lineRule="auto"/>
        <w:ind w:left="831"/>
      </w:pPr>
      <w:r>
        <w:rPr/>
        <w:t>2．</w:t>
      </w:r>
      <w:r>
        <w:rPr>
          <w:spacing w:val="-4"/>
        </w:rPr>
        <w:t>较小面积 </w:t>
      </w:r>
      <w:r>
        <w:rPr/>
        <w:t>III</w:t>
      </w:r>
      <w:r>
        <w:rPr>
          <w:spacing w:val="-9"/>
        </w:rPr>
        <w:t> 度烧伤</w:t>
      </w:r>
    </w:p>
    <w:p>
      <w:pPr>
        <w:pStyle w:val="BodyText"/>
        <w:ind w:left="174"/>
      </w:pPr>
      <w:r>
        <w:rPr/>
        <w:br w:type="column"/>
      </w:r>
      <w:r>
        <w:rPr/>
        <w:t>指烧伤程度为Ⅲ度，且Ⅲ度烧伤的面积达到全身体表面积的 15％或 15%以上，但少于</w:t>
      </w:r>
    </w:p>
    <w:p>
      <w:pPr>
        <w:pStyle w:val="BodyText"/>
        <w:spacing w:before="50"/>
        <w:ind w:left="174"/>
      </w:pPr>
      <w:r>
        <w:rPr/>
        <w:t>20%。体表面积根据《中国新九分法》计算。</w:t>
      </w:r>
    </w:p>
    <w:p>
      <w:pPr>
        <w:spacing w:after="0"/>
        <w:sectPr>
          <w:type w:val="continuous"/>
          <w:pgSz w:w="11910" w:h="16840"/>
          <w:pgMar w:top="120" w:bottom="1020" w:left="780" w:right="580"/>
          <w:cols w:num="2" w:equalWidth="0">
            <w:col w:w="2597" w:space="40"/>
            <w:col w:w="7913"/>
          </w:cols>
        </w:sectPr>
      </w:pPr>
    </w:p>
    <w:p>
      <w:pPr>
        <w:pStyle w:val="BodyText"/>
        <w:spacing w:before="11"/>
        <w:rPr>
          <w:sz w:val="9"/>
        </w:rPr>
      </w:pPr>
    </w:p>
    <w:p>
      <w:pPr>
        <w:pStyle w:val="BodyText"/>
        <w:tabs>
          <w:tab w:pos="2810" w:val="left" w:leader="none"/>
        </w:tabs>
        <w:spacing w:line="285" w:lineRule="auto"/>
        <w:ind w:left="2811" w:right="206" w:hanging="1980"/>
      </w:pPr>
      <w:r>
        <w:rPr/>
        <w:t>3．慢性肾功能不全</w:t>
        <w:tab/>
      </w:r>
      <w:r>
        <w:rPr>
          <w:spacing w:val="-1"/>
        </w:rPr>
        <w:t>指双肾慢性肾功能不全</w:t>
      </w:r>
      <w:r>
        <w:rPr>
          <w:spacing w:val="-20"/>
        </w:rPr>
        <w:t>，</w:t>
      </w:r>
      <w:r>
        <w:rPr>
          <w:spacing w:val="-1"/>
        </w:rPr>
        <w:t>虽未达到重大疾</w:t>
      </w:r>
      <w:r>
        <w:rPr>
          <w:spacing w:val="-20"/>
        </w:rPr>
        <w:t>病</w:t>
      </w:r>
      <w:r>
        <w:rPr>
          <w:spacing w:val="-1"/>
        </w:rPr>
        <w:t>“终末期肾病</w:t>
      </w:r>
      <w:r>
        <w:rPr>
          <w:spacing w:val="-20"/>
        </w:rPr>
        <w:t>”</w:t>
      </w:r>
      <w:r>
        <w:rPr>
          <w:spacing w:val="-1"/>
        </w:rPr>
        <w:t>的</w:t>
      </w:r>
      <w:r>
        <w:rPr/>
        <w:t>给付标准</w:t>
      </w:r>
      <w:r>
        <w:rPr>
          <w:spacing w:val="-20"/>
        </w:rPr>
        <w:t>，</w:t>
      </w:r>
      <w:r>
        <w:rPr/>
        <w:t>但满足下列全 部条件：</w:t>
      </w:r>
    </w:p>
    <w:p>
      <w:pPr>
        <w:pStyle w:val="BodyText"/>
        <w:spacing w:before="12"/>
        <w:ind w:left="2811"/>
      </w:pPr>
      <w:r>
        <w:rPr/>
        <w:t>（1）肌酐清除率(Ccr)低于 30ml/min，持续超过 90 天；</w:t>
      </w:r>
    </w:p>
    <w:p>
      <w:pPr>
        <w:pStyle w:val="BodyText"/>
        <w:spacing w:before="50"/>
        <w:ind w:left="2811"/>
      </w:pPr>
      <w:r>
        <w:rPr/>
        <w:t>（2）血肌酐(Scr)高于 400umol/l，持续超过 90 天。</w:t>
      </w:r>
    </w:p>
    <w:p>
      <w:pPr>
        <w:pStyle w:val="BodyText"/>
        <w:spacing w:before="10"/>
        <w:rPr>
          <w:sz w:val="12"/>
        </w:rPr>
      </w:pPr>
    </w:p>
    <w:p>
      <w:pPr>
        <w:spacing w:after="0"/>
        <w:rPr>
          <w:sz w:val="12"/>
        </w:rPr>
        <w:sectPr>
          <w:type w:val="continuous"/>
          <w:pgSz w:w="11910" w:h="16840"/>
          <w:pgMar w:top="120" w:bottom="1020" w:left="780" w:right="580"/>
        </w:sectPr>
      </w:pPr>
    </w:p>
    <w:p>
      <w:pPr>
        <w:pStyle w:val="BodyText"/>
        <w:spacing w:line="285" w:lineRule="auto"/>
        <w:ind w:left="831"/>
        <w:jc w:val="both"/>
      </w:pPr>
      <w:r>
        <w:rPr>
          <w:spacing w:val="5"/>
        </w:rPr>
        <w:t>4．脑垂体瘤、脑囊</w:t>
      </w:r>
      <w:r>
        <w:rPr>
          <w:spacing w:val="-6"/>
        </w:rPr>
        <w:t>肿、脑动脉瘤及脑血管瘤</w:t>
      </w:r>
    </w:p>
    <w:p>
      <w:pPr>
        <w:pStyle w:val="BodyText"/>
        <w:spacing w:line="285" w:lineRule="auto"/>
        <w:ind w:left="167" w:right="206"/>
      </w:pPr>
      <w:r>
        <w:rPr/>
        <w:br w:type="column"/>
      </w:r>
      <w:r>
        <w:rPr/>
        <w:t>指经头颅断层扫描（CT）、核磁共振（MRI）或其他影像学检查被确诊为下列病变，并实际接受了手术或放射治疗。</w:t>
      </w:r>
    </w:p>
    <w:p>
      <w:pPr>
        <w:pStyle w:val="BodyText"/>
        <w:spacing w:before="12"/>
        <w:ind w:left="167"/>
      </w:pPr>
      <w:r>
        <w:rPr/>
        <w:t>（1）脑垂体瘤；</w:t>
      </w:r>
    </w:p>
    <w:p>
      <w:pPr>
        <w:pStyle w:val="BodyText"/>
        <w:spacing w:before="50"/>
        <w:ind w:left="167"/>
      </w:pPr>
      <w:r>
        <w:rPr/>
        <w:t>（2）脑囊肿；</w:t>
      </w:r>
    </w:p>
    <w:p>
      <w:pPr>
        <w:pStyle w:val="BodyText"/>
        <w:spacing w:before="50"/>
        <w:ind w:left="167"/>
      </w:pPr>
      <w:r>
        <w:rPr/>
        <w:t>（3）脑动脉瘤、脑血管瘤。</w:t>
      </w:r>
    </w:p>
    <w:p>
      <w:pPr>
        <w:spacing w:after="0"/>
        <w:sectPr>
          <w:type w:val="continuous"/>
          <w:pgSz w:w="11910" w:h="16840"/>
          <w:pgMar w:top="120" w:bottom="1020" w:left="780" w:right="580"/>
          <w:cols w:num="2" w:equalWidth="0">
            <w:col w:w="2605" w:space="40"/>
            <w:col w:w="7905"/>
          </w:cols>
        </w:sectPr>
      </w:pPr>
    </w:p>
    <w:p>
      <w:pPr>
        <w:pStyle w:val="BodyText"/>
        <w:spacing w:before="10"/>
        <w:rPr>
          <w:sz w:val="12"/>
        </w:rPr>
      </w:pPr>
    </w:p>
    <w:p>
      <w:pPr>
        <w:pStyle w:val="BodyText"/>
        <w:tabs>
          <w:tab w:pos="2810" w:val="left" w:leader="none"/>
        </w:tabs>
        <w:spacing w:line="285" w:lineRule="auto"/>
        <w:ind w:left="2811" w:right="104" w:hanging="1980"/>
      </w:pPr>
      <w:r>
        <w:rPr/>
        <w:t>5．视力严重受损</w:t>
        <w:tab/>
      </w:r>
      <w:r>
        <w:rPr>
          <w:spacing w:val="-1"/>
        </w:rPr>
        <w:t>指因疾病或意外伤害导致双目视力永久不可逆</w:t>
      </w:r>
      <w:r>
        <w:rPr/>
        <w:t>性丧失</w:t>
      </w:r>
      <w:r>
        <w:rPr>
          <w:spacing w:val="-89"/>
        </w:rPr>
        <w:t>，</w:t>
      </w:r>
      <w:r>
        <w:rPr/>
        <w:t>虽然未达到重大疾</w:t>
      </w:r>
      <w:r>
        <w:rPr>
          <w:spacing w:val="-89"/>
        </w:rPr>
        <w:t>病</w:t>
      </w:r>
      <w:r>
        <w:rPr/>
        <w:t>“双目失明” </w:t>
      </w:r>
      <w:r>
        <w:rPr>
          <w:spacing w:val="-1"/>
        </w:rPr>
        <w:t>的给付标准，但满</w:t>
      </w:r>
      <w:r>
        <w:rPr/>
        <w:t>足下列全部条件：</w:t>
      </w:r>
    </w:p>
    <w:p>
      <w:pPr>
        <w:pStyle w:val="BodyText"/>
        <w:spacing w:line="285" w:lineRule="auto" w:before="12"/>
        <w:ind w:left="2811" w:right="206"/>
      </w:pPr>
      <w:r>
        <w:rPr/>
        <w:t>（1）双眼中较好眼矫正视力低于 0.1（采用国际标准视力表，如果使用其他视力表应进行换算）；</w:t>
      </w:r>
    </w:p>
    <w:p>
      <w:pPr>
        <w:pStyle w:val="BodyText"/>
        <w:spacing w:before="12"/>
        <w:ind w:left="2811"/>
      </w:pPr>
      <w:r>
        <w:rPr/>
        <w:t>（2）视野半径小于 20 度。</w:t>
      </w:r>
    </w:p>
    <w:p>
      <w:pPr>
        <w:pStyle w:val="BodyText"/>
        <w:spacing w:before="9"/>
        <w:rPr>
          <w:sz w:val="15"/>
        </w:rPr>
      </w:pPr>
    </w:p>
    <w:p>
      <w:pPr>
        <w:pStyle w:val="Heading1"/>
        <w:spacing w:before="1"/>
        <w:ind w:left="2811"/>
      </w:pPr>
      <w:r>
        <w:rPr>
          <w:w w:val="95"/>
        </w:rPr>
        <w:t>白内障导致的视力受损不在保障范围内。</w:t>
      </w:r>
    </w:p>
    <w:p>
      <w:pPr>
        <w:pStyle w:val="BodyText"/>
        <w:spacing w:before="10"/>
        <w:rPr>
          <w:b/>
          <w:sz w:val="15"/>
        </w:rPr>
      </w:pPr>
    </w:p>
    <w:p>
      <w:pPr>
        <w:pStyle w:val="BodyText"/>
        <w:spacing w:line="285" w:lineRule="auto" w:before="0"/>
        <w:ind w:left="2811" w:right="206"/>
      </w:pPr>
      <w:r>
        <w:rPr/>
        <w:t>申请理赔时，被保险人年龄必须在 3 周岁以上，并且须提供理赔当时的视力严重受损诊断及检查证据。</w:t>
      </w:r>
    </w:p>
    <w:p>
      <w:pPr>
        <w:pStyle w:val="BodyText"/>
        <w:spacing w:before="11"/>
        <w:rPr>
          <w:sz w:val="9"/>
        </w:rPr>
      </w:pPr>
    </w:p>
    <w:p>
      <w:pPr>
        <w:spacing w:after="0"/>
        <w:rPr>
          <w:sz w:val="9"/>
        </w:rPr>
        <w:sectPr>
          <w:type w:val="continuous"/>
          <w:pgSz w:w="11910" w:h="16840"/>
          <w:pgMar w:top="120" w:bottom="1020" w:left="780" w:right="580"/>
        </w:sectPr>
      </w:pPr>
    </w:p>
    <w:p>
      <w:pPr>
        <w:pStyle w:val="BodyText"/>
        <w:spacing w:line="285" w:lineRule="auto"/>
        <w:ind w:left="831"/>
      </w:pPr>
      <w:r>
        <w:rPr/>
        <w:t>6．慢性肝功能衰竭失代偿期</w:t>
      </w:r>
    </w:p>
    <w:p>
      <w:pPr>
        <w:pStyle w:val="BodyText"/>
        <w:spacing w:line="285" w:lineRule="auto"/>
        <w:ind w:left="167" w:right="131"/>
      </w:pPr>
      <w:r>
        <w:rPr/>
        <w:br w:type="column"/>
      </w:r>
      <w:r>
        <w:rPr/>
        <w:t>指因慢性肝脏疾病导致肝功能衰竭失代偿期，虽未达到重大疾病保险金的给付标准，但满足下列任意三个条件：</w:t>
      </w:r>
    </w:p>
    <w:p>
      <w:pPr>
        <w:pStyle w:val="BodyText"/>
        <w:spacing w:before="12"/>
        <w:ind w:left="167"/>
      </w:pPr>
      <w:r>
        <w:rPr/>
        <w:t>（1）持续性黄疸；</w:t>
      </w:r>
    </w:p>
    <w:p>
      <w:pPr>
        <w:pStyle w:val="BodyText"/>
        <w:spacing w:before="50"/>
        <w:ind w:left="167"/>
      </w:pPr>
      <w:r>
        <w:rPr/>
        <w:t>（2）腹水；</w:t>
      </w:r>
    </w:p>
    <w:p>
      <w:pPr>
        <w:pStyle w:val="BodyText"/>
        <w:spacing w:before="50"/>
        <w:ind w:left="167"/>
      </w:pPr>
      <w:r>
        <w:rPr/>
        <w:t>（3）肝性脑病；</w:t>
      </w:r>
    </w:p>
    <w:p>
      <w:pPr>
        <w:pStyle w:val="BodyText"/>
        <w:spacing w:before="50"/>
        <w:ind w:left="167"/>
      </w:pPr>
      <w:r>
        <w:rPr/>
        <w:t>（4）充血性脾肿大伴脾功能亢进或食管胃底静脉曲张。</w:t>
      </w:r>
    </w:p>
    <w:p>
      <w:pPr>
        <w:spacing w:after="0"/>
        <w:sectPr>
          <w:type w:val="continuous"/>
          <w:pgSz w:w="11910" w:h="16840"/>
          <w:pgMar w:top="120" w:bottom="1020" w:left="780" w:right="580"/>
          <w:cols w:num="2" w:equalWidth="0">
            <w:col w:w="2605" w:space="40"/>
            <w:col w:w="7905"/>
          </w:cols>
        </w:sectPr>
      </w:pPr>
    </w:p>
    <w:p>
      <w:pPr>
        <w:pStyle w:val="Heading1"/>
        <w:spacing w:before="14"/>
      </w:pPr>
      <w:r>
        <w:rPr>
          <w:w w:val="95"/>
        </w:rPr>
        <w:t>因酗酒或药物滥用导致的肝功能衰竭不在保障范围内。</w:t>
      </w:r>
    </w:p>
    <w:p>
      <w:pPr>
        <w:pStyle w:val="BodyText"/>
        <w:spacing w:before="9"/>
        <w:rPr>
          <w:b/>
          <w:sz w:val="15"/>
        </w:rPr>
      </w:pPr>
    </w:p>
    <w:p>
      <w:pPr>
        <w:pStyle w:val="BodyText"/>
        <w:spacing w:line="285" w:lineRule="auto" w:before="0"/>
        <w:ind w:left="2911" w:right="206" w:hanging="1980"/>
        <w:jc w:val="both"/>
      </w:pPr>
      <w:r>
        <w:rPr/>
        <w:t>7．</w:t>
      </w:r>
      <w:r>
        <w:rPr>
          <w:spacing w:val="-2"/>
        </w:rPr>
        <w:t>轻微脑中风     指实际发生了脑血管的突发病变出现神经系统功能障碍表现，头颅断层扫描</w:t>
      </w:r>
      <w:r>
        <w:rPr>
          <w:spacing w:val="-6"/>
        </w:rPr>
        <w:t>（CT）</w:t>
      </w:r>
      <w:r>
        <w:rPr>
          <w:spacing w:val="-10"/>
        </w:rPr>
        <w:t>、核磁共振（MRI）等影像学检查证实存在对应病灶，确诊为脑出血、脑栓塞或脑梗塞，在</w:t>
      </w:r>
      <w:r>
        <w:rPr>
          <w:spacing w:val="-4"/>
        </w:rPr>
        <w:t>确诊 </w:t>
      </w:r>
      <w:r>
        <w:rPr/>
        <w:t>180 天后未遗留神经系统功能障碍或后遗的神经系统功能障碍程度未达到重大疾</w:t>
      </w:r>
      <w:r>
        <w:rPr>
          <w:spacing w:val="-1"/>
        </w:rPr>
        <w:t>病“脑中风后遗症”的给付标准。</w:t>
      </w:r>
    </w:p>
    <w:p>
      <w:pPr>
        <w:pStyle w:val="Heading1"/>
        <w:spacing w:before="167"/>
      </w:pPr>
      <w:r>
        <w:rPr/>
        <w:t>短暂性脑缺血发作(TIA) 和腔隙性脑梗塞不在保障范围内。</w:t>
      </w:r>
    </w:p>
    <w:p>
      <w:pPr>
        <w:pStyle w:val="BodyText"/>
        <w:spacing w:before="9"/>
        <w:rPr>
          <w:b/>
          <w:sz w:val="12"/>
        </w:rPr>
      </w:pPr>
    </w:p>
    <w:p>
      <w:pPr>
        <w:spacing w:after="0"/>
        <w:rPr>
          <w:sz w:val="12"/>
        </w:rPr>
        <w:sectPr>
          <w:pgSz w:w="11910" w:h="16840"/>
          <w:pgMar w:header="0" w:footer="834" w:top="1420" w:bottom="1100" w:left="680" w:right="580"/>
        </w:sectPr>
      </w:pPr>
    </w:p>
    <w:p>
      <w:pPr>
        <w:pStyle w:val="BodyText"/>
        <w:spacing w:line="285" w:lineRule="auto"/>
        <w:ind w:left="931"/>
      </w:pPr>
      <w:r>
        <w:rPr/>
        <w:t>8．不典型的急性心肌梗塞</w:t>
      </w:r>
    </w:p>
    <w:p>
      <w:pPr>
        <w:pStyle w:val="BodyText"/>
        <w:spacing w:line="285" w:lineRule="auto"/>
        <w:ind w:left="167" w:right="133"/>
      </w:pPr>
      <w:r>
        <w:rPr/>
        <w:br w:type="column"/>
      </w:r>
      <w:r>
        <w:rPr/>
        <w:t>指被临床诊断为急性心肌梗塞并接受了急性心肌梗塞治疗，虽然未达到重大疾病“急性心肌梗塞”的给付标准，但满足下列全部条件：</w:t>
      </w:r>
    </w:p>
    <w:p>
      <w:pPr>
        <w:pStyle w:val="BodyText"/>
        <w:spacing w:before="11"/>
        <w:ind w:left="167"/>
      </w:pPr>
      <w:r>
        <w:rPr/>
        <w:t>（1）肌钙蛋白有诊断意义的升高；</w:t>
      </w:r>
    </w:p>
    <w:p>
      <w:pPr>
        <w:pStyle w:val="BodyText"/>
        <w:spacing w:before="49"/>
        <w:ind w:left="167"/>
      </w:pPr>
      <w:r>
        <w:rPr/>
        <w:t>（2）心电图有损伤性的ST 段改变但未出现病理Q 波。</w:t>
      </w:r>
    </w:p>
    <w:p>
      <w:pPr>
        <w:spacing w:after="0"/>
        <w:sectPr>
          <w:type w:val="continuous"/>
          <w:pgSz w:w="11910" w:h="16840"/>
          <w:pgMar w:top="120" w:bottom="1020" w:left="680" w:right="580"/>
          <w:cols w:num="2" w:equalWidth="0">
            <w:col w:w="2705" w:space="40"/>
            <w:col w:w="7905"/>
          </w:cols>
        </w:sectPr>
      </w:pPr>
    </w:p>
    <w:p>
      <w:pPr>
        <w:pStyle w:val="BodyText"/>
        <w:spacing w:before="10"/>
        <w:rPr>
          <w:sz w:val="12"/>
        </w:rPr>
      </w:pPr>
    </w:p>
    <w:p>
      <w:pPr>
        <w:spacing w:after="0"/>
        <w:rPr>
          <w:sz w:val="12"/>
        </w:rPr>
        <w:sectPr>
          <w:type w:val="continuous"/>
          <w:pgSz w:w="11910" w:h="16840"/>
          <w:pgMar w:top="120" w:bottom="1020" w:left="680" w:right="580"/>
        </w:sectPr>
      </w:pPr>
    </w:p>
    <w:p>
      <w:pPr>
        <w:pStyle w:val="BodyText"/>
        <w:spacing w:line="285" w:lineRule="auto" w:before="38"/>
        <w:ind w:left="931"/>
      </w:pPr>
      <w:r>
        <w:rPr/>
        <w:t>9．冠状动脉介入手术</w:t>
      </w:r>
    </w:p>
    <w:p>
      <w:pPr>
        <w:pStyle w:val="BodyText"/>
        <w:spacing w:line="285" w:lineRule="auto" w:before="38"/>
        <w:ind w:left="167" w:right="133"/>
      </w:pPr>
      <w:r>
        <w:rPr/>
        <w:br w:type="column"/>
      </w:r>
      <w:r>
        <w:rPr/>
        <w:t>为了治疗明显的冠状动脉狭窄性疾病，首次实际实施的冠状动脉球囊扩张成形术、冠状动脉支架植入术或激光冠状动脉成形术。</w:t>
      </w:r>
    </w:p>
    <w:p>
      <w:pPr>
        <w:spacing w:after="0" w:line="285" w:lineRule="auto"/>
        <w:sectPr>
          <w:type w:val="continuous"/>
          <w:pgSz w:w="11910" w:h="16840"/>
          <w:pgMar w:top="120" w:bottom="1020" w:left="680" w:right="580"/>
          <w:cols w:num="2" w:equalWidth="0">
            <w:col w:w="2705" w:space="40"/>
            <w:col w:w="7905"/>
          </w:cols>
        </w:sectPr>
      </w:pPr>
    </w:p>
    <w:p>
      <w:pPr>
        <w:pStyle w:val="BodyText"/>
        <w:spacing w:before="11"/>
        <w:rPr>
          <w:sz w:val="9"/>
        </w:rPr>
      </w:pPr>
    </w:p>
    <w:p>
      <w:pPr>
        <w:spacing w:after="0"/>
        <w:rPr>
          <w:sz w:val="9"/>
        </w:rPr>
        <w:sectPr>
          <w:type w:val="continuous"/>
          <w:pgSz w:w="11910" w:h="16840"/>
          <w:pgMar w:top="120" w:bottom="1020" w:left="680" w:right="580"/>
        </w:sectPr>
      </w:pPr>
    </w:p>
    <w:p>
      <w:pPr>
        <w:pStyle w:val="BodyText"/>
        <w:spacing w:line="285" w:lineRule="auto"/>
        <w:ind w:left="931"/>
      </w:pPr>
      <w:r>
        <w:rPr>
          <w:spacing w:val="-13"/>
        </w:rPr>
        <w:t>10</w:t>
      </w:r>
      <w:r>
        <w:rPr>
          <w:spacing w:val="-4"/>
        </w:rPr>
        <w:t>．胸腔镜下冠状动</w:t>
      </w:r>
      <w:r>
        <w:rPr>
          <w:spacing w:val="-1"/>
        </w:rPr>
        <w:t>脉搭桥手术</w:t>
      </w:r>
    </w:p>
    <w:p>
      <w:pPr>
        <w:pStyle w:val="BodyText"/>
        <w:ind w:left="174"/>
      </w:pPr>
      <w:r>
        <w:rPr/>
        <w:br w:type="column"/>
      </w:r>
      <w:r>
        <w:rPr/>
        <w:t>为了治疗明显的冠状动脉狭窄性疾病，首次实际实施的胸腔镜下冠状动脉搭桥手术。</w:t>
      </w:r>
    </w:p>
    <w:p>
      <w:pPr>
        <w:spacing w:after="0"/>
        <w:sectPr>
          <w:type w:val="continuous"/>
          <w:pgSz w:w="11910" w:h="16840"/>
          <w:pgMar w:top="120" w:bottom="1020" w:left="680" w:right="580"/>
          <w:cols w:num="2" w:equalWidth="0">
            <w:col w:w="2697" w:space="40"/>
            <w:col w:w="7913"/>
          </w:cols>
        </w:sectPr>
      </w:pPr>
    </w:p>
    <w:p>
      <w:pPr>
        <w:pStyle w:val="BodyText"/>
        <w:spacing w:before="12"/>
        <w:rPr>
          <w:sz w:val="9"/>
        </w:rPr>
      </w:pPr>
    </w:p>
    <w:p>
      <w:pPr>
        <w:spacing w:after="0"/>
        <w:rPr>
          <w:sz w:val="9"/>
        </w:rPr>
        <w:sectPr>
          <w:type w:val="continuous"/>
          <w:pgSz w:w="11910" w:h="16840"/>
          <w:pgMar w:top="120" w:bottom="1020" w:left="680" w:right="580"/>
        </w:sectPr>
      </w:pPr>
    </w:p>
    <w:p>
      <w:pPr>
        <w:pStyle w:val="BodyText"/>
        <w:spacing w:line="285" w:lineRule="auto" w:before="38"/>
        <w:ind w:left="931"/>
      </w:pPr>
      <w:r>
        <w:rPr>
          <w:spacing w:val="-13"/>
        </w:rPr>
        <w:t>11</w:t>
      </w:r>
      <w:r>
        <w:rPr>
          <w:spacing w:val="-4"/>
        </w:rPr>
        <w:t>．心脏瓣膜介入手术</w:t>
      </w:r>
    </w:p>
    <w:p>
      <w:pPr>
        <w:pStyle w:val="BodyText"/>
        <w:spacing w:line="285" w:lineRule="auto" w:before="38"/>
        <w:ind w:left="174" w:right="205"/>
      </w:pPr>
      <w:r>
        <w:rPr/>
        <w:br w:type="column"/>
      </w:r>
      <w:r>
        <w:rPr>
          <w:spacing w:val="-8"/>
        </w:rPr>
        <w:t>为了治疗心脏瓣膜疾病，实际实施的非开胸的经胸壁打孔内镜手术或经皮经导管介入手</w:t>
      </w:r>
      <w:r>
        <w:rPr>
          <w:spacing w:val="-1"/>
        </w:rPr>
        <w:t>术进行的心脏瓣膜置换或修复手术。</w:t>
      </w:r>
    </w:p>
    <w:p>
      <w:pPr>
        <w:spacing w:after="0" w:line="285" w:lineRule="auto"/>
        <w:sectPr>
          <w:type w:val="continuous"/>
          <w:pgSz w:w="11910" w:h="16840"/>
          <w:pgMar w:top="120" w:bottom="1020" w:left="680" w:right="580"/>
          <w:cols w:num="2" w:equalWidth="0">
            <w:col w:w="2697" w:space="40"/>
            <w:col w:w="7913"/>
          </w:cols>
        </w:sectPr>
      </w:pPr>
    </w:p>
    <w:p>
      <w:pPr>
        <w:pStyle w:val="BodyText"/>
        <w:spacing w:before="11"/>
        <w:rPr>
          <w:sz w:val="9"/>
        </w:rPr>
      </w:pPr>
    </w:p>
    <w:p>
      <w:pPr>
        <w:pStyle w:val="BodyText"/>
        <w:tabs>
          <w:tab w:pos="2911" w:val="left" w:leader="none"/>
        </w:tabs>
        <w:spacing w:line="285" w:lineRule="auto"/>
        <w:ind w:left="2911" w:right="205" w:hanging="1980"/>
      </w:pPr>
      <w:r>
        <w:rPr/>
        <w:t>12．主动脉内手术</w:t>
        <w:tab/>
      </w:r>
      <w:r>
        <w:rPr>
          <w:spacing w:val="-1"/>
        </w:rPr>
        <w:t>为了治疗主动脉疾病实际实施的经皮经导管进行的动脉</w:t>
      </w:r>
      <w:r>
        <w:rPr/>
        <w:t>内手术</w:t>
      </w:r>
      <w:r>
        <w:rPr>
          <w:spacing w:val="-76"/>
        </w:rPr>
        <w:t>。</w:t>
      </w:r>
      <w:r>
        <w:rPr/>
        <w:t>主动脉指胸主动脉和腹 </w:t>
      </w:r>
      <w:r>
        <w:rPr>
          <w:spacing w:val="-1"/>
        </w:rPr>
        <w:t>主动脉，不包括胸主动脉和</w:t>
      </w:r>
      <w:r>
        <w:rPr/>
        <w:t>腹主动脉的分支血管。</w:t>
      </w:r>
    </w:p>
    <w:p>
      <w:pPr>
        <w:pStyle w:val="BodyText"/>
        <w:spacing w:before="10"/>
        <w:rPr>
          <w:sz w:val="24"/>
        </w:rPr>
      </w:pPr>
    </w:p>
    <w:p>
      <w:pPr>
        <w:pStyle w:val="Heading1"/>
        <w:tabs>
          <w:tab w:pos="1471" w:val="left" w:leader="none"/>
        </w:tabs>
        <w:spacing w:before="0"/>
        <w:ind w:left="392"/>
      </w:pPr>
      <w:r>
        <w:rPr/>
        <w:pict>
          <v:group style="position:absolute;margin-left:39.18pt;margin-top:15.880385pt;width:521.65pt;height:.5pt;mso-position-horizontal-relative:page;mso-position-vertical-relative:paragraph;z-index:1072;mso-wrap-distance-left:0;mso-wrap-distance-right:0" coordorigin="784,318" coordsize="10433,10">
            <v:line style="position:absolute" from="784,322" to="3486,322" stroked="true" strokeweight=".48001pt" strokecolor="#000000">
              <v:stroke dashstyle="solid"/>
            </v:line>
            <v:line style="position:absolute" from="3486,322" to="11216,322" stroked="true" strokeweight=".48pt" strokecolor="#000000">
              <v:stroke dashstyle="solid"/>
            </v:line>
            <w10:wrap type="topAndBottom"/>
          </v:group>
        </w:pict>
      </w:r>
      <w:r>
        <w:rPr/>
        <w:t>第三部分</w:t>
        <w:tab/>
      </w:r>
      <w:r>
        <w:rPr>
          <w:w w:val="95"/>
        </w:rPr>
        <w:t>如何支付保险费</w:t>
      </w:r>
    </w:p>
    <w:p>
      <w:pPr>
        <w:pStyle w:val="BodyText"/>
        <w:spacing w:before="4"/>
        <w:rPr>
          <w:b/>
          <w:sz w:val="5"/>
        </w:rPr>
      </w:pPr>
    </w:p>
    <w:p>
      <w:pPr>
        <w:spacing w:after="0"/>
        <w:rPr>
          <w:sz w:val="5"/>
        </w:rPr>
        <w:sectPr>
          <w:type w:val="continuous"/>
          <w:pgSz w:w="11910" w:h="16840"/>
          <w:pgMar w:top="120" w:bottom="1020" w:left="680" w:right="580"/>
        </w:sectPr>
      </w:pPr>
    </w:p>
    <w:p>
      <w:pPr>
        <w:pStyle w:val="ListParagraph"/>
        <w:numPr>
          <w:ilvl w:val="1"/>
          <w:numId w:val="19"/>
        </w:numPr>
        <w:tabs>
          <w:tab w:pos="931" w:val="left" w:leader="none"/>
          <w:tab w:pos="932" w:val="left" w:leader="none"/>
        </w:tabs>
        <w:spacing w:line="285" w:lineRule="auto" w:before="51" w:after="0"/>
        <w:ind w:left="931" w:right="0" w:hanging="720"/>
        <w:jc w:val="left"/>
        <w:rPr>
          <w:b/>
          <w:sz w:val="20"/>
        </w:rPr>
      </w:pPr>
      <w:r>
        <w:rPr>
          <w:b/>
          <w:spacing w:val="20"/>
          <w:sz w:val="20"/>
        </w:rPr>
        <w:t>保险费的支付及宽</w:t>
      </w:r>
      <w:r>
        <w:rPr>
          <w:b/>
          <w:sz w:val="20"/>
        </w:rPr>
        <w:t>限期</w:t>
      </w:r>
    </w:p>
    <w:p>
      <w:pPr>
        <w:pStyle w:val="BodyText"/>
        <w:spacing w:line="237" w:lineRule="auto" w:before="28"/>
        <w:ind w:left="154" w:right="330"/>
      </w:pPr>
      <w:r>
        <w:rPr/>
        <w:br w:type="column"/>
      </w:r>
      <w:r>
        <w:rPr/>
        <w:t>主合同有关保险费支付及宽限期的规定适用于本附加合同，但若本附加合同另有关于附加合同保险费支付及宽限期的特别规定，则以该规定为准。</w:t>
      </w:r>
    </w:p>
    <w:p>
      <w:pPr>
        <w:spacing w:after="0" w:line="237" w:lineRule="auto"/>
        <w:sectPr>
          <w:type w:val="continuous"/>
          <w:pgSz w:w="11910" w:h="16840"/>
          <w:pgMar w:top="120" w:bottom="1020" w:left="680" w:right="580"/>
          <w:cols w:num="2" w:equalWidth="0">
            <w:col w:w="2718" w:space="40"/>
            <w:col w:w="7892"/>
          </w:cols>
        </w:sectPr>
      </w:pPr>
    </w:p>
    <w:p>
      <w:pPr>
        <w:pStyle w:val="Heading1"/>
        <w:numPr>
          <w:ilvl w:val="1"/>
          <w:numId w:val="19"/>
        </w:numPr>
        <w:tabs>
          <w:tab w:pos="932" w:val="left" w:leader="none"/>
        </w:tabs>
        <w:spacing w:line="285" w:lineRule="auto" w:before="63" w:after="0"/>
        <w:ind w:left="2911" w:right="207" w:hanging="2700"/>
        <w:jc w:val="both"/>
      </w:pPr>
      <w:r>
        <w:rPr/>
        <w:t>保险费率的调整     在本附加合同保险费支付期间内，若相同产品项下（包括相同费率及条款）相关费率的定价假设与实际经验相比有实质性的改变，则我们保留提高或降低本附加合同保险费率之权利。保险费率的调整适用于相同产品项下（包括相同费率及条款）的所有被</w:t>
      </w:r>
      <w:r>
        <w:rPr>
          <w:w w:val="95"/>
        </w:rPr>
        <w:t>保险人或同一投保年龄和性别的所有被保险人。</w:t>
      </w:r>
    </w:p>
    <w:p>
      <w:pPr>
        <w:pStyle w:val="BodyText"/>
        <w:spacing w:line="285" w:lineRule="auto" w:before="168"/>
        <w:ind w:left="2911" w:right="207"/>
      </w:pPr>
      <w:r>
        <w:rPr/>
        <w:t>我们调整保险费率后，您应当自调整后的首个保单周年日起按新的保险费率支付保险费。</w:t>
      </w:r>
    </w:p>
    <w:p>
      <w:pPr>
        <w:pStyle w:val="BodyText"/>
        <w:spacing w:before="141"/>
        <w:ind w:left="2911"/>
      </w:pPr>
      <w:r>
        <w:rPr/>
        <w:t>若我们需要调整本附加合同的保险费率，则我们将书面通知您。</w:t>
      </w:r>
    </w:p>
    <w:p>
      <w:pPr>
        <w:pStyle w:val="Heading1"/>
        <w:numPr>
          <w:ilvl w:val="1"/>
          <w:numId w:val="19"/>
        </w:numPr>
        <w:tabs>
          <w:tab w:pos="931" w:val="left" w:leader="none"/>
          <w:tab w:pos="932" w:val="left" w:leader="none"/>
          <w:tab w:pos="2911" w:val="left" w:leader="none"/>
        </w:tabs>
        <w:spacing w:line="285" w:lineRule="auto" w:before="179" w:after="0"/>
        <w:ind w:left="2911" w:right="105" w:hanging="2700"/>
        <w:jc w:val="left"/>
      </w:pPr>
      <w:r>
        <w:rPr/>
        <w:t>减额交清选择</w:t>
        <w:tab/>
        <w:t>在本附加合同约定的保险期间内，若您申请主合同减额交清，本附加合同必须同时进 行减额交清；经我们同意，我们将以当时本附加合同及其主合同的现金价值的和扣除 保单欠款后的净额作为一次交清的保险费</w:t>
      </w:r>
      <w:r>
        <w:rPr>
          <w:spacing w:val="-5"/>
        </w:rPr>
        <w:t>，</w:t>
      </w:r>
      <w:r>
        <w:rPr/>
        <w:t>同时相应减少本附加合同的基本保险金额。</w:t>
      </w:r>
      <w:r>
        <w:rPr>
          <w:w w:val="95"/>
        </w:rPr>
        <w:t>减少后的基本保险金额将代替原保险单所载的本附加合同的基本保险金额。</w:t>
      </w:r>
    </w:p>
    <w:p>
      <w:pPr>
        <w:pStyle w:val="BodyText"/>
        <w:spacing w:before="10"/>
        <w:rPr>
          <w:b/>
          <w:sz w:val="24"/>
        </w:rPr>
      </w:pPr>
    </w:p>
    <w:p>
      <w:pPr>
        <w:tabs>
          <w:tab w:pos="1471" w:val="left" w:leader="none"/>
        </w:tabs>
        <w:spacing w:before="0"/>
        <w:ind w:left="392" w:right="0" w:firstLine="0"/>
        <w:jc w:val="left"/>
        <w:rPr>
          <w:b/>
          <w:sz w:val="20"/>
        </w:rPr>
      </w:pPr>
      <w:r>
        <w:rPr/>
        <w:pict>
          <v:group style="position:absolute;margin-left:39.18pt;margin-top:15.87889pt;width:521.65pt;height:.5pt;mso-position-horizontal-relative:page;mso-position-vertical-relative:paragraph;z-index:1096;mso-wrap-distance-left:0;mso-wrap-distance-right:0" coordorigin="784,318" coordsize="10433,10">
            <v:line style="position:absolute" from="784,322" to="3486,322" stroked="true" strokeweight=".47998pt" strokecolor="#000000">
              <v:stroke dashstyle="solid"/>
            </v:line>
            <v:line style="position:absolute" from="3486,322" to="11216,322" stroked="true" strokeweight=".48pt" strokecolor="#000000">
              <v:stroke dashstyle="solid"/>
            </v:line>
            <w10:wrap type="topAndBottom"/>
          </v:group>
        </w:pict>
      </w:r>
      <w:r>
        <w:rPr>
          <w:b/>
          <w:sz w:val="20"/>
        </w:rPr>
        <w:t>第四部分</w:t>
        <w:tab/>
      </w:r>
      <w:r>
        <w:rPr>
          <w:b/>
          <w:w w:val="95"/>
          <w:sz w:val="20"/>
        </w:rPr>
        <w:t>如何申请领取保险金</w:t>
      </w:r>
    </w:p>
    <w:p>
      <w:pPr>
        <w:pStyle w:val="ListParagraph"/>
        <w:numPr>
          <w:ilvl w:val="1"/>
          <w:numId w:val="20"/>
        </w:numPr>
        <w:tabs>
          <w:tab w:pos="949" w:val="left" w:leader="none"/>
          <w:tab w:pos="950" w:val="left" w:leader="none"/>
          <w:tab w:pos="2831" w:val="left" w:leader="none"/>
        </w:tabs>
        <w:spacing w:line="240" w:lineRule="auto" w:before="121" w:after="0"/>
        <w:ind w:left="2911" w:right="0" w:hanging="2682"/>
        <w:jc w:val="left"/>
        <w:rPr>
          <w:sz w:val="20"/>
        </w:rPr>
      </w:pPr>
      <w:r>
        <w:rPr>
          <w:b/>
          <w:sz w:val="20"/>
        </w:rPr>
        <w:t>受益人</w:t>
        <w:tab/>
      </w:r>
      <w:r>
        <w:rPr>
          <w:spacing w:val="-1"/>
          <w:sz w:val="20"/>
        </w:rPr>
        <w:t>本附加合同各项保险金的受</w:t>
      </w:r>
      <w:r>
        <w:rPr>
          <w:sz w:val="20"/>
        </w:rPr>
        <w:t>益人为被保险人本人。</w:t>
      </w:r>
    </w:p>
    <w:p>
      <w:pPr>
        <w:pStyle w:val="BodyText"/>
        <w:spacing w:before="10"/>
        <w:rPr>
          <w:sz w:val="12"/>
        </w:rPr>
      </w:pPr>
    </w:p>
    <w:p>
      <w:pPr>
        <w:pStyle w:val="ListParagraph"/>
        <w:numPr>
          <w:ilvl w:val="1"/>
          <w:numId w:val="20"/>
        </w:numPr>
        <w:tabs>
          <w:tab w:pos="930" w:val="left" w:leader="none"/>
          <w:tab w:pos="931" w:val="left" w:leader="none"/>
          <w:tab w:pos="2911" w:val="left" w:leader="none"/>
        </w:tabs>
        <w:spacing w:line="240" w:lineRule="auto" w:before="39" w:after="0"/>
        <w:ind w:left="930" w:right="0" w:hanging="719"/>
        <w:jc w:val="left"/>
        <w:rPr>
          <w:sz w:val="20"/>
        </w:rPr>
      </w:pPr>
      <w:r>
        <w:rPr>
          <w:b/>
          <w:sz w:val="20"/>
        </w:rPr>
        <w:t>保险事故通知</w:t>
        <w:tab/>
      </w:r>
      <w:r>
        <w:rPr>
          <w:spacing w:val="-1"/>
          <w:sz w:val="20"/>
        </w:rPr>
        <w:t>您或受益人知道保险事故后应当</w:t>
      </w:r>
      <w:r>
        <w:rPr>
          <w:sz w:val="20"/>
        </w:rPr>
        <w:t>在十日内通知我们。</w:t>
      </w:r>
    </w:p>
    <w:p>
      <w:pPr>
        <w:spacing w:after="0" w:line="240" w:lineRule="auto"/>
        <w:jc w:val="left"/>
        <w:rPr>
          <w:sz w:val="20"/>
        </w:rPr>
        <w:sectPr>
          <w:type w:val="continuous"/>
          <w:pgSz w:w="11910" w:h="16840"/>
          <w:pgMar w:top="120" w:bottom="1020" w:left="680" w:right="580"/>
        </w:sectPr>
      </w:pPr>
    </w:p>
    <w:p>
      <w:pPr>
        <w:pStyle w:val="BodyText"/>
        <w:spacing w:line="285" w:lineRule="auto" w:before="14"/>
        <w:ind w:left="2911" w:right="285"/>
      </w:pPr>
      <w:r>
        <w:rPr>
          <w:spacing w:val="-5"/>
        </w:rPr>
        <w:t>如果您或受益人故意或者因重大过失未及时通知，致使保险事故的性质、原因、损失程</w:t>
      </w:r>
      <w:r>
        <w:rPr>
          <w:spacing w:val="-8"/>
        </w:rPr>
        <w:t>度等难以确定的，我们对无法确定的部分，不承担给付保险金的责任，但我们通过其他途径已经及时知道或者应当及时知道保险事故发生或者虽未及时通知但不影响我们确</w:t>
      </w:r>
      <w:r>
        <w:rPr>
          <w:spacing w:val="-1"/>
        </w:rPr>
        <w:t>定保险事故的性质、原因、损失程度的除外。</w:t>
      </w:r>
    </w:p>
    <w:p>
      <w:pPr>
        <w:pStyle w:val="ListParagraph"/>
        <w:numPr>
          <w:ilvl w:val="1"/>
          <w:numId w:val="20"/>
        </w:numPr>
        <w:tabs>
          <w:tab w:pos="932" w:val="left" w:leader="none"/>
        </w:tabs>
        <w:spacing w:line="285" w:lineRule="auto" w:before="168" w:after="0"/>
        <w:ind w:left="2911" w:right="286" w:hanging="2700"/>
        <w:jc w:val="both"/>
        <w:rPr>
          <w:sz w:val="20"/>
        </w:rPr>
      </w:pPr>
      <w:r>
        <w:rPr>
          <w:b/>
          <w:spacing w:val="3"/>
          <w:sz w:val="20"/>
        </w:rPr>
        <w:t>保险金申请        </w:t>
      </w:r>
      <w:r>
        <w:rPr>
          <w:spacing w:val="-6"/>
          <w:sz w:val="20"/>
        </w:rPr>
        <w:t>在申请各项保险金时，受益人或其代理人须填写保险金给付申请书，并提供下列证明和资料：</w:t>
      </w:r>
    </w:p>
    <w:p>
      <w:pPr>
        <w:pStyle w:val="ListParagraph"/>
        <w:numPr>
          <w:ilvl w:val="2"/>
          <w:numId w:val="20"/>
        </w:numPr>
        <w:tabs>
          <w:tab w:pos="3592" w:val="left" w:leader="none"/>
        </w:tabs>
        <w:spacing w:line="240" w:lineRule="auto" w:before="12" w:after="0"/>
        <w:ind w:left="3592" w:right="0" w:hanging="681"/>
        <w:jc w:val="left"/>
        <w:rPr>
          <w:sz w:val="20"/>
        </w:rPr>
      </w:pPr>
      <w:r>
        <w:rPr>
          <w:spacing w:val="-1"/>
          <w:sz w:val="20"/>
        </w:rPr>
        <w:t>主合同及本附加合同；</w:t>
      </w:r>
    </w:p>
    <w:p>
      <w:pPr>
        <w:pStyle w:val="ListParagraph"/>
        <w:numPr>
          <w:ilvl w:val="2"/>
          <w:numId w:val="20"/>
        </w:numPr>
        <w:tabs>
          <w:tab w:pos="3592" w:val="left" w:leader="none"/>
        </w:tabs>
        <w:spacing w:line="240" w:lineRule="auto" w:before="50" w:after="0"/>
        <w:ind w:left="3592" w:right="0" w:hanging="681"/>
        <w:jc w:val="left"/>
        <w:rPr>
          <w:sz w:val="20"/>
        </w:rPr>
      </w:pPr>
      <w:r>
        <w:rPr>
          <w:spacing w:val="-1"/>
          <w:sz w:val="20"/>
        </w:rPr>
        <w:t>申请人的有效身份证件；</w:t>
      </w:r>
    </w:p>
    <w:p>
      <w:pPr>
        <w:pStyle w:val="ListParagraph"/>
        <w:numPr>
          <w:ilvl w:val="2"/>
          <w:numId w:val="20"/>
        </w:numPr>
        <w:tabs>
          <w:tab w:pos="3592" w:val="left" w:leader="none"/>
        </w:tabs>
        <w:spacing w:line="285" w:lineRule="auto" w:before="50" w:after="0"/>
        <w:ind w:left="3592" w:right="328" w:hanging="681"/>
        <w:jc w:val="both"/>
        <w:rPr>
          <w:sz w:val="20"/>
        </w:rPr>
      </w:pPr>
      <w:r>
        <w:rPr>
          <w:spacing w:val="-1"/>
          <w:sz w:val="20"/>
        </w:rPr>
        <w:t>我们指定或认可的医院的主任级医师出具的附有病理显微镜检查、血液检验及其他科学方法检验报告的疾病诊断证明书</w:t>
      </w:r>
      <w:r>
        <w:rPr>
          <w:sz w:val="20"/>
        </w:rPr>
        <w:t>（以上证明皆须原件或加盖医院公章</w:t>
      </w:r>
      <w:r>
        <w:rPr>
          <w:spacing w:val="-1"/>
          <w:sz w:val="20"/>
        </w:rPr>
        <w:t>的复印件），我们保留对被保险人的病情做进一步会诊的权利；</w:t>
      </w:r>
    </w:p>
    <w:p>
      <w:pPr>
        <w:pStyle w:val="ListParagraph"/>
        <w:numPr>
          <w:ilvl w:val="2"/>
          <w:numId w:val="20"/>
        </w:numPr>
        <w:tabs>
          <w:tab w:pos="3592" w:val="left" w:leader="none"/>
        </w:tabs>
        <w:spacing w:line="285" w:lineRule="auto" w:before="12" w:after="0"/>
        <w:ind w:left="3592" w:right="328" w:hanging="681"/>
        <w:jc w:val="left"/>
        <w:rPr>
          <w:sz w:val="20"/>
        </w:rPr>
      </w:pPr>
      <w:r>
        <w:rPr>
          <w:spacing w:val="-1"/>
          <w:sz w:val="20"/>
        </w:rPr>
        <w:t>若申请人为代理人，还须提供由受益人出具的授权委托书、代理人本人身份证明；</w:t>
      </w:r>
    </w:p>
    <w:p>
      <w:pPr>
        <w:pStyle w:val="ListParagraph"/>
        <w:numPr>
          <w:ilvl w:val="2"/>
          <w:numId w:val="20"/>
        </w:numPr>
        <w:tabs>
          <w:tab w:pos="3592" w:val="left" w:leader="none"/>
        </w:tabs>
        <w:spacing w:line="429" w:lineRule="auto" w:before="12" w:after="0"/>
        <w:ind w:left="2911" w:right="410" w:firstLine="0"/>
        <w:jc w:val="left"/>
        <w:rPr>
          <w:sz w:val="20"/>
        </w:rPr>
      </w:pPr>
      <w:r>
        <w:rPr>
          <w:sz w:val="20"/>
        </w:rPr>
        <w:t>申请人所能提供的与确认保险事故的性质、原因等有关的其他证明和资料。</w:t>
      </w:r>
      <w:r>
        <w:rPr>
          <w:spacing w:val="-1"/>
          <w:sz w:val="20"/>
        </w:rPr>
        <w:t>以上证明和资料不完整的，我们将及时一次性通知申请人补充提供有关证明和资料。</w:t>
      </w:r>
    </w:p>
    <w:p>
      <w:pPr>
        <w:pStyle w:val="ListParagraph"/>
        <w:numPr>
          <w:ilvl w:val="1"/>
          <w:numId w:val="20"/>
        </w:numPr>
        <w:tabs>
          <w:tab w:pos="931" w:val="left" w:leader="none"/>
          <w:tab w:pos="2911" w:val="left" w:leader="none"/>
        </w:tabs>
        <w:spacing w:line="285" w:lineRule="auto" w:before="48" w:after="0"/>
        <w:ind w:left="2911" w:right="285" w:hanging="2700"/>
        <w:jc w:val="both"/>
        <w:rPr>
          <w:sz w:val="20"/>
        </w:rPr>
      </w:pPr>
      <w:r>
        <w:rPr>
          <w:b/>
          <w:sz w:val="20"/>
        </w:rPr>
        <w:t>诉讼时效</w:t>
        <w:tab/>
      </w:r>
      <w:r>
        <w:rPr>
          <w:spacing w:val="-1"/>
          <w:sz w:val="20"/>
        </w:rPr>
        <w:t>受益人向我们请求给付本附加合同各项保险金的诉讼时</w:t>
      </w:r>
      <w:r>
        <w:rPr>
          <w:sz w:val="20"/>
        </w:rPr>
        <w:t>效期间为两年</w:t>
      </w:r>
      <w:r>
        <w:rPr>
          <w:spacing w:val="-76"/>
          <w:sz w:val="20"/>
        </w:rPr>
        <w:t>，</w:t>
      </w:r>
      <w:r>
        <w:rPr>
          <w:sz w:val="20"/>
        </w:rPr>
        <w:t>自其知道或者应 </w:t>
      </w:r>
      <w:r>
        <w:rPr>
          <w:spacing w:val="-1"/>
          <w:sz w:val="20"/>
        </w:rPr>
        <w:t>当知道保险事故发</w:t>
      </w:r>
      <w:r>
        <w:rPr>
          <w:sz w:val="20"/>
        </w:rPr>
        <w:t>生之日起计算。</w:t>
      </w:r>
    </w:p>
    <w:p>
      <w:pPr>
        <w:pStyle w:val="BodyText"/>
        <w:spacing w:before="0"/>
      </w:pPr>
    </w:p>
    <w:p>
      <w:pPr>
        <w:pStyle w:val="BodyText"/>
        <w:spacing w:before="9"/>
        <w:rPr>
          <w:sz w:val="28"/>
        </w:rPr>
      </w:pPr>
    </w:p>
    <w:p>
      <w:pPr>
        <w:pStyle w:val="Heading1"/>
        <w:spacing w:before="0"/>
        <w:ind w:left="211"/>
      </w:pPr>
      <w:r>
        <w:rPr/>
        <w:pict>
          <v:group style="position:absolute;margin-left:39.18pt;margin-top:15.879556pt;width:521.6pt;height:.5pt;mso-position-horizontal-relative:page;mso-position-vertical-relative:paragraph;z-index:1120;mso-wrap-distance-left:0;mso-wrap-distance-right:0" coordorigin="784,318" coordsize="10432,10">
            <v:line style="position:absolute" from="784,322" to="3470,322" stroked="true" strokeweight=".47998pt" strokecolor="#000000">
              <v:stroke dashstyle="solid"/>
            </v:line>
            <v:line style="position:absolute" from="3470,322" to="11215,322" stroked="true" strokeweight=".48pt" strokecolor="#000000">
              <v:stroke dashstyle="solid"/>
            </v:line>
            <w10:wrap type="topAndBottom"/>
          </v:group>
        </w:pict>
      </w:r>
      <w:r>
        <w:rPr/>
        <w:t>释义</w:t>
      </w:r>
    </w:p>
    <w:p>
      <w:pPr>
        <w:pStyle w:val="ListParagraph"/>
        <w:numPr>
          <w:ilvl w:val="0"/>
          <w:numId w:val="21"/>
        </w:numPr>
        <w:tabs>
          <w:tab w:pos="856" w:val="left" w:leader="none"/>
          <w:tab w:pos="2815" w:val="left" w:leader="none"/>
        </w:tabs>
        <w:spacing w:line="285" w:lineRule="auto" w:before="121" w:after="0"/>
        <w:ind w:left="2815" w:right="275" w:hanging="2684"/>
        <w:jc w:val="both"/>
        <w:rPr>
          <w:b/>
          <w:sz w:val="20"/>
        </w:rPr>
      </w:pPr>
      <w:r>
        <w:rPr>
          <w:b/>
          <w:sz w:val="20"/>
        </w:rPr>
        <w:t>现金价值</w:t>
        <w:tab/>
      </w:r>
      <w:r>
        <w:rPr>
          <w:b/>
          <w:w w:val="95"/>
          <w:sz w:val="20"/>
        </w:rPr>
        <w:t>指保险单所具有的价值，通常体现为解除合同时根据精算原理计算的由我们退还的那部    </w:t>
      </w:r>
      <w:r>
        <w:rPr>
          <w:b/>
          <w:sz w:val="20"/>
        </w:rPr>
        <w:t>分金额。该项目保单年度末的金额将列示在本附加合同所附的现金价值表的对应列内， 实际退保时的现金价值系基于保单年度末的现金价值根据合理的方法换算所得。</w:t>
      </w:r>
      <w:r>
        <w:rPr>
          <w:b/>
          <w:sz w:val="20"/>
          <w:u w:val="single"/>
        </w:rPr>
        <w:t>给付首</w:t>
      </w:r>
      <w:r>
        <w:rPr>
          <w:b/>
          <w:w w:val="95"/>
          <w:sz w:val="20"/>
          <w:u w:val="single"/>
        </w:rPr>
        <w:t>次重大疾病保险金后，本附加合同的现金价值降为零</w:t>
      </w:r>
      <w:r>
        <w:rPr>
          <w:b/>
          <w:w w:val="95"/>
          <w:sz w:val="20"/>
        </w:rPr>
        <w:t>。</w:t>
      </w:r>
    </w:p>
    <w:p>
      <w:pPr>
        <w:pStyle w:val="BodyText"/>
        <w:spacing w:before="11"/>
        <w:rPr>
          <w:b/>
          <w:sz w:val="9"/>
        </w:rPr>
      </w:pPr>
    </w:p>
    <w:p>
      <w:pPr>
        <w:pStyle w:val="ListParagraph"/>
        <w:numPr>
          <w:ilvl w:val="0"/>
          <w:numId w:val="21"/>
        </w:numPr>
        <w:tabs>
          <w:tab w:pos="855" w:val="left" w:leader="none"/>
          <w:tab w:pos="856" w:val="left" w:leader="none"/>
          <w:tab w:pos="2815" w:val="left" w:leader="none"/>
        </w:tabs>
        <w:spacing w:line="285" w:lineRule="auto" w:before="39" w:after="0"/>
        <w:ind w:left="2815" w:right="306" w:hanging="2684"/>
        <w:jc w:val="left"/>
        <w:rPr>
          <w:sz w:val="20"/>
        </w:rPr>
      </w:pPr>
      <w:r>
        <w:rPr>
          <w:b/>
          <w:sz w:val="20"/>
        </w:rPr>
        <w:t>保单生效日</w:t>
        <w:tab/>
      </w:r>
      <w:r>
        <w:rPr>
          <w:spacing w:val="-1"/>
          <w:sz w:val="20"/>
        </w:rPr>
        <w:t>保险单所载的我们所承担的保险责任的开始日期。所有</w:t>
      </w:r>
      <w:r>
        <w:rPr>
          <w:sz w:val="20"/>
        </w:rPr>
        <w:t>保单周年日、保单年度、保险费 </w:t>
      </w:r>
      <w:r>
        <w:rPr>
          <w:spacing w:val="-1"/>
          <w:sz w:val="20"/>
        </w:rPr>
        <w:t>约定支付日均以此</w:t>
      </w:r>
      <w:r>
        <w:rPr>
          <w:sz w:val="20"/>
        </w:rPr>
        <w:t>日期为计算依据。</w:t>
      </w:r>
    </w:p>
    <w:p>
      <w:pPr>
        <w:pStyle w:val="ListParagraph"/>
        <w:numPr>
          <w:ilvl w:val="0"/>
          <w:numId w:val="21"/>
        </w:numPr>
        <w:tabs>
          <w:tab w:pos="855" w:val="left" w:leader="none"/>
          <w:tab w:pos="856" w:val="left" w:leader="none"/>
          <w:tab w:pos="2815" w:val="left" w:leader="none"/>
        </w:tabs>
        <w:spacing w:line="240" w:lineRule="auto" w:before="168" w:after="0"/>
        <w:ind w:left="2815" w:right="0" w:hanging="2684"/>
        <w:jc w:val="left"/>
        <w:rPr>
          <w:sz w:val="20"/>
        </w:rPr>
      </w:pPr>
      <w:r>
        <w:rPr>
          <w:b/>
          <w:sz w:val="20"/>
        </w:rPr>
        <w:t>保单周年日</w:t>
        <w:tab/>
      </w:r>
      <w:r>
        <w:rPr>
          <w:spacing w:val="-1"/>
          <w:sz w:val="20"/>
        </w:rPr>
        <w:t>保险单所载的保单生效日之后每一年</w:t>
      </w:r>
      <w:r>
        <w:rPr>
          <w:sz w:val="20"/>
        </w:rPr>
        <w:t>中保单生效日的对应日。</w:t>
      </w:r>
    </w:p>
    <w:p>
      <w:pPr>
        <w:pStyle w:val="BodyText"/>
        <w:spacing w:before="10"/>
        <w:rPr>
          <w:sz w:val="15"/>
        </w:rPr>
      </w:pPr>
    </w:p>
    <w:p>
      <w:pPr>
        <w:pStyle w:val="ListParagraph"/>
        <w:numPr>
          <w:ilvl w:val="0"/>
          <w:numId w:val="21"/>
        </w:numPr>
        <w:tabs>
          <w:tab w:pos="855" w:val="left" w:leader="none"/>
          <w:tab w:pos="856" w:val="left" w:leader="none"/>
          <w:tab w:pos="2815" w:val="left" w:leader="none"/>
        </w:tabs>
        <w:spacing w:line="240" w:lineRule="auto" w:before="0" w:after="0"/>
        <w:ind w:left="2815" w:right="0" w:hanging="2684"/>
        <w:jc w:val="left"/>
        <w:rPr>
          <w:sz w:val="20"/>
        </w:rPr>
      </w:pPr>
      <w:r>
        <w:rPr>
          <w:b/>
          <w:sz w:val="20"/>
        </w:rPr>
        <w:t>保单年度</w:t>
        <w:tab/>
      </w:r>
      <w:r>
        <w:rPr>
          <w:spacing w:val="-1"/>
          <w:sz w:val="20"/>
        </w:rPr>
        <w:t>自保险单所载的保单生效日算起的每个周年期间</w:t>
      </w:r>
      <w:r>
        <w:rPr>
          <w:spacing w:val="-3"/>
          <w:sz w:val="20"/>
        </w:rPr>
        <w:t>。</w:t>
      </w:r>
      <w:r>
        <w:rPr>
          <w:spacing w:val="-1"/>
          <w:sz w:val="20"/>
        </w:rPr>
        <w:t>保</w:t>
      </w:r>
      <w:r>
        <w:rPr>
          <w:sz w:val="20"/>
        </w:rPr>
        <w:t>单生效日包含在第一个保单年度中。</w:t>
      </w:r>
    </w:p>
    <w:p>
      <w:pPr>
        <w:pStyle w:val="BodyText"/>
        <w:spacing w:before="9"/>
        <w:rPr>
          <w:sz w:val="15"/>
        </w:rPr>
      </w:pPr>
    </w:p>
    <w:p>
      <w:pPr>
        <w:pStyle w:val="ListParagraph"/>
        <w:numPr>
          <w:ilvl w:val="0"/>
          <w:numId w:val="21"/>
        </w:numPr>
        <w:tabs>
          <w:tab w:pos="855" w:val="left" w:leader="none"/>
          <w:tab w:pos="856" w:val="left" w:leader="none"/>
          <w:tab w:pos="2815" w:val="left" w:leader="none"/>
        </w:tabs>
        <w:spacing w:line="285" w:lineRule="auto" w:before="1" w:after="0"/>
        <w:ind w:left="2815" w:right="306" w:hanging="2684"/>
        <w:jc w:val="left"/>
        <w:rPr>
          <w:sz w:val="20"/>
        </w:rPr>
      </w:pPr>
      <w:r>
        <w:rPr>
          <w:b/>
          <w:sz w:val="20"/>
        </w:rPr>
        <w:t>周岁</w:t>
        <w:tab/>
      </w:r>
      <w:r>
        <w:rPr>
          <w:spacing w:val="-1"/>
          <w:sz w:val="20"/>
        </w:rPr>
        <w:t>以法定身份证明文件中记载的出生日期为基准，自出生</w:t>
      </w:r>
      <w:r>
        <w:rPr>
          <w:sz w:val="20"/>
        </w:rPr>
        <w:t>之日起为零周岁，每经过一年增 </w:t>
      </w:r>
      <w:r>
        <w:rPr>
          <w:spacing w:val="-1"/>
          <w:sz w:val="20"/>
        </w:rPr>
        <w:t>加一周岁，不足一年的</w:t>
      </w:r>
      <w:r>
        <w:rPr>
          <w:sz w:val="20"/>
        </w:rPr>
        <w:t>不计，依此类推。</w:t>
      </w:r>
    </w:p>
    <w:p>
      <w:pPr>
        <w:pStyle w:val="ListParagraph"/>
        <w:numPr>
          <w:ilvl w:val="0"/>
          <w:numId w:val="21"/>
        </w:numPr>
        <w:tabs>
          <w:tab w:pos="855" w:val="left" w:leader="none"/>
          <w:tab w:pos="856" w:val="left" w:leader="none"/>
          <w:tab w:pos="2815" w:val="left" w:leader="none"/>
        </w:tabs>
        <w:spacing w:line="240" w:lineRule="auto" w:before="168" w:after="0"/>
        <w:ind w:left="2815" w:right="0" w:hanging="2684"/>
        <w:jc w:val="left"/>
        <w:rPr>
          <w:sz w:val="20"/>
        </w:rPr>
      </w:pPr>
      <w:r>
        <w:rPr>
          <w:b/>
          <w:sz w:val="20"/>
        </w:rPr>
        <w:t>满期日</w:t>
        <w:tab/>
      </w:r>
      <w:r>
        <w:rPr>
          <w:spacing w:val="-1"/>
          <w:sz w:val="20"/>
        </w:rPr>
        <w:t>本附加合同订立时约定的保</w:t>
      </w:r>
      <w:r>
        <w:rPr>
          <w:sz w:val="20"/>
        </w:rPr>
        <w:t>险期间届满之日。</w:t>
      </w:r>
    </w:p>
    <w:p>
      <w:pPr>
        <w:pStyle w:val="BodyText"/>
        <w:spacing w:before="9"/>
        <w:rPr>
          <w:sz w:val="15"/>
        </w:rPr>
      </w:pPr>
    </w:p>
    <w:p>
      <w:pPr>
        <w:pStyle w:val="ListParagraph"/>
        <w:numPr>
          <w:ilvl w:val="0"/>
          <w:numId w:val="21"/>
        </w:numPr>
        <w:tabs>
          <w:tab w:pos="855" w:val="left" w:leader="none"/>
          <w:tab w:pos="856" w:val="left" w:leader="none"/>
          <w:tab w:pos="2815" w:val="left" w:leader="none"/>
        </w:tabs>
        <w:spacing w:line="285" w:lineRule="auto" w:before="0" w:after="0"/>
        <w:ind w:left="2815" w:right="306" w:hanging="2684"/>
        <w:jc w:val="left"/>
        <w:rPr>
          <w:sz w:val="20"/>
        </w:rPr>
      </w:pPr>
      <w:r>
        <w:rPr>
          <w:b/>
          <w:sz w:val="20"/>
        </w:rPr>
        <w:t>基本保险金额</w:t>
        <w:tab/>
      </w:r>
      <w:r>
        <w:rPr>
          <w:spacing w:val="-1"/>
          <w:sz w:val="20"/>
        </w:rPr>
        <w:t>本附加合同所称的基本保险金额是指保险单所载本附加</w:t>
      </w:r>
      <w:r>
        <w:rPr>
          <w:sz w:val="20"/>
        </w:rPr>
        <w:t>合同的保险金额，若该金额经本 </w:t>
      </w:r>
      <w:r>
        <w:rPr>
          <w:spacing w:val="-1"/>
          <w:sz w:val="20"/>
        </w:rPr>
        <w:t>附加合同其他条款的修正而发生变更，则以变</w:t>
      </w:r>
      <w:r>
        <w:rPr>
          <w:sz w:val="20"/>
        </w:rPr>
        <w:t>更后的金额作为基本保险金额。</w:t>
      </w:r>
    </w:p>
    <w:p>
      <w:pPr>
        <w:pStyle w:val="ListParagraph"/>
        <w:numPr>
          <w:ilvl w:val="0"/>
          <w:numId w:val="21"/>
        </w:numPr>
        <w:tabs>
          <w:tab w:pos="855" w:val="left" w:leader="none"/>
          <w:tab w:pos="856" w:val="left" w:leader="none"/>
          <w:tab w:pos="2815" w:val="left" w:leader="none"/>
        </w:tabs>
        <w:spacing w:line="240" w:lineRule="auto" w:before="167" w:after="0"/>
        <w:ind w:left="2815" w:right="0" w:hanging="2684"/>
        <w:jc w:val="left"/>
        <w:rPr>
          <w:sz w:val="20"/>
        </w:rPr>
      </w:pPr>
      <w:r>
        <w:rPr>
          <w:b/>
          <w:sz w:val="20"/>
        </w:rPr>
        <w:t>意外事故</w:t>
        <w:tab/>
      </w:r>
      <w:r>
        <w:rPr>
          <w:spacing w:val="-1"/>
          <w:sz w:val="20"/>
        </w:rPr>
        <w:t>指外来的、突发的、非本意的、非疾病的使身</w:t>
      </w:r>
      <w:r>
        <w:rPr>
          <w:sz w:val="20"/>
        </w:rPr>
        <w:t>体受到伤害的客观事件。</w:t>
      </w:r>
    </w:p>
    <w:p>
      <w:pPr>
        <w:pStyle w:val="BodyText"/>
        <w:spacing w:before="10"/>
        <w:rPr>
          <w:sz w:val="12"/>
        </w:rPr>
      </w:pPr>
    </w:p>
    <w:p>
      <w:pPr>
        <w:spacing w:after="0"/>
        <w:rPr>
          <w:sz w:val="12"/>
        </w:rPr>
        <w:sectPr>
          <w:pgSz w:w="11910" w:h="16840"/>
          <w:pgMar w:header="0" w:footer="834" w:top="1420" w:bottom="1100" w:left="680" w:right="500"/>
        </w:sectPr>
      </w:pPr>
    </w:p>
    <w:p>
      <w:pPr>
        <w:pStyle w:val="Heading1"/>
        <w:numPr>
          <w:ilvl w:val="0"/>
          <w:numId w:val="21"/>
        </w:numPr>
        <w:tabs>
          <w:tab w:pos="855" w:val="left" w:leader="none"/>
          <w:tab w:pos="857" w:val="left" w:leader="none"/>
        </w:tabs>
        <w:spacing w:line="285" w:lineRule="auto" w:before="38" w:after="0"/>
        <w:ind w:left="856" w:right="0" w:hanging="725"/>
        <w:jc w:val="left"/>
      </w:pPr>
      <w:r>
        <w:rPr>
          <w:spacing w:val="20"/>
        </w:rPr>
        <w:t>患艾滋病或感染艾</w:t>
      </w:r>
      <w:r>
        <w:rPr>
          <w:w w:val="95"/>
        </w:rPr>
        <w:t>滋病病毒</w:t>
      </w:r>
    </w:p>
    <w:p>
      <w:pPr>
        <w:pStyle w:val="BodyText"/>
        <w:spacing w:line="285" w:lineRule="auto" w:before="38"/>
        <w:ind w:left="131" w:right="206"/>
      </w:pPr>
      <w:r>
        <w:rPr/>
        <w:br w:type="column"/>
      </w:r>
      <w:r>
        <w:rPr>
          <w:spacing w:val="-5"/>
        </w:rPr>
        <w:t>艾滋病病毒指人类免疫缺陷病毒，英文缩写为 </w:t>
      </w:r>
      <w:r>
        <w:rPr>
          <w:spacing w:val="-8"/>
        </w:rPr>
        <w:t>HIV</w:t>
      </w:r>
      <w:r>
        <w:rPr>
          <w:spacing w:val="-3"/>
        </w:rPr>
        <w:t>；艾滋病指人类免疫缺陷病毒引起的获</w:t>
      </w:r>
      <w:r>
        <w:rPr>
          <w:spacing w:val="-7"/>
        </w:rPr>
        <w:t>得性免疫缺陷综合征， 英文缩写为 </w:t>
      </w:r>
      <w:r>
        <w:rPr/>
        <w:t>AIDS。</w:t>
      </w:r>
    </w:p>
    <w:p>
      <w:pPr>
        <w:pStyle w:val="Heading1"/>
        <w:spacing w:before="167"/>
        <w:ind w:left="131"/>
      </w:pPr>
      <w:r>
        <w:rPr/>
        <w:t>在人体血液或其它样本中检测到艾滋病病毒或其抗体呈阳性，没有出现临床症状或体征</w:t>
      </w:r>
    </w:p>
    <w:p>
      <w:pPr>
        <w:spacing w:after="0"/>
        <w:sectPr>
          <w:type w:val="continuous"/>
          <w:pgSz w:w="11910" w:h="16840"/>
          <w:pgMar w:top="120" w:bottom="1020" w:left="680" w:right="500"/>
          <w:cols w:num="2" w:equalWidth="0">
            <w:col w:w="2631" w:space="53"/>
            <w:col w:w="8046"/>
          </w:cols>
        </w:sectPr>
      </w:pPr>
    </w:p>
    <w:p>
      <w:pPr>
        <w:spacing w:before="14"/>
        <w:ind w:left="2795" w:right="0" w:firstLine="0"/>
        <w:jc w:val="left"/>
        <w:rPr>
          <w:b/>
          <w:sz w:val="20"/>
        </w:rPr>
      </w:pPr>
      <w:r>
        <w:rPr>
          <w:b/>
          <w:w w:val="95"/>
          <w:sz w:val="20"/>
        </w:rPr>
        <w:t>的，为感染艾滋病病毒；如果同时出现了明显临床症状或体征的，为患艾滋病。</w:t>
      </w:r>
    </w:p>
    <w:p>
      <w:pPr>
        <w:pStyle w:val="BodyText"/>
        <w:spacing w:before="9"/>
        <w:rPr>
          <w:b/>
          <w:sz w:val="15"/>
        </w:rPr>
      </w:pPr>
    </w:p>
    <w:p>
      <w:pPr>
        <w:pStyle w:val="ListParagraph"/>
        <w:numPr>
          <w:ilvl w:val="0"/>
          <w:numId w:val="21"/>
        </w:numPr>
        <w:tabs>
          <w:tab w:pos="835" w:val="left" w:leader="none"/>
          <w:tab w:pos="837" w:val="left" w:leader="none"/>
          <w:tab w:pos="2795" w:val="left" w:leader="none"/>
        </w:tabs>
        <w:spacing w:line="285" w:lineRule="auto" w:before="0" w:after="0"/>
        <w:ind w:left="2795" w:right="208" w:hanging="2684"/>
        <w:jc w:val="left"/>
        <w:rPr>
          <w:sz w:val="20"/>
        </w:rPr>
      </w:pPr>
      <w:r>
        <w:rPr>
          <w:b/>
          <w:sz w:val="20"/>
        </w:rPr>
        <w:t>遗传性疾病</w:t>
        <w:tab/>
      </w:r>
      <w:r>
        <w:rPr>
          <w:sz w:val="20"/>
        </w:rPr>
        <w:t>指生殖细胞或受精卵的遗传物质（染色体和基因）发生突变或畸变所引起的疾病，通常 </w:t>
      </w:r>
      <w:r>
        <w:rPr>
          <w:spacing w:val="-1"/>
          <w:sz w:val="20"/>
        </w:rPr>
        <w:t>具有由亲代传至后代的</w:t>
      </w:r>
      <w:r>
        <w:rPr>
          <w:sz w:val="20"/>
        </w:rPr>
        <w:t>垂直传递的特征。</w:t>
      </w:r>
    </w:p>
    <w:p>
      <w:pPr>
        <w:pStyle w:val="BodyText"/>
        <w:spacing w:before="11"/>
        <w:rPr>
          <w:sz w:val="9"/>
        </w:rPr>
      </w:pPr>
    </w:p>
    <w:p>
      <w:pPr>
        <w:spacing w:after="0"/>
        <w:rPr>
          <w:sz w:val="9"/>
        </w:rPr>
        <w:sectPr>
          <w:pgSz w:w="11910" w:h="16840"/>
          <w:pgMar w:header="0" w:footer="834" w:top="1420" w:bottom="1100" w:left="700" w:right="500"/>
        </w:sectPr>
      </w:pPr>
    </w:p>
    <w:p>
      <w:pPr>
        <w:pStyle w:val="Heading1"/>
        <w:numPr>
          <w:ilvl w:val="0"/>
          <w:numId w:val="21"/>
        </w:numPr>
        <w:tabs>
          <w:tab w:pos="835" w:val="left" w:leader="none"/>
          <w:tab w:pos="837" w:val="left" w:leader="none"/>
        </w:tabs>
        <w:spacing w:line="285" w:lineRule="auto" w:before="39" w:after="0"/>
        <w:ind w:left="836" w:right="0" w:hanging="725"/>
        <w:jc w:val="left"/>
      </w:pPr>
      <w:r>
        <w:rPr>
          <w:spacing w:val="-8"/>
        </w:rPr>
        <w:t>先天性畸形、变形或</w:t>
      </w:r>
      <w:r>
        <w:rPr/>
        <w:t>染色体异常</w:t>
      </w:r>
    </w:p>
    <w:p>
      <w:pPr>
        <w:pStyle w:val="BodyText"/>
        <w:spacing w:line="285" w:lineRule="auto"/>
        <w:ind w:left="111" w:right="208"/>
      </w:pPr>
      <w:r>
        <w:rPr/>
        <w:br w:type="column"/>
      </w:r>
      <w:r>
        <w:rPr/>
        <w:t>指被保险人出生时就具有的畸形、变形或染色体异常。先天性畸形、变形和染色体异常依照世界卫生组织《疾病和有关健康问题的国际统计分类》（ICD-10）确定。</w:t>
      </w:r>
    </w:p>
    <w:p>
      <w:pPr>
        <w:spacing w:after="0" w:line="285" w:lineRule="auto"/>
        <w:sectPr>
          <w:type w:val="continuous"/>
          <w:pgSz w:w="11910" w:h="16840"/>
          <w:pgMar w:top="120" w:bottom="1020" w:left="700" w:right="500"/>
          <w:cols w:num="2" w:equalWidth="0">
            <w:col w:w="2590" w:space="95"/>
            <w:col w:w="8025"/>
          </w:cols>
        </w:sectPr>
      </w:pPr>
    </w:p>
    <w:p>
      <w:pPr>
        <w:pStyle w:val="BodyText"/>
        <w:spacing w:before="11"/>
        <w:rPr>
          <w:sz w:val="9"/>
        </w:rPr>
      </w:pPr>
    </w:p>
    <w:p>
      <w:pPr>
        <w:pStyle w:val="ListParagraph"/>
        <w:numPr>
          <w:ilvl w:val="0"/>
          <w:numId w:val="21"/>
        </w:numPr>
        <w:tabs>
          <w:tab w:pos="835" w:val="left" w:leader="none"/>
          <w:tab w:pos="837" w:val="left" w:leader="none"/>
          <w:tab w:pos="2795" w:val="left" w:leader="none"/>
        </w:tabs>
        <w:spacing w:line="240" w:lineRule="auto" w:before="39" w:after="0"/>
        <w:ind w:left="836" w:right="0" w:hanging="725"/>
        <w:jc w:val="left"/>
        <w:rPr>
          <w:sz w:val="20"/>
        </w:rPr>
      </w:pPr>
      <w:r>
        <w:rPr>
          <w:b/>
          <w:sz w:val="20"/>
        </w:rPr>
        <w:t>专科医生</w:t>
        <w:tab/>
      </w:r>
      <w:r>
        <w:rPr>
          <w:spacing w:val="-1"/>
          <w:sz w:val="20"/>
        </w:rPr>
        <w:t>专科医生应当同时满足以下</w:t>
      </w:r>
      <w:r>
        <w:rPr>
          <w:sz w:val="20"/>
        </w:rPr>
        <w:t>四项资格条件：</w:t>
      </w:r>
    </w:p>
    <w:p>
      <w:pPr>
        <w:pStyle w:val="ListParagraph"/>
        <w:numPr>
          <w:ilvl w:val="1"/>
          <w:numId w:val="21"/>
        </w:numPr>
        <w:tabs>
          <w:tab w:pos="3476" w:val="left" w:leader="none"/>
        </w:tabs>
        <w:spacing w:line="240" w:lineRule="auto" w:before="49" w:after="0"/>
        <w:ind w:left="3475" w:right="0" w:hanging="680"/>
        <w:jc w:val="left"/>
        <w:rPr>
          <w:sz w:val="20"/>
        </w:rPr>
      </w:pPr>
      <w:r>
        <w:rPr>
          <w:spacing w:val="-1"/>
          <w:sz w:val="20"/>
        </w:rPr>
        <w:t>具有有效的中华人民共和国《医师资格证书》；</w:t>
      </w:r>
    </w:p>
    <w:p>
      <w:pPr>
        <w:pStyle w:val="ListParagraph"/>
        <w:numPr>
          <w:ilvl w:val="1"/>
          <w:numId w:val="21"/>
        </w:numPr>
        <w:tabs>
          <w:tab w:pos="3476" w:val="left" w:leader="none"/>
        </w:tabs>
        <w:spacing w:line="240" w:lineRule="auto" w:before="49" w:after="0"/>
        <w:ind w:left="3475" w:right="0" w:hanging="680"/>
        <w:jc w:val="left"/>
        <w:rPr>
          <w:sz w:val="20"/>
        </w:rPr>
      </w:pPr>
      <w:r>
        <w:rPr>
          <w:spacing w:val="-1"/>
          <w:sz w:val="20"/>
        </w:rPr>
        <w:t>具有有效的中华人民共和国《医师执业证书》，并按期到相关部门登记注册；</w:t>
      </w:r>
    </w:p>
    <w:p>
      <w:pPr>
        <w:pStyle w:val="ListParagraph"/>
        <w:numPr>
          <w:ilvl w:val="1"/>
          <w:numId w:val="21"/>
        </w:numPr>
        <w:tabs>
          <w:tab w:pos="3476" w:val="left" w:leader="none"/>
        </w:tabs>
        <w:spacing w:line="240" w:lineRule="auto" w:before="49" w:after="0"/>
        <w:ind w:left="3475" w:right="0" w:hanging="680"/>
        <w:jc w:val="left"/>
        <w:rPr>
          <w:sz w:val="20"/>
        </w:rPr>
      </w:pPr>
      <w:r>
        <w:rPr>
          <w:spacing w:val="-1"/>
          <w:sz w:val="20"/>
        </w:rPr>
        <w:t>具有有效的中华人民共和国主治医师或主治医师以上职称的《医师职称证书》；</w:t>
      </w:r>
    </w:p>
    <w:p>
      <w:pPr>
        <w:pStyle w:val="Heading1"/>
        <w:numPr>
          <w:ilvl w:val="1"/>
          <w:numId w:val="21"/>
        </w:numPr>
        <w:tabs>
          <w:tab w:pos="3476" w:val="left" w:leader="none"/>
        </w:tabs>
        <w:spacing w:line="240" w:lineRule="auto" w:before="49" w:after="0"/>
        <w:ind w:left="3476" w:right="0" w:hanging="681"/>
        <w:jc w:val="left"/>
      </w:pPr>
      <w:r>
        <w:rPr>
          <w:w w:val="95"/>
        </w:rPr>
        <w:t>在二级或二级以上医院的相应科室从事临床工作三年以上。</w:t>
      </w:r>
    </w:p>
    <w:p>
      <w:pPr>
        <w:pStyle w:val="BodyText"/>
        <w:spacing w:before="9"/>
        <w:rPr>
          <w:b/>
          <w:sz w:val="15"/>
        </w:rPr>
      </w:pPr>
    </w:p>
    <w:p>
      <w:pPr>
        <w:pStyle w:val="ListParagraph"/>
        <w:numPr>
          <w:ilvl w:val="0"/>
          <w:numId w:val="21"/>
        </w:numPr>
        <w:tabs>
          <w:tab w:pos="835" w:val="left" w:leader="none"/>
          <w:tab w:pos="837" w:val="left" w:leader="none"/>
          <w:tab w:pos="2795" w:val="left" w:leader="none"/>
        </w:tabs>
        <w:spacing w:line="285" w:lineRule="auto" w:before="0" w:after="0"/>
        <w:ind w:left="2795" w:right="206" w:hanging="2684"/>
        <w:jc w:val="left"/>
        <w:rPr>
          <w:sz w:val="20"/>
        </w:rPr>
      </w:pPr>
      <w:r>
        <w:rPr>
          <w:b/>
          <w:sz w:val="20"/>
        </w:rPr>
        <w:t>永久不可逆</w:t>
        <w:tab/>
      </w:r>
      <w:r>
        <w:rPr>
          <w:sz w:val="20"/>
        </w:rPr>
        <w:t>指自疾病确诊或意外伤害发生之日起，经过积极治疗</w:t>
      </w:r>
      <w:r>
        <w:rPr>
          <w:spacing w:val="-5"/>
          <w:sz w:val="20"/>
        </w:rPr>
        <w:t> </w:t>
      </w:r>
      <w:r>
        <w:rPr>
          <w:sz w:val="20"/>
        </w:rPr>
        <w:t>180</w:t>
      </w:r>
      <w:r>
        <w:rPr>
          <w:spacing w:val="-6"/>
          <w:sz w:val="20"/>
        </w:rPr>
        <w:t> </w:t>
      </w:r>
      <w:r>
        <w:rPr>
          <w:sz w:val="20"/>
        </w:rPr>
        <w:t>天后仍无法通过现有医疗手段恢复。</w:t>
      </w:r>
    </w:p>
    <w:p>
      <w:pPr>
        <w:pStyle w:val="ListParagraph"/>
        <w:numPr>
          <w:ilvl w:val="0"/>
          <w:numId w:val="21"/>
        </w:numPr>
        <w:tabs>
          <w:tab w:pos="835" w:val="left" w:leader="none"/>
          <w:tab w:pos="837" w:val="left" w:leader="none"/>
          <w:tab w:pos="2795" w:val="left" w:leader="none"/>
        </w:tabs>
        <w:spacing w:line="240" w:lineRule="auto" w:before="168" w:after="0"/>
        <w:ind w:left="836" w:right="0" w:hanging="725"/>
        <w:jc w:val="left"/>
        <w:rPr>
          <w:sz w:val="20"/>
        </w:rPr>
      </w:pPr>
      <w:r>
        <w:rPr>
          <w:b/>
          <w:sz w:val="20"/>
        </w:rPr>
        <w:t>医院</w:t>
        <w:tab/>
      </w:r>
      <w:r>
        <w:rPr>
          <w:spacing w:val="-1"/>
          <w:sz w:val="20"/>
        </w:rPr>
        <w:t>指同时符合下列条</w:t>
      </w:r>
      <w:r>
        <w:rPr>
          <w:sz w:val="20"/>
        </w:rPr>
        <w:t>件的机构：</w:t>
      </w:r>
    </w:p>
    <w:p>
      <w:pPr>
        <w:pStyle w:val="BodyText"/>
        <w:spacing w:before="10"/>
        <w:rPr>
          <w:sz w:val="15"/>
        </w:rPr>
      </w:pPr>
    </w:p>
    <w:p>
      <w:pPr>
        <w:pStyle w:val="ListParagraph"/>
        <w:numPr>
          <w:ilvl w:val="0"/>
          <w:numId w:val="22"/>
        </w:numPr>
        <w:tabs>
          <w:tab w:pos="3558" w:val="left" w:leader="none"/>
        </w:tabs>
        <w:spacing w:line="285" w:lineRule="auto" w:before="0" w:after="0"/>
        <w:ind w:left="2976" w:right="206" w:firstLine="0"/>
        <w:jc w:val="left"/>
        <w:rPr>
          <w:sz w:val="20"/>
        </w:rPr>
      </w:pPr>
      <w:r>
        <w:rPr>
          <w:spacing w:val="-2"/>
          <w:sz w:val="20"/>
        </w:rPr>
        <w:t>中华人民共和国境内合法经营的二级以上医院</w:t>
      </w:r>
      <w:r>
        <w:rPr>
          <w:sz w:val="20"/>
        </w:rPr>
        <w:t>（含二级</w:t>
      </w:r>
      <w:r>
        <w:rPr>
          <w:spacing w:val="-22"/>
          <w:sz w:val="20"/>
        </w:rPr>
        <w:t>）</w:t>
      </w:r>
      <w:r>
        <w:rPr>
          <w:spacing w:val="-3"/>
          <w:sz w:val="20"/>
        </w:rPr>
        <w:t>或香港特别行政区、澳</w:t>
      </w:r>
      <w:r>
        <w:rPr>
          <w:spacing w:val="-1"/>
          <w:sz w:val="20"/>
        </w:rPr>
        <w:t>门特别行政区及台湾地区医院；</w:t>
      </w:r>
    </w:p>
    <w:p>
      <w:pPr>
        <w:pStyle w:val="ListParagraph"/>
        <w:numPr>
          <w:ilvl w:val="0"/>
          <w:numId w:val="22"/>
        </w:numPr>
        <w:tabs>
          <w:tab w:pos="3578" w:val="left" w:leader="none"/>
        </w:tabs>
        <w:spacing w:line="285" w:lineRule="auto" w:before="168" w:after="0"/>
        <w:ind w:left="2976" w:right="124" w:firstLine="0"/>
        <w:jc w:val="left"/>
        <w:rPr>
          <w:sz w:val="20"/>
        </w:rPr>
      </w:pPr>
      <w:r>
        <w:rPr>
          <w:spacing w:val="-1"/>
          <w:sz w:val="20"/>
        </w:rPr>
        <w:t>具有符合中华人民共和国（</w:t>
      </w:r>
      <w:r>
        <w:rPr>
          <w:sz w:val="20"/>
        </w:rPr>
        <w:t>包括香港特别行政区、澳门特别行政区及台湾地区） </w:t>
      </w:r>
      <w:r>
        <w:rPr>
          <w:spacing w:val="-3"/>
          <w:sz w:val="20"/>
        </w:rPr>
        <w:t>有关医院管理规则设施标准的医疗设备，且全天 </w:t>
      </w:r>
      <w:r>
        <w:rPr>
          <w:sz w:val="20"/>
        </w:rPr>
        <w:t>24</w:t>
      </w:r>
      <w:r>
        <w:rPr>
          <w:spacing w:val="-7"/>
          <w:sz w:val="20"/>
        </w:rPr>
        <w:t> 小时有合格医师</w:t>
      </w:r>
      <w:r>
        <w:rPr>
          <w:sz w:val="20"/>
        </w:rPr>
        <w:t>（合格医师指具有</w:t>
      </w:r>
      <w:r>
        <w:rPr>
          <w:spacing w:val="-1"/>
          <w:sz w:val="20"/>
        </w:rPr>
        <w:t>与请求赔付的疾病相适应的专业资格认证和诊断处方权，且正在上述医院执业的医师， 但投保人、被保险人本人及其直系亲属除外）及护士驻院提供医疗及护理服务；</w:t>
      </w:r>
    </w:p>
    <w:p>
      <w:pPr>
        <w:pStyle w:val="Heading1"/>
        <w:numPr>
          <w:ilvl w:val="0"/>
          <w:numId w:val="22"/>
        </w:numPr>
        <w:tabs>
          <w:tab w:pos="3489" w:val="left" w:leader="none"/>
        </w:tabs>
        <w:spacing w:line="285" w:lineRule="auto" w:before="168" w:after="0"/>
        <w:ind w:left="2994" w:right="207" w:hanging="98"/>
        <w:jc w:val="left"/>
      </w:pPr>
      <w:r>
        <w:rPr>
          <w:spacing w:val="-2"/>
        </w:rPr>
        <w:t>不包括未达卫生行政管理规定的二级医院标准的分院、联合医院及病房、外设挂</w:t>
      </w:r>
      <w:r>
        <w:rPr>
          <w:spacing w:val="-2"/>
          <w:w w:val="95"/>
        </w:rPr>
        <w:t>靠的门诊部、康复、疗养、戒酒、戒毒或类似的医疗机构。</w:t>
      </w:r>
    </w:p>
    <w:p>
      <w:pPr>
        <w:pStyle w:val="ListParagraph"/>
        <w:numPr>
          <w:ilvl w:val="0"/>
          <w:numId w:val="21"/>
        </w:numPr>
        <w:tabs>
          <w:tab w:pos="835" w:val="left" w:leader="none"/>
          <w:tab w:pos="837" w:val="left" w:leader="none"/>
          <w:tab w:pos="2795" w:val="left" w:leader="none"/>
        </w:tabs>
        <w:spacing w:line="285" w:lineRule="auto" w:before="168" w:after="0"/>
        <w:ind w:left="2795" w:right="208" w:hanging="2684"/>
        <w:jc w:val="left"/>
        <w:rPr>
          <w:sz w:val="20"/>
        </w:rPr>
      </w:pPr>
      <w:r>
        <w:rPr>
          <w:b/>
          <w:sz w:val="20"/>
        </w:rPr>
        <w:t>肢体机能完全丧失</w:t>
        <w:tab/>
      </w:r>
      <w:r>
        <w:rPr>
          <w:sz w:val="20"/>
        </w:rPr>
        <w:t>指肢体的三大关节中的两大关节僵硬，或不能随意识活动。肢体是指包括肩关节的整个 </w:t>
      </w:r>
      <w:r>
        <w:rPr>
          <w:spacing w:val="-1"/>
          <w:sz w:val="20"/>
        </w:rPr>
        <w:t>上肢或包括髋关节</w:t>
      </w:r>
      <w:r>
        <w:rPr>
          <w:sz w:val="20"/>
        </w:rPr>
        <w:t>的整个下肢。</w:t>
      </w:r>
    </w:p>
    <w:p>
      <w:pPr>
        <w:pStyle w:val="BodyText"/>
        <w:spacing w:before="11"/>
        <w:rPr>
          <w:sz w:val="9"/>
        </w:rPr>
      </w:pPr>
    </w:p>
    <w:p>
      <w:pPr>
        <w:spacing w:after="0"/>
        <w:rPr>
          <w:sz w:val="9"/>
        </w:rPr>
        <w:sectPr>
          <w:type w:val="continuous"/>
          <w:pgSz w:w="11910" w:h="16840"/>
          <w:pgMar w:top="120" w:bottom="1020" w:left="700" w:right="500"/>
        </w:sectPr>
      </w:pPr>
    </w:p>
    <w:p>
      <w:pPr>
        <w:pStyle w:val="Heading1"/>
        <w:numPr>
          <w:ilvl w:val="0"/>
          <w:numId w:val="21"/>
        </w:numPr>
        <w:tabs>
          <w:tab w:pos="835" w:val="left" w:leader="none"/>
          <w:tab w:pos="837" w:val="left" w:leader="none"/>
        </w:tabs>
        <w:spacing w:line="285" w:lineRule="auto" w:before="39" w:after="0"/>
        <w:ind w:left="836" w:right="0" w:hanging="725"/>
        <w:jc w:val="left"/>
      </w:pPr>
      <w:r>
        <w:rPr>
          <w:spacing w:val="20"/>
        </w:rPr>
        <w:t>语言能力或咀嚼吞</w:t>
      </w:r>
      <w:r>
        <w:rPr>
          <w:w w:val="95"/>
        </w:rPr>
        <w:t>咽能力完全丧失</w:t>
      </w:r>
    </w:p>
    <w:p>
      <w:pPr>
        <w:pStyle w:val="BodyText"/>
        <w:spacing w:line="285" w:lineRule="auto"/>
        <w:ind w:left="111" w:right="208"/>
      </w:pPr>
      <w:r>
        <w:rPr/>
        <w:br w:type="column"/>
      </w:r>
      <w:r>
        <w:rPr/>
        <w:t>语言能力完全丧失，指无法发出四种语音（包括口唇音、齿舌音、口盖音和喉头音）中的任何三种，或声带全部切除，或因大脑语言中枢受伤害而患失语症。</w:t>
      </w:r>
    </w:p>
    <w:p>
      <w:pPr>
        <w:pStyle w:val="BodyText"/>
        <w:spacing w:line="285" w:lineRule="auto" w:before="168"/>
        <w:ind w:left="111" w:right="208"/>
      </w:pPr>
      <w:r>
        <w:rPr/>
        <w:t>咀嚼吞咽能力完全丧失，指因牙齿以外的原因导致器质障碍或机能障碍，以致不能作咀嚼吞咽运动，除流质食物外不能摄取或吞咽的状态。</w:t>
      </w:r>
    </w:p>
    <w:p>
      <w:pPr>
        <w:spacing w:after="0" w:line="285" w:lineRule="auto"/>
        <w:sectPr>
          <w:type w:val="continuous"/>
          <w:pgSz w:w="11910" w:h="16840"/>
          <w:pgMar w:top="120" w:bottom="1020" w:left="700" w:right="500"/>
          <w:cols w:num="2" w:equalWidth="0">
            <w:col w:w="2611" w:space="73"/>
            <w:col w:w="8026"/>
          </w:cols>
        </w:sectPr>
      </w:pPr>
    </w:p>
    <w:p>
      <w:pPr>
        <w:pStyle w:val="BodyText"/>
        <w:spacing w:before="11"/>
        <w:rPr>
          <w:sz w:val="9"/>
        </w:rPr>
      </w:pPr>
    </w:p>
    <w:p>
      <w:pPr>
        <w:spacing w:after="0"/>
        <w:rPr>
          <w:sz w:val="9"/>
        </w:rPr>
        <w:sectPr>
          <w:type w:val="continuous"/>
          <w:pgSz w:w="11910" w:h="16840"/>
          <w:pgMar w:top="120" w:bottom="1020" w:left="700" w:right="500"/>
        </w:sectPr>
      </w:pPr>
    </w:p>
    <w:p>
      <w:pPr>
        <w:pStyle w:val="Heading1"/>
        <w:numPr>
          <w:ilvl w:val="0"/>
          <w:numId w:val="21"/>
        </w:numPr>
        <w:tabs>
          <w:tab w:pos="835" w:val="left" w:leader="none"/>
          <w:tab w:pos="837" w:val="left" w:leader="none"/>
        </w:tabs>
        <w:spacing w:line="285" w:lineRule="auto" w:before="39" w:after="0"/>
        <w:ind w:left="836" w:right="0" w:hanging="725"/>
        <w:jc w:val="left"/>
      </w:pPr>
      <w:r>
        <w:rPr>
          <w:spacing w:val="20"/>
        </w:rPr>
        <w:t>六项基本日常生活</w:t>
      </w:r>
      <w:r>
        <w:rPr/>
        <w:t>活动</w:t>
      </w:r>
    </w:p>
    <w:p>
      <w:pPr>
        <w:pStyle w:val="BodyText"/>
        <w:spacing w:line="285" w:lineRule="auto"/>
        <w:ind w:left="111" w:right="106"/>
      </w:pPr>
      <w:r>
        <w:rPr/>
        <w:br w:type="column"/>
      </w:r>
      <w:r>
        <w:rPr>
          <w:spacing w:val="-11"/>
        </w:rPr>
        <w:t>指</w:t>
      </w:r>
      <w:r>
        <w:rPr>
          <w:spacing w:val="-5"/>
        </w:rPr>
        <w:t>（1）穿衣：自己能够穿衣及脱衣；</w:t>
      </w:r>
      <w:r>
        <w:rPr>
          <w:spacing w:val="-9"/>
        </w:rPr>
        <w:t>（２）</w:t>
      </w:r>
      <w:r>
        <w:rPr>
          <w:spacing w:val="-5"/>
        </w:rPr>
        <w:t>移动：自己从一个房间到另一个房间；</w:t>
      </w:r>
      <w:r>
        <w:rPr>
          <w:spacing w:val="-6"/>
        </w:rPr>
        <w:t>（３） </w:t>
      </w:r>
      <w:r>
        <w:rPr/>
        <w:t>行动：自己上下床或上下轮椅；（４）如厕：自己控制进行大小便；（５）进食：自己 </w:t>
      </w:r>
      <w:r>
        <w:rPr>
          <w:spacing w:val="-1"/>
        </w:rPr>
        <w:t>从已准备好的碗或碟中取食物放入口中；（６）</w:t>
      </w:r>
      <w:r>
        <w:rPr/>
        <w:t>洗澡：自己进行淋浴或盆浴。</w:t>
      </w:r>
    </w:p>
    <w:sectPr>
      <w:type w:val="continuous"/>
      <w:pgSz w:w="11910" w:h="16840"/>
      <w:pgMar w:top="120" w:bottom="1020" w:left="700" w:right="500"/>
      <w:cols w:num="2" w:equalWidth="0">
        <w:col w:w="2611" w:space="73"/>
        <w:col w:w="802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pPr>
    <w:r>
      <w:rPr/>
      <w:pict>
        <v:shapetype id="_x0000_t202" o:spt="202" coordsize="21600,21600" path="m,l,21600r21600,l21600,xe">
          <v:stroke joinstyle="miter"/>
          <v:path gradientshapeok="t" o:connecttype="rect"/>
        </v:shapetype>
        <v:shape style="position:absolute;margin-left:47.18pt;margin-top:785.281799pt;width:159.950pt;height:20.4pt;mso-position-horizontal-relative:page;mso-position-vertical-relative:page;z-index:-37744" type="#_x0000_t202" filled="false" stroked="false">
          <v:textbox inset="0,0,0,0">
            <w:txbxContent>
              <w:p>
                <w:pPr>
                  <w:spacing w:line="179" w:lineRule="exact" w:before="0"/>
                  <w:ind w:left="20" w:right="0" w:firstLine="0"/>
                  <w:jc w:val="left"/>
                  <w:rPr>
                    <w:sz w:val="16"/>
                  </w:rPr>
                </w:pPr>
                <w:r>
                  <w:rPr>
                    <w:w w:val="95"/>
                    <w:sz w:val="16"/>
                  </w:rPr>
                  <w:t>中德安联人寿保险有限公司</w:t>
                </w:r>
              </w:p>
              <w:p>
                <w:pPr>
                  <w:spacing w:line="208" w:lineRule="exact" w:before="0"/>
                  <w:ind w:left="20" w:right="0" w:firstLine="0"/>
                  <w:jc w:val="left"/>
                  <w:rPr>
                    <w:sz w:val="16"/>
                  </w:rPr>
                </w:pPr>
                <w:r>
                  <w:rPr>
                    <w:sz w:val="16"/>
                  </w:rPr>
                  <w:t>安联附加安康福瑞长期重大疾病保险（B</w:t>
                </w:r>
                <w:r>
                  <w:rPr>
                    <w:spacing w:val="-22"/>
                    <w:sz w:val="16"/>
                  </w:rPr>
                  <w:t> 款</w:t>
                </w:r>
                <w:r>
                  <w:rPr>
                    <w:sz w:val="16"/>
                  </w:rPr>
                  <w:t>）</w:t>
                </w:r>
              </w:p>
            </w:txbxContent>
          </v:textbox>
          <w10:wrap type="none"/>
        </v:shape>
      </w:pict>
    </w:r>
    <w:r>
      <w:rPr/>
      <w:pict>
        <v:shape style="position:absolute;margin-left:465.295288pt;margin-top:785.281799pt;width:69.9pt;height:10pt;mso-position-horizontal-relative:page;mso-position-vertical-relative:page;z-index:-37720" type="#_x0000_t202" filled="false" stroked="false">
          <v:textbox inset="0,0,0,0">
            <w:txbxContent>
              <w:p>
                <w:pPr>
                  <w:spacing w:line="180" w:lineRule="exact" w:before="0"/>
                  <w:ind w:left="20" w:right="0" w:firstLine="0"/>
                  <w:jc w:val="left"/>
                  <w:rPr>
                    <w:sz w:val="16"/>
                  </w:rPr>
                </w:pPr>
                <w:r>
                  <w:rPr>
                    <w:sz w:val="16"/>
                  </w:rPr>
                  <w:t>第 </w:t>
                </w:r>
                <w:r>
                  <w:rPr/>
                  <w:fldChar w:fldCharType="begin"/>
                </w:r>
                <w:r>
                  <w:rPr>
                    <w:sz w:val="16"/>
                  </w:rPr>
                  <w:instrText> PAGE </w:instrText>
                </w:r>
                <w:r>
                  <w:rPr/>
                  <w:fldChar w:fldCharType="separate"/>
                </w:r>
                <w:r>
                  <w:rPr/>
                  <w:t>13</w:t>
                </w:r>
                <w:r>
                  <w:rPr/>
                  <w:fldChar w:fldCharType="end"/>
                </w:r>
                <w:r>
                  <w:rPr>
                    <w:sz w:val="16"/>
                  </w:rPr>
                  <w:t> 页 共 18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2976" w:hanging="581"/>
        <w:jc w:val="right"/>
      </w:pPr>
      <w:rPr>
        <w:rFonts w:hint="default"/>
        <w:w w:val="100"/>
      </w:rPr>
    </w:lvl>
    <w:lvl w:ilvl="1">
      <w:start w:val="0"/>
      <w:numFmt w:val="bullet"/>
      <w:lvlText w:val="•"/>
      <w:lvlJc w:val="left"/>
      <w:pPr>
        <w:ind w:left="3752" w:hanging="581"/>
      </w:pPr>
      <w:rPr>
        <w:rFonts w:hint="default"/>
      </w:rPr>
    </w:lvl>
    <w:lvl w:ilvl="2">
      <w:start w:val="0"/>
      <w:numFmt w:val="bullet"/>
      <w:lvlText w:val="•"/>
      <w:lvlJc w:val="left"/>
      <w:pPr>
        <w:ind w:left="4524" w:hanging="581"/>
      </w:pPr>
      <w:rPr>
        <w:rFonts w:hint="default"/>
      </w:rPr>
    </w:lvl>
    <w:lvl w:ilvl="3">
      <w:start w:val="0"/>
      <w:numFmt w:val="bullet"/>
      <w:lvlText w:val="•"/>
      <w:lvlJc w:val="left"/>
      <w:pPr>
        <w:ind w:left="5297" w:hanging="581"/>
      </w:pPr>
      <w:rPr>
        <w:rFonts w:hint="default"/>
      </w:rPr>
    </w:lvl>
    <w:lvl w:ilvl="4">
      <w:start w:val="0"/>
      <w:numFmt w:val="bullet"/>
      <w:lvlText w:val="•"/>
      <w:lvlJc w:val="left"/>
      <w:pPr>
        <w:ind w:left="6069" w:hanging="581"/>
      </w:pPr>
      <w:rPr>
        <w:rFonts w:hint="default"/>
      </w:rPr>
    </w:lvl>
    <w:lvl w:ilvl="5">
      <w:start w:val="0"/>
      <w:numFmt w:val="bullet"/>
      <w:lvlText w:val="•"/>
      <w:lvlJc w:val="left"/>
      <w:pPr>
        <w:ind w:left="6842" w:hanging="581"/>
      </w:pPr>
      <w:rPr>
        <w:rFonts w:hint="default"/>
      </w:rPr>
    </w:lvl>
    <w:lvl w:ilvl="6">
      <w:start w:val="0"/>
      <w:numFmt w:val="bullet"/>
      <w:lvlText w:val="•"/>
      <w:lvlJc w:val="left"/>
      <w:pPr>
        <w:ind w:left="7614" w:hanging="581"/>
      </w:pPr>
      <w:rPr>
        <w:rFonts w:hint="default"/>
      </w:rPr>
    </w:lvl>
    <w:lvl w:ilvl="7">
      <w:start w:val="0"/>
      <w:numFmt w:val="bullet"/>
      <w:lvlText w:val="•"/>
      <w:lvlJc w:val="left"/>
      <w:pPr>
        <w:ind w:left="8387" w:hanging="581"/>
      </w:pPr>
      <w:rPr>
        <w:rFonts w:hint="default"/>
      </w:rPr>
    </w:lvl>
    <w:lvl w:ilvl="8">
      <w:start w:val="0"/>
      <w:numFmt w:val="bullet"/>
      <w:lvlText w:val="•"/>
      <w:lvlJc w:val="left"/>
      <w:pPr>
        <w:ind w:left="9159" w:hanging="581"/>
      </w:pPr>
      <w:rPr>
        <w:rFonts w:hint="default"/>
      </w:rPr>
    </w:lvl>
  </w:abstractNum>
  <w:abstractNum w:abstractNumId="20">
    <w:multiLevelType w:val="hybridMultilevel"/>
    <w:lvl w:ilvl="0">
      <w:start w:val="1"/>
      <w:numFmt w:val="decimal"/>
      <w:lvlText w:val="%1."/>
      <w:lvlJc w:val="left"/>
      <w:pPr>
        <w:ind w:left="2815" w:hanging="725"/>
        <w:jc w:val="left"/>
      </w:pPr>
      <w:rPr>
        <w:rFonts w:hint="default" w:ascii="宋体" w:hAnsi="宋体" w:eastAsia="宋体" w:cs="宋体"/>
        <w:b/>
        <w:bCs/>
        <w:w w:val="99"/>
        <w:sz w:val="20"/>
        <w:szCs w:val="20"/>
      </w:rPr>
    </w:lvl>
    <w:lvl w:ilvl="1">
      <w:start w:val="1"/>
      <w:numFmt w:val="decimal"/>
      <w:lvlText w:val="（%2）"/>
      <w:lvlJc w:val="left"/>
      <w:pPr>
        <w:ind w:left="3475" w:hanging="680"/>
        <w:jc w:val="left"/>
      </w:pPr>
      <w:rPr>
        <w:rFonts w:hint="default" w:ascii="宋体" w:hAnsi="宋体" w:eastAsia="宋体" w:cs="宋体"/>
        <w:w w:val="100"/>
        <w:sz w:val="20"/>
        <w:szCs w:val="20"/>
      </w:rPr>
    </w:lvl>
    <w:lvl w:ilvl="2">
      <w:start w:val="0"/>
      <w:numFmt w:val="bullet"/>
      <w:lvlText w:val="•"/>
      <w:lvlJc w:val="left"/>
      <w:pPr>
        <w:ind w:left="4282" w:hanging="680"/>
      </w:pPr>
      <w:rPr>
        <w:rFonts w:hint="default"/>
      </w:rPr>
    </w:lvl>
    <w:lvl w:ilvl="3">
      <w:start w:val="0"/>
      <w:numFmt w:val="bullet"/>
      <w:lvlText w:val="•"/>
      <w:lvlJc w:val="left"/>
      <w:pPr>
        <w:ind w:left="5085" w:hanging="680"/>
      </w:pPr>
      <w:rPr>
        <w:rFonts w:hint="default"/>
      </w:rPr>
    </w:lvl>
    <w:lvl w:ilvl="4">
      <w:start w:val="0"/>
      <w:numFmt w:val="bullet"/>
      <w:lvlText w:val="•"/>
      <w:lvlJc w:val="left"/>
      <w:pPr>
        <w:ind w:left="5888" w:hanging="680"/>
      </w:pPr>
      <w:rPr>
        <w:rFonts w:hint="default"/>
      </w:rPr>
    </w:lvl>
    <w:lvl w:ilvl="5">
      <w:start w:val="0"/>
      <w:numFmt w:val="bullet"/>
      <w:lvlText w:val="•"/>
      <w:lvlJc w:val="left"/>
      <w:pPr>
        <w:ind w:left="6690" w:hanging="680"/>
      </w:pPr>
      <w:rPr>
        <w:rFonts w:hint="default"/>
      </w:rPr>
    </w:lvl>
    <w:lvl w:ilvl="6">
      <w:start w:val="0"/>
      <w:numFmt w:val="bullet"/>
      <w:lvlText w:val="•"/>
      <w:lvlJc w:val="left"/>
      <w:pPr>
        <w:ind w:left="7493" w:hanging="680"/>
      </w:pPr>
      <w:rPr>
        <w:rFonts w:hint="default"/>
      </w:rPr>
    </w:lvl>
    <w:lvl w:ilvl="7">
      <w:start w:val="0"/>
      <w:numFmt w:val="bullet"/>
      <w:lvlText w:val="•"/>
      <w:lvlJc w:val="left"/>
      <w:pPr>
        <w:ind w:left="8296" w:hanging="680"/>
      </w:pPr>
      <w:rPr>
        <w:rFonts w:hint="default"/>
      </w:rPr>
    </w:lvl>
    <w:lvl w:ilvl="8">
      <w:start w:val="0"/>
      <w:numFmt w:val="bullet"/>
      <w:lvlText w:val="•"/>
      <w:lvlJc w:val="left"/>
      <w:pPr>
        <w:ind w:left="9098" w:hanging="680"/>
      </w:pPr>
      <w:rPr>
        <w:rFonts w:hint="default"/>
      </w:rPr>
    </w:lvl>
  </w:abstractNum>
  <w:abstractNum w:abstractNumId="19">
    <w:multiLevelType w:val="hybridMultilevel"/>
    <w:lvl w:ilvl="0">
      <w:start w:val="4"/>
      <w:numFmt w:val="decimal"/>
      <w:lvlText w:val="%1"/>
      <w:lvlJc w:val="left"/>
      <w:pPr>
        <w:ind w:left="949" w:hanging="720"/>
        <w:jc w:val="left"/>
      </w:pPr>
      <w:rPr>
        <w:rFonts w:hint="default"/>
      </w:rPr>
    </w:lvl>
    <w:lvl w:ilvl="1">
      <w:start w:val="1"/>
      <w:numFmt w:val="decimal"/>
      <w:lvlText w:val="%1.%2"/>
      <w:lvlJc w:val="left"/>
      <w:pPr>
        <w:ind w:left="2911" w:hanging="720"/>
        <w:jc w:val="left"/>
      </w:pPr>
      <w:rPr>
        <w:rFonts w:hint="default" w:ascii="宋体" w:hAnsi="宋体" w:eastAsia="宋体" w:cs="宋体"/>
        <w:b/>
        <w:bCs/>
        <w:w w:val="99"/>
        <w:sz w:val="20"/>
        <w:szCs w:val="20"/>
      </w:rPr>
    </w:lvl>
    <w:lvl w:ilvl="2">
      <w:start w:val="1"/>
      <w:numFmt w:val="decimal"/>
      <w:lvlText w:val="（%3）"/>
      <w:lvlJc w:val="left"/>
      <w:pPr>
        <w:ind w:left="3592" w:hanging="680"/>
        <w:jc w:val="left"/>
      </w:pPr>
      <w:rPr>
        <w:rFonts w:hint="default" w:ascii="宋体" w:hAnsi="宋体" w:eastAsia="宋体" w:cs="宋体"/>
        <w:w w:val="100"/>
        <w:sz w:val="20"/>
        <w:szCs w:val="20"/>
      </w:rPr>
    </w:lvl>
    <w:lvl w:ilvl="3">
      <w:start w:val="0"/>
      <w:numFmt w:val="bullet"/>
      <w:lvlText w:val="•"/>
      <w:lvlJc w:val="left"/>
      <w:pPr>
        <w:ind w:left="4480" w:hanging="680"/>
      </w:pPr>
      <w:rPr>
        <w:rFonts w:hint="default"/>
      </w:rPr>
    </w:lvl>
    <w:lvl w:ilvl="4">
      <w:start w:val="0"/>
      <w:numFmt w:val="bullet"/>
      <w:lvlText w:val="•"/>
      <w:lvlJc w:val="left"/>
      <w:pPr>
        <w:ind w:left="5361" w:hanging="680"/>
      </w:pPr>
      <w:rPr>
        <w:rFonts w:hint="default"/>
      </w:rPr>
    </w:lvl>
    <w:lvl w:ilvl="5">
      <w:start w:val="0"/>
      <w:numFmt w:val="bullet"/>
      <w:lvlText w:val="•"/>
      <w:lvlJc w:val="left"/>
      <w:pPr>
        <w:ind w:left="6241" w:hanging="680"/>
      </w:pPr>
      <w:rPr>
        <w:rFonts w:hint="default"/>
      </w:rPr>
    </w:lvl>
    <w:lvl w:ilvl="6">
      <w:start w:val="0"/>
      <w:numFmt w:val="bullet"/>
      <w:lvlText w:val="•"/>
      <w:lvlJc w:val="left"/>
      <w:pPr>
        <w:ind w:left="7122" w:hanging="680"/>
      </w:pPr>
      <w:rPr>
        <w:rFonts w:hint="default"/>
      </w:rPr>
    </w:lvl>
    <w:lvl w:ilvl="7">
      <w:start w:val="0"/>
      <w:numFmt w:val="bullet"/>
      <w:lvlText w:val="•"/>
      <w:lvlJc w:val="left"/>
      <w:pPr>
        <w:ind w:left="8002" w:hanging="680"/>
      </w:pPr>
      <w:rPr>
        <w:rFonts w:hint="default"/>
      </w:rPr>
    </w:lvl>
    <w:lvl w:ilvl="8">
      <w:start w:val="0"/>
      <w:numFmt w:val="bullet"/>
      <w:lvlText w:val="•"/>
      <w:lvlJc w:val="left"/>
      <w:pPr>
        <w:ind w:left="8883" w:hanging="680"/>
      </w:pPr>
      <w:rPr>
        <w:rFonts w:hint="default"/>
      </w:rPr>
    </w:lvl>
  </w:abstractNum>
  <w:abstractNum w:abstractNumId="18">
    <w:multiLevelType w:val="hybridMultilevel"/>
    <w:lvl w:ilvl="0">
      <w:start w:val="3"/>
      <w:numFmt w:val="decimal"/>
      <w:lvlText w:val="%1"/>
      <w:lvlJc w:val="left"/>
      <w:pPr>
        <w:ind w:left="931" w:hanging="720"/>
        <w:jc w:val="left"/>
      </w:pPr>
      <w:rPr>
        <w:rFonts w:hint="default"/>
      </w:rPr>
    </w:lvl>
    <w:lvl w:ilvl="1">
      <w:start w:val="1"/>
      <w:numFmt w:val="decimal"/>
      <w:lvlText w:val="%1.%2"/>
      <w:lvlJc w:val="left"/>
      <w:pPr>
        <w:ind w:left="931" w:hanging="720"/>
        <w:jc w:val="left"/>
      </w:pPr>
      <w:rPr>
        <w:rFonts w:hint="default" w:ascii="宋体" w:hAnsi="宋体" w:eastAsia="宋体" w:cs="宋体"/>
        <w:b/>
        <w:bCs/>
        <w:w w:val="99"/>
        <w:sz w:val="20"/>
        <w:szCs w:val="20"/>
      </w:rPr>
    </w:lvl>
    <w:lvl w:ilvl="2">
      <w:start w:val="0"/>
      <w:numFmt w:val="bullet"/>
      <w:lvlText w:val="•"/>
      <w:lvlJc w:val="left"/>
      <w:pPr>
        <w:ind w:left="1295" w:hanging="720"/>
      </w:pPr>
      <w:rPr>
        <w:rFonts w:hint="default"/>
      </w:rPr>
    </w:lvl>
    <w:lvl w:ilvl="3">
      <w:start w:val="0"/>
      <w:numFmt w:val="bullet"/>
      <w:lvlText w:val="•"/>
      <w:lvlJc w:val="left"/>
      <w:pPr>
        <w:ind w:left="1473" w:hanging="720"/>
      </w:pPr>
      <w:rPr>
        <w:rFonts w:hint="default"/>
      </w:rPr>
    </w:lvl>
    <w:lvl w:ilvl="4">
      <w:start w:val="0"/>
      <w:numFmt w:val="bullet"/>
      <w:lvlText w:val="•"/>
      <w:lvlJc w:val="left"/>
      <w:pPr>
        <w:ind w:left="1650" w:hanging="720"/>
      </w:pPr>
      <w:rPr>
        <w:rFonts w:hint="default"/>
      </w:rPr>
    </w:lvl>
    <w:lvl w:ilvl="5">
      <w:start w:val="0"/>
      <w:numFmt w:val="bullet"/>
      <w:lvlText w:val="•"/>
      <w:lvlJc w:val="left"/>
      <w:pPr>
        <w:ind w:left="1828" w:hanging="720"/>
      </w:pPr>
      <w:rPr>
        <w:rFonts w:hint="default"/>
      </w:rPr>
    </w:lvl>
    <w:lvl w:ilvl="6">
      <w:start w:val="0"/>
      <w:numFmt w:val="bullet"/>
      <w:lvlText w:val="•"/>
      <w:lvlJc w:val="left"/>
      <w:pPr>
        <w:ind w:left="2006" w:hanging="720"/>
      </w:pPr>
      <w:rPr>
        <w:rFonts w:hint="default"/>
      </w:rPr>
    </w:lvl>
    <w:lvl w:ilvl="7">
      <w:start w:val="0"/>
      <w:numFmt w:val="bullet"/>
      <w:lvlText w:val="•"/>
      <w:lvlJc w:val="left"/>
      <w:pPr>
        <w:ind w:left="2183" w:hanging="720"/>
      </w:pPr>
      <w:rPr>
        <w:rFonts w:hint="default"/>
      </w:rPr>
    </w:lvl>
    <w:lvl w:ilvl="8">
      <w:start w:val="0"/>
      <w:numFmt w:val="bullet"/>
      <w:lvlText w:val="•"/>
      <w:lvlJc w:val="left"/>
      <w:pPr>
        <w:ind w:left="2361" w:hanging="720"/>
      </w:pPr>
      <w:rPr>
        <w:rFonts w:hint="default"/>
      </w:rPr>
    </w:lvl>
  </w:abstractNum>
  <w:abstractNum w:abstractNumId="17">
    <w:multiLevelType w:val="hybridMultilevel"/>
    <w:lvl w:ilvl="0">
      <w:start w:val="1"/>
      <w:numFmt w:val="decimal"/>
      <w:lvlText w:val="(%1)"/>
      <w:lvlJc w:val="left"/>
      <w:pPr>
        <w:ind w:left="3151" w:hanging="420"/>
        <w:jc w:val="left"/>
      </w:pPr>
      <w:rPr>
        <w:rFonts w:hint="default" w:ascii="宋体" w:hAnsi="宋体" w:eastAsia="宋体" w:cs="宋体"/>
        <w:b/>
        <w:bCs/>
        <w:w w:val="99"/>
        <w:sz w:val="20"/>
        <w:szCs w:val="20"/>
      </w:rPr>
    </w:lvl>
    <w:lvl w:ilvl="1">
      <w:start w:val="0"/>
      <w:numFmt w:val="bullet"/>
      <w:lvlText w:val="•"/>
      <w:lvlJc w:val="left"/>
      <w:pPr>
        <w:ind w:left="3890" w:hanging="420"/>
      </w:pPr>
      <w:rPr>
        <w:rFonts w:hint="default"/>
      </w:rPr>
    </w:lvl>
    <w:lvl w:ilvl="2">
      <w:start w:val="0"/>
      <w:numFmt w:val="bullet"/>
      <w:lvlText w:val="•"/>
      <w:lvlJc w:val="left"/>
      <w:pPr>
        <w:ind w:left="4620" w:hanging="420"/>
      </w:pPr>
      <w:rPr>
        <w:rFonts w:hint="default"/>
      </w:rPr>
    </w:lvl>
    <w:lvl w:ilvl="3">
      <w:start w:val="0"/>
      <w:numFmt w:val="bullet"/>
      <w:lvlText w:val="•"/>
      <w:lvlJc w:val="left"/>
      <w:pPr>
        <w:ind w:left="5351" w:hanging="420"/>
      </w:pPr>
      <w:rPr>
        <w:rFonts w:hint="default"/>
      </w:rPr>
    </w:lvl>
    <w:lvl w:ilvl="4">
      <w:start w:val="0"/>
      <w:numFmt w:val="bullet"/>
      <w:lvlText w:val="•"/>
      <w:lvlJc w:val="left"/>
      <w:pPr>
        <w:ind w:left="6081" w:hanging="420"/>
      </w:pPr>
      <w:rPr>
        <w:rFonts w:hint="default"/>
      </w:rPr>
    </w:lvl>
    <w:lvl w:ilvl="5">
      <w:start w:val="0"/>
      <w:numFmt w:val="bullet"/>
      <w:lvlText w:val="•"/>
      <w:lvlJc w:val="left"/>
      <w:pPr>
        <w:ind w:left="6812" w:hanging="420"/>
      </w:pPr>
      <w:rPr>
        <w:rFonts w:hint="default"/>
      </w:rPr>
    </w:lvl>
    <w:lvl w:ilvl="6">
      <w:start w:val="0"/>
      <w:numFmt w:val="bullet"/>
      <w:lvlText w:val="•"/>
      <w:lvlJc w:val="left"/>
      <w:pPr>
        <w:ind w:left="7542" w:hanging="420"/>
      </w:pPr>
      <w:rPr>
        <w:rFonts w:hint="default"/>
      </w:rPr>
    </w:lvl>
    <w:lvl w:ilvl="7">
      <w:start w:val="0"/>
      <w:numFmt w:val="bullet"/>
      <w:lvlText w:val="•"/>
      <w:lvlJc w:val="left"/>
      <w:pPr>
        <w:ind w:left="8273" w:hanging="420"/>
      </w:pPr>
      <w:rPr>
        <w:rFonts w:hint="default"/>
      </w:rPr>
    </w:lvl>
    <w:lvl w:ilvl="8">
      <w:start w:val="0"/>
      <w:numFmt w:val="bullet"/>
      <w:lvlText w:val="•"/>
      <w:lvlJc w:val="left"/>
      <w:pPr>
        <w:ind w:left="9003" w:hanging="420"/>
      </w:pPr>
      <w:rPr>
        <w:rFonts w:hint="default"/>
      </w:rPr>
    </w:lvl>
  </w:abstractNum>
  <w:abstractNum w:abstractNumId="16">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1"/>
      <w:numFmt w:val="decimal"/>
      <w:lvlText w:val="(%2)"/>
      <w:lvlJc w:val="left"/>
      <w:pPr>
        <w:ind w:left="3151" w:hanging="420"/>
        <w:jc w:val="left"/>
      </w:pPr>
      <w:rPr>
        <w:rFonts w:hint="default" w:ascii="宋体" w:hAnsi="宋体" w:eastAsia="宋体" w:cs="宋体"/>
        <w:spacing w:val="-1"/>
        <w:w w:val="100"/>
        <w:sz w:val="20"/>
        <w:szCs w:val="20"/>
      </w:rPr>
    </w:lvl>
    <w:lvl w:ilvl="2">
      <w:start w:val="0"/>
      <w:numFmt w:val="bullet"/>
      <w:lvlText w:val="•"/>
      <w:lvlJc w:val="left"/>
      <w:pPr>
        <w:ind w:left="3675" w:hanging="420"/>
      </w:pPr>
      <w:rPr>
        <w:rFonts w:hint="default"/>
      </w:rPr>
    </w:lvl>
    <w:lvl w:ilvl="3">
      <w:start w:val="0"/>
      <w:numFmt w:val="bullet"/>
      <w:lvlText w:val="•"/>
      <w:lvlJc w:val="left"/>
      <w:pPr>
        <w:ind w:left="4190" w:hanging="420"/>
      </w:pPr>
      <w:rPr>
        <w:rFonts w:hint="default"/>
      </w:rPr>
    </w:lvl>
    <w:lvl w:ilvl="4">
      <w:start w:val="0"/>
      <w:numFmt w:val="bullet"/>
      <w:lvlText w:val="•"/>
      <w:lvlJc w:val="left"/>
      <w:pPr>
        <w:ind w:left="4706" w:hanging="420"/>
      </w:pPr>
      <w:rPr>
        <w:rFonts w:hint="default"/>
      </w:rPr>
    </w:lvl>
    <w:lvl w:ilvl="5">
      <w:start w:val="0"/>
      <w:numFmt w:val="bullet"/>
      <w:lvlText w:val="•"/>
      <w:lvlJc w:val="left"/>
      <w:pPr>
        <w:ind w:left="5221" w:hanging="420"/>
      </w:pPr>
      <w:rPr>
        <w:rFonts w:hint="default"/>
      </w:rPr>
    </w:lvl>
    <w:lvl w:ilvl="6">
      <w:start w:val="0"/>
      <w:numFmt w:val="bullet"/>
      <w:lvlText w:val="•"/>
      <w:lvlJc w:val="left"/>
      <w:pPr>
        <w:ind w:left="5737" w:hanging="420"/>
      </w:pPr>
      <w:rPr>
        <w:rFonts w:hint="default"/>
      </w:rPr>
    </w:lvl>
    <w:lvl w:ilvl="7">
      <w:start w:val="0"/>
      <w:numFmt w:val="bullet"/>
      <w:lvlText w:val="•"/>
      <w:lvlJc w:val="left"/>
      <w:pPr>
        <w:ind w:left="6252" w:hanging="420"/>
      </w:pPr>
      <w:rPr>
        <w:rFonts w:hint="default"/>
      </w:rPr>
    </w:lvl>
    <w:lvl w:ilvl="8">
      <w:start w:val="0"/>
      <w:numFmt w:val="bullet"/>
      <w:lvlText w:val="•"/>
      <w:lvlJc w:val="left"/>
      <w:pPr>
        <w:ind w:left="6768" w:hanging="420"/>
      </w:pPr>
      <w:rPr>
        <w:rFonts w:hint="default"/>
      </w:rPr>
    </w:lvl>
  </w:abstractNum>
  <w:abstractNum w:abstractNumId="15">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0"/>
      <w:numFmt w:val="bullet"/>
      <w:lvlText w:val="•"/>
      <w:lvlJc w:val="left"/>
      <w:pPr>
        <w:ind w:left="1309" w:hanging="420"/>
      </w:pPr>
      <w:rPr>
        <w:rFonts w:hint="default"/>
      </w:rPr>
    </w:lvl>
    <w:lvl w:ilvl="2">
      <w:start w:val="0"/>
      <w:numFmt w:val="bullet"/>
      <w:lvlText w:val="•"/>
      <w:lvlJc w:val="left"/>
      <w:pPr>
        <w:ind w:left="2039" w:hanging="420"/>
      </w:pPr>
      <w:rPr>
        <w:rFonts w:hint="default"/>
      </w:rPr>
    </w:lvl>
    <w:lvl w:ilvl="3">
      <w:start w:val="0"/>
      <w:numFmt w:val="bullet"/>
      <w:lvlText w:val="•"/>
      <w:lvlJc w:val="left"/>
      <w:pPr>
        <w:ind w:left="2769" w:hanging="420"/>
      </w:pPr>
      <w:rPr>
        <w:rFonts w:hint="default"/>
      </w:rPr>
    </w:lvl>
    <w:lvl w:ilvl="4">
      <w:start w:val="0"/>
      <w:numFmt w:val="bullet"/>
      <w:lvlText w:val="•"/>
      <w:lvlJc w:val="left"/>
      <w:pPr>
        <w:ind w:left="3499" w:hanging="420"/>
      </w:pPr>
      <w:rPr>
        <w:rFonts w:hint="default"/>
      </w:rPr>
    </w:lvl>
    <w:lvl w:ilvl="5">
      <w:start w:val="0"/>
      <w:numFmt w:val="bullet"/>
      <w:lvlText w:val="•"/>
      <w:lvlJc w:val="left"/>
      <w:pPr>
        <w:ind w:left="4229" w:hanging="420"/>
      </w:pPr>
      <w:rPr>
        <w:rFonts w:hint="default"/>
      </w:rPr>
    </w:lvl>
    <w:lvl w:ilvl="6">
      <w:start w:val="0"/>
      <w:numFmt w:val="bullet"/>
      <w:lvlText w:val="•"/>
      <w:lvlJc w:val="left"/>
      <w:pPr>
        <w:ind w:left="4959" w:hanging="420"/>
      </w:pPr>
      <w:rPr>
        <w:rFonts w:hint="default"/>
      </w:rPr>
    </w:lvl>
    <w:lvl w:ilvl="7">
      <w:start w:val="0"/>
      <w:numFmt w:val="bullet"/>
      <w:lvlText w:val="•"/>
      <w:lvlJc w:val="left"/>
      <w:pPr>
        <w:ind w:left="5689" w:hanging="420"/>
      </w:pPr>
      <w:rPr>
        <w:rFonts w:hint="default"/>
      </w:rPr>
    </w:lvl>
    <w:lvl w:ilvl="8">
      <w:start w:val="0"/>
      <w:numFmt w:val="bullet"/>
      <w:lvlText w:val="•"/>
      <w:lvlJc w:val="left"/>
      <w:pPr>
        <w:ind w:left="6419" w:hanging="420"/>
      </w:pPr>
      <w:rPr>
        <w:rFonts w:hint="default"/>
      </w:rPr>
    </w:lvl>
  </w:abstractNum>
  <w:abstractNum w:abstractNumId="14">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8" w:hanging="420"/>
      </w:pPr>
      <w:rPr>
        <w:rFonts w:hint="default"/>
      </w:rPr>
    </w:lvl>
    <w:lvl w:ilvl="2">
      <w:start w:val="0"/>
      <w:numFmt w:val="bullet"/>
      <w:lvlText w:val="•"/>
      <w:lvlJc w:val="left"/>
      <w:pPr>
        <w:ind w:left="4616" w:hanging="420"/>
      </w:pPr>
      <w:rPr>
        <w:rFonts w:hint="default"/>
      </w:rPr>
    </w:lvl>
    <w:lvl w:ilvl="3">
      <w:start w:val="0"/>
      <w:numFmt w:val="bullet"/>
      <w:lvlText w:val="•"/>
      <w:lvlJc w:val="left"/>
      <w:pPr>
        <w:ind w:left="5345" w:hanging="420"/>
      </w:pPr>
      <w:rPr>
        <w:rFonts w:hint="default"/>
      </w:rPr>
    </w:lvl>
    <w:lvl w:ilvl="4">
      <w:start w:val="0"/>
      <w:numFmt w:val="bullet"/>
      <w:lvlText w:val="•"/>
      <w:lvlJc w:val="left"/>
      <w:pPr>
        <w:ind w:left="6073"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0" w:hanging="420"/>
      </w:pPr>
      <w:rPr>
        <w:rFonts w:hint="default"/>
      </w:rPr>
    </w:lvl>
    <w:lvl w:ilvl="7">
      <w:start w:val="0"/>
      <w:numFmt w:val="bullet"/>
      <w:lvlText w:val="•"/>
      <w:lvlJc w:val="left"/>
      <w:pPr>
        <w:ind w:left="8259" w:hanging="420"/>
      </w:pPr>
      <w:rPr>
        <w:rFonts w:hint="default"/>
      </w:rPr>
    </w:lvl>
    <w:lvl w:ilvl="8">
      <w:start w:val="0"/>
      <w:numFmt w:val="bullet"/>
      <w:lvlText w:val="•"/>
      <w:lvlJc w:val="left"/>
      <w:pPr>
        <w:ind w:left="8987" w:hanging="420"/>
      </w:pPr>
      <w:rPr>
        <w:rFonts w:hint="default"/>
      </w:rPr>
    </w:lvl>
  </w:abstractNum>
  <w:abstractNum w:abstractNumId="13">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8" w:hanging="420"/>
      </w:pPr>
      <w:rPr>
        <w:rFonts w:hint="default"/>
      </w:rPr>
    </w:lvl>
    <w:lvl w:ilvl="2">
      <w:start w:val="0"/>
      <w:numFmt w:val="bullet"/>
      <w:lvlText w:val="•"/>
      <w:lvlJc w:val="left"/>
      <w:pPr>
        <w:ind w:left="4616" w:hanging="420"/>
      </w:pPr>
      <w:rPr>
        <w:rFonts w:hint="default"/>
      </w:rPr>
    </w:lvl>
    <w:lvl w:ilvl="3">
      <w:start w:val="0"/>
      <w:numFmt w:val="bullet"/>
      <w:lvlText w:val="•"/>
      <w:lvlJc w:val="left"/>
      <w:pPr>
        <w:ind w:left="5345" w:hanging="420"/>
      </w:pPr>
      <w:rPr>
        <w:rFonts w:hint="default"/>
      </w:rPr>
    </w:lvl>
    <w:lvl w:ilvl="4">
      <w:start w:val="0"/>
      <w:numFmt w:val="bullet"/>
      <w:lvlText w:val="•"/>
      <w:lvlJc w:val="left"/>
      <w:pPr>
        <w:ind w:left="6073" w:hanging="420"/>
      </w:pPr>
      <w:rPr>
        <w:rFonts w:hint="default"/>
      </w:rPr>
    </w:lvl>
    <w:lvl w:ilvl="5">
      <w:start w:val="0"/>
      <w:numFmt w:val="bullet"/>
      <w:lvlText w:val="•"/>
      <w:lvlJc w:val="left"/>
      <w:pPr>
        <w:ind w:left="6802" w:hanging="420"/>
      </w:pPr>
      <w:rPr>
        <w:rFonts w:hint="default"/>
      </w:rPr>
    </w:lvl>
    <w:lvl w:ilvl="6">
      <w:start w:val="0"/>
      <w:numFmt w:val="bullet"/>
      <w:lvlText w:val="•"/>
      <w:lvlJc w:val="left"/>
      <w:pPr>
        <w:ind w:left="7530" w:hanging="420"/>
      </w:pPr>
      <w:rPr>
        <w:rFonts w:hint="default"/>
      </w:rPr>
    </w:lvl>
    <w:lvl w:ilvl="7">
      <w:start w:val="0"/>
      <w:numFmt w:val="bullet"/>
      <w:lvlText w:val="•"/>
      <w:lvlJc w:val="left"/>
      <w:pPr>
        <w:ind w:left="8259" w:hanging="420"/>
      </w:pPr>
      <w:rPr>
        <w:rFonts w:hint="default"/>
      </w:rPr>
    </w:lvl>
    <w:lvl w:ilvl="8">
      <w:start w:val="0"/>
      <w:numFmt w:val="bullet"/>
      <w:lvlText w:val="•"/>
      <w:lvlJc w:val="left"/>
      <w:pPr>
        <w:ind w:left="8987" w:hanging="420"/>
      </w:pPr>
      <w:rPr>
        <w:rFonts w:hint="default"/>
      </w:rPr>
    </w:lvl>
  </w:abstractNum>
  <w:abstractNum w:abstractNumId="12">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1"/>
      <w:numFmt w:val="decimal"/>
      <w:lvlText w:val="(%2)"/>
      <w:lvlJc w:val="left"/>
      <w:pPr>
        <w:ind w:left="3151" w:hanging="420"/>
        <w:jc w:val="left"/>
      </w:pPr>
      <w:rPr>
        <w:rFonts w:hint="default" w:ascii="宋体" w:hAnsi="宋体" w:eastAsia="宋体" w:cs="宋体"/>
        <w:spacing w:val="-1"/>
        <w:w w:val="100"/>
        <w:sz w:val="20"/>
        <w:szCs w:val="20"/>
      </w:rPr>
    </w:lvl>
    <w:lvl w:ilvl="2">
      <w:start w:val="0"/>
      <w:numFmt w:val="bullet"/>
      <w:lvlText w:val="•"/>
      <w:lvlJc w:val="left"/>
      <w:pPr>
        <w:ind w:left="3684" w:hanging="420"/>
      </w:pPr>
      <w:rPr>
        <w:rFonts w:hint="default"/>
      </w:rPr>
    </w:lvl>
    <w:lvl w:ilvl="3">
      <w:start w:val="0"/>
      <w:numFmt w:val="bullet"/>
      <w:lvlText w:val="•"/>
      <w:lvlJc w:val="left"/>
      <w:pPr>
        <w:ind w:left="4208" w:hanging="420"/>
      </w:pPr>
      <w:rPr>
        <w:rFonts w:hint="default"/>
      </w:rPr>
    </w:lvl>
    <w:lvl w:ilvl="4">
      <w:start w:val="0"/>
      <w:numFmt w:val="bullet"/>
      <w:lvlText w:val="•"/>
      <w:lvlJc w:val="left"/>
      <w:pPr>
        <w:ind w:left="4733" w:hanging="420"/>
      </w:pPr>
      <w:rPr>
        <w:rFonts w:hint="default"/>
      </w:rPr>
    </w:lvl>
    <w:lvl w:ilvl="5">
      <w:start w:val="0"/>
      <w:numFmt w:val="bullet"/>
      <w:lvlText w:val="•"/>
      <w:lvlJc w:val="left"/>
      <w:pPr>
        <w:ind w:left="5257" w:hanging="420"/>
      </w:pPr>
      <w:rPr>
        <w:rFonts w:hint="default"/>
      </w:rPr>
    </w:lvl>
    <w:lvl w:ilvl="6">
      <w:start w:val="0"/>
      <w:numFmt w:val="bullet"/>
      <w:lvlText w:val="•"/>
      <w:lvlJc w:val="left"/>
      <w:pPr>
        <w:ind w:left="5781" w:hanging="420"/>
      </w:pPr>
      <w:rPr>
        <w:rFonts w:hint="default"/>
      </w:rPr>
    </w:lvl>
    <w:lvl w:ilvl="7">
      <w:start w:val="0"/>
      <w:numFmt w:val="bullet"/>
      <w:lvlText w:val="•"/>
      <w:lvlJc w:val="left"/>
      <w:pPr>
        <w:ind w:left="6306" w:hanging="420"/>
      </w:pPr>
      <w:rPr>
        <w:rFonts w:hint="default"/>
      </w:rPr>
    </w:lvl>
    <w:lvl w:ilvl="8">
      <w:start w:val="0"/>
      <w:numFmt w:val="bullet"/>
      <w:lvlText w:val="•"/>
      <w:lvlJc w:val="left"/>
      <w:pPr>
        <w:ind w:left="6830" w:hanging="420"/>
      </w:pPr>
      <w:rPr>
        <w:rFonts w:hint="default"/>
      </w:rPr>
    </w:lvl>
  </w:abstractNum>
  <w:abstractNum w:abstractNumId="11">
    <w:multiLevelType w:val="hybridMultilevel"/>
    <w:lvl w:ilvl="0">
      <w:start w:val="1"/>
      <w:numFmt w:val="decimal"/>
      <w:lvlText w:val="（%1）"/>
      <w:lvlJc w:val="left"/>
      <w:pPr>
        <w:ind w:left="854" w:hanging="680"/>
        <w:jc w:val="left"/>
      </w:pPr>
      <w:rPr>
        <w:rFonts w:hint="default" w:ascii="宋体" w:hAnsi="宋体" w:eastAsia="宋体" w:cs="宋体"/>
        <w:w w:val="100"/>
        <w:sz w:val="20"/>
        <w:szCs w:val="20"/>
      </w:rPr>
    </w:lvl>
    <w:lvl w:ilvl="1">
      <w:start w:val="1"/>
      <w:numFmt w:val="decimal"/>
      <w:lvlText w:val="（%2）"/>
      <w:lvlJc w:val="left"/>
      <w:pPr>
        <w:ind w:left="3343" w:hanging="540"/>
        <w:jc w:val="left"/>
      </w:pPr>
      <w:rPr>
        <w:rFonts w:hint="default" w:ascii="宋体" w:hAnsi="宋体" w:eastAsia="宋体" w:cs="宋体"/>
        <w:w w:val="100"/>
        <w:sz w:val="20"/>
        <w:szCs w:val="20"/>
      </w:rPr>
    </w:lvl>
    <w:lvl w:ilvl="2">
      <w:start w:val="0"/>
      <w:numFmt w:val="bullet"/>
      <w:lvlText w:val="•"/>
      <w:lvlJc w:val="left"/>
      <w:pPr>
        <w:ind w:left="3836" w:hanging="540"/>
      </w:pPr>
      <w:rPr>
        <w:rFonts w:hint="default"/>
      </w:rPr>
    </w:lvl>
    <w:lvl w:ilvl="3">
      <w:start w:val="0"/>
      <w:numFmt w:val="bullet"/>
      <w:lvlText w:val="•"/>
      <w:lvlJc w:val="left"/>
      <w:pPr>
        <w:ind w:left="4332" w:hanging="540"/>
      </w:pPr>
      <w:rPr>
        <w:rFonts w:hint="default"/>
      </w:rPr>
    </w:lvl>
    <w:lvl w:ilvl="4">
      <w:start w:val="0"/>
      <w:numFmt w:val="bullet"/>
      <w:lvlText w:val="•"/>
      <w:lvlJc w:val="left"/>
      <w:pPr>
        <w:ind w:left="4829" w:hanging="540"/>
      </w:pPr>
      <w:rPr>
        <w:rFonts w:hint="default"/>
      </w:rPr>
    </w:lvl>
    <w:lvl w:ilvl="5">
      <w:start w:val="0"/>
      <w:numFmt w:val="bullet"/>
      <w:lvlText w:val="•"/>
      <w:lvlJc w:val="left"/>
      <w:pPr>
        <w:ind w:left="5325" w:hanging="540"/>
      </w:pPr>
      <w:rPr>
        <w:rFonts w:hint="default"/>
      </w:rPr>
    </w:lvl>
    <w:lvl w:ilvl="6">
      <w:start w:val="0"/>
      <w:numFmt w:val="bullet"/>
      <w:lvlText w:val="•"/>
      <w:lvlJc w:val="left"/>
      <w:pPr>
        <w:ind w:left="5822" w:hanging="540"/>
      </w:pPr>
      <w:rPr>
        <w:rFonts w:hint="default"/>
      </w:rPr>
    </w:lvl>
    <w:lvl w:ilvl="7">
      <w:start w:val="0"/>
      <w:numFmt w:val="bullet"/>
      <w:lvlText w:val="•"/>
      <w:lvlJc w:val="left"/>
      <w:pPr>
        <w:ind w:left="6318" w:hanging="540"/>
      </w:pPr>
      <w:rPr>
        <w:rFonts w:hint="default"/>
      </w:rPr>
    </w:lvl>
    <w:lvl w:ilvl="8">
      <w:start w:val="0"/>
      <w:numFmt w:val="bullet"/>
      <w:lvlText w:val="•"/>
      <w:lvlJc w:val="left"/>
      <w:pPr>
        <w:ind w:left="6815" w:hanging="540"/>
      </w:pPr>
      <w:rPr>
        <w:rFonts w:hint="default"/>
      </w:rPr>
    </w:lvl>
  </w:abstractNum>
  <w:abstractNum w:abstractNumId="10">
    <w:multiLevelType w:val="hybridMultilevel"/>
    <w:lvl w:ilvl="0">
      <w:start w:val="1"/>
      <w:numFmt w:val="decimal"/>
      <w:lvlText w:val="（%1）"/>
      <w:lvlJc w:val="left"/>
      <w:pPr>
        <w:ind w:left="3411" w:hanging="680"/>
        <w:jc w:val="left"/>
      </w:pPr>
      <w:rPr>
        <w:rFonts w:hint="default" w:ascii="宋体" w:hAnsi="宋体" w:eastAsia="宋体" w:cs="宋体"/>
        <w:w w:val="100"/>
        <w:sz w:val="20"/>
        <w:szCs w:val="20"/>
      </w:rPr>
    </w:lvl>
    <w:lvl w:ilvl="1">
      <w:start w:val="0"/>
      <w:numFmt w:val="bullet"/>
      <w:lvlText w:val="•"/>
      <w:lvlJc w:val="left"/>
      <w:pPr>
        <w:ind w:left="4114" w:hanging="680"/>
      </w:pPr>
      <w:rPr>
        <w:rFonts w:hint="default"/>
      </w:rPr>
    </w:lvl>
    <w:lvl w:ilvl="2">
      <w:start w:val="0"/>
      <w:numFmt w:val="bullet"/>
      <w:lvlText w:val="•"/>
      <w:lvlJc w:val="left"/>
      <w:pPr>
        <w:ind w:left="4808" w:hanging="680"/>
      </w:pPr>
      <w:rPr>
        <w:rFonts w:hint="default"/>
      </w:rPr>
    </w:lvl>
    <w:lvl w:ilvl="3">
      <w:start w:val="0"/>
      <w:numFmt w:val="bullet"/>
      <w:lvlText w:val="•"/>
      <w:lvlJc w:val="left"/>
      <w:pPr>
        <w:ind w:left="5503" w:hanging="680"/>
      </w:pPr>
      <w:rPr>
        <w:rFonts w:hint="default"/>
      </w:rPr>
    </w:lvl>
    <w:lvl w:ilvl="4">
      <w:start w:val="0"/>
      <w:numFmt w:val="bullet"/>
      <w:lvlText w:val="•"/>
      <w:lvlJc w:val="left"/>
      <w:pPr>
        <w:ind w:left="6197" w:hanging="680"/>
      </w:pPr>
      <w:rPr>
        <w:rFonts w:hint="default"/>
      </w:rPr>
    </w:lvl>
    <w:lvl w:ilvl="5">
      <w:start w:val="0"/>
      <w:numFmt w:val="bullet"/>
      <w:lvlText w:val="•"/>
      <w:lvlJc w:val="left"/>
      <w:pPr>
        <w:ind w:left="6892" w:hanging="680"/>
      </w:pPr>
      <w:rPr>
        <w:rFonts w:hint="default"/>
      </w:rPr>
    </w:lvl>
    <w:lvl w:ilvl="6">
      <w:start w:val="0"/>
      <w:numFmt w:val="bullet"/>
      <w:lvlText w:val="•"/>
      <w:lvlJc w:val="left"/>
      <w:pPr>
        <w:ind w:left="7586" w:hanging="680"/>
      </w:pPr>
      <w:rPr>
        <w:rFonts w:hint="default"/>
      </w:rPr>
    </w:lvl>
    <w:lvl w:ilvl="7">
      <w:start w:val="0"/>
      <w:numFmt w:val="bullet"/>
      <w:lvlText w:val="•"/>
      <w:lvlJc w:val="left"/>
      <w:pPr>
        <w:ind w:left="8281" w:hanging="680"/>
      </w:pPr>
      <w:rPr>
        <w:rFonts w:hint="default"/>
      </w:rPr>
    </w:lvl>
    <w:lvl w:ilvl="8">
      <w:start w:val="0"/>
      <w:numFmt w:val="bullet"/>
      <w:lvlText w:val="•"/>
      <w:lvlJc w:val="left"/>
      <w:pPr>
        <w:ind w:left="8975" w:hanging="680"/>
      </w:pPr>
      <w:rPr>
        <w:rFonts w:hint="default"/>
      </w:rPr>
    </w:lvl>
  </w:abstractNum>
  <w:abstractNum w:abstractNumId="9">
    <w:multiLevelType w:val="hybridMultilevel"/>
    <w:lvl w:ilvl="0">
      <w:start w:val="1"/>
      <w:numFmt w:val="decimal"/>
      <w:lvlText w:val="（%1）"/>
      <w:lvlJc w:val="left"/>
      <w:pPr>
        <w:ind w:left="3411" w:hanging="608"/>
        <w:jc w:val="left"/>
      </w:pPr>
      <w:rPr>
        <w:rFonts w:hint="default" w:ascii="宋体" w:hAnsi="宋体" w:eastAsia="宋体" w:cs="宋体"/>
        <w:w w:val="100"/>
        <w:sz w:val="20"/>
        <w:szCs w:val="20"/>
      </w:rPr>
    </w:lvl>
    <w:lvl w:ilvl="1">
      <w:start w:val="0"/>
      <w:numFmt w:val="bullet"/>
      <w:lvlText w:val="•"/>
      <w:lvlJc w:val="left"/>
      <w:pPr>
        <w:ind w:left="4114" w:hanging="608"/>
      </w:pPr>
      <w:rPr>
        <w:rFonts w:hint="default"/>
      </w:rPr>
    </w:lvl>
    <w:lvl w:ilvl="2">
      <w:start w:val="0"/>
      <w:numFmt w:val="bullet"/>
      <w:lvlText w:val="•"/>
      <w:lvlJc w:val="left"/>
      <w:pPr>
        <w:ind w:left="4808" w:hanging="608"/>
      </w:pPr>
      <w:rPr>
        <w:rFonts w:hint="default"/>
      </w:rPr>
    </w:lvl>
    <w:lvl w:ilvl="3">
      <w:start w:val="0"/>
      <w:numFmt w:val="bullet"/>
      <w:lvlText w:val="•"/>
      <w:lvlJc w:val="left"/>
      <w:pPr>
        <w:ind w:left="5503" w:hanging="608"/>
      </w:pPr>
      <w:rPr>
        <w:rFonts w:hint="default"/>
      </w:rPr>
    </w:lvl>
    <w:lvl w:ilvl="4">
      <w:start w:val="0"/>
      <w:numFmt w:val="bullet"/>
      <w:lvlText w:val="•"/>
      <w:lvlJc w:val="left"/>
      <w:pPr>
        <w:ind w:left="6197" w:hanging="608"/>
      </w:pPr>
      <w:rPr>
        <w:rFonts w:hint="default"/>
      </w:rPr>
    </w:lvl>
    <w:lvl w:ilvl="5">
      <w:start w:val="0"/>
      <w:numFmt w:val="bullet"/>
      <w:lvlText w:val="•"/>
      <w:lvlJc w:val="left"/>
      <w:pPr>
        <w:ind w:left="6892" w:hanging="608"/>
      </w:pPr>
      <w:rPr>
        <w:rFonts w:hint="default"/>
      </w:rPr>
    </w:lvl>
    <w:lvl w:ilvl="6">
      <w:start w:val="0"/>
      <w:numFmt w:val="bullet"/>
      <w:lvlText w:val="•"/>
      <w:lvlJc w:val="left"/>
      <w:pPr>
        <w:ind w:left="7586" w:hanging="608"/>
      </w:pPr>
      <w:rPr>
        <w:rFonts w:hint="default"/>
      </w:rPr>
    </w:lvl>
    <w:lvl w:ilvl="7">
      <w:start w:val="0"/>
      <w:numFmt w:val="bullet"/>
      <w:lvlText w:val="•"/>
      <w:lvlJc w:val="left"/>
      <w:pPr>
        <w:ind w:left="8281" w:hanging="608"/>
      </w:pPr>
      <w:rPr>
        <w:rFonts w:hint="default"/>
      </w:rPr>
    </w:lvl>
    <w:lvl w:ilvl="8">
      <w:start w:val="0"/>
      <w:numFmt w:val="bullet"/>
      <w:lvlText w:val="•"/>
      <w:lvlJc w:val="left"/>
      <w:pPr>
        <w:ind w:left="8975" w:hanging="608"/>
      </w:pPr>
      <w:rPr>
        <w:rFonts w:hint="default"/>
      </w:rPr>
    </w:lvl>
  </w:abstractNum>
  <w:abstractNum w:abstractNumId="8">
    <w:multiLevelType w:val="hybridMultilevel"/>
    <w:lvl w:ilvl="0">
      <w:start w:val="1"/>
      <w:numFmt w:val="decimal"/>
      <w:lvlText w:val="（%1）"/>
      <w:lvlJc w:val="left"/>
      <w:pPr>
        <w:ind w:left="3491" w:hanging="609"/>
        <w:jc w:val="right"/>
      </w:pPr>
      <w:rPr>
        <w:rFonts w:hint="default" w:ascii="宋体" w:hAnsi="宋体" w:eastAsia="宋体" w:cs="宋体"/>
        <w:b/>
        <w:bCs/>
        <w:w w:val="99"/>
        <w:sz w:val="20"/>
        <w:szCs w:val="20"/>
      </w:rPr>
    </w:lvl>
    <w:lvl w:ilvl="1">
      <w:start w:val="0"/>
      <w:numFmt w:val="bullet"/>
      <w:lvlText w:val="•"/>
      <w:lvlJc w:val="left"/>
      <w:pPr>
        <w:ind w:left="4204" w:hanging="609"/>
      </w:pPr>
      <w:rPr>
        <w:rFonts w:hint="default"/>
      </w:rPr>
    </w:lvl>
    <w:lvl w:ilvl="2">
      <w:start w:val="0"/>
      <w:numFmt w:val="bullet"/>
      <w:lvlText w:val="•"/>
      <w:lvlJc w:val="left"/>
      <w:pPr>
        <w:ind w:left="4908" w:hanging="609"/>
      </w:pPr>
      <w:rPr>
        <w:rFonts w:hint="default"/>
      </w:rPr>
    </w:lvl>
    <w:lvl w:ilvl="3">
      <w:start w:val="0"/>
      <w:numFmt w:val="bullet"/>
      <w:lvlText w:val="•"/>
      <w:lvlJc w:val="left"/>
      <w:pPr>
        <w:ind w:left="5613" w:hanging="609"/>
      </w:pPr>
      <w:rPr>
        <w:rFonts w:hint="default"/>
      </w:rPr>
    </w:lvl>
    <w:lvl w:ilvl="4">
      <w:start w:val="0"/>
      <w:numFmt w:val="bullet"/>
      <w:lvlText w:val="•"/>
      <w:lvlJc w:val="left"/>
      <w:pPr>
        <w:ind w:left="6317" w:hanging="609"/>
      </w:pPr>
      <w:rPr>
        <w:rFonts w:hint="default"/>
      </w:rPr>
    </w:lvl>
    <w:lvl w:ilvl="5">
      <w:start w:val="0"/>
      <w:numFmt w:val="bullet"/>
      <w:lvlText w:val="•"/>
      <w:lvlJc w:val="left"/>
      <w:pPr>
        <w:ind w:left="7022" w:hanging="609"/>
      </w:pPr>
      <w:rPr>
        <w:rFonts w:hint="default"/>
      </w:rPr>
    </w:lvl>
    <w:lvl w:ilvl="6">
      <w:start w:val="0"/>
      <w:numFmt w:val="bullet"/>
      <w:lvlText w:val="•"/>
      <w:lvlJc w:val="left"/>
      <w:pPr>
        <w:ind w:left="7726" w:hanging="609"/>
      </w:pPr>
      <w:rPr>
        <w:rFonts w:hint="default"/>
      </w:rPr>
    </w:lvl>
    <w:lvl w:ilvl="7">
      <w:start w:val="0"/>
      <w:numFmt w:val="bullet"/>
      <w:lvlText w:val="•"/>
      <w:lvlJc w:val="left"/>
      <w:pPr>
        <w:ind w:left="8431" w:hanging="609"/>
      </w:pPr>
      <w:rPr>
        <w:rFonts w:hint="default"/>
      </w:rPr>
    </w:lvl>
    <w:lvl w:ilvl="8">
      <w:start w:val="0"/>
      <w:numFmt w:val="bullet"/>
      <w:lvlText w:val="•"/>
      <w:lvlJc w:val="left"/>
      <w:pPr>
        <w:ind w:left="9135" w:hanging="609"/>
      </w:pPr>
      <w:rPr>
        <w:rFonts w:hint="default"/>
      </w:rPr>
    </w:lvl>
  </w:abstractNum>
  <w:abstractNum w:abstractNumId="7">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2"/>
      <w:numFmt w:val="decimal"/>
      <w:lvlText w:val="(%2)"/>
      <w:lvlJc w:val="left"/>
      <w:pPr>
        <w:ind w:left="2731" w:hanging="420"/>
        <w:jc w:val="left"/>
      </w:pPr>
      <w:rPr>
        <w:rFonts w:hint="default" w:ascii="宋体" w:hAnsi="宋体" w:eastAsia="宋体" w:cs="宋体"/>
        <w:spacing w:val="-1"/>
        <w:w w:val="100"/>
        <w:sz w:val="20"/>
        <w:szCs w:val="20"/>
      </w:rPr>
    </w:lvl>
    <w:lvl w:ilvl="2">
      <w:start w:val="0"/>
      <w:numFmt w:val="bullet"/>
      <w:lvlText w:val="•"/>
      <w:lvlJc w:val="left"/>
      <w:pPr>
        <w:ind w:left="3302" w:hanging="420"/>
      </w:pPr>
      <w:rPr>
        <w:rFonts w:hint="default"/>
      </w:rPr>
    </w:lvl>
    <w:lvl w:ilvl="3">
      <w:start w:val="0"/>
      <w:numFmt w:val="bullet"/>
      <w:lvlText w:val="•"/>
      <w:lvlJc w:val="left"/>
      <w:pPr>
        <w:ind w:left="3864" w:hanging="420"/>
      </w:pPr>
      <w:rPr>
        <w:rFonts w:hint="default"/>
      </w:rPr>
    </w:lvl>
    <w:lvl w:ilvl="4">
      <w:start w:val="0"/>
      <w:numFmt w:val="bullet"/>
      <w:lvlText w:val="•"/>
      <w:lvlJc w:val="left"/>
      <w:pPr>
        <w:ind w:left="4426" w:hanging="420"/>
      </w:pPr>
      <w:rPr>
        <w:rFonts w:hint="default"/>
      </w:rPr>
    </w:lvl>
    <w:lvl w:ilvl="5">
      <w:start w:val="0"/>
      <w:numFmt w:val="bullet"/>
      <w:lvlText w:val="•"/>
      <w:lvlJc w:val="left"/>
      <w:pPr>
        <w:ind w:left="4988" w:hanging="420"/>
      </w:pPr>
      <w:rPr>
        <w:rFonts w:hint="default"/>
      </w:rPr>
    </w:lvl>
    <w:lvl w:ilvl="6">
      <w:start w:val="0"/>
      <w:numFmt w:val="bullet"/>
      <w:lvlText w:val="•"/>
      <w:lvlJc w:val="left"/>
      <w:pPr>
        <w:ind w:left="5550" w:hanging="420"/>
      </w:pPr>
      <w:rPr>
        <w:rFonts w:hint="default"/>
      </w:rPr>
    </w:lvl>
    <w:lvl w:ilvl="7">
      <w:start w:val="0"/>
      <w:numFmt w:val="bullet"/>
      <w:lvlText w:val="•"/>
      <w:lvlJc w:val="left"/>
      <w:pPr>
        <w:ind w:left="6112" w:hanging="420"/>
      </w:pPr>
      <w:rPr>
        <w:rFonts w:hint="default"/>
      </w:rPr>
    </w:lvl>
    <w:lvl w:ilvl="8">
      <w:start w:val="0"/>
      <w:numFmt w:val="bullet"/>
      <w:lvlText w:val="•"/>
      <w:lvlJc w:val="left"/>
      <w:pPr>
        <w:ind w:left="6675" w:hanging="420"/>
      </w:pPr>
      <w:rPr>
        <w:rFonts w:hint="default"/>
      </w:rPr>
    </w:lvl>
  </w:abstractNum>
  <w:abstractNum w:abstractNumId="6">
    <w:multiLevelType w:val="hybridMultilevel"/>
    <w:lvl w:ilvl="0">
      <w:start w:val="1"/>
      <w:numFmt w:val="decimal"/>
      <w:lvlText w:val="(%1)"/>
      <w:lvlJc w:val="left"/>
      <w:pPr>
        <w:ind w:left="586" w:hanging="420"/>
        <w:jc w:val="left"/>
      </w:pPr>
      <w:rPr>
        <w:rFonts w:hint="default" w:ascii="宋体" w:hAnsi="宋体" w:eastAsia="宋体" w:cs="宋体"/>
        <w:spacing w:val="-1"/>
        <w:w w:val="100"/>
        <w:sz w:val="20"/>
        <w:szCs w:val="20"/>
      </w:rPr>
    </w:lvl>
    <w:lvl w:ilvl="1">
      <w:start w:val="0"/>
      <w:numFmt w:val="bullet"/>
      <w:lvlText w:val="•"/>
      <w:lvlJc w:val="left"/>
      <w:pPr>
        <w:ind w:left="1301" w:hanging="420"/>
      </w:pPr>
      <w:rPr>
        <w:rFonts w:hint="default"/>
      </w:rPr>
    </w:lvl>
    <w:lvl w:ilvl="2">
      <w:start w:val="0"/>
      <w:numFmt w:val="bullet"/>
      <w:lvlText w:val="•"/>
      <w:lvlJc w:val="left"/>
      <w:pPr>
        <w:ind w:left="2023" w:hanging="420"/>
      </w:pPr>
      <w:rPr>
        <w:rFonts w:hint="default"/>
      </w:rPr>
    </w:lvl>
    <w:lvl w:ilvl="3">
      <w:start w:val="0"/>
      <w:numFmt w:val="bullet"/>
      <w:lvlText w:val="•"/>
      <w:lvlJc w:val="left"/>
      <w:pPr>
        <w:ind w:left="2745" w:hanging="420"/>
      </w:pPr>
      <w:rPr>
        <w:rFonts w:hint="default"/>
      </w:rPr>
    </w:lvl>
    <w:lvl w:ilvl="4">
      <w:start w:val="0"/>
      <w:numFmt w:val="bullet"/>
      <w:lvlText w:val="•"/>
      <w:lvlJc w:val="left"/>
      <w:pPr>
        <w:ind w:left="3467" w:hanging="420"/>
      </w:pPr>
      <w:rPr>
        <w:rFonts w:hint="default"/>
      </w:rPr>
    </w:lvl>
    <w:lvl w:ilvl="5">
      <w:start w:val="0"/>
      <w:numFmt w:val="bullet"/>
      <w:lvlText w:val="•"/>
      <w:lvlJc w:val="left"/>
      <w:pPr>
        <w:ind w:left="4189" w:hanging="420"/>
      </w:pPr>
      <w:rPr>
        <w:rFonts w:hint="default"/>
      </w:rPr>
    </w:lvl>
    <w:lvl w:ilvl="6">
      <w:start w:val="0"/>
      <w:numFmt w:val="bullet"/>
      <w:lvlText w:val="•"/>
      <w:lvlJc w:val="left"/>
      <w:pPr>
        <w:ind w:left="4911" w:hanging="420"/>
      </w:pPr>
      <w:rPr>
        <w:rFonts w:hint="default"/>
      </w:rPr>
    </w:lvl>
    <w:lvl w:ilvl="7">
      <w:start w:val="0"/>
      <w:numFmt w:val="bullet"/>
      <w:lvlText w:val="•"/>
      <w:lvlJc w:val="left"/>
      <w:pPr>
        <w:ind w:left="5633" w:hanging="420"/>
      </w:pPr>
      <w:rPr>
        <w:rFonts w:hint="default"/>
      </w:rPr>
    </w:lvl>
    <w:lvl w:ilvl="8">
      <w:start w:val="0"/>
      <w:numFmt w:val="bullet"/>
      <w:lvlText w:val="•"/>
      <w:lvlJc w:val="left"/>
      <w:pPr>
        <w:ind w:left="6355" w:hanging="420"/>
      </w:pPr>
      <w:rPr>
        <w:rFonts w:hint="default"/>
      </w:rPr>
    </w:lvl>
  </w:abstractNum>
  <w:abstractNum w:abstractNumId="5">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0" w:hanging="420"/>
      </w:pPr>
      <w:rPr>
        <w:rFonts w:hint="default"/>
      </w:rPr>
    </w:lvl>
    <w:lvl w:ilvl="2">
      <w:start w:val="0"/>
      <w:numFmt w:val="bullet"/>
      <w:lvlText w:val="•"/>
      <w:lvlJc w:val="left"/>
      <w:pPr>
        <w:ind w:left="4600" w:hanging="420"/>
      </w:pPr>
      <w:rPr>
        <w:rFonts w:hint="default"/>
      </w:rPr>
    </w:lvl>
    <w:lvl w:ilvl="3">
      <w:start w:val="0"/>
      <w:numFmt w:val="bullet"/>
      <w:lvlText w:val="•"/>
      <w:lvlJc w:val="left"/>
      <w:pPr>
        <w:ind w:left="5321" w:hanging="420"/>
      </w:pPr>
      <w:rPr>
        <w:rFonts w:hint="default"/>
      </w:rPr>
    </w:lvl>
    <w:lvl w:ilvl="4">
      <w:start w:val="0"/>
      <w:numFmt w:val="bullet"/>
      <w:lvlText w:val="•"/>
      <w:lvlJc w:val="left"/>
      <w:pPr>
        <w:ind w:left="6041" w:hanging="420"/>
      </w:pPr>
      <w:rPr>
        <w:rFonts w:hint="default"/>
      </w:rPr>
    </w:lvl>
    <w:lvl w:ilvl="5">
      <w:start w:val="0"/>
      <w:numFmt w:val="bullet"/>
      <w:lvlText w:val="•"/>
      <w:lvlJc w:val="left"/>
      <w:pPr>
        <w:ind w:left="6762" w:hanging="420"/>
      </w:pPr>
      <w:rPr>
        <w:rFonts w:hint="default"/>
      </w:rPr>
    </w:lvl>
    <w:lvl w:ilvl="6">
      <w:start w:val="0"/>
      <w:numFmt w:val="bullet"/>
      <w:lvlText w:val="•"/>
      <w:lvlJc w:val="left"/>
      <w:pPr>
        <w:ind w:left="7482" w:hanging="420"/>
      </w:pPr>
      <w:rPr>
        <w:rFonts w:hint="default"/>
      </w:rPr>
    </w:lvl>
    <w:lvl w:ilvl="7">
      <w:start w:val="0"/>
      <w:numFmt w:val="bullet"/>
      <w:lvlText w:val="•"/>
      <w:lvlJc w:val="left"/>
      <w:pPr>
        <w:ind w:left="8203" w:hanging="420"/>
      </w:pPr>
      <w:rPr>
        <w:rFonts w:hint="default"/>
      </w:rPr>
    </w:lvl>
    <w:lvl w:ilvl="8">
      <w:start w:val="0"/>
      <w:numFmt w:val="bullet"/>
      <w:lvlText w:val="•"/>
      <w:lvlJc w:val="left"/>
      <w:pPr>
        <w:ind w:left="8923" w:hanging="420"/>
      </w:pPr>
      <w:rPr>
        <w:rFonts w:hint="default"/>
      </w:rPr>
    </w:lvl>
  </w:abstractNum>
  <w:abstractNum w:abstractNumId="4">
    <w:multiLevelType w:val="hybridMultilevel"/>
    <w:lvl w:ilvl="0">
      <w:start w:val="1"/>
      <w:numFmt w:val="decimal"/>
      <w:lvlText w:val="(%1)"/>
      <w:lvlJc w:val="left"/>
      <w:pPr>
        <w:ind w:left="3151" w:hanging="420"/>
        <w:jc w:val="left"/>
      </w:pPr>
      <w:rPr>
        <w:rFonts w:hint="default" w:ascii="宋体" w:hAnsi="宋体" w:eastAsia="宋体" w:cs="宋体"/>
        <w:spacing w:val="-1"/>
        <w:w w:val="100"/>
        <w:sz w:val="20"/>
        <w:szCs w:val="20"/>
      </w:rPr>
    </w:lvl>
    <w:lvl w:ilvl="1">
      <w:start w:val="0"/>
      <w:numFmt w:val="bullet"/>
      <w:lvlText w:val="•"/>
      <w:lvlJc w:val="left"/>
      <w:pPr>
        <w:ind w:left="3880" w:hanging="420"/>
      </w:pPr>
      <w:rPr>
        <w:rFonts w:hint="default"/>
      </w:rPr>
    </w:lvl>
    <w:lvl w:ilvl="2">
      <w:start w:val="0"/>
      <w:numFmt w:val="bullet"/>
      <w:lvlText w:val="•"/>
      <w:lvlJc w:val="left"/>
      <w:pPr>
        <w:ind w:left="4600" w:hanging="420"/>
      </w:pPr>
      <w:rPr>
        <w:rFonts w:hint="default"/>
      </w:rPr>
    </w:lvl>
    <w:lvl w:ilvl="3">
      <w:start w:val="0"/>
      <w:numFmt w:val="bullet"/>
      <w:lvlText w:val="•"/>
      <w:lvlJc w:val="left"/>
      <w:pPr>
        <w:ind w:left="5321" w:hanging="420"/>
      </w:pPr>
      <w:rPr>
        <w:rFonts w:hint="default"/>
      </w:rPr>
    </w:lvl>
    <w:lvl w:ilvl="4">
      <w:start w:val="0"/>
      <w:numFmt w:val="bullet"/>
      <w:lvlText w:val="•"/>
      <w:lvlJc w:val="left"/>
      <w:pPr>
        <w:ind w:left="6041" w:hanging="420"/>
      </w:pPr>
      <w:rPr>
        <w:rFonts w:hint="default"/>
      </w:rPr>
    </w:lvl>
    <w:lvl w:ilvl="5">
      <w:start w:val="0"/>
      <w:numFmt w:val="bullet"/>
      <w:lvlText w:val="•"/>
      <w:lvlJc w:val="left"/>
      <w:pPr>
        <w:ind w:left="6762" w:hanging="420"/>
      </w:pPr>
      <w:rPr>
        <w:rFonts w:hint="default"/>
      </w:rPr>
    </w:lvl>
    <w:lvl w:ilvl="6">
      <w:start w:val="0"/>
      <w:numFmt w:val="bullet"/>
      <w:lvlText w:val="•"/>
      <w:lvlJc w:val="left"/>
      <w:pPr>
        <w:ind w:left="7482" w:hanging="420"/>
      </w:pPr>
      <w:rPr>
        <w:rFonts w:hint="default"/>
      </w:rPr>
    </w:lvl>
    <w:lvl w:ilvl="7">
      <w:start w:val="0"/>
      <w:numFmt w:val="bullet"/>
      <w:lvlText w:val="•"/>
      <w:lvlJc w:val="left"/>
      <w:pPr>
        <w:ind w:left="8203" w:hanging="420"/>
      </w:pPr>
      <w:rPr>
        <w:rFonts w:hint="default"/>
      </w:rPr>
    </w:lvl>
    <w:lvl w:ilvl="8">
      <w:start w:val="0"/>
      <w:numFmt w:val="bullet"/>
      <w:lvlText w:val="•"/>
      <w:lvlJc w:val="left"/>
      <w:pPr>
        <w:ind w:left="8923" w:hanging="420"/>
      </w:pPr>
      <w:rPr>
        <w:rFonts w:hint="default"/>
      </w:rPr>
    </w:lvl>
  </w:abstractNum>
  <w:abstractNum w:abstractNumId="3">
    <w:multiLevelType w:val="hybridMultilevel"/>
    <w:lvl w:ilvl="0">
      <w:start w:val="1"/>
      <w:numFmt w:val="decimal"/>
      <w:lvlText w:val="（%1）"/>
      <w:lvlJc w:val="left"/>
      <w:pPr>
        <w:ind w:left="854" w:hanging="680"/>
        <w:jc w:val="left"/>
      </w:pPr>
      <w:rPr>
        <w:rFonts w:hint="default" w:ascii="宋体" w:hAnsi="宋体" w:eastAsia="宋体" w:cs="宋体"/>
        <w:w w:val="100"/>
        <w:sz w:val="20"/>
        <w:szCs w:val="20"/>
      </w:rPr>
    </w:lvl>
    <w:lvl w:ilvl="1">
      <w:start w:val="1"/>
      <w:numFmt w:val="decimal"/>
      <w:lvlText w:val="（%2）"/>
      <w:lvlJc w:val="left"/>
      <w:pPr>
        <w:ind w:left="3411" w:hanging="680"/>
        <w:jc w:val="left"/>
      </w:pPr>
      <w:rPr>
        <w:rFonts w:hint="default" w:ascii="宋体" w:hAnsi="宋体" w:eastAsia="宋体" w:cs="宋体"/>
        <w:w w:val="100"/>
        <w:sz w:val="20"/>
        <w:szCs w:val="20"/>
      </w:rPr>
    </w:lvl>
    <w:lvl w:ilvl="2">
      <w:start w:val="0"/>
      <w:numFmt w:val="bullet"/>
      <w:lvlText w:val="•"/>
      <w:lvlJc w:val="left"/>
      <w:pPr>
        <w:ind w:left="3907" w:hanging="680"/>
      </w:pPr>
      <w:rPr>
        <w:rFonts w:hint="default"/>
      </w:rPr>
    </w:lvl>
    <w:lvl w:ilvl="3">
      <w:start w:val="0"/>
      <w:numFmt w:val="bullet"/>
      <w:lvlText w:val="•"/>
      <w:lvlJc w:val="left"/>
      <w:pPr>
        <w:ind w:left="4395" w:hanging="680"/>
      </w:pPr>
      <w:rPr>
        <w:rFonts w:hint="default"/>
      </w:rPr>
    </w:lvl>
    <w:lvl w:ilvl="4">
      <w:start w:val="0"/>
      <w:numFmt w:val="bullet"/>
      <w:lvlText w:val="•"/>
      <w:lvlJc w:val="left"/>
      <w:pPr>
        <w:ind w:left="4882" w:hanging="680"/>
      </w:pPr>
      <w:rPr>
        <w:rFonts w:hint="default"/>
      </w:rPr>
    </w:lvl>
    <w:lvl w:ilvl="5">
      <w:start w:val="0"/>
      <w:numFmt w:val="bullet"/>
      <w:lvlText w:val="•"/>
      <w:lvlJc w:val="left"/>
      <w:pPr>
        <w:ind w:left="5370" w:hanging="680"/>
      </w:pPr>
      <w:rPr>
        <w:rFonts w:hint="default"/>
      </w:rPr>
    </w:lvl>
    <w:lvl w:ilvl="6">
      <w:start w:val="0"/>
      <w:numFmt w:val="bullet"/>
      <w:lvlText w:val="•"/>
      <w:lvlJc w:val="left"/>
      <w:pPr>
        <w:ind w:left="5857" w:hanging="680"/>
      </w:pPr>
      <w:rPr>
        <w:rFonts w:hint="default"/>
      </w:rPr>
    </w:lvl>
    <w:lvl w:ilvl="7">
      <w:start w:val="0"/>
      <w:numFmt w:val="bullet"/>
      <w:lvlText w:val="•"/>
      <w:lvlJc w:val="left"/>
      <w:pPr>
        <w:ind w:left="6345" w:hanging="680"/>
      </w:pPr>
      <w:rPr>
        <w:rFonts w:hint="default"/>
      </w:rPr>
    </w:lvl>
    <w:lvl w:ilvl="8">
      <w:start w:val="0"/>
      <w:numFmt w:val="bullet"/>
      <w:lvlText w:val="•"/>
      <w:lvlJc w:val="left"/>
      <w:pPr>
        <w:ind w:left="6832" w:hanging="680"/>
      </w:pPr>
      <w:rPr>
        <w:rFonts w:hint="default"/>
      </w:rPr>
    </w:lvl>
  </w:abstractNum>
  <w:abstractNum w:abstractNumId="2">
    <w:multiLevelType w:val="hybridMultilevel"/>
    <w:lvl w:ilvl="0">
      <w:start w:val="1"/>
      <w:numFmt w:val="decimal"/>
      <w:lvlText w:val="（%1）"/>
      <w:lvlJc w:val="left"/>
      <w:pPr>
        <w:ind w:left="3491" w:hanging="609"/>
        <w:jc w:val="left"/>
      </w:pPr>
      <w:rPr>
        <w:rFonts w:hint="default" w:ascii="宋体" w:hAnsi="宋体" w:eastAsia="宋体" w:cs="宋体"/>
        <w:b/>
        <w:bCs/>
        <w:w w:val="99"/>
        <w:sz w:val="20"/>
        <w:szCs w:val="20"/>
      </w:rPr>
    </w:lvl>
    <w:lvl w:ilvl="1">
      <w:start w:val="0"/>
      <w:numFmt w:val="bullet"/>
      <w:lvlText w:val="•"/>
      <w:lvlJc w:val="left"/>
      <w:pPr>
        <w:ind w:left="4204" w:hanging="609"/>
      </w:pPr>
      <w:rPr>
        <w:rFonts w:hint="default"/>
      </w:rPr>
    </w:lvl>
    <w:lvl w:ilvl="2">
      <w:start w:val="0"/>
      <w:numFmt w:val="bullet"/>
      <w:lvlText w:val="•"/>
      <w:lvlJc w:val="left"/>
      <w:pPr>
        <w:ind w:left="4908" w:hanging="609"/>
      </w:pPr>
      <w:rPr>
        <w:rFonts w:hint="default"/>
      </w:rPr>
    </w:lvl>
    <w:lvl w:ilvl="3">
      <w:start w:val="0"/>
      <w:numFmt w:val="bullet"/>
      <w:lvlText w:val="•"/>
      <w:lvlJc w:val="left"/>
      <w:pPr>
        <w:ind w:left="5613" w:hanging="609"/>
      </w:pPr>
      <w:rPr>
        <w:rFonts w:hint="default"/>
      </w:rPr>
    </w:lvl>
    <w:lvl w:ilvl="4">
      <w:start w:val="0"/>
      <w:numFmt w:val="bullet"/>
      <w:lvlText w:val="•"/>
      <w:lvlJc w:val="left"/>
      <w:pPr>
        <w:ind w:left="6317" w:hanging="609"/>
      </w:pPr>
      <w:rPr>
        <w:rFonts w:hint="default"/>
      </w:rPr>
    </w:lvl>
    <w:lvl w:ilvl="5">
      <w:start w:val="0"/>
      <w:numFmt w:val="bullet"/>
      <w:lvlText w:val="•"/>
      <w:lvlJc w:val="left"/>
      <w:pPr>
        <w:ind w:left="7022" w:hanging="609"/>
      </w:pPr>
      <w:rPr>
        <w:rFonts w:hint="default"/>
      </w:rPr>
    </w:lvl>
    <w:lvl w:ilvl="6">
      <w:start w:val="0"/>
      <w:numFmt w:val="bullet"/>
      <w:lvlText w:val="•"/>
      <w:lvlJc w:val="left"/>
      <w:pPr>
        <w:ind w:left="7726" w:hanging="609"/>
      </w:pPr>
      <w:rPr>
        <w:rFonts w:hint="default"/>
      </w:rPr>
    </w:lvl>
    <w:lvl w:ilvl="7">
      <w:start w:val="0"/>
      <w:numFmt w:val="bullet"/>
      <w:lvlText w:val="•"/>
      <w:lvlJc w:val="left"/>
      <w:pPr>
        <w:ind w:left="8431" w:hanging="609"/>
      </w:pPr>
      <w:rPr>
        <w:rFonts w:hint="default"/>
      </w:rPr>
    </w:lvl>
    <w:lvl w:ilvl="8">
      <w:start w:val="0"/>
      <w:numFmt w:val="bullet"/>
      <w:lvlText w:val="•"/>
      <w:lvlJc w:val="left"/>
      <w:pPr>
        <w:ind w:left="9135" w:hanging="609"/>
      </w:pPr>
      <w:rPr>
        <w:rFonts w:hint="default"/>
      </w:rPr>
    </w:lvl>
  </w:abstractNum>
  <w:abstractNum w:abstractNumId="1">
    <w:multiLevelType w:val="hybridMultilevel"/>
    <w:lvl w:ilvl="0">
      <w:start w:val="2"/>
      <w:numFmt w:val="decimal"/>
      <w:lvlText w:val="%1"/>
      <w:lvlJc w:val="left"/>
      <w:pPr>
        <w:ind w:left="2911" w:hanging="720"/>
        <w:jc w:val="left"/>
      </w:pPr>
      <w:rPr>
        <w:rFonts w:hint="default"/>
      </w:rPr>
    </w:lvl>
    <w:lvl w:ilvl="1">
      <w:start w:val="1"/>
      <w:numFmt w:val="decimal"/>
      <w:lvlText w:val="%1.%2"/>
      <w:lvlJc w:val="left"/>
      <w:pPr>
        <w:ind w:left="2911" w:hanging="720"/>
        <w:jc w:val="right"/>
      </w:pPr>
      <w:rPr>
        <w:rFonts w:hint="default" w:ascii="宋体" w:hAnsi="宋体" w:eastAsia="宋体" w:cs="宋体"/>
        <w:b/>
        <w:bCs/>
        <w:w w:val="99"/>
        <w:sz w:val="20"/>
        <w:szCs w:val="20"/>
      </w:rPr>
    </w:lvl>
    <w:lvl w:ilvl="2">
      <w:start w:val="1"/>
      <w:numFmt w:val="decimal"/>
      <w:lvlText w:val="（%3）"/>
      <w:lvlJc w:val="left"/>
      <w:pPr>
        <w:ind w:left="3492" w:hanging="681"/>
        <w:jc w:val="left"/>
      </w:pPr>
      <w:rPr>
        <w:rFonts w:hint="default" w:ascii="宋体" w:hAnsi="宋体" w:eastAsia="宋体" w:cs="宋体"/>
        <w:b/>
        <w:bCs/>
        <w:w w:val="99"/>
        <w:sz w:val="20"/>
        <w:szCs w:val="20"/>
      </w:rPr>
    </w:lvl>
    <w:lvl w:ilvl="3">
      <w:start w:val="0"/>
      <w:numFmt w:val="bullet"/>
      <w:lvlText w:val="•"/>
      <w:lvlJc w:val="left"/>
      <w:pPr>
        <w:ind w:left="5065" w:hanging="681"/>
      </w:pPr>
      <w:rPr>
        <w:rFonts w:hint="default"/>
      </w:rPr>
    </w:lvl>
    <w:lvl w:ilvl="4">
      <w:start w:val="0"/>
      <w:numFmt w:val="bullet"/>
      <w:lvlText w:val="•"/>
      <w:lvlJc w:val="left"/>
      <w:pPr>
        <w:ind w:left="5848" w:hanging="681"/>
      </w:pPr>
      <w:rPr>
        <w:rFonts w:hint="default"/>
      </w:rPr>
    </w:lvl>
    <w:lvl w:ilvl="5">
      <w:start w:val="0"/>
      <w:numFmt w:val="bullet"/>
      <w:lvlText w:val="•"/>
      <w:lvlJc w:val="left"/>
      <w:pPr>
        <w:ind w:left="6630" w:hanging="681"/>
      </w:pPr>
      <w:rPr>
        <w:rFonts w:hint="default"/>
      </w:rPr>
    </w:lvl>
    <w:lvl w:ilvl="6">
      <w:start w:val="0"/>
      <w:numFmt w:val="bullet"/>
      <w:lvlText w:val="•"/>
      <w:lvlJc w:val="left"/>
      <w:pPr>
        <w:ind w:left="7413" w:hanging="681"/>
      </w:pPr>
      <w:rPr>
        <w:rFonts w:hint="default"/>
      </w:rPr>
    </w:lvl>
    <w:lvl w:ilvl="7">
      <w:start w:val="0"/>
      <w:numFmt w:val="bullet"/>
      <w:lvlText w:val="•"/>
      <w:lvlJc w:val="left"/>
      <w:pPr>
        <w:ind w:left="8196" w:hanging="681"/>
      </w:pPr>
      <w:rPr>
        <w:rFonts w:hint="default"/>
      </w:rPr>
    </w:lvl>
    <w:lvl w:ilvl="8">
      <w:start w:val="0"/>
      <w:numFmt w:val="bullet"/>
      <w:lvlText w:val="•"/>
      <w:lvlJc w:val="left"/>
      <w:pPr>
        <w:ind w:left="8978" w:hanging="681"/>
      </w:pPr>
      <w:rPr>
        <w:rFonts w:hint="default"/>
      </w:rPr>
    </w:lvl>
  </w:abstractNum>
  <w:abstractNum w:abstractNumId="0">
    <w:multiLevelType w:val="hybridMultilevel"/>
    <w:lvl w:ilvl="0">
      <w:start w:val="1"/>
      <w:numFmt w:val="decimal"/>
      <w:lvlText w:val="%1"/>
      <w:lvlJc w:val="left"/>
      <w:pPr>
        <w:ind w:left="931" w:hanging="720"/>
        <w:jc w:val="left"/>
      </w:pPr>
      <w:rPr>
        <w:rFonts w:hint="default"/>
      </w:rPr>
    </w:lvl>
    <w:lvl w:ilvl="1">
      <w:start w:val="1"/>
      <w:numFmt w:val="decimal"/>
      <w:lvlText w:val="%1.%2"/>
      <w:lvlJc w:val="left"/>
      <w:pPr>
        <w:ind w:left="931" w:hanging="720"/>
        <w:jc w:val="left"/>
      </w:pPr>
      <w:rPr>
        <w:rFonts w:hint="default" w:ascii="宋体" w:hAnsi="宋体" w:eastAsia="宋体" w:cs="宋体"/>
        <w:b/>
        <w:bCs/>
        <w:w w:val="99"/>
        <w:sz w:val="20"/>
        <w:szCs w:val="20"/>
      </w:rPr>
    </w:lvl>
    <w:lvl w:ilvl="2">
      <w:start w:val="1"/>
      <w:numFmt w:val="decimal"/>
      <w:lvlText w:val="(%3)"/>
      <w:lvlJc w:val="left"/>
      <w:pPr>
        <w:ind w:left="3331" w:hanging="420"/>
        <w:jc w:val="left"/>
      </w:pPr>
      <w:rPr>
        <w:rFonts w:hint="default" w:ascii="宋体" w:hAnsi="宋体" w:eastAsia="宋体" w:cs="宋体"/>
        <w:spacing w:val="-1"/>
        <w:w w:val="100"/>
        <w:sz w:val="20"/>
        <w:szCs w:val="20"/>
      </w:rPr>
    </w:lvl>
    <w:lvl w:ilvl="3">
      <w:start w:val="0"/>
      <w:numFmt w:val="bullet"/>
      <w:lvlText w:val="•"/>
      <w:lvlJc w:val="left"/>
      <w:pPr>
        <w:ind w:left="5029" w:hanging="420"/>
      </w:pPr>
      <w:rPr>
        <w:rFonts w:hint="default"/>
      </w:rPr>
    </w:lvl>
    <w:lvl w:ilvl="4">
      <w:start w:val="0"/>
      <w:numFmt w:val="bullet"/>
      <w:lvlText w:val="•"/>
      <w:lvlJc w:val="left"/>
      <w:pPr>
        <w:ind w:left="5874" w:hanging="420"/>
      </w:pPr>
      <w:rPr>
        <w:rFonts w:hint="default"/>
      </w:rPr>
    </w:lvl>
    <w:lvl w:ilvl="5">
      <w:start w:val="0"/>
      <w:numFmt w:val="bullet"/>
      <w:lvlText w:val="•"/>
      <w:lvlJc w:val="left"/>
      <w:pPr>
        <w:ind w:left="6719" w:hanging="420"/>
      </w:pPr>
      <w:rPr>
        <w:rFonts w:hint="default"/>
      </w:rPr>
    </w:lvl>
    <w:lvl w:ilvl="6">
      <w:start w:val="0"/>
      <w:numFmt w:val="bullet"/>
      <w:lvlText w:val="•"/>
      <w:lvlJc w:val="left"/>
      <w:pPr>
        <w:ind w:left="7564" w:hanging="420"/>
      </w:pPr>
      <w:rPr>
        <w:rFonts w:hint="default"/>
      </w:rPr>
    </w:lvl>
    <w:lvl w:ilvl="7">
      <w:start w:val="0"/>
      <w:numFmt w:val="bullet"/>
      <w:lvlText w:val="•"/>
      <w:lvlJc w:val="left"/>
      <w:pPr>
        <w:ind w:left="8409" w:hanging="420"/>
      </w:pPr>
      <w:rPr>
        <w:rFonts w:hint="default"/>
      </w:rPr>
    </w:lvl>
    <w:lvl w:ilvl="8">
      <w:start w:val="0"/>
      <w:numFmt w:val="bullet"/>
      <w:lvlText w:val="•"/>
      <w:lvlJc w:val="left"/>
      <w:pPr>
        <w:ind w:left="9254" w:hanging="42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9"/>
    </w:pPr>
    <w:rPr>
      <w:rFonts w:ascii="宋体" w:hAnsi="宋体" w:eastAsia="宋体" w:cs="宋体"/>
      <w:sz w:val="20"/>
      <w:szCs w:val="20"/>
    </w:rPr>
  </w:style>
  <w:style w:styleId="Heading1" w:type="paragraph">
    <w:name w:val="Heading 1"/>
    <w:basedOn w:val="Normal"/>
    <w:uiPriority w:val="1"/>
    <w:qFormat/>
    <w:pPr>
      <w:spacing w:before="49"/>
      <w:ind w:left="2911"/>
      <w:outlineLvl w:val="1"/>
    </w:pPr>
    <w:rPr>
      <w:rFonts w:ascii="宋体" w:hAnsi="宋体" w:eastAsia="宋体" w:cs="宋体"/>
      <w:b/>
      <w:bCs/>
      <w:sz w:val="20"/>
      <w:szCs w:val="20"/>
    </w:rPr>
  </w:style>
  <w:style w:styleId="ListParagraph" w:type="paragraph">
    <w:name w:val="List Paragraph"/>
    <w:basedOn w:val="Normal"/>
    <w:uiPriority w:val="1"/>
    <w:qFormat/>
    <w:pPr>
      <w:spacing w:before="50"/>
      <w:ind w:left="3151"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CeliaLiu</dc:creator>
  <dc:title>&lt;4D6963726F736F667420576F7264202D203131345F7631B0B2C1AAB8BDBCD3B0B2BFB5B8A3C8F0B3A4C6DAD6D8B4F3BCB2B2A1B1A3CFD5A3A842BFEEA3A9CCF5BFEE2E646F63&gt;</dc:title>
  <dcterms:created xsi:type="dcterms:W3CDTF">2018-10-20T05:07:12Z</dcterms:created>
  <dcterms:modified xsi:type="dcterms:W3CDTF">2018-10-20T05:07:12Z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PScript5.dll Version 5.2.2</vt:lpwstr>
  </property>
  <property fmtid="{D5CDD505-2E9C-101B-9397-08002B2CF9AE}" pid="4" name="LastSaved">
    <vt:filetime>2018-10-19T00:00:00Z</vt:filetime>
  </property>
</Properties>
</file>