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after="1"/>
        <w:rPr>
          <w:rFonts w:ascii="Times New Roman"/>
          <w:sz w:val="12"/>
        </w:rPr>
      </w:pPr>
    </w:p>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9"/>
        </w:rPr>
      </w:pPr>
      <w:r>
        <w:rPr/>
        <w:drawing>
          <wp:anchor distT="0" distB="0" distL="0" distR="0" allowOverlap="1" layoutInCell="1" locked="0" behindDoc="0" simplePos="0" relativeHeight="0">
            <wp:simplePos x="0" y="0"/>
            <wp:positionH relativeFrom="page">
              <wp:posOffset>2700654</wp:posOffset>
            </wp:positionH>
            <wp:positionV relativeFrom="paragraph">
              <wp:posOffset>236867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174"/>
        <w:ind w:left="2795" w:right="0" w:firstLine="0"/>
        <w:jc w:val="center"/>
        <w:rPr>
          <w:b/>
          <w:sz w:val="30"/>
        </w:rPr>
      </w:pPr>
      <w:r>
        <w:rPr>
          <w:b/>
          <w:spacing w:val="-9"/>
          <w:sz w:val="30"/>
        </w:rPr>
        <w:t>太平附加吉福康爱 </w:t>
      </w:r>
      <w:r>
        <w:rPr>
          <w:rFonts w:ascii="Times New Roman" w:eastAsia="Times New Roman"/>
          <w:b/>
          <w:sz w:val="30"/>
        </w:rPr>
        <w:t>B </w:t>
      </w:r>
      <w:r>
        <w:rPr>
          <w:b/>
          <w:sz w:val="30"/>
        </w:rPr>
        <w:t>款重大疾病保险条款</w:t>
      </w:r>
    </w:p>
    <w:p>
      <w:pPr>
        <w:pStyle w:val="BodyText"/>
        <w:spacing w:before="3"/>
        <w:rPr>
          <w:b/>
          <w:sz w:val="45"/>
        </w:rPr>
      </w:pPr>
    </w:p>
    <w:p>
      <w:pPr>
        <w:spacing w:before="0"/>
        <w:ind w:left="2796" w:right="0" w:firstLine="0"/>
        <w:jc w:val="center"/>
        <w:rPr>
          <w:b/>
          <w:sz w:val="28"/>
        </w:rPr>
      </w:pPr>
      <w:r>
        <w:rPr>
          <w:b/>
          <w:sz w:val="28"/>
        </w:rPr>
        <w:t>特别提示</w:t>
      </w:r>
    </w:p>
    <w:p>
      <w:pPr>
        <w:spacing w:before="38"/>
        <w:ind w:left="8" w:right="71" w:firstLine="0"/>
        <w:jc w:val="center"/>
        <w:rPr>
          <w:sz w:val="18"/>
        </w:rPr>
      </w:pPr>
      <w:r>
        <w:rPr/>
        <w:br w:type="column"/>
      </w:r>
      <w:r>
        <w:rPr>
          <w:sz w:val="18"/>
        </w:rPr>
        <w:t>太平人寿</w:t>
      </w:r>
      <w:r>
        <w:rPr>
          <w:rFonts w:ascii="Times New Roman" w:eastAsia="Times New Roman"/>
          <w:sz w:val="18"/>
        </w:rPr>
        <w:t>[2016]</w:t>
      </w:r>
      <w:r>
        <w:rPr>
          <w:sz w:val="18"/>
        </w:rPr>
        <w:t>疾病保险 </w:t>
      </w:r>
      <w:r>
        <w:rPr>
          <w:rFonts w:ascii="Times New Roman" w:eastAsia="Times New Roman"/>
          <w:sz w:val="18"/>
        </w:rPr>
        <w:t>056 </w:t>
      </w:r>
      <w:r>
        <w:rPr>
          <w:sz w:val="18"/>
        </w:rPr>
        <w:t>号</w:t>
      </w:r>
    </w:p>
    <w:p>
      <w:pPr>
        <w:pStyle w:val="BodyText"/>
        <w:spacing w:before="12"/>
        <w:rPr>
          <w:sz w:val="6"/>
        </w:rPr>
      </w:pPr>
    </w:p>
    <w:p>
      <w:pPr>
        <w:pStyle w:val="BodyText"/>
        <w:ind w:left="732"/>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68"/>
        <w:ind w:left="5" w:right="71" w:firstLine="0"/>
        <w:jc w:val="center"/>
        <w:rPr>
          <w:sz w:val="18"/>
        </w:rPr>
      </w:pPr>
      <w:r>
        <w:rPr>
          <w:sz w:val="18"/>
        </w:rPr>
        <w:t>请扫描以查询验证条款</w:t>
      </w:r>
    </w:p>
    <w:p>
      <w:pPr>
        <w:spacing w:after="0"/>
        <w:jc w:val="center"/>
        <w:rPr>
          <w:sz w:val="18"/>
        </w:rPr>
        <w:sectPr>
          <w:type w:val="continuous"/>
          <w:pgSz w:w="11910" w:h="16160"/>
          <w:pgMar w:top="440" w:bottom="280" w:left="500" w:right="480"/>
          <w:cols w:num="2" w:equalWidth="0">
            <w:col w:w="8266" w:space="40"/>
            <w:col w:w="2624"/>
          </w:cols>
        </w:sectPr>
      </w:pPr>
    </w:p>
    <w:p>
      <w:pPr>
        <w:pStyle w:val="BodyText"/>
        <w:rPr>
          <w:sz w:val="20"/>
        </w:rPr>
      </w:pPr>
    </w:p>
    <w:p>
      <w:pPr>
        <w:pStyle w:val="BodyText"/>
        <w:rPr>
          <w:sz w:val="20"/>
        </w:rPr>
      </w:pPr>
    </w:p>
    <w:p>
      <w:pPr>
        <w:pStyle w:val="BodyText"/>
        <w:spacing w:before="2"/>
        <w:rPr>
          <w:sz w:val="16"/>
        </w:rPr>
      </w:pPr>
    </w:p>
    <w:p>
      <w:pPr>
        <w:spacing w:before="26"/>
        <w:ind w:left="1058" w:right="0" w:firstLine="0"/>
        <w:jc w:val="left"/>
        <w:rPr>
          <w:sz w:val="24"/>
        </w:rPr>
      </w:pPr>
      <w:r>
        <w:rPr>
          <w:sz w:val="24"/>
        </w:rPr>
        <w:t>感谢您选择了太平人寿保险有限公司。</w:t>
      </w:r>
    </w:p>
    <w:p>
      <w:pPr>
        <w:spacing w:line="549" w:lineRule="auto" w:before="46"/>
        <w:ind w:left="1060" w:right="217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1"/>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6" w:after="0"/>
        <w:ind w:left="1898" w:right="440" w:hanging="420"/>
        <w:jc w:val="left"/>
        <w:rPr>
          <w:b/>
          <w:sz w:val="24"/>
        </w:rPr>
      </w:pPr>
      <w:r>
        <w:rPr>
          <w:b/>
          <w:spacing w:val="-5"/>
          <w:sz w:val="24"/>
        </w:rPr>
        <w:t>签收本附加合同之日起 </w:t>
      </w:r>
      <w:r>
        <w:rPr>
          <w:rFonts w:ascii="Times New Roman" w:eastAsia="Times New Roman"/>
          <w:b/>
          <w:sz w:val="24"/>
        </w:rPr>
        <w:t>15</w:t>
      </w:r>
      <w:r>
        <w:rPr>
          <w:rFonts w:ascii="Times New Roman" w:eastAsia="Times New Roman"/>
          <w:b/>
          <w:spacing w:val="12"/>
          <w:sz w:val="24"/>
        </w:rPr>
        <w:t> </w:t>
      </w:r>
      <w:r>
        <w:rPr>
          <w:b/>
          <w:sz w:val="24"/>
        </w:rPr>
        <w:t>日（即犹豫期）内您若要求解除保险合同，我们仅扣除</w:t>
      </w:r>
      <w:r>
        <w:rPr>
          <w:b/>
          <w:w w:val="85"/>
          <w:sz w:val="24"/>
        </w:rPr>
        <w:t>工本费</w:t>
      </w:r>
      <w:r>
        <w:rPr>
          <w:rFonts w:ascii="Courier New" w:eastAsia="Courier New"/>
          <w:b/>
          <w:w w:val="85"/>
          <w:sz w:val="24"/>
        </w:rPr>
        <w:t>.........................................................</w:t>
      </w:r>
      <w:r>
        <w:rPr>
          <w:b/>
          <w:w w:val="85"/>
          <w:sz w:val="24"/>
        </w:rPr>
        <w:t>第十三条</w:t>
      </w:r>
    </w:p>
    <w:p>
      <w:pPr>
        <w:pStyle w:val="ListParagraph"/>
        <w:numPr>
          <w:ilvl w:val="0"/>
          <w:numId w:val="1"/>
        </w:numPr>
        <w:tabs>
          <w:tab w:pos="1897" w:val="left" w:leader="none"/>
          <w:tab w:pos="1898" w:val="left" w:leader="none"/>
        </w:tabs>
        <w:spacing w:line="316" w:lineRule="exact" w:before="0" w:after="0"/>
        <w:ind w:left="1898" w:right="0" w:hanging="420"/>
        <w:jc w:val="left"/>
        <w:rPr>
          <w:b/>
          <w:sz w:val="24"/>
        </w:rPr>
      </w:pPr>
      <w:r>
        <w:rPr>
          <w:b/>
          <w:spacing w:val="-8"/>
          <w:w w:val="95"/>
          <w:sz w:val="24"/>
        </w:rPr>
        <w:t>本产品保险责任有等待期，请您留意..................................第六条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10"/>
          <w:w w:val="95"/>
          <w:sz w:val="24"/>
        </w:rPr>
        <w:t>在部分情况下，我们不承担保险责任..................................第八条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6"/>
          <w:w w:val="95"/>
          <w:sz w:val="24"/>
        </w:rPr>
        <w:t>解除保险合同会给您造成一定的损失，请您慎重决策..................第十四条</w:t>
      </w:r>
    </w:p>
    <w:p>
      <w:pPr>
        <w:pStyle w:val="BodyText"/>
        <w:rPr>
          <w:b/>
          <w:sz w:val="26"/>
        </w:rPr>
      </w:pPr>
    </w:p>
    <w:p>
      <w:pPr>
        <w:pStyle w:val="BodyText"/>
        <w:spacing w:before="2"/>
        <w:rPr>
          <w:b/>
          <w:sz w:val="31"/>
        </w:rPr>
      </w:pPr>
    </w:p>
    <w:p>
      <w:pPr>
        <w:spacing w:line="276" w:lineRule="auto" w:before="0"/>
        <w:ind w:left="1058" w:right="32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0"/>
        <w:ind w:left="4831" w:right="4693"/>
        <w:jc w:val="center"/>
      </w:pPr>
      <w:r>
        <w:rPr/>
        <w:t>第</w:t>
      </w:r>
      <w:r>
        <w:rPr>
          <w:rFonts w:ascii="Times New Roman" w:eastAsia="Times New Roman"/>
        </w:rPr>
        <w:t>1</w:t>
      </w:r>
      <w:r>
        <w:rPr/>
        <w:t>页，共</w:t>
      </w:r>
      <w:r>
        <w:rPr>
          <w:rFonts w:ascii="Times New Roman" w:eastAsia="Times New Roman"/>
        </w:rPr>
        <w:t>17</w:t>
      </w:r>
      <w:r>
        <w:rPr/>
        <w:t>页</w:t>
      </w:r>
    </w:p>
    <w:p>
      <w:pPr>
        <w:spacing w:after="0"/>
        <w:jc w:val="center"/>
        <w:sectPr>
          <w:type w:val="continuous"/>
          <w:pgSz w:w="11910" w:h="16160"/>
          <w:pgMar w:top="440" w:bottom="280" w:left="500" w:right="480"/>
        </w:sectPr>
      </w:pPr>
    </w:p>
    <w:p>
      <w:pPr>
        <w:tabs>
          <w:tab w:pos="858" w:val="left" w:leader="none"/>
        </w:tabs>
        <w:spacing w:before="8"/>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33"/>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23"/>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23"/>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spacing w:before="63"/>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spacing w:before="63"/>
            <w:rPr>
              <w:rFonts w:ascii="Times New Roman" w:eastAsia="Times New Roman"/>
            </w:rPr>
          </w:pPr>
          <w:hyperlink w:history="true" w:anchor="_bookmark15">
            <w:r>
              <w:rPr/>
              <w:t>第十二条</w:t>
              <w:tab/>
              <w:t>保险金申请</w:t>
              <w:tab/>
            </w:r>
            <w:r>
              <w:rPr>
                <w:rFonts w:ascii="Times New Roman" w:eastAsia="Times New Roman"/>
              </w:rPr>
              <w:t>6</w:t>
            </w:r>
          </w:hyperlink>
        </w:p>
        <w:p>
          <w:pPr>
            <w:pStyle w:val="TOC1"/>
            <w:tabs>
              <w:tab w:pos="1377" w:val="left" w:leader="none"/>
              <w:tab w:pos="10019"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9" w:val="right" w:leader="dot"/>
            </w:tabs>
            <w:spacing w:before="48"/>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7</w:t>
            </w:r>
          </w:hyperlink>
        </w:p>
        <w:p>
          <w:pPr>
            <w:pStyle w:val="TOC2"/>
            <w:tabs>
              <w:tab w:pos="1742" w:val="left" w:leader="none"/>
              <w:tab w:pos="10017" w:val="right" w:leader="dot"/>
            </w:tabs>
            <w:rPr>
              <w:rFonts w:ascii="Times New Roman" w:eastAsia="Times New Roman"/>
            </w:rPr>
          </w:pPr>
          <w:hyperlink w:history="true" w:anchor="_bookmark22">
            <w:r>
              <w:rPr/>
              <w:t>第十七条</w:t>
              <w:tab/>
              <w:t>轻症的种类及定义</w:t>
              <w:tab/>
            </w:r>
            <w:r>
              <w:rPr>
                <w:rFonts w:ascii="Times New Roman" w:eastAsia="Times New Roman"/>
              </w:rPr>
              <w:t>15</w:t>
            </w:r>
          </w:hyperlink>
        </w:p>
        <w:p>
          <w:pPr>
            <w:pStyle w:val="TOC2"/>
            <w:tabs>
              <w:tab w:pos="1742" w:val="left" w:leader="none"/>
              <w:tab w:pos="10017" w:val="right" w:leader="dot"/>
            </w:tabs>
            <w:rPr>
              <w:rFonts w:ascii="Times New Roman" w:eastAsia="Times New Roman"/>
            </w:rPr>
          </w:pPr>
          <w:hyperlink w:history="true" w:anchor="_bookmark23">
            <w:r>
              <w:rPr/>
              <w:t>第十八条</w:t>
              <w:tab/>
              <w:t>高发癌症种类及定义</w:t>
              <w:tab/>
            </w:r>
            <w:r>
              <w:rPr>
                <w:rFonts w:ascii="Times New Roman" w:eastAsia="Times New Roman"/>
              </w:rPr>
              <w:t>16</w:t>
            </w:r>
          </w:hyperlink>
        </w:p>
        <w:p>
          <w:pPr>
            <w:pStyle w:val="TOC2"/>
            <w:tabs>
              <w:tab w:pos="1742" w:val="left" w:leader="none"/>
              <w:tab w:pos="10017" w:val="right" w:leader="dot"/>
            </w:tabs>
            <w:rPr>
              <w:rFonts w:ascii="Times New Roman" w:eastAsia="Times New Roman"/>
            </w:rPr>
          </w:pPr>
          <w:hyperlink w:history="true" w:anchor="_bookmark24">
            <w:r>
              <w:rPr/>
              <w:t>第十九条</w:t>
              <w:tab/>
              <w:t>女性特定疾病种类及定义</w:t>
              <w:tab/>
            </w:r>
            <w:r>
              <w:rPr>
                <w:rFonts w:ascii="Times New Roman" w:eastAsia="Times New Roman"/>
              </w:rPr>
              <w:t>16</w:t>
            </w:r>
          </w:hyperlink>
        </w:p>
        <w:p>
          <w:pPr>
            <w:pStyle w:val="TOC2"/>
            <w:tabs>
              <w:tab w:pos="1742" w:val="left" w:leader="none"/>
              <w:tab w:pos="10017" w:val="right" w:leader="dot"/>
            </w:tabs>
            <w:rPr>
              <w:rFonts w:ascii="Times New Roman" w:eastAsia="Times New Roman"/>
            </w:rPr>
          </w:pPr>
          <w:hyperlink w:history="true" w:anchor="_bookmark25">
            <w:r>
              <w:rPr/>
              <w:t>第二十条</w:t>
              <w:tab/>
              <w:t>少儿特定疾病种类及定义</w:t>
              <w:tab/>
            </w:r>
            <w:r>
              <w:rPr>
                <w:rFonts w:ascii="Times New Roman" w:eastAsia="Times New Roman"/>
              </w:rPr>
              <w:t>17</w:t>
            </w:r>
          </w:hyperlink>
        </w:p>
        <w:p>
          <w:pPr/>
          <w:r>
            <w:fldChar w:fldCharType="end"/>
          </w:r>
        </w:p>
      </w:sdtContent>
    </w:sdt>
    <w:p>
      <w:pPr>
        <w:spacing w:after="0"/>
        <w:sectPr>
          <w:footerReference w:type="default" r:id="rId8"/>
          <w:pgSz w:w="11910" w:h="16160"/>
          <w:pgMar w:footer="670" w:header="0" w:top="1380" w:bottom="86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56" w:lineRule="auto" w:before="36"/>
        <w:ind w:left="117" w:right="111" w:firstLine="420"/>
      </w:pPr>
      <w:r>
        <w:rPr>
          <w:spacing w:val="-13"/>
        </w:rPr>
        <w:t>本附加合同依您的申请，可附加于我们提供的主合同《太平吉福康爱 </w:t>
      </w:r>
      <w:r>
        <w:rPr>
          <w:rFonts w:ascii="Times New Roman" w:hAnsi="Times New Roman" w:eastAsia="Times New Roman"/>
        </w:rPr>
        <w:t>B</w:t>
      </w:r>
      <w:r>
        <w:rPr>
          <w:rFonts w:ascii="Times New Roman" w:hAnsi="Times New Roman" w:eastAsia="Times New Roman"/>
          <w:spacing w:val="22"/>
        </w:rPr>
        <w:t> </w:t>
      </w:r>
      <w:r>
        <w:rPr>
          <w:spacing w:val="-3"/>
        </w:rPr>
        <w:t>款两全保险</w:t>
      </w:r>
      <w:r>
        <w:rPr>
          <w:spacing w:val="-168"/>
        </w:rPr>
        <w:t>》</w:t>
      </w:r>
      <w:r>
        <w:rPr/>
        <w:t>（</w:t>
      </w:r>
      <w:r>
        <w:rPr>
          <w:spacing w:val="-3"/>
        </w:rPr>
        <w:t>以下简称</w:t>
      </w:r>
      <w:r>
        <w:rPr>
          <w:rFonts w:ascii="Times New Roman" w:hAnsi="Times New Roman" w:eastAsia="Times New Roman"/>
          <w:spacing w:val="-3"/>
        </w:rPr>
        <w:t>“</w:t>
      </w:r>
      <w:r>
        <w:rPr>
          <w:spacing w:val="-3"/>
        </w:rPr>
        <w:t>主合同</w:t>
      </w:r>
      <w:r>
        <w:rPr>
          <w:rFonts w:ascii="Times New Roman" w:hAnsi="Times New Roman" w:eastAsia="Times New Roman"/>
        </w:rPr>
        <w:t>”</w:t>
      </w:r>
      <w:r>
        <w:rPr/>
        <w:t>） </w:t>
      </w:r>
      <w:r>
        <w:rPr>
          <w:spacing w:val="-3"/>
        </w:rPr>
        <w:t>之上，经我们审核同意，并在保险单或批注中列明后生效。</w:t>
      </w:r>
    </w:p>
    <w:p>
      <w:pPr>
        <w:pStyle w:val="BodyText"/>
        <w:spacing w:line="273" w:lineRule="auto" w:before="22"/>
        <w:ind w:left="117" w:right="2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spacing w:before="1"/>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28 </w:t>
      </w:r>
      <w:r>
        <w:rPr/>
        <w:t>日至 </w:t>
      </w:r>
      <w:r>
        <w:rPr>
          <w:rFonts w:ascii="Times New Roman" w:eastAsia="Times New Roman"/>
        </w:rPr>
        <w:t>50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6"/>
        <w:ind w:left="538"/>
      </w:pPr>
      <w:r>
        <w:rPr/>
        <w:t>您提出保险申请、我们同意承保，本附加合同成立。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rPr>
          <w:sz w:val="25"/>
        </w:rPr>
      </w:pPr>
    </w:p>
    <w:p>
      <w:pPr>
        <w:pStyle w:val="Heading2"/>
        <w:tabs>
          <w:tab w:pos="969" w:val="left" w:leader="none"/>
        </w:tabs>
      </w:pPr>
      <w:bookmarkStart w:name="_bookmark4" w:id="5"/>
      <w:bookmarkEnd w:id="5"/>
      <w:r>
        <w:rPr>
          <w:b w:val="0"/>
        </w:rPr>
      </w:r>
      <w:r>
        <w:rPr/>
        <w:t>第四条</w:t>
        <w:tab/>
        <w:t>保险期间</w:t>
      </w:r>
    </w:p>
    <w:p>
      <w:pPr>
        <w:pStyle w:val="BodyText"/>
        <w:spacing w:before="36"/>
        <w:ind w:left="538"/>
      </w:pPr>
      <w:r>
        <w:rPr/>
        <w:t>本附加合同的保险期间与主合同保持一致。</w:t>
      </w:r>
    </w:p>
    <w:p>
      <w:pPr>
        <w:pStyle w:val="BodyText"/>
        <w:spacing w:before="6"/>
        <w:rPr>
          <w:sz w:val="24"/>
        </w:rPr>
      </w:pPr>
    </w:p>
    <w:p>
      <w:pPr>
        <w:pStyle w:val="Heading1"/>
        <w:tabs>
          <w:tab w:pos="1418" w:val="left" w:leader="none"/>
        </w:tabs>
        <w:spacing w:before="1"/>
        <w:ind w:right="102"/>
        <w:jc w:val="center"/>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在本附加合同保险期间内，本附加合同的基本保险金额与主合同的基本保险金额保持一致。</w:t>
      </w:r>
    </w:p>
    <w:p>
      <w:pPr>
        <w:pStyle w:val="BodyText"/>
        <w:spacing w:before="8"/>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left="117" w:right="2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rPr>
          <w:sz w:val="24"/>
        </w:rPr>
      </w:pPr>
    </w:p>
    <w:p>
      <w:pPr>
        <w:pStyle w:val="Heading2"/>
        <w:tabs>
          <w:tab w:pos="969" w:val="left" w:leader="none"/>
        </w:tabs>
        <w:spacing w:before="1"/>
      </w:pPr>
      <w:bookmarkStart w:name="_bookmark8" w:id="9"/>
      <w:bookmarkEnd w:id="9"/>
      <w:r>
        <w:rPr>
          <w:b w:val="0"/>
        </w:rPr>
      </w:r>
      <w:r>
        <w:rPr/>
        <w:t>第七条</w:t>
        <w:tab/>
        <w:t>保险责任</w:t>
      </w:r>
    </w:p>
    <w:p>
      <w:pPr>
        <w:pStyle w:val="BodyText"/>
        <w:spacing w:line="273" w:lineRule="auto" w:before="37"/>
        <w:ind w:left="538" w:right="10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56" w:lineRule="auto" w:before="7" w:after="0"/>
        <w:ind w:left="117" w:right="217" w:firstLine="421"/>
        <w:jc w:val="left"/>
        <w:rPr>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2"/>
          <w:sz w:val="21"/>
          <w:vertAlign w:val="baseline"/>
        </w:rPr>
        <w:t>确诊</w:t>
      </w:r>
      <w:r>
        <w:rPr>
          <w:spacing w:val="-3"/>
          <w:sz w:val="21"/>
          <w:vertAlign w:val="baseline"/>
        </w:rPr>
        <w:t>初次患上一种或多种本附加合同第十六条所定义的重大疾病，我们按本附加合同基本保险金额给付重大疾病</w:t>
      </w:r>
    </w:p>
    <w:p>
      <w:pPr>
        <w:pStyle w:val="BodyText"/>
        <w:spacing w:before="3"/>
        <w:rPr>
          <w:sz w:val="11"/>
        </w:rPr>
      </w:pPr>
      <w:r>
        <w:rPr/>
        <w:pict>
          <v:line style="position:absolute;mso-position-horizontal-relative:page;mso-position-vertical-relative:paragraph;z-index:1072;mso-wrap-distance-left:0;mso-wrap-distance-right:0" from="53.880001pt,9.550561pt" to="197.930001pt,9.550561pt" stroked="true" strokeweight=".47998pt" strokecolor="#000000">
            <v:stroke dashstyle="solid"/>
            <w10:wrap type="topAndBottom"/>
          </v:line>
        </w:pict>
      </w:r>
    </w:p>
    <w:p>
      <w:pPr>
        <w:pStyle w:val="BodyText"/>
        <w:spacing w:line="274"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ind w:left="117"/>
        <w:rPr>
          <w:rFonts w:ascii="楷体" w:eastAsia="楷体" w:hint="eastAsia"/>
        </w:rPr>
      </w:pPr>
      <w:r>
        <w:rPr>
          <w:rFonts w:ascii="楷体" w:eastAsia="楷体" w:hint="eastAsia"/>
        </w:rPr>
        <w:t>之日起为零周岁，每经过一年增加一岁，不足一年的不计。</w:t>
      </w:r>
    </w:p>
    <w:p>
      <w:pPr>
        <w:pStyle w:val="BodyText"/>
        <w:spacing w:line="271"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4</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rPr>
          <w:rFonts w:ascii="楷体" w:eastAsia="楷体" w:hint="eastAsia"/>
        </w:rPr>
      </w:pPr>
      <w:r>
        <w:rPr>
          <w:rFonts w:ascii="Times New Roman" w:eastAsia="Times New Roman"/>
          <w:position w:val="10"/>
          <w:sz w:val="14"/>
        </w:rPr>
        <w:t>5</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pStyle w:val="BodyText"/>
        <w:spacing w:line="272" w:lineRule="exact"/>
        <w:ind w:left="117"/>
        <w:rPr>
          <w:rFonts w:ascii="楷体" w:eastAsia="楷体" w:hint="eastAsia"/>
        </w:rPr>
      </w:pPr>
      <w:r>
        <w:rPr>
          <w:rFonts w:ascii="楷体" w:eastAsia="楷体" w:hint="eastAsia"/>
        </w:rPr>
        <w:t>意并寻求诊断、治疗或护理的病症。</w:t>
      </w:r>
    </w:p>
    <w:p>
      <w:pPr>
        <w:pStyle w:val="BodyText"/>
        <w:spacing w:line="272" w:lineRule="exact"/>
        <w:ind w:left="117"/>
        <w:rPr>
          <w:rFonts w:ascii="楷体" w:eastAsia="楷体" w:hint="eastAsia"/>
        </w:rPr>
      </w:pPr>
      <w:r>
        <w:rPr>
          <w:rFonts w:ascii="Times New Roman" w:eastAsia="Times New Roman"/>
          <w:position w:val="10"/>
          <w:sz w:val="14"/>
        </w:rPr>
        <w:t>6</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3"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9"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after="0" w:line="289" w:lineRule="exact"/>
        <w:rPr>
          <w:rFonts w:ascii="楷体" w:eastAsia="楷体" w:hint="eastAsia"/>
        </w:rPr>
        <w:sectPr>
          <w:pgSz w:w="11910" w:h="16160"/>
          <w:pgMar w:header="0" w:footer="670" w:top="1520" w:bottom="860" w:left="960" w:right="700"/>
        </w:sectPr>
      </w:pPr>
    </w:p>
    <w:p>
      <w:pPr>
        <w:spacing w:before="7"/>
        <w:ind w:left="117" w:right="0" w:firstLine="0"/>
        <w:jc w:val="left"/>
        <w:rPr>
          <w:sz w:val="21"/>
        </w:rPr>
      </w:pPr>
      <w:r>
        <w:rPr>
          <w:sz w:val="21"/>
        </w:rPr>
        <w:t>保险金，</w:t>
      </w:r>
      <w:r>
        <w:rPr>
          <w:b/>
          <w:sz w:val="21"/>
        </w:rPr>
        <w:t>同时主合同及本附加合同终止</w:t>
      </w:r>
      <w:r>
        <w:rPr>
          <w:sz w:val="21"/>
        </w:rPr>
        <w:t>。</w:t>
      </w:r>
    </w:p>
    <w:p>
      <w:pPr>
        <w:pStyle w:val="ListParagraph"/>
        <w:numPr>
          <w:ilvl w:val="0"/>
          <w:numId w:val="2"/>
        </w:numPr>
        <w:tabs>
          <w:tab w:pos="807" w:val="left" w:leader="none"/>
        </w:tabs>
        <w:spacing w:line="264" w:lineRule="auto" w:before="37" w:after="0"/>
        <w:ind w:left="117" w:right="157" w:firstLine="421"/>
        <w:jc w:val="both"/>
        <w:rPr>
          <w:sz w:val="21"/>
        </w:rPr>
      </w:pPr>
      <w:r>
        <w:rPr>
          <w:sz w:val="21"/>
        </w:rPr>
        <w:t>如果被保险人因意外伤害事故以外的原因经医院确诊初次患上一种或多种本附加合同第十六条所定</w:t>
      </w:r>
      <w:r>
        <w:rPr>
          <w:spacing w:val="-3"/>
          <w:sz w:val="21"/>
        </w:rPr>
        <w:t>义的重大疾病，并且首次发病时间在等待期内，我们按主合同及本附加合同的已交保险费给付重大疾病保险</w:t>
      </w:r>
      <w:r>
        <w:rPr>
          <w:spacing w:val="-1"/>
          <w:sz w:val="21"/>
        </w:rPr>
        <w:t>金，</w:t>
      </w:r>
      <w:r>
        <w:rPr>
          <w:b/>
          <w:spacing w:val="-2"/>
          <w:sz w:val="21"/>
        </w:rPr>
        <w:t>同时主合同及本附加合同终止</w:t>
      </w:r>
      <w:r>
        <w:rPr>
          <w:sz w:val="21"/>
        </w:rPr>
        <w:t>。</w:t>
      </w:r>
    </w:p>
    <w:p>
      <w:pPr>
        <w:pStyle w:val="BodyText"/>
        <w:spacing w:before="16"/>
        <w:ind w:left="538"/>
      </w:pPr>
      <w:r>
        <w:rPr/>
        <w:t>二、轻症保险金</w:t>
      </w:r>
    </w:p>
    <w:p>
      <w:pPr>
        <w:pStyle w:val="ListParagraph"/>
        <w:numPr>
          <w:ilvl w:val="0"/>
          <w:numId w:val="3"/>
        </w:numPr>
        <w:tabs>
          <w:tab w:pos="807" w:val="left" w:leader="none"/>
        </w:tabs>
        <w:spacing w:line="256" w:lineRule="auto" w:before="37" w:after="0"/>
        <w:ind w:left="117" w:right="154" w:firstLine="421"/>
        <w:jc w:val="both"/>
        <w:rPr>
          <w:sz w:val="21"/>
        </w:rPr>
      </w:pPr>
      <w:r>
        <w:rPr>
          <w:sz w:val="21"/>
        </w:rPr>
        <w:t>如果被保险人因意外伤害事故或等待期后因意外伤害事故以外的原因导致首次发病并经医院确诊初</w:t>
      </w:r>
      <w:r>
        <w:rPr>
          <w:spacing w:val="-3"/>
          <w:sz w:val="21"/>
        </w:rPr>
        <w:t>次患上一种或多种本附加合同第十七条所定义的轻症，我们按本附加合同基本保险金额的 </w:t>
      </w:r>
      <w:r>
        <w:rPr>
          <w:rFonts w:ascii="Times New Roman" w:eastAsia="Times New Roman"/>
          <w:sz w:val="21"/>
        </w:rPr>
        <w:t>20%</w:t>
      </w:r>
      <w:r>
        <w:rPr>
          <w:spacing w:val="-3"/>
          <w:sz w:val="21"/>
        </w:rPr>
        <w:t>给付轻症保险金，给付以一次为限，</w:t>
      </w:r>
      <w:r>
        <w:rPr>
          <w:b/>
          <w:sz w:val="21"/>
        </w:rPr>
        <w:t>同时本项责任终止</w:t>
      </w:r>
      <w:r>
        <w:rPr>
          <w:sz w:val="21"/>
        </w:rPr>
        <w:t>。</w:t>
      </w:r>
    </w:p>
    <w:p>
      <w:pPr>
        <w:pStyle w:val="ListParagraph"/>
        <w:numPr>
          <w:ilvl w:val="0"/>
          <w:numId w:val="3"/>
        </w:numPr>
        <w:tabs>
          <w:tab w:pos="807" w:val="left" w:leader="none"/>
        </w:tabs>
        <w:spacing w:line="256" w:lineRule="auto" w:before="22" w:after="0"/>
        <w:ind w:left="117" w:right="154" w:firstLine="421"/>
        <w:jc w:val="left"/>
        <w:rPr>
          <w:sz w:val="21"/>
        </w:rPr>
      </w:pPr>
      <w:r>
        <w:rPr>
          <w:sz w:val="21"/>
        </w:rPr>
        <w:t>如果被保险人因意外伤害事故以外的原因经医院确诊初次患上一种或多种本附加合同第十七条所定</w:t>
      </w:r>
      <w:r>
        <w:rPr>
          <w:spacing w:val="-3"/>
          <w:sz w:val="21"/>
        </w:rPr>
        <w:t>义的轻症，并且</w:t>
      </w:r>
      <w:r>
        <w:rPr>
          <w:b/>
          <w:spacing w:val="-3"/>
          <w:sz w:val="21"/>
        </w:rPr>
        <w:t>首次发病时间在等待期内，我们不承担本项责任</w:t>
      </w:r>
      <w:r>
        <w:rPr>
          <w:sz w:val="21"/>
        </w:rPr>
        <w:t>。</w:t>
      </w:r>
    </w:p>
    <w:p>
      <w:pPr>
        <w:pStyle w:val="BodyText"/>
        <w:spacing w:before="22"/>
        <w:ind w:left="538"/>
      </w:pPr>
      <w:r>
        <w:rPr/>
        <w:t>三、特定疾病保险金</w:t>
      </w:r>
    </w:p>
    <w:p>
      <w:pPr>
        <w:spacing w:line="273" w:lineRule="auto" w:before="37"/>
        <w:ind w:left="117" w:right="159" w:firstLine="420"/>
        <w:jc w:val="left"/>
        <w:rPr>
          <w:b/>
          <w:sz w:val="21"/>
        </w:rPr>
      </w:pPr>
      <w:r>
        <w:rPr>
          <w:sz w:val="21"/>
        </w:rPr>
        <w:t>在本附加合同保险期间内且本附加合同有效，我们按照下列约定承担给付特定疾病保险金的责任。</w:t>
      </w:r>
      <w:r>
        <w:rPr>
          <w:b/>
          <w:sz w:val="21"/>
        </w:rPr>
        <w:t>符合以下多项情况的，我们仅给付其中一项特定疾病保险金，且以一次为限。</w:t>
      </w:r>
    </w:p>
    <w:p>
      <w:pPr>
        <w:pStyle w:val="ListParagraph"/>
        <w:numPr>
          <w:ilvl w:val="0"/>
          <w:numId w:val="4"/>
        </w:numPr>
        <w:tabs>
          <w:tab w:pos="803" w:val="left" w:leader="none"/>
        </w:tabs>
        <w:spacing w:line="240" w:lineRule="auto" w:before="7" w:after="0"/>
        <w:ind w:left="802" w:right="0" w:hanging="264"/>
        <w:jc w:val="left"/>
        <w:rPr>
          <w:sz w:val="21"/>
        </w:rPr>
      </w:pPr>
      <w:r>
        <w:rPr>
          <w:spacing w:val="-3"/>
          <w:sz w:val="21"/>
        </w:rPr>
        <w:t>高发癌症特定疾病保险金</w:t>
      </w:r>
    </w:p>
    <w:p>
      <w:pPr>
        <w:pStyle w:val="BodyText"/>
        <w:spacing w:line="273" w:lineRule="auto" w:before="21"/>
        <w:ind w:left="117" w:right="159" w:firstLine="420"/>
      </w:pPr>
      <w:r>
        <w:rPr/>
        <w:t>如果被保险人等待期后首次发病并经医院确诊初次患上一种或多种本附加合同第十八条所定义的高发癌症，我们按本附加合同基本保险金额额外给付高发癌症特定疾病保险金。</w:t>
      </w:r>
    </w:p>
    <w:p>
      <w:pPr>
        <w:spacing w:line="273" w:lineRule="auto" w:before="7"/>
        <w:ind w:left="117" w:right="157" w:firstLine="420"/>
        <w:jc w:val="left"/>
        <w:rPr>
          <w:sz w:val="21"/>
        </w:rPr>
      </w:pPr>
      <w:r>
        <w:rPr>
          <w:sz w:val="21"/>
        </w:rPr>
        <w:t>如果被保险人经医院确诊初次患上一种或多种本附加合同第十八条所定义的高发癌症，并且</w:t>
      </w:r>
      <w:r>
        <w:rPr>
          <w:b/>
          <w:sz w:val="21"/>
        </w:rPr>
        <w:t>首次发病时间在等待期内，我们不承担本项责任</w:t>
      </w:r>
      <w:r>
        <w:rPr>
          <w:sz w:val="21"/>
        </w:rPr>
        <w:t>。</w:t>
      </w:r>
    </w:p>
    <w:p>
      <w:pPr>
        <w:pStyle w:val="ListParagraph"/>
        <w:numPr>
          <w:ilvl w:val="0"/>
          <w:numId w:val="4"/>
        </w:numPr>
        <w:tabs>
          <w:tab w:pos="803" w:val="left" w:leader="none"/>
        </w:tabs>
        <w:spacing w:line="240" w:lineRule="auto" w:before="7" w:after="0"/>
        <w:ind w:left="802" w:right="0" w:hanging="264"/>
        <w:jc w:val="left"/>
        <w:rPr>
          <w:sz w:val="21"/>
        </w:rPr>
      </w:pPr>
      <w:r>
        <w:rPr>
          <w:spacing w:val="-3"/>
          <w:sz w:val="21"/>
        </w:rPr>
        <w:t>女性特定疾病保险金</w:t>
      </w:r>
    </w:p>
    <w:p>
      <w:pPr>
        <w:pStyle w:val="BodyText"/>
        <w:spacing w:line="273" w:lineRule="auto" w:before="21"/>
        <w:ind w:left="117" w:right="159" w:firstLine="420"/>
      </w:pPr>
      <w:r>
        <w:rPr/>
        <w:t>如果被保险人等待期后首次发病并经医院确诊初次患上一种或多种本附加合同第十九条所定义的女性特定疾病，我们按本附加合同基本保险金额额外给付女性特定疾病保险金。</w:t>
      </w:r>
    </w:p>
    <w:p>
      <w:pPr>
        <w:spacing w:line="273" w:lineRule="auto" w:before="7"/>
        <w:ind w:left="117" w:right="157" w:firstLine="420"/>
        <w:jc w:val="left"/>
        <w:rPr>
          <w:sz w:val="21"/>
        </w:rPr>
      </w:pPr>
      <w:r>
        <w:rPr>
          <w:sz w:val="21"/>
        </w:rPr>
        <w:t>如果被保险人经医院确诊初次患上一种或多种本附加合同第十九条所定义的女性特定疾病，并且</w:t>
      </w:r>
      <w:r>
        <w:rPr>
          <w:b/>
          <w:sz w:val="21"/>
        </w:rPr>
        <w:t>首次发病时间在等待期内，我们不承担本项责任</w:t>
      </w:r>
      <w:r>
        <w:rPr>
          <w:sz w:val="21"/>
        </w:rPr>
        <w:t>。</w:t>
      </w:r>
    </w:p>
    <w:p>
      <w:pPr>
        <w:pStyle w:val="ListParagraph"/>
        <w:numPr>
          <w:ilvl w:val="0"/>
          <w:numId w:val="4"/>
        </w:numPr>
        <w:tabs>
          <w:tab w:pos="803" w:val="left" w:leader="none"/>
        </w:tabs>
        <w:spacing w:line="240" w:lineRule="auto" w:before="7" w:after="0"/>
        <w:ind w:left="802" w:right="0" w:hanging="264"/>
        <w:jc w:val="left"/>
        <w:rPr>
          <w:sz w:val="21"/>
        </w:rPr>
      </w:pPr>
      <w:r>
        <w:rPr>
          <w:spacing w:val="-3"/>
          <w:sz w:val="21"/>
        </w:rPr>
        <w:t>少儿特定疾病保险金</w:t>
      </w:r>
    </w:p>
    <w:p>
      <w:pPr>
        <w:pStyle w:val="BodyText"/>
        <w:spacing w:line="264" w:lineRule="auto" w:before="21"/>
        <w:ind w:left="117" w:right="154" w:firstLine="420"/>
        <w:jc w:val="both"/>
      </w:pPr>
      <w:r>
        <w:rPr>
          <w:spacing w:val="-6"/>
        </w:rPr>
        <w:t>如果被保险人在年满 </w:t>
      </w:r>
      <w:r>
        <w:rPr>
          <w:rFonts w:ascii="Times New Roman" w:eastAsia="Times New Roman"/>
        </w:rPr>
        <w:t>18 </w:t>
      </w:r>
      <w:r>
        <w:rPr>
          <w:spacing w:val="-10"/>
        </w:rPr>
        <w:t>周岁之前，且因意外伤害事故或等待期后因意外伤害事故以外的原因导致首次发</w:t>
      </w:r>
      <w:r>
        <w:rPr>
          <w:spacing w:val="-9"/>
        </w:rPr>
        <w:t>病并经医院确诊初次患上一种或多种本附加合同第二十条所定义的少儿特定疾病，我们按本附加合同基本保</w:t>
      </w:r>
      <w:r>
        <w:rPr>
          <w:spacing w:val="-3"/>
        </w:rPr>
        <w:t>险金额额外给付少儿特定疾病保险金。</w:t>
      </w:r>
    </w:p>
    <w:p>
      <w:pPr>
        <w:spacing w:line="256" w:lineRule="auto" w:before="16"/>
        <w:ind w:left="117" w:right="155" w:firstLine="420"/>
        <w:jc w:val="left"/>
        <w:rPr>
          <w:sz w:val="21"/>
        </w:rPr>
      </w:pPr>
      <w:r>
        <w:rPr>
          <w:spacing w:val="-6"/>
          <w:sz w:val="21"/>
        </w:rPr>
        <w:t>如果被保险人在年满 </w:t>
      </w:r>
      <w:r>
        <w:rPr>
          <w:rFonts w:ascii="Times New Roman" w:eastAsia="Times New Roman"/>
          <w:sz w:val="21"/>
        </w:rPr>
        <w:t>18 </w:t>
      </w:r>
      <w:r>
        <w:rPr>
          <w:spacing w:val="-10"/>
          <w:sz w:val="21"/>
        </w:rPr>
        <w:t>周岁之前，因意外伤害事故以外的原因经医院确诊初次患上一种或多种本附加合</w:t>
      </w:r>
      <w:r>
        <w:rPr>
          <w:spacing w:val="-5"/>
          <w:sz w:val="21"/>
        </w:rPr>
        <w:t>同第二十条所定义的少儿特定疾病，并且</w:t>
      </w:r>
      <w:r>
        <w:rPr>
          <w:b/>
          <w:spacing w:val="-3"/>
          <w:sz w:val="21"/>
        </w:rPr>
        <w:t>首次发病时间在等待期内，我们不承担本项责任</w:t>
      </w:r>
      <w:r>
        <w:rPr>
          <w:sz w:val="21"/>
        </w:rPr>
        <w:t>。</w:t>
      </w:r>
    </w:p>
    <w:p>
      <w:pPr>
        <w:pStyle w:val="BodyText"/>
        <w:spacing w:before="7"/>
        <w:rPr>
          <w:sz w:val="25"/>
        </w:rPr>
      </w:pPr>
    </w:p>
    <w:p>
      <w:pPr>
        <w:spacing w:line="273" w:lineRule="auto" w:before="0"/>
        <w:ind w:left="117" w:right="160" w:firstLine="420"/>
        <w:jc w:val="left"/>
        <w:rPr>
          <w:b/>
          <w:sz w:val="21"/>
        </w:rPr>
      </w:pPr>
      <w:r>
        <w:rPr>
          <w:b/>
          <w:sz w:val="21"/>
        </w:rPr>
        <w:t>我们只给付主合同及本附加合同保险责任中约定的身故保险金、满期保险金和重大疾病保险金的其中一项保险金，且以一次为限。</w:t>
      </w:r>
    </w:p>
    <w:p>
      <w:pPr>
        <w:pStyle w:val="BodyText"/>
        <w:spacing w:before="5"/>
        <w:rPr>
          <w:b/>
          <w:sz w:val="24"/>
        </w:rPr>
      </w:pPr>
    </w:p>
    <w:p>
      <w:pPr>
        <w:pStyle w:val="Heading2"/>
        <w:tabs>
          <w:tab w:pos="969" w:val="left" w:leader="none"/>
        </w:tabs>
        <w:spacing w:before="1"/>
      </w:pPr>
      <w:bookmarkStart w:name="_bookmark9" w:id="10"/>
      <w:bookmarkEnd w:id="10"/>
      <w:r>
        <w:rPr>
          <w:b w:val="0"/>
        </w:rPr>
      </w:r>
      <w:r>
        <w:rPr/>
        <w:t>第八条</w:t>
        <w:tab/>
        <w:t>责任免除</w:t>
      </w:r>
    </w:p>
    <w:p>
      <w:pPr>
        <w:pStyle w:val="BodyText"/>
        <w:spacing w:line="273" w:lineRule="auto" w:before="37"/>
        <w:ind w:left="117" w:right="162" w:firstLine="420"/>
        <w:rPr>
          <w:rFonts w:ascii="黑体" w:eastAsia="黑体" w:hint="eastAsia"/>
        </w:rPr>
      </w:pPr>
      <w:r>
        <w:rPr>
          <w:rFonts w:ascii="黑体" w:eastAsia="黑体" w:hint="eastAsia"/>
        </w:rPr>
        <w:t>因下列情形之一导致被保险人患上本附加合同所定义的轻症、重大疾病、特定疾病的，我们不承担给付相应保险金的责任：</w:t>
      </w:r>
    </w:p>
    <w:p>
      <w:pPr>
        <w:pStyle w:val="ListParagraph"/>
        <w:numPr>
          <w:ilvl w:val="0"/>
          <w:numId w:val="5"/>
        </w:numPr>
        <w:tabs>
          <w:tab w:pos="803" w:val="left" w:leader="none"/>
        </w:tabs>
        <w:spacing w:line="240" w:lineRule="auto" w:before="7"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5"/>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7</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BodyText"/>
        <w:spacing w:before="9"/>
        <w:rPr>
          <w:rFonts w:ascii="黑体"/>
          <w:sz w:val="10"/>
        </w:rPr>
      </w:pPr>
      <w:r>
        <w:rPr/>
        <w:pict>
          <v:line style="position:absolute;mso-position-horizontal-relative:page;mso-position-vertical-relative:paragraph;z-index:1096;mso-wrap-distance-left:0;mso-wrap-distance-right:0" from="53.880001pt,9.210993pt" to="197.930001pt,9.210993pt" stroked="true" strokeweight=".48004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7</w:t>
      </w:r>
      <w:r>
        <w:rPr>
          <w:rFonts w:ascii="楷体" w:eastAsia="楷体" w:hint="eastAsia"/>
          <w:b/>
        </w:rPr>
        <w:t>毒品：</w:t>
      </w:r>
      <w:r>
        <w:rPr>
          <w:rFonts w:ascii="楷体" w:eastAsia="楷体" w:hint="eastAsia"/>
        </w:rPr>
        <w:t>指《中华人民共和国刑法》规定的鸦片、海洛因、甲基苯丙胺（冰毒</w:t>
      </w:r>
      <w:r>
        <w:rPr>
          <w:rFonts w:ascii="楷体" w:eastAsia="楷体" w:hint="eastAsia"/>
          <w:spacing w:val="-106"/>
        </w:rPr>
        <w:t>）</w:t>
      </w:r>
      <w:r>
        <w:rPr>
          <w:rFonts w:ascii="楷体" w:eastAsia="楷体" w:hint="eastAsia"/>
        </w:rPr>
        <w:t>、吗啡、大麻、可卡因以及国</w:t>
      </w:r>
    </w:p>
    <w:p>
      <w:pPr>
        <w:pStyle w:val="BodyText"/>
        <w:ind w:left="117" w:right="158"/>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before="2"/>
        <w:ind w:left="117"/>
        <w:rPr>
          <w:rFonts w:ascii="楷体" w:eastAsia="楷体" w:hint="eastAsia"/>
        </w:rPr>
      </w:pPr>
      <w:r>
        <w:rPr>
          <w:rFonts w:ascii="Times New Roman" w:eastAsia="Times New Roman"/>
          <w:position w:val="10"/>
          <w:sz w:val="14"/>
        </w:rPr>
        <w:t>8</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spacing w:after="0" w:line="272" w:lineRule="exact"/>
        <w:rPr>
          <w:rFonts w:ascii="楷体" w:eastAsia="楷体" w:hint="eastAsia"/>
        </w:rPr>
        <w:sectPr>
          <w:pgSz w:w="11910" w:h="16160"/>
          <w:pgMar w:header="0" w:footer="670" w:top="1360" w:bottom="880" w:left="960" w:right="760"/>
        </w:sectPr>
      </w:pPr>
    </w:p>
    <w:p>
      <w:pPr>
        <w:pStyle w:val="ListParagraph"/>
        <w:numPr>
          <w:ilvl w:val="0"/>
          <w:numId w:val="5"/>
        </w:numPr>
        <w:tabs>
          <w:tab w:pos="803" w:val="left" w:leader="none"/>
        </w:tabs>
        <w:spacing w:line="240" w:lineRule="auto" w:before="67"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5"/>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before="21"/>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项情形导致被保险人患上本附加合同所定义的轻症、重大疾病、特定疾病的，本附加合同</w:t>
      </w:r>
    </w:p>
    <w:p>
      <w:pPr>
        <w:pStyle w:val="BodyText"/>
        <w:spacing w:before="21"/>
        <w:ind w:left="117"/>
        <w:rPr>
          <w:rFonts w:ascii="黑体" w:eastAsia="黑体" w:hint="eastAsia"/>
        </w:rPr>
      </w:pPr>
      <w:r>
        <w:rPr>
          <w:rFonts w:ascii="黑体" w:eastAsia="黑体" w:hint="eastAsia"/>
        </w:rPr>
        <w:t>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15</w:t>
      </w:r>
      <w:r>
        <w:rPr>
          <w:rFonts w:ascii="Times New Roman" w:eastAsia="Times New Roman"/>
          <w:b/>
          <w:vertAlign w:val="baseline"/>
        </w:rPr>
      </w:r>
      <w:r>
        <w:rPr>
          <w:rFonts w:ascii="黑体" w:eastAsia="黑体" w:hint="eastAsia"/>
          <w:vertAlign w:val="baseline"/>
        </w:rPr>
        <w:t>。</w:t>
      </w:r>
    </w:p>
    <w:p>
      <w:pPr>
        <w:pStyle w:val="BodyText"/>
        <w:spacing w:line="273" w:lineRule="auto" w:before="21"/>
        <w:ind w:left="117" w:right="119" w:firstLine="420"/>
        <w:rPr>
          <w:rFonts w:ascii="黑体" w:eastAsia="黑体" w:hint="eastAsia"/>
        </w:rPr>
      </w:pPr>
      <w:r>
        <w:rPr>
          <w:rFonts w:ascii="黑体" w:eastAsia="黑体" w:hint="eastAsia"/>
        </w:rPr>
        <w:t>发Th上述其他情形导致被保险人患上本附加合同所定义的轻症、重大疾病、特定疾病的，本附加合同终止，我们向您退还保险单的现金价值。</w:t>
      </w:r>
    </w:p>
    <w:p>
      <w:pPr>
        <w:pStyle w:val="BodyText"/>
        <w:spacing w:before="3"/>
        <w:rPr>
          <w:rFonts w:ascii="黑体"/>
          <w:sz w:val="22"/>
        </w:rPr>
      </w:pPr>
    </w:p>
    <w:p>
      <w:pPr>
        <w:pStyle w:val="Heading1"/>
        <w:tabs>
          <w:tab w:pos="1418" w:val="left" w:leader="none"/>
        </w:tabs>
        <w:spacing w:before="1"/>
        <w:ind w:right="1"/>
        <w:jc w:val="center"/>
      </w:pPr>
      <w:bookmarkStart w:name="_bookmark10" w:id="11"/>
      <w:bookmarkEnd w:id="11"/>
      <w:r>
        <w:rPr>
          <w:b w:val="0"/>
        </w:rPr>
      </w:r>
      <w:r>
        <w:rPr/>
        <w:t>第三部分</w:t>
        <w:tab/>
      </w:r>
      <w:r>
        <w:rPr>
          <w:w w:val="95"/>
        </w:rPr>
        <w:t>如何支付保险费</w:t>
      </w:r>
    </w:p>
    <w:p>
      <w:pPr>
        <w:pStyle w:val="BodyText"/>
        <w:spacing w:before="11"/>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7"/>
        <w:rPr>
          <w:sz w:val="24"/>
        </w:rPr>
      </w:pPr>
    </w:p>
    <w:p>
      <w:pPr>
        <w:pStyle w:val="Heading1"/>
        <w:tabs>
          <w:tab w:pos="1418" w:val="left" w:leader="none"/>
        </w:tabs>
        <w:jc w:val="center"/>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7"/>
        <w:ind w:left="538"/>
      </w:pPr>
      <w:r>
        <w:rPr/>
        <w:t>除另有约定外，轻症保险金、重大疾病保险金和特定疾病保险金的受益人为被保险人本人。</w:t>
      </w:r>
    </w:p>
    <w:p>
      <w:pPr>
        <w:pStyle w:val="BodyText"/>
        <w:spacing w:before="9"/>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7"/>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16</w:t>
      </w:r>
      <w:r>
        <w:rPr>
          <w:rFonts w:ascii="Times New Roman" w:eastAsia="Times New Roman"/>
          <w:b/>
          <w:vertAlign w:val="baseline"/>
        </w:rPr>
      </w:r>
      <w:r>
        <w:rPr>
          <w:vertAlign w:val="baseline"/>
        </w:rPr>
        <w:t>发生之日起计算。</w:t>
      </w:r>
    </w:p>
    <w:p>
      <w:pPr>
        <w:pStyle w:val="BodyText"/>
        <w:rPr>
          <w:sz w:val="20"/>
        </w:rPr>
      </w:pPr>
    </w:p>
    <w:p>
      <w:pPr>
        <w:pStyle w:val="BodyText"/>
        <w:rPr>
          <w:sz w:val="20"/>
        </w:rPr>
      </w:pPr>
    </w:p>
    <w:p>
      <w:pPr>
        <w:pStyle w:val="BodyText"/>
        <w:spacing w:before="6"/>
        <w:rPr>
          <w:sz w:val="25"/>
        </w:rPr>
      </w:pPr>
      <w:r>
        <w:rPr/>
        <w:pict>
          <v:line style="position:absolute;mso-position-horizontal-relative:page;mso-position-vertical-relative:paragraph;z-index:1120;mso-wrap-distance-left:0;mso-wrap-distance-right:0" from="53.880001pt,18.907124pt" to="197.930001pt,18.907124pt" stroked="true" strokeweight=".47998pt" strokecolor="#000000">
            <v:stroke dashstyle="solid"/>
            <w10:wrap type="topAndBottom"/>
          </v:line>
        </w:pict>
      </w:r>
    </w:p>
    <w:p>
      <w:pPr>
        <w:pStyle w:val="BodyText"/>
        <w:spacing w:line="274" w:lineRule="exact" w:before="32"/>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9</w:t>
      </w:r>
      <w:r>
        <w:rPr>
          <w:rFonts w:ascii="楷体" w:eastAsia="楷体" w:hint="eastAsia"/>
          <w:b/>
          <w:spacing w:val="-2"/>
          <w:w w:val="100"/>
          <w:sz w:val="21"/>
        </w:rPr>
        <w:t>无合法有效驾驶证驾驶：</w:t>
      </w:r>
      <w:r>
        <w:rPr>
          <w:rFonts w:ascii="楷体" w:eastAsia="楷体" w:hint="eastAsia"/>
          <w:spacing w:val="-18"/>
          <w:w w:val="100"/>
          <w:sz w:val="21"/>
        </w:rPr>
        <w:t>指下列情形之一：</w:t>
      </w:r>
      <w:r>
        <w:rPr>
          <w:rFonts w:ascii="楷体" w:eastAsia="楷体" w:hint="eastAsia"/>
          <w:spacing w:val="-1"/>
          <w:w w:val="100"/>
          <w:sz w:val="21"/>
        </w:rPr>
        <w:t>（</w:t>
      </w:r>
      <w:r>
        <w:rPr>
          <w:rFonts w:ascii="Times New Roman" w:eastAsia="Times New Roman"/>
          <w:w w:val="100"/>
          <w:sz w:val="21"/>
        </w:rPr>
        <w:t>1</w:t>
      </w:r>
      <w:r>
        <w:rPr>
          <w:rFonts w:ascii="楷体" w:eastAsia="楷体" w:hint="eastAsia"/>
          <w:spacing w:val="-13"/>
          <w:w w:val="100"/>
          <w:sz w:val="21"/>
        </w:rPr>
        <w:t>）</w:t>
      </w:r>
      <w:r>
        <w:rPr>
          <w:rFonts w:ascii="楷体" w:eastAsia="楷体" w:hint="eastAsia"/>
          <w:spacing w:val="-16"/>
          <w:w w:val="100"/>
          <w:sz w:val="21"/>
        </w:rPr>
        <w:t>没有取得驾驶资格；</w:t>
      </w:r>
      <w:r>
        <w:rPr>
          <w:rFonts w:ascii="楷体" w:eastAsia="楷体" w:hint="eastAsia"/>
          <w:w w:val="100"/>
          <w:sz w:val="21"/>
        </w:rPr>
        <w:t>（</w:t>
      </w:r>
      <w:r>
        <w:rPr>
          <w:rFonts w:ascii="Times New Roman" w:eastAsia="Times New Roman"/>
          <w:w w:val="100"/>
          <w:sz w:val="21"/>
        </w:rPr>
        <w:t>2</w:t>
      </w:r>
      <w:r>
        <w:rPr>
          <w:rFonts w:ascii="楷体" w:eastAsia="楷体" w:hint="eastAsia"/>
          <w:spacing w:val="-13"/>
          <w:w w:val="100"/>
          <w:sz w:val="21"/>
        </w:rPr>
        <w:t>）</w:t>
      </w:r>
      <w:r>
        <w:rPr>
          <w:rFonts w:ascii="楷体" w:eastAsia="楷体" w:hint="eastAsia"/>
          <w:spacing w:val="-3"/>
          <w:w w:val="100"/>
          <w:sz w:val="21"/>
        </w:rPr>
        <w:t>驾驶与驾驶证准驾车型不相符合的</w:t>
      </w:r>
    </w:p>
    <w:p>
      <w:pPr>
        <w:pStyle w:val="BodyText"/>
        <w:spacing w:line="225" w:lineRule="auto" w:before="8"/>
        <w:ind w:left="117" w:right="118"/>
        <w:rPr>
          <w:rFonts w:ascii="楷体" w:eastAsia="楷体" w:hint="eastAsia"/>
        </w:rPr>
      </w:pPr>
      <w:r>
        <w:rPr>
          <w:rFonts w:ascii="楷体" w:eastAsia="楷体" w:hint="eastAsia"/>
          <w:spacing w:val="-35"/>
          <w:w w:val="100"/>
        </w:rPr>
        <w:t>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w w:val="100"/>
        </w:rPr>
        <w:t>4</w:t>
      </w:r>
      <w:r>
        <w:rPr>
          <w:rFonts w:ascii="楷体" w:eastAsia="楷体" w:hint="eastAsia"/>
          <w:w w:val="100"/>
        </w:rPr>
        <w:t>）</w:t>
      </w:r>
      <w:r>
        <w:rPr>
          <w:rFonts w:ascii="楷体" w:eastAsia="楷体" w:hint="eastAsia"/>
          <w:spacing w:val="-3"/>
          <w:w w:val="100"/>
        </w:rPr>
        <w:t>持学习驾驶证学习驾车时，无教练员随车指导，或不按指定时</w:t>
      </w:r>
      <w:r>
        <w:rPr>
          <w:rFonts w:ascii="楷体" w:eastAsia="楷体" w:hint="eastAsia"/>
          <w:spacing w:val="-3"/>
        </w:rPr>
        <w:t>间、路线学习驾车。</w:t>
      </w:r>
    </w:p>
    <w:p>
      <w:pPr>
        <w:pStyle w:val="BodyText"/>
        <w:spacing w:line="271" w:lineRule="exact"/>
        <w:ind w:left="117"/>
        <w:rPr>
          <w:rFonts w:ascii="楷体" w:eastAsia="楷体" w:hint="eastAsia"/>
        </w:rPr>
      </w:pPr>
      <w:r>
        <w:rPr>
          <w:rFonts w:ascii="Times New Roman" w:eastAsia="Times New Roman"/>
          <w:position w:val="10"/>
          <w:sz w:val="14"/>
        </w:rPr>
        <w:t>10</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5" w:lineRule="auto" w:before="17"/>
        <w:ind w:left="117" w:right="146"/>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71" w:lineRule="exact"/>
        <w:ind w:left="117"/>
        <w:rPr>
          <w:rFonts w:ascii="楷体" w:eastAsia="楷体" w:hint="eastAsia"/>
        </w:rPr>
      </w:pPr>
      <w:r>
        <w:rPr>
          <w:rFonts w:ascii="Times New Roman" w:eastAsia="Times New Roman"/>
          <w:position w:val="10"/>
          <w:sz w:val="14"/>
        </w:rPr>
        <w:t>11</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3" w:lineRule="exact"/>
        <w:ind w:left="117"/>
        <w:rPr>
          <w:rFonts w:ascii="楷体" w:eastAsia="楷体" w:hint="eastAsia"/>
        </w:rPr>
      </w:pPr>
      <w:r>
        <w:rPr>
          <w:rFonts w:ascii="楷体" w:eastAsia="楷体" w:hint="eastAsia"/>
        </w:rPr>
        <w:t>的轮式车辆。</w:t>
      </w:r>
    </w:p>
    <w:p>
      <w:pPr>
        <w:pStyle w:val="BodyText"/>
        <w:spacing w:line="228" w:lineRule="auto" w:before="12"/>
        <w:ind w:left="117" w:right="112"/>
        <w:jc w:val="both"/>
        <w:rPr>
          <w:rFonts w:ascii="楷体" w:eastAsia="楷体" w:hint="eastAsia"/>
        </w:rPr>
      </w:pPr>
      <w:r>
        <w:rPr>
          <w:rFonts w:ascii="Times New Roman" w:eastAsia="Times New Roman"/>
          <w:position w:val="10"/>
          <w:sz w:val="14"/>
        </w:rPr>
        <w:t>12</w:t>
      </w:r>
      <w:r>
        <w:rPr>
          <w:rFonts w:ascii="楷体" w:eastAsia="楷体" w:hint="eastAsia"/>
          <w:b/>
        </w:rPr>
        <w:t>感染艾滋病病毒或患艾滋病：</w:t>
      </w:r>
      <w:r>
        <w:rPr>
          <w:rFonts w:ascii="楷体" w:eastAsia="楷体" w:hint="eastAsia"/>
          <w:spacing w:val="-2"/>
        </w:rPr>
        <w:t>艾滋病病毒指人类免疫缺陷病毒，英文缩写为 </w:t>
      </w:r>
      <w:r>
        <w:rPr>
          <w:rFonts w:ascii="Times New Roman" w:eastAsia="Times New Roman"/>
        </w:rPr>
        <w:t>HIV</w:t>
      </w:r>
      <w:r>
        <w:rPr>
          <w:rFonts w:ascii="楷体" w:eastAsia="楷体" w:hint="eastAsia"/>
          <w:spacing w:val="-1"/>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。在人体血液或其他样本中检测到艾滋病病毒或其抗体呈阳性，没有出现临床症状或体征的，为感染艾滋病病毒；如果同时出现了明显临床症状或体征的，为患艾滋病。</w:t>
      </w:r>
    </w:p>
    <w:p>
      <w:pPr>
        <w:pStyle w:val="BodyText"/>
        <w:spacing w:line="272" w:lineRule="exact"/>
        <w:ind w:left="117"/>
        <w:jc w:val="both"/>
        <w:rPr>
          <w:rFonts w:ascii="楷体" w:eastAsia="楷体" w:hint="eastAsia"/>
        </w:rPr>
      </w:pPr>
      <w:r>
        <w:rPr>
          <w:rFonts w:ascii="Times New Roman" w:eastAsia="Times New Roman"/>
          <w:position w:val="10"/>
          <w:sz w:val="14"/>
        </w:rPr>
        <w:t>13</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jc w:val="both"/>
        <w:rPr>
          <w:rFonts w:ascii="楷体" w:eastAsia="楷体" w:hint="eastAsia"/>
        </w:rPr>
      </w:pPr>
      <w:r>
        <w:rPr>
          <w:rFonts w:ascii="楷体" w:eastAsia="楷体" w:hint="eastAsia"/>
        </w:rPr>
        <w:t>由亲代传至后代的垂直传递的特征。</w:t>
      </w:r>
    </w:p>
    <w:p>
      <w:pPr>
        <w:spacing w:line="272" w:lineRule="exact" w:before="0"/>
        <w:ind w:left="117" w:right="0" w:firstLine="0"/>
        <w:jc w:val="both"/>
        <w:rPr>
          <w:rFonts w:ascii="楷体" w:eastAsia="楷体" w:hint="eastAsia"/>
          <w:sz w:val="21"/>
        </w:rPr>
      </w:pPr>
      <w:r>
        <w:rPr>
          <w:rFonts w:ascii="Times New Roman" w:eastAsia="Times New Roman"/>
          <w:position w:val="10"/>
          <w:sz w:val="14"/>
        </w:rPr>
        <w:t>14</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jc w:val="both"/>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ind w:left="117"/>
        <w:jc w:val="both"/>
        <w:rPr>
          <w:rFonts w:ascii="楷体" w:eastAsia="楷体" w:hint="eastAsia"/>
        </w:rPr>
      </w:pPr>
      <w:r>
        <w:rPr>
          <w:rFonts w:ascii="Times New Roman" w:eastAsia="Times New Roman"/>
          <w:position w:val="10"/>
          <w:sz w:val="14"/>
        </w:rPr>
        <w:t>15</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ind w:left="117" w:right="117"/>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2" w:lineRule="exact" w:before="1"/>
        <w:ind w:left="117" w:right="0" w:firstLine="0"/>
        <w:jc w:val="both"/>
        <w:rPr>
          <w:rFonts w:ascii="楷体" w:eastAsia="楷体" w:hint="eastAsia"/>
          <w:sz w:val="21"/>
        </w:rPr>
      </w:pPr>
      <w:r>
        <w:rPr>
          <w:rFonts w:ascii="Times New Roman" w:eastAsia="Times New Roman"/>
          <w:position w:val="10"/>
          <w:sz w:val="14"/>
        </w:rPr>
        <w:t>16</w:t>
      </w:r>
      <w:r>
        <w:rPr>
          <w:rFonts w:ascii="楷体" w:eastAsia="楷体" w:hint="eastAsia"/>
          <w:b/>
          <w:sz w:val="21"/>
        </w:rPr>
        <w:t>保险事故：</w:t>
      </w:r>
      <w:r>
        <w:rPr>
          <w:rFonts w:ascii="楷体" w:eastAsia="楷体" w:hint="eastAsia"/>
          <w:sz w:val="21"/>
        </w:rPr>
        <w:t>指本附加合同约定的保险责任范围内的事故。</w:t>
      </w:r>
    </w:p>
    <w:p>
      <w:pPr>
        <w:spacing w:after="0" w:line="272" w:lineRule="exact"/>
        <w:jc w:val="both"/>
        <w:rPr>
          <w:rFonts w:ascii="楷体" w:eastAsia="楷体" w:hint="eastAsia"/>
          <w:sz w:val="21"/>
        </w:rPr>
        <w:sectPr>
          <w:footerReference w:type="default" r:id="rId9"/>
          <w:pgSz w:w="11910" w:h="16160"/>
          <w:pgMar w:footer="631" w:header="0" w:top="1300" w:bottom="820" w:left="960" w:right="800"/>
          <w:pgNumType w:start="5"/>
        </w:sectPr>
      </w:pPr>
    </w:p>
    <w:p>
      <w:pPr>
        <w:pStyle w:val="Heading2"/>
        <w:tabs>
          <w:tab w:pos="1197" w:val="left" w:leader="none"/>
        </w:tabs>
        <w:spacing w:before="7"/>
      </w:pPr>
      <w:bookmarkStart w:name="_bookmark15" w:id="16"/>
      <w:bookmarkEnd w:id="16"/>
      <w:r>
        <w:rPr>
          <w:b w:val="0"/>
        </w:rPr>
      </w:r>
      <w:r>
        <w:rPr/>
        <w:t>第十二条</w:t>
        <w:tab/>
        <w:t>保险金申请</w:t>
      </w:r>
    </w:p>
    <w:p>
      <w:pPr>
        <w:pStyle w:val="BodyText"/>
        <w:spacing w:line="273" w:lineRule="auto" w:before="37"/>
        <w:ind w:left="117" w:right="122" w:firstLine="420"/>
      </w:pPr>
      <w:r>
        <w:rPr/>
        <w:t>在申请本附加合同轻症保险金、重大疾病保险金或特定疾病保险金时，由相应保险金的受益人作为申请人填写保险金给付申请书，并提供下列证明和资料：</w:t>
      </w:r>
    </w:p>
    <w:p>
      <w:pPr>
        <w:pStyle w:val="ListParagraph"/>
        <w:numPr>
          <w:ilvl w:val="0"/>
          <w:numId w:val="6"/>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6"/>
        </w:numPr>
        <w:tabs>
          <w:tab w:pos="803" w:val="left" w:leader="none"/>
        </w:tabs>
        <w:spacing w:line="240" w:lineRule="auto" w:before="20"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w:t>
      </w:r>
    </w:p>
    <w:p>
      <w:pPr>
        <w:pStyle w:val="ListParagraph"/>
        <w:numPr>
          <w:ilvl w:val="0"/>
          <w:numId w:val="6"/>
        </w:numPr>
        <w:tabs>
          <w:tab w:pos="803" w:val="left" w:leader="none"/>
        </w:tabs>
        <w:spacing w:line="240" w:lineRule="auto" w:before="20"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6"/>
        </w:numPr>
        <w:tabs>
          <w:tab w:pos="803" w:val="left" w:leader="none"/>
        </w:tabs>
        <w:spacing w:line="240" w:lineRule="auto" w:before="20" w:after="0"/>
        <w:ind w:left="802" w:right="0" w:hanging="264"/>
        <w:jc w:val="left"/>
        <w:rPr>
          <w:sz w:val="21"/>
        </w:rPr>
      </w:pPr>
      <w:r>
        <w:rPr>
          <w:spacing w:val="-3"/>
          <w:sz w:val="21"/>
        </w:rPr>
        <w:t>所能提供的与确认保险事故的性质、原因等有关的其他证明和资料。</w:t>
      </w:r>
    </w:p>
    <w:p>
      <w:pPr>
        <w:pStyle w:val="BodyText"/>
        <w:spacing w:before="5"/>
        <w:rPr>
          <w:sz w:val="25"/>
        </w:rPr>
      </w:pPr>
    </w:p>
    <w:p>
      <w:pPr>
        <w:pStyle w:val="BodyText"/>
        <w:spacing w:line="268" w:lineRule="auto"/>
        <w:ind w:left="117" w:right="117"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8</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7"/>
        <w:rPr>
          <w:sz w:val="22"/>
        </w:rPr>
      </w:pPr>
    </w:p>
    <w:p>
      <w:pPr>
        <w:pStyle w:val="Heading1"/>
        <w:tabs>
          <w:tab w:pos="1418" w:val="left" w:leader="none"/>
        </w:tabs>
        <w:jc w:val="center"/>
      </w:pPr>
      <w:bookmarkStart w:name="_bookmark16" w:id="17"/>
      <w:bookmarkEnd w:id="17"/>
      <w:r>
        <w:rPr>
          <w:b w:val="0"/>
        </w:rPr>
      </w:r>
      <w:r>
        <w:rPr/>
        <w:t>第五部分</w:t>
        <w:tab/>
      </w:r>
      <w:r>
        <w:rPr>
          <w:w w:val="95"/>
        </w:rPr>
        <w:t>您还享有哪些权益</w:t>
      </w:r>
    </w:p>
    <w:p>
      <w:pPr>
        <w:pStyle w:val="BodyText"/>
        <w:spacing w:before="9"/>
        <w:rPr>
          <w:b/>
          <w:sz w:val="25"/>
        </w:rPr>
      </w:pPr>
    </w:p>
    <w:p>
      <w:pPr>
        <w:pStyle w:val="Heading2"/>
        <w:tabs>
          <w:tab w:pos="1197" w:val="left" w:leader="none"/>
        </w:tabs>
        <w:spacing w:before="1"/>
      </w:pPr>
      <w:bookmarkStart w:name="_bookmark17" w:id="18"/>
      <w:bookmarkEnd w:id="18"/>
      <w:r>
        <w:rPr>
          <w:b w:val="0"/>
        </w:rPr>
      </w:r>
      <w:r>
        <w:rPr/>
        <w:t>第十三条</w:t>
        <w:tab/>
        <w:t>犹豫期</w:t>
      </w:r>
    </w:p>
    <w:p>
      <w:pPr>
        <w:pStyle w:val="BodyText"/>
        <w:spacing w:before="37"/>
        <w:ind w:left="538"/>
      </w:pPr>
      <w:r>
        <w:rPr/>
        <w:t>您在收到本附加合同并书面签收之日起可享有 </w:t>
      </w:r>
      <w:r>
        <w:rPr>
          <w:rFonts w:ascii="Times New Roman" w:eastAsia="Times New Roman"/>
        </w:rPr>
        <w:t>15 </w:t>
      </w:r>
      <w:r>
        <w:rPr/>
        <w:t>日的犹豫期，在犹豫期内要求解除本附加合同的，在我</w:t>
      </w:r>
    </w:p>
    <w:p>
      <w:pPr>
        <w:pStyle w:val="BodyText"/>
        <w:spacing w:line="256" w:lineRule="auto" w:before="21"/>
        <w:ind w:left="117" w:right="112"/>
      </w:pPr>
      <w:r>
        <w:rPr>
          <w:spacing w:val="-6"/>
        </w:rPr>
        <w:t>们收齐相关文件和资料的次日零时，本附加合同即被解除，</w:t>
      </w:r>
      <w:r>
        <w:rPr>
          <w:b/>
          <w:spacing w:val="-1"/>
        </w:rPr>
        <w:t>我们自始不承担保险责任</w:t>
      </w:r>
      <w:r>
        <w:rPr>
          <w:spacing w:val="-11"/>
        </w:rPr>
        <w:t>。我们在扣除 </w:t>
      </w:r>
      <w:r>
        <w:rPr>
          <w:rFonts w:ascii="Times New Roman" w:eastAsia="Times New Roman"/>
        </w:rPr>
        <w:t>10 </w:t>
      </w:r>
      <w:r>
        <w:rPr/>
        <w:t>元工本</w:t>
      </w:r>
      <w:r>
        <w:rPr>
          <w:spacing w:val="-3"/>
        </w:rPr>
        <w:t>费后，无息退还已交保险费。</w:t>
      </w:r>
    </w:p>
    <w:p>
      <w:pPr>
        <w:pStyle w:val="BodyText"/>
        <w:spacing w:before="7"/>
        <w:rPr>
          <w:sz w:val="25"/>
        </w:rPr>
      </w:pPr>
    </w:p>
    <w:p>
      <w:pPr>
        <w:pStyle w:val="Heading2"/>
        <w:tabs>
          <w:tab w:pos="1197" w:val="left" w:leader="none"/>
        </w:tabs>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538" w:right="1617"/>
      </w:pPr>
      <w:r>
        <w:rPr/>
        <w:t>如您在犹豫期后申请解除本附加合同，请填写解除合同申请书并向我们提供下列资料： 一、保险合同；</w:t>
      </w:r>
    </w:p>
    <w:p>
      <w:pPr>
        <w:pStyle w:val="BodyText"/>
        <w:spacing w:before="7"/>
        <w:ind w:left="538"/>
      </w:pPr>
      <w:r>
        <w:rPr/>
        <w:t>二、您的有效身份证件。</w:t>
      </w:r>
    </w:p>
    <w:p>
      <w:pPr>
        <w:pStyle w:val="BodyText"/>
        <w:spacing w:line="256" w:lineRule="auto" w:before="36"/>
        <w:ind w:left="117" w:right="1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line="273" w:lineRule="auto" w:before="21"/>
        <w:ind w:left="538" w:right="4771"/>
      </w:pPr>
      <w:r>
        <w:rPr/>
        <w:t>在申请解除本附加合同的同时必须申请解除主合同。您犹豫期后解除合同会遭受一定损失。</w:t>
      </w:r>
    </w:p>
    <w:p>
      <w:pPr>
        <w:pStyle w:val="BodyText"/>
        <w:spacing w:before="3"/>
        <w:rPr>
          <w:sz w:val="22"/>
        </w:rPr>
      </w:pPr>
    </w:p>
    <w:p>
      <w:pPr>
        <w:pStyle w:val="Heading1"/>
        <w:tabs>
          <w:tab w:pos="1418" w:val="left" w:leader="none"/>
        </w:tabs>
        <w:ind w:right="2"/>
        <w:jc w:val="center"/>
      </w:pPr>
      <w:bookmarkStart w:name="_bookmark19" w:id="20"/>
      <w:bookmarkEnd w:id="20"/>
      <w:r>
        <w:rPr>
          <w:b w:val="0"/>
        </w:rPr>
      </w:r>
      <w:r>
        <w:rPr/>
        <w:t>第六部分</w:t>
        <w:tab/>
      </w:r>
      <w:r>
        <w:rPr>
          <w:w w:val="95"/>
        </w:rPr>
        <w:t>您必须了解的其他事项</w:t>
      </w:r>
    </w:p>
    <w:p>
      <w:pPr>
        <w:pStyle w:val="BodyText"/>
        <w:spacing w:before="10"/>
        <w:rPr>
          <w:b/>
          <w:sz w:val="25"/>
        </w:rPr>
      </w:pPr>
    </w:p>
    <w:p>
      <w:pPr>
        <w:pStyle w:val="Heading2"/>
        <w:tabs>
          <w:tab w:pos="1197" w:val="left" w:leader="none"/>
        </w:tabs>
      </w:pPr>
      <w:bookmarkStart w:name="_bookmark20" w:id="21"/>
      <w:bookmarkEnd w:id="21"/>
      <w:r>
        <w:rPr>
          <w:b w:val="0"/>
        </w:rPr>
      </w:r>
      <w:r>
        <w:rPr/>
        <w:t>第十五条</w:t>
        <w:tab/>
        <w:t>保险合同的终止</w:t>
      </w:r>
    </w:p>
    <w:p>
      <w:pPr>
        <w:spacing w:line="273" w:lineRule="auto" w:before="37"/>
        <w:ind w:left="538" w:right="2880" w:firstLine="0"/>
        <w:jc w:val="left"/>
        <w:rPr>
          <w:sz w:val="21"/>
        </w:rPr>
      </w:pPr>
      <w:r>
        <w:rPr>
          <w:sz w:val="21"/>
        </w:rPr>
        <w:t>除本附加合同另有约定外，本附加合同在发生下列情况之一时自动终止： 一、</w:t>
      </w:r>
      <w:r>
        <w:rPr>
          <w:b/>
          <w:sz w:val="21"/>
        </w:rPr>
        <w:t>本附加合同期满日</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零时；</w:t>
      </w:r>
    </w:p>
    <w:p>
      <w:pPr>
        <w:pStyle w:val="BodyText"/>
        <w:spacing w:line="273" w:lineRule="auto"/>
        <w:ind w:left="538" w:right="4560"/>
      </w:pPr>
      <w:r>
        <w:rPr/>
        <w:t>二、我们已按本附加合同的约定给付重大疾病保险金； 三、主合同解除或终止；</w:t>
      </w:r>
    </w:p>
    <w:p>
      <w:pPr>
        <w:pStyle w:val="BodyText"/>
        <w:spacing w:before="19"/>
        <w:ind w:left="538"/>
      </w:pPr>
      <w:r>
        <w:rPr/>
        <w:t>四、本附加合同内约定的其他终止情况。</w:t>
      </w:r>
    </w:p>
    <w:p>
      <w:pPr>
        <w:pStyle w:val="BodyText"/>
        <w:spacing w:before="12"/>
        <w:rPr>
          <w:sz w:val="11"/>
        </w:rPr>
      </w:pPr>
      <w:r>
        <w:rPr/>
        <w:pict>
          <v:line style="position:absolute;mso-position-horizontal-relative:page;mso-position-vertical-relative:paragraph;z-index:1144;mso-wrap-distance-left:0;mso-wrap-distance-right:0" from="53.880001pt,10.019209pt" to="197.930001pt,10.019209pt" stroked="true" strokeweight=".47998pt" strokecolor="#000000">
            <v:stroke dashstyle="solid"/>
            <w10:wrap type="topAndBottom"/>
          </v:line>
        </w:pict>
      </w:r>
    </w:p>
    <w:p>
      <w:pPr>
        <w:pStyle w:val="BodyText"/>
        <w:spacing w:before="56"/>
        <w:ind w:left="117"/>
        <w:rPr>
          <w:rFonts w:ascii="楷体" w:eastAsia="楷体" w:hint="eastAsia"/>
        </w:rPr>
      </w:pPr>
      <w:r>
        <w:rPr>
          <w:rFonts w:ascii="Times New Roman" w:eastAsia="Times New Roman"/>
          <w:position w:val="10"/>
          <w:sz w:val="14"/>
        </w:rPr>
        <w:t>17</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6"/>
        <w:ind w:left="117"/>
        <w:rPr>
          <w:rFonts w:ascii="楷体" w:eastAsia="楷体" w:hint="eastAsia"/>
        </w:rPr>
      </w:pPr>
      <w:r>
        <w:rPr>
          <w:rFonts w:ascii="楷体" w:eastAsia="楷体" w:hint="eastAsia"/>
        </w:rPr>
        <w:t>证件。</w:t>
      </w:r>
    </w:p>
    <w:p>
      <w:pPr>
        <w:pStyle w:val="BodyText"/>
        <w:spacing w:line="237" w:lineRule="auto" w:before="18"/>
        <w:ind w:left="117" w:right="114"/>
        <w:rPr>
          <w:rFonts w:ascii="楷体" w:eastAsia="楷体" w:hint="eastAsia"/>
        </w:rPr>
      </w:pPr>
      <w:r>
        <w:rPr>
          <w:rFonts w:ascii="Times New Roman" w:eastAsia="Times New Roman"/>
          <w:position w:val="10"/>
          <w:sz w:val="14"/>
        </w:rPr>
        <w:t>18</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19</w:t>
      </w:r>
      <w:r>
        <w:rPr>
          <w:rFonts w:ascii="楷体" w:eastAsia="楷体" w:hint="eastAsia"/>
          <w:b/>
          <w:sz w:val="21"/>
        </w:rPr>
        <w:t>本附加合同期满日：</w:t>
      </w:r>
      <w:r>
        <w:rPr>
          <w:rFonts w:ascii="楷体" w:eastAsia="楷体" w:hint="eastAsia"/>
          <w:sz w:val="21"/>
        </w:rPr>
        <w:t>指保险单或批注上列明的合同生效日经过保险期间后的对应日。如果当月无对应的同</w:t>
      </w:r>
    </w:p>
    <w:p>
      <w:pPr>
        <w:pStyle w:val="BodyText"/>
        <w:spacing w:line="273" w:lineRule="exact"/>
        <w:ind w:left="117"/>
        <w:rPr>
          <w:rFonts w:ascii="楷体" w:eastAsia="楷体" w:hint="eastAsia"/>
        </w:rPr>
      </w:pPr>
      <w:r>
        <w:rPr>
          <w:rFonts w:ascii="楷体" w:eastAsia="楷体" w:hint="eastAsia"/>
        </w:rPr>
        <w:t>一日，则以该月最后一日作为对应日。</w:t>
      </w:r>
    </w:p>
    <w:p>
      <w:pPr>
        <w:spacing w:after="0" w:line="273" w:lineRule="exact"/>
        <w:rPr>
          <w:rFonts w:ascii="楷体" w:eastAsia="楷体" w:hint="eastAsia"/>
        </w:rPr>
        <w:sectPr>
          <w:pgSz w:w="11910" w:h="16160"/>
          <w:pgMar w:header="0" w:footer="631" w:top="1360" w:bottom="880" w:left="960" w:right="800"/>
        </w:sectPr>
      </w:pPr>
    </w:p>
    <w:p>
      <w:pPr>
        <w:pStyle w:val="BodyText"/>
        <w:spacing w:before="5"/>
        <w:rPr>
          <w:rFonts w:ascii="楷体"/>
          <w:sz w:val="9"/>
        </w:rPr>
      </w:pPr>
    </w:p>
    <w:p>
      <w:pPr>
        <w:pStyle w:val="Heading2"/>
        <w:tabs>
          <w:tab w:pos="1397" w:val="left" w:leader="none"/>
        </w:tabs>
        <w:spacing w:before="37"/>
        <w:ind w:left="317"/>
      </w:pPr>
      <w:bookmarkStart w:name="_bookmark21" w:id="22"/>
      <w:bookmarkEnd w:id="22"/>
      <w:r>
        <w:rPr>
          <w:b w:val="0"/>
        </w:rPr>
      </w:r>
      <w:r>
        <w:rPr/>
        <w:t>第十六条</w:t>
        <w:tab/>
        <w:t>重大疾病的种类及</w:t>
      </w:r>
      <w:r>
        <w:rPr>
          <w:spacing w:val="-3"/>
        </w:rPr>
        <w:t>定</w:t>
      </w:r>
      <w:r>
        <w:rPr/>
        <w:t>义</w:t>
      </w:r>
    </w:p>
    <w:p>
      <w:pPr>
        <w:pStyle w:val="BodyText"/>
        <w:spacing w:line="256" w:lineRule="auto" w:before="37"/>
        <w:ind w:left="317" w:right="340"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0</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334" w:firstLine="420"/>
      </w:pPr>
      <w:r>
        <w:rPr>
          <w:spacing w:val="-7"/>
        </w:rPr>
        <w:t>本附加合同所保障的重大疾病共 </w:t>
      </w:r>
      <w:r>
        <w:rPr>
          <w:rFonts w:ascii="Times New Roman" w:eastAsia="Times New Roman"/>
        </w:rPr>
        <w:t>58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111"/>
        <w:gridCol w:w="7728"/>
      </w:tblGrid>
      <w:tr>
        <w:trPr>
          <w:trHeight w:val="3706"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2111" w:type="dxa"/>
          </w:tcPr>
          <w:p>
            <w:pPr>
              <w:pStyle w:val="TableParagraph"/>
              <w:spacing w:line="220" w:lineRule="exact"/>
              <w:ind w:left="131"/>
              <w:rPr>
                <w:sz w:val="21"/>
              </w:rPr>
            </w:pPr>
            <w:r>
              <w:rPr>
                <w:sz w:val="21"/>
              </w:rPr>
              <w:t>恶性肿瘤</w:t>
            </w:r>
          </w:p>
        </w:tc>
        <w:tc>
          <w:tcPr>
            <w:tcW w:w="7728" w:type="dxa"/>
          </w:tcPr>
          <w:p>
            <w:pPr>
              <w:pStyle w:val="TableParagraph"/>
              <w:spacing w:line="220" w:lineRule="exact"/>
              <w:ind w:left="718"/>
              <w:rPr>
                <w:sz w:val="21"/>
              </w:rPr>
            </w:pPr>
            <w:r>
              <w:rPr>
                <w:sz w:val="21"/>
              </w:rPr>
              <w:t>指恶性细胞不受控制的进行性增长和扩散，浸润和破坏周围正常组织，可</w:t>
            </w:r>
          </w:p>
          <w:p>
            <w:pPr>
              <w:pStyle w:val="TableParagraph"/>
              <w:spacing w:line="273" w:lineRule="auto" w:before="37"/>
              <w:ind w:left="718" w:right="204"/>
              <w:jc w:val="both"/>
              <w:rPr>
                <w:sz w:val="21"/>
              </w:rPr>
            </w:pPr>
            <w:r>
              <w:rPr>
                <w:sz w:val="21"/>
              </w:rPr>
              <w:t>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718"/>
              <w:jc w:val="both"/>
              <w:rPr>
                <w:b/>
                <w:sz w:val="21"/>
              </w:rPr>
            </w:pPr>
            <w:r>
              <w:rPr>
                <w:b/>
                <w:sz w:val="21"/>
              </w:rPr>
              <w:t>下列疾病不在保障范围内：</w:t>
            </w:r>
          </w:p>
          <w:p>
            <w:pPr>
              <w:pStyle w:val="TableParagraph"/>
              <w:spacing w:before="38"/>
              <w:ind w:left="718"/>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718"/>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718"/>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718"/>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718" w:right="200"/>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4"/>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1"/>
                <w:sz w:val="21"/>
                <w:vertAlign w:val="baseline"/>
              </w:rPr>
              <w:t>期或更轻分期的前列腺癌</w:t>
            </w:r>
            <w:r>
              <w:rPr>
                <w:b/>
                <w:sz w:val="21"/>
                <w:vertAlign w:val="baseline"/>
              </w:rPr>
              <w:t>（</w:t>
            </w:r>
            <w:r>
              <w:rPr>
                <w:b/>
                <w:spacing w:val="-1"/>
                <w:sz w:val="21"/>
                <w:vertAlign w:val="baseline"/>
              </w:rPr>
              <w:t>注：如果为女性重</w:t>
            </w:r>
            <w:r>
              <w:rPr>
                <w:b/>
                <w:spacing w:val="-3"/>
                <w:w w:val="100"/>
                <w:sz w:val="21"/>
                <w:vertAlign w:val="baseline"/>
              </w:rPr>
              <w:t>大疾病保险，则不包括此项</w:t>
            </w:r>
            <w:r>
              <w:rPr>
                <w:b/>
                <w:spacing w:val="-106"/>
                <w:w w:val="100"/>
                <w:sz w:val="21"/>
                <w:vertAlign w:val="baseline"/>
              </w:rPr>
              <w:t>）</w:t>
            </w:r>
            <w:r>
              <w:rPr>
                <w:b/>
                <w:w w:val="100"/>
                <w:sz w:val="21"/>
                <w:vertAlign w:val="baseline"/>
              </w:rPr>
              <w:t>；</w:t>
            </w:r>
          </w:p>
          <w:p>
            <w:pPr>
              <w:pStyle w:val="TableParagraph"/>
              <w:spacing w:before="22"/>
              <w:ind w:left="718"/>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2111" w:type="dxa"/>
          </w:tcPr>
          <w:p>
            <w:pPr>
              <w:pStyle w:val="TableParagraph"/>
              <w:spacing w:line="258" w:lineRule="exact"/>
              <w:ind w:left="131"/>
              <w:rPr>
                <w:sz w:val="21"/>
              </w:rPr>
            </w:pPr>
            <w:r>
              <w:rPr>
                <w:sz w:val="21"/>
              </w:rPr>
              <w:t>急性心肌梗塞</w:t>
            </w:r>
          </w:p>
        </w:tc>
        <w:tc>
          <w:tcPr>
            <w:tcW w:w="7728" w:type="dxa"/>
          </w:tcPr>
          <w:p>
            <w:pPr>
              <w:pStyle w:val="TableParagraph"/>
              <w:spacing w:line="258" w:lineRule="exact"/>
              <w:ind w:left="718"/>
              <w:rPr>
                <w:sz w:val="21"/>
              </w:rPr>
            </w:pPr>
            <w:r>
              <w:rPr>
                <w:sz w:val="21"/>
              </w:rPr>
              <w:t>指因冠状动脉阻塞导致的相应区域供血不足造成部分心肌坏死。须满足下</w:t>
            </w:r>
          </w:p>
          <w:p>
            <w:pPr>
              <w:pStyle w:val="TableParagraph"/>
              <w:spacing w:before="37"/>
              <w:ind w:left="718"/>
              <w:rPr>
                <w:sz w:val="21"/>
              </w:rPr>
            </w:pPr>
            <w:r>
              <w:rPr>
                <w:sz w:val="21"/>
              </w:rPr>
              <w:t>列至少三项条件：</w:t>
            </w:r>
          </w:p>
          <w:p>
            <w:pPr>
              <w:pStyle w:val="TableParagraph"/>
              <w:spacing w:before="37"/>
              <w:ind w:left="718"/>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718"/>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718" w:right="151"/>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718"/>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718"/>
              <w:rPr>
                <w:sz w:val="21"/>
              </w:rPr>
            </w:pPr>
            <w:r>
              <w:rPr>
                <w:rFonts w:ascii="Times New Roman" w:eastAsia="Times New Roman"/>
                <w:sz w:val="21"/>
              </w:rPr>
              <w:t>50%</w:t>
            </w:r>
            <w:r>
              <w:rPr>
                <w:sz w:val="21"/>
              </w:rPr>
              <w:t>。</w:t>
            </w:r>
          </w:p>
        </w:tc>
      </w:tr>
      <w:tr>
        <w:trPr>
          <w:trHeight w:val="2130" w:hRule="atLeast"/>
        </w:trPr>
        <w:tc>
          <w:tcPr>
            <w:tcW w:w="489" w:type="dxa"/>
          </w:tcPr>
          <w:p>
            <w:pPr>
              <w:pStyle w:val="TableParagraph"/>
              <w:spacing w:before="30"/>
              <w:ind w:left="180" w:right="111"/>
              <w:jc w:val="center"/>
              <w:rPr>
                <w:rFonts w:ascii="Times New Roman"/>
                <w:sz w:val="21"/>
              </w:rPr>
            </w:pPr>
            <w:r>
              <w:rPr>
                <w:rFonts w:ascii="Times New Roman"/>
                <w:sz w:val="21"/>
              </w:rPr>
              <w:t>3.</w:t>
            </w:r>
          </w:p>
        </w:tc>
        <w:tc>
          <w:tcPr>
            <w:tcW w:w="2111" w:type="dxa"/>
          </w:tcPr>
          <w:p>
            <w:pPr>
              <w:pStyle w:val="TableParagraph"/>
              <w:spacing w:line="258" w:lineRule="exact"/>
              <w:ind w:left="131"/>
              <w:rPr>
                <w:sz w:val="21"/>
              </w:rPr>
            </w:pPr>
            <w:r>
              <w:rPr>
                <w:sz w:val="21"/>
              </w:rPr>
              <w:t>脑中风后遗症</w:t>
            </w:r>
          </w:p>
        </w:tc>
        <w:tc>
          <w:tcPr>
            <w:tcW w:w="7728" w:type="dxa"/>
          </w:tcPr>
          <w:p>
            <w:pPr>
              <w:pStyle w:val="TableParagraph"/>
              <w:spacing w:line="258" w:lineRule="exact"/>
              <w:ind w:left="718"/>
              <w:rPr>
                <w:sz w:val="21"/>
              </w:rPr>
            </w:pPr>
            <w:r>
              <w:rPr>
                <w:sz w:val="21"/>
              </w:rPr>
              <w:t>指因脑血管的突发病变引起脑血管出血、栓塞或梗塞，并导致神经系统永</w:t>
            </w:r>
          </w:p>
          <w:p>
            <w:pPr>
              <w:pStyle w:val="TableParagraph"/>
              <w:spacing w:line="256" w:lineRule="auto" w:before="37"/>
              <w:ind w:left="718" w:right="197"/>
              <w:rPr>
                <w:sz w:val="21"/>
              </w:rPr>
            </w:pPr>
            <w:r>
              <w:rPr>
                <w:sz w:val="21"/>
              </w:rPr>
              <w:t>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22"/>
              <w:ind w:left="718"/>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before="21"/>
              <w:ind w:left="718"/>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line="290" w:lineRule="atLeast" w:before="21"/>
              <w:ind w:left="718" w:right="134"/>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中的三项或三项以上。</w:t>
            </w:r>
          </w:p>
        </w:tc>
      </w:tr>
    </w:tbl>
    <w:p>
      <w:pPr>
        <w:pStyle w:val="BodyText"/>
        <w:rPr>
          <w:sz w:val="20"/>
        </w:rPr>
      </w:pPr>
    </w:p>
    <w:p>
      <w:pPr>
        <w:pStyle w:val="BodyText"/>
        <w:spacing w:before="4"/>
        <w:rPr>
          <w:sz w:val="13"/>
        </w:rPr>
      </w:pPr>
      <w:r>
        <w:rPr/>
        <w:pict>
          <v:line style="position:absolute;mso-position-horizontal-relative:page;mso-position-vertical-relative:paragraph;z-index:1168;mso-wrap-distance-left:0;mso-wrap-distance-right:0" from="53.880001pt,10.91323pt" to="197.930001pt,10.91323pt" stroked="true" strokeweight=".47998pt" strokecolor="#000000">
            <v:stroke dashstyle="solid"/>
            <w10:wrap type="topAndBottom"/>
          </v:line>
        </w:pict>
      </w:r>
    </w:p>
    <w:p>
      <w:pPr>
        <w:pStyle w:val="BodyText"/>
        <w:spacing w:line="281" w:lineRule="exact" w:before="35"/>
        <w:ind w:left="317"/>
        <w:rPr>
          <w:rFonts w:ascii="楷体" w:eastAsia="楷体" w:hint="eastAsia"/>
        </w:rPr>
      </w:pPr>
      <w:r>
        <w:rPr>
          <w:rFonts w:ascii="Times New Roman" w:eastAsia="Times New Roman"/>
          <w:w w:val="99"/>
          <w:position w:val="10"/>
          <w:sz w:val="14"/>
        </w:rPr>
        <w:t>2</w:t>
      </w:r>
      <w:r>
        <w:rPr>
          <w:rFonts w:ascii="Times New Roman" w:eastAsia="Times New Roman"/>
          <w:spacing w:val="1"/>
          <w:w w:val="99"/>
          <w:position w:val="10"/>
          <w:sz w:val="14"/>
        </w:rPr>
        <w:t>0</w:t>
      </w:r>
      <w:r>
        <w:rPr>
          <w:rFonts w:ascii="楷体" w:eastAsia="楷体" w:hint="eastAsia"/>
          <w:b/>
          <w:spacing w:val="1"/>
          <w:w w:val="100"/>
        </w:rPr>
        <w:t>专科医生：</w:t>
      </w:r>
      <w:r>
        <w:rPr>
          <w:rFonts w:ascii="楷体" w:eastAsia="楷体" w:hint="eastAsia"/>
          <w:spacing w:val="-6"/>
          <w:w w:val="100"/>
        </w:rPr>
        <w:t>专科医生应当同时满足以下四项资格条件：</w:t>
      </w:r>
      <w:r>
        <w:rPr>
          <w:rFonts w:ascii="楷体" w:eastAsia="楷体" w:hint="eastAsia"/>
          <w:spacing w:val="5"/>
          <w:w w:val="100"/>
        </w:rPr>
        <w:t>（</w:t>
      </w:r>
      <w:r>
        <w:rPr>
          <w:rFonts w:ascii="Times New Roman" w:eastAsia="Times New Roman"/>
          <w:w w:val="100"/>
        </w:rPr>
        <w:t>1</w:t>
      </w:r>
      <w:r>
        <w:rPr>
          <w:rFonts w:ascii="楷体" w:eastAsia="楷体" w:hint="eastAsia"/>
          <w:spacing w:val="1"/>
          <w:w w:val="100"/>
        </w:rPr>
        <w:t>）</w:t>
      </w:r>
      <w:r>
        <w:rPr>
          <w:rFonts w:ascii="楷体" w:eastAsia="楷体" w:hint="eastAsia"/>
          <w:spacing w:val="-6"/>
          <w:w w:val="100"/>
        </w:rPr>
        <w:t>具有有效的中华人民共和国《医师资格证书》；</w:t>
      </w:r>
    </w:p>
    <w:p>
      <w:pPr>
        <w:pStyle w:val="BodyText"/>
        <w:spacing w:line="225" w:lineRule="auto" w:before="7"/>
        <w:ind w:left="317" w:right="33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w w:val="100"/>
        </w:rPr>
        <w:t>）</w:t>
      </w:r>
      <w:r>
        <w:rPr>
          <w:rFonts w:ascii="楷体" w:eastAsia="楷体" w:hint="eastAsia"/>
          <w:spacing w:val="-12"/>
          <w:w w:val="100"/>
        </w:rPr>
        <w:t>具有有效的中华人民共和国《医师执业证书》，并按期到相关部门登记注册；</w:t>
      </w:r>
      <w:r>
        <w:rPr>
          <w:rFonts w:ascii="楷体" w:eastAsia="楷体" w:hint="eastAsia"/>
          <w:spacing w:val="0"/>
          <w:w w:val="100"/>
        </w:rPr>
        <w:t>（</w:t>
      </w:r>
      <w:r>
        <w:rPr>
          <w:rFonts w:ascii="Times New Roman" w:eastAsia="Times New Roman"/>
          <w:w w:val="100"/>
        </w:rPr>
        <w:t>3</w:t>
      </w:r>
      <w:r>
        <w:rPr>
          <w:rFonts w:ascii="楷体" w:eastAsia="楷体" w:hint="eastAsia"/>
          <w:spacing w:val="-3"/>
          <w:w w:val="100"/>
        </w:rPr>
        <w:t>）</w:t>
      </w:r>
      <w:r>
        <w:rPr>
          <w:rFonts w:ascii="楷体" w:eastAsia="楷体" w:hint="eastAsia"/>
          <w:spacing w:val="-2"/>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line="271" w:lineRule="exact" w:before="0"/>
        <w:ind w:left="3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2"/>
        <w:ind w:left="317" w:right="33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2" w:lineRule="exact" w:before="0"/>
        <w:ind w:left="317" w:right="0" w:firstLine="0"/>
        <w:jc w:val="both"/>
        <w:rPr>
          <w:rFonts w:ascii="楷体" w:eastAsia="楷体" w:hint="eastAsia"/>
          <w:sz w:val="21"/>
        </w:rPr>
      </w:pPr>
      <w:r>
        <w:rPr>
          <w:rFonts w:ascii="Times New Roman" w:eastAsia="Times New Roman"/>
          <w:position w:val="10"/>
          <w:sz w:val="14"/>
        </w:rPr>
        <w:t>23</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2" w:lineRule="exact"/>
        <w:jc w:val="both"/>
        <w:rPr>
          <w:rFonts w:ascii="楷体" w:eastAsia="楷体" w:hint="eastAsia"/>
          <w:sz w:val="21"/>
        </w:rPr>
        <w:sectPr>
          <w:pgSz w:w="11910" w:h="16160"/>
          <w:pgMar w:header="0" w:footer="631" w:top="1520" w:bottom="88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636"/>
        <w:gridCol w:w="7204"/>
      </w:tblGrid>
      <w:tr>
        <w:trPr>
          <w:trHeight w:val="1514" w:hRule="atLeast"/>
        </w:trPr>
        <w:tc>
          <w:tcPr>
            <w:tcW w:w="542" w:type="dxa"/>
          </w:tcPr>
          <w:p>
            <w:pPr>
              <w:pStyle w:val="TableParagraph"/>
              <w:spacing w:line="234" w:lineRule="exact"/>
              <w:ind w:left="200"/>
              <w:rPr>
                <w:rFonts w:ascii="Times New Roman"/>
                <w:sz w:val="21"/>
              </w:rPr>
            </w:pPr>
            <w:r>
              <w:rPr>
                <w:rFonts w:ascii="Times New Roman"/>
                <w:sz w:val="21"/>
              </w:rPr>
              <w:t>4.</w:t>
            </w:r>
          </w:p>
        </w:tc>
        <w:tc>
          <w:tcPr>
            <w:tcW w:w="2636" w:type="dxa"/>
          </w:tcPr>
          <w:p>
            <w:pPr>
              <w:pStyle w:val="TableParagraph"/>
              <w:spacing w:line="220" w:lineRule="exact"/>
              <w:ind w:left="78"/>
              <w:rPr>
                <w:sz w:val="21"/>
              </w:rPr>
            </w:pPr>
            <w:r>
              <w:rPr>
                <w:sz w:val="21"/>
              </w:rPr>
              <w:t>重大器官移植术或造血干</w:t>
            </w:r>
          </w:p>
          <w:p>
            <w:pPr>
              <w:pStyle w:val="TableParagraph"/>
              <w:spacing w:before="37"/>
              <w:ind w:left="78"/>
              <w:rPr>
                <w:sz w:val="21"/>
              </w:rPr>
            </w:pPr>
            <w:r>
              <w:rPr>
                <w:sz w:val="21"/>
              </w:rPr>
              <w:t>细胞移植术</w:t>
            </w:r>
          </w:p>
        </w:tc>
        <w:tc>
          <w:tcPr>
            <w:tcW w:w="7204" w:type="dxa"/>
          </w:tcPr>
          <w:p>
            <w:pPr>
              <w:pStyle w:val="TableParagraph"/>
              <w:spacing w:line="220" w:lineRule="exact"/>
              <w:ind w:left="140"/>
              <w:rPr>
                <w:sz w:val="21"/>
              </w:rPr>
            </w:pPr>
            <w:r>
              <w:rPr>
                <w:sz w:val="21"/>
              </w:rPr>
              <w:t>重大器官移植术，指因相应器官功能衰竭，已经实施了肾脏、肝脏、心脏</w:t>
            </w:r>
          </w:p>
          <w:p>
            <w:pPr>
              <w:pStyle w:val="TableParagraph"/>
              <w:spacing w:before="37"/>
              <w:ind w:left="140"/>
              <w:rPr>
                <w:sz w:val="21"/>
              </w:rPr>
            </w:pPr>
            <w:r>
              <w:rPr>
                <w:sz w:val="21"/>
              </w:rPr>
              <w:t>或肺脏的异体移植手术。</w:t>
            </w:r>
          </w:p>
          <w:p>
            <w:pPr>
              <w:pStyle w:val="TableParagraph"/>
              <w:spacing w:line="310" w:lineRule="atLeast" w:before="1"/>
              <w:ind w:left="140" w:right="260"/>
              <w:rPr>
                <w:sz w:val="21"/>
              </w:rPr>
            </w:pPr>
            <w:r>
              <w:rPr>
                <w:sz w:val="21"/>
              </w:rPr>
              <w:t>造血干细胞移植术，指因造血功能损害或造血系统恶性肿瘤，已经实施了</w:t>
            </w:r>
            <w:r>
              <w:rPr>
                <w:spacing w:val="-4"/>
                <w:sz w:val="21"/>
              </w:rPr>
              <w:t>造血干细胞</w:t>
            </w:r>
            <w:r>
              <w:rPr>
                <w:spacing w:val="-3"/>
                <w:sz w:val="21"/>
              </w:rPr>
              <w:t>（</w:t>
            </w:r>
            <w:r>
              <w:rPr>
                <w:spacing w:val="-4"/>
                <w:sz w:val="21"/>
              </w:rPr>
              <w:t>包括骨髓造血干细胞、外周血造血干细胞和脐血造血干细胞</w:t>
            </w:r>
            <w:r>
              <w:rPr>
                <w:spacing w:val="-3"/>
                <w:sz w:val="21"/>
              </w:rPr>
              <w:t>的异体移植手术。</w:t>
            </w:r>
          </w:p>
        </w:tc>
      </w:tr>
      <w:tr>
        <w:trPr>
          <w:trHeight w:val="1248" w:hRule="atLeast"/>
        </w:trPr>
        <w:tc>
          <w:tcPr>
            <w:tcW w:w="542" w:type="dxa"/>
          </w:tcPr>
          <w:p>
            <w:pPr>
              <w:pStyle w:val="TableParagraph"/>
              <w:spacing w:before="38"/>
              <w:ind w:left="200"/>
              <w:rPr>
                <w:rFonts w:ascii="Times New Roman"/>
                <w:sz w:val="21"/>
              </w:rPr>
            </w:pPr>
            <w:r>
              <w:rPr>
                <w:rFonts w:ascii="Times New Roman"/>
                <w:sz w:val="21"/>
              </w:rPr>
              <w:t>5.</w:t>
            </w:r>
          </w:p>
        </w:tc>
        <w:tc>
          <w:tcPr>
            <w:tcW w:w="2636" w:type="dxa"/>
          </w:tcPr>
          <w:p>
            <w:pPr>
              <w:pStyle w:val="TableParagraph"/>
              <w:spacing w:line="273" w:lineRule="auto"/>
              <w:ind w:left="78" w:right="138"/>
              <w:rPr>
                <w:sz w:val="21"/>
              </w:rPr>
            </w:pPr>
            <w:r>
              <w:rPr>
                <w:spacing w:val="-18"/>
                <w:sz w:val="21"/>
              </w:rPr>
              <w:t>冠状动脉搭桥术</w:t>
            </w:r>
            <w:r>
              <w:rPr>
                <w:sz w:val="21"/>
              </w:rPr>
              <w:t>（</w:t>
            </w:r>
            <w:r>
              <w:rPr>
                <w:spacing w:val="-3"/>
                <w:sz w:val="21"/>
              </w:rPr>
              <w:t>或称冠状动脉旁路移植术</w:t>
            </w:r>
            <w:r>
              <w:rPr>
                <w:sz w:val="21"/>
              </w:rPr>
              <w:t>）</w:t>
            </w:r>
          </w:p>
        </w:tc>
        <w:tc>
          <w:tcPr>
            <w:tcW w:w="7204" w:type="dxa"/>
          </w:tcPr>
          <w:p>
            <w:pPr>
              <w:pStyle w:val="TableParagraph"/>
              <w:spacing w:line="273" w:lineRule="auto"/>
              <w:ind w:left="140" w:right="260"/>
              <w:rPr>
                <w:sz w:val="21"/>
              </w:rPr>
            </w:pPr>
            <w:r>
              <w:rPr>
                <w:sz w:val="21"/>
              </w:rPr>
              <w:t>指为治疗严重的冠心病，实际实施了开胸进行的冠状动脉血管旁路移植的手术。</w:t>
            </w:r>
          </w:p>
          <w:p>
            <w:pPr>
              <w:pStyle w:val="TableParagraph"/>
              <w:spacing w:line="312" w:lineRule="exact" w:before="12"/>
              <w:ind w:left="140" w:right="260"/>
              <w:rPr>
                <w:b/>
                <w:sz w:val="21"/>
              </w:rPr>
            </w:pPr>
            <w:r>
              <w:rPr>
                <w:b/>
                <w:sz w:val="21"/>
              </w:rPr>
              <w:t>冠状动脉支架植入术、心导管球囊扩张术、激光射频技术及其他非开胸的介入手术、腔镜手术不在保障范围内。</w:t>
            </w:r>
          </w:p>
        </w:tc>
      </w:tr>
      <w:tr>
        <w:trPr>
          <w:trHeight w:val="632" w:hRule="atLeast"/>
        </w:trPr>
        <w:tc>
          <w:tcPr>
            <w:tcW w:w="542" w:type="dxa"/>
          </w:tcPr>
          <w:p>
            <w:pPr>
              <w:pStyle w:val="TableParagraph"/>
              <w:spacing w:before="38"/>
              <w:ind w:left="200"/>
              <w:rPr>
                <w:rFonts w:ascii="Times New Roman"/>
                <w:sz w:val="21"/>
              </w:rPr>
            </w:pPr>
            <w:r>
              <w:rPr>
                <w:rFonts w:ascii="Times New Roman"/>
                <w:sz w:val="21"/>
              </w:rPr>
              <w:t>6.</w:t>
            </w:r>
          </w:p>
        </w:tc>
        <w:tc>
          <w:tcPr>
            <w:tcW w:w="2636" w:type="dxa"/>
          </w:tcPr>
          <w:p>
            <w:pPr>
              <w:pStyle w:val="TableParagraph"/>
              <w:spacing w:line="273" w:lineRule="auto"/>
              <w:ind w:left="78" w:right="138"/>
              <w:rPr>
                <w:sz w:val="21"/>
              </w:rPr>
            </w:pPr>
            <w:r>
              <w:rPr>
                <w:spacing w:val="-23"/>
                <w:sz w:val="21"/>
              </w:rPr>
              <w:t>终末期肾病</w:t>
            </w:r>
            <w:r>
              <w:rPr>
                <w:sz w:val="21"/>
              </w:rPr>
              <w:t>（</w:t>
            </w:r>
            <w:r>
              <w:rPr>
                <w:spacing w:val="-3"/>
                <w:sz w:val="21"/>
              </w:rPr>
              <w:t>或称慢性肾功能衰竭尿毒症期</w:t>
            </w:r>
            <w:r>
              <w:rPr>
                <w:sz w:val="21"/>
              </w:rPr>
              <w:t>）</w:t>
            </w:r>
          </w:p>
        </w:tc>
        <w:tc>
          <w:tcPr>
            <w:tcW w:w="7204" w:type="dxa"/>
          </w:tcPr>
          <w:p>
            <w:pPr>
              <w:pStyle w:val="TableParagraph"/>
              <w:spacing w:line="266" w:lineRule="exact"/>
              <w:ind w:left="140"/>
              <w:rPr>
                <w:sz w:val="21"/>
              </w:rPr>
            </w:pPr>
            <w:r>
              <w:rPr>
                <w:sz w:val="21"/>
              </w:rPr>
              <w:t>指双肾功能慢性不可逆性衰竭，达到尿毒症期，经诊断后已经进行了至少</w:t>
            </w:r>
          </w:p>
          <w:p>
            <w:pPr>
              <w:pStyle w:val="TableParagraph"/>
              <w:spacing w:before="37"/>
              <w:ind w:left="140"/>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542" w:type="dxa"/>
          </w:tcPr>
          <w:p>
            <w:pPr>
              <w:pStyle w:val="TableParagraph"/>
              <w:spacing w:before="30"/>
              <w:ind w:left="200"/>
              <w:rPr>
                <w:rFonts w:ascii="Times New Roman"/>
                <w:sz w:val="21"/>
              </w:rPr>
            </w:pPr>
            <w:r>
              <w:rPr>
                <w:rFonts w:ascii="Times New Roman"/>
                <w:sz w:val="21"/>
              </w:rPr>
              <w:t>7.</w:t>
            </w:r>
          </w:p>
        </w:tc>
        <w:tc>
          <w:tcPr>
            <w:tcW w:w="2636" w:type="dxa"/>
          </w:tcPr>
          <w:p>
            <w:pPr>
              <w:pStyle w:val="TableParagraph"/>
              <w:spacing w:line="258" w:lineRule="exact"/>
              <w:ind w:left="78"/>
              <w:rPr>
                <w:sz w:val="21"/>
              </w:rPr>
            </w:pPr>
            <w:r>
              <w:rPr>
                <w:sz w:val="21"/>
              </w:rPr>
              <w:t>多个肢体缺失</w:t>
            </w:r>
          </w:p>
        </w:tc>
        <w:tc>
          <w:tcPr>
            <w:tcW w:w="7204" w:type="dxa"/>
          </w:tcPr>
          <w:p>
            <w:pPr>
              <w:pStyle w:val="TableParagraph"/>
              <w:spacing w:line="258" w:lineRule="exact"/>
              <w:ind w:left="140"/>
              <w:rPr>
                <w:sz w:val="21"/>
              </w:rPr>
            </w:pPr>
            <w:r>
              <w:rPr>
                <w:sz w:val="21"/>
              </w:rPr>
              <w:t>指因疾病或意外伤害导致两个或两个以上肢体自腕关节或踝关节近端（靠</w:t>
            </w:r>
          </w:p>
          <w:p>
            <w:pPr>
              <w:pStyle w:val="TableParagraph"/>
              <w:spacing w:before="37"/>
              <w:ind w:left="140"/>
              <w:rPr>
                <w:sz w:val="21"/>
              </w:rPr>
            </w:pPr>
            <w:r>
              <w:rPr>
                <w:sz w:val="21"/>
              </w:rPr>
              <w:t>近躯干端）以上完全性断离。</w:t>
            </w:r>
          </w:p>
        </w:tc>
      </w:tr>
      <w:tr>
        <w:trPr>
          <w:trHeight w:val="1879" w:hRule="atLeast"/>
        </w:trPr>
        <w:tc>
          <w:tcPr>
            <w:tcW w:w="542" w:type="dxa"/>
          </w:tcPr>
          <w:p>
            <w:pPr>
              <w:pStyle w:val="TableParagraph"/>
              <w:spacing w:before="38"/>
              <w:ind w:left="200"/>
              <w:rPr>
                <w:rFonts w:ascii="Times New Roman"/>
                <w:sz w:val="21"/>
              </w:rPr>
            </w:pPr>
            <w:r>
              <w:rPr>
                <w:rFonts w:ascii="Times New Roman"/>
                <w:sz w:val="21"/>
              </w:rPr>
              <w:t>8.</w:t>
            </w:r>
          </w:p>
        </w:tc>
        <w:tc>
          <w:tcPr>
            <w:tcW w:w="2636" w:type="dxa"/>
          </w:tcPr>
          <w:p>
            <w:pPr>
              <w:pStyle w:val="TableParagraph"/>
              <w:spacing w:line="266" w:lineRule="exact"/>
              <w:ind w:left="78"/>
              <w:rPr>
                <w:sz w:val="21"/>
              </w:rPr>
            </w:pPr>
            <w:r>
              <w:rPr>
                <w:sz w:val="21"/>
              </w:rPr>
              <w:t>急性或亚急性重症肝炎</w:t>
            </w:r>
          </w:p>
        </w:tc>
        <w:tc>
          <w:tcPr>
            <w:tcW w:w="7204" w:type="dxa"/>
          </w:tcPr>
          <w:p>
            <w:pPr>
              <w:pStyle w:val="TableParagraph"/>
              <w:spacing w:line="273" w:lineRule="auto"/>
              <w:ind w:left="140" w:right="259"/>
              <w:rPr>
                <w:sz w:val="21"/>
              </w:rPr>
            </w:pPr>
            <w:r>
              <w:rPr>
                <w:sz w:val="21"/>
              </w:rPr>
              <w:t>指因肝炎病毒感染引起肝脏组织弥漫性坏死，导致急性肝功能衰竭，且经血清学或病毒学检查证实，并须满足下列全部条件：</w:t>
            </w:r>
          </w:p>
          <w:p>
            <w:pPr>
              <w:pStyle w:val="TableParagraph"/>
              <w:spacing w:before="16"/>
              <w:ind w:left="140"/>
              <w:rPr>
                <w:sz w:val="21"/>
              </w:rPr>
            </w:pPr>
            <w:r>
              <w:rPr>
                <w:sz w:val="21"/>
              </w:rPr>
              <w:t>（</w:t>
            </w:r>
            <w:r>
              <w:rPr>
                <w:rFonts w:ascii="Times New Roman" w:eastAsia="Times New Roman"/>
                <w:sz w:val="21"/>
              </w:rPr>
              <w:t>1</w:t>
            </w:r>
            <w:r>
              <w:rPr>
                <w:sz w:val="21"/>
              </w:rPr>
              <w:t>）重度黄疸或黄疸迅速加重；</w:t>
            </w:r>
          </w:p>
          <w:p>
            <w:pPr>
              <w:pStyle w:val="TableParagraph"/>
              <w:spacing w:before="20"/>
              <w:ind w:left="140"/>
              <w:rPr>
                <w:sz w:val="21"/>
              </w:rPr>
            </w:pPr>
            <w:r>
              <w:rPr>
                <w:sz w:val="21"/>
              </w:rPr>
              <w:t>（</w:t>
            </w:r>
            <w:r>
              <w:rPr>
                <w:rFonts w:ascii="Times New Roman" w:eastAsia="Times New Roman"/>
                <w:sz w:val="21"/>
              </w:rPr>
              <w:t>2</w:t>
            </w:r>
            <w:r>
              <w:rPr>
                <w:sz w:val="21"/>
              </w:rPr>
              <w:t>）肝性脑病；</w:t>
            </w:r>
          </w:p>
          <w:p>
            <w:pPr>
              <w:pStyle w:val="TableParagraph"/>
              <w:spacing w:before="20"/>
              <w:ind w:left="14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140"/>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42" w:type="dxa"/>
          </w:tcPr>
          <w:p>
            <w:pPr>
              <w:pStyle w:val="TableParagraph"/>
              <w:spacing w:before="30"/>
              <w:ind w:left="200"/>
              <w:rPr>
                <w:rFonts w:ascii="Times New Roman"/>
                <w:sz w:val="21"/>
              </w:rPr>
            </w:pPr>
            <w:r>
              <w:rPr>
                <w:rFonts w:ascii="Times New Roman"/>
                <w:sz w:val="21"/>
              </w:rPr>
              <w:t>9.</w:t>
            </w:r>
          </w:p>
        </w:tc>
        <w:tc>
          <w:tcPr>
            <w:tcW w:w="2636" w:type="dxa"/>
          </w:tcPr>
          <w:p>
            <w:pPr>
              <w:pStyle w:val="TableParagraph"/>
              <w:spacing w:line="258" w:lineRule="exact"/>
              <w:ind w:left="78"/>
              <w:rPr>
                <w:sz w:val="21"/>
              </w:rPr>
            </w:pPr>
            <w:r>
              <w:rPr>
                <w:sz w:val="21"/>
              </w:rPr>
              <w:t>良性脑肿瘤</w:t>
            </w:r>
          </w:p>
        </w:tc>
        <w:tc>
          <w:tcPr>
            <w:tcW w:w="7204" w:type="dxa"/>
          </w:tcPr>
          <w:p>
            <w:pPr>
              <w:pStyle w:val="TableParagraph"/>
              <w:spacing w:line="258" w:lineRule="exact"/>
              <w:ind w:left="140"/>
              <w:rPr>
                <w:sz w:val="21"/>
              </w:rPr>
            </w:pPr>
            <w:r>
              <w:rPr>
                <w:sz w:val="21"/>
              </w:rPr>
              <w:t>指脑的良性肿瘤，已经引起颅内压增高，临床表现为视神经乳头水肿、精</w:t>
            </w:r>
          </w:p>
          <w:p>
            <w:pPr>
              <w:pStyle w:val="TableParagraph"/>
              <w:spacing w:line="256" w:lineRule="auto" w:before="37"/>
              <w:ind w:left="140" w:right="198"/>
              <w:rPr>
                <w:sz w:val="21"/>
              </w:rPr>
            </w:pPr>
            <w:r>
              <w:rPr>
                <w:spacing w:val="-3"/>
                <w:w w:val="100"/>
                <w:sz w:val="21"/>
              </w:rPr>
              <w:t>神症状、癫痫及运动感觉障碍等，并危及生命。须由头颅断层扫描</w:t>
            </w:r>
            <w:r>
              <w:rPr>
                <w:spacing w:val="-2"/>
                <w:w w:val="100"/>
                <w:sz w:val="21"/>
              </w:rPr>
              <w:t>（</w:t>
            </w:r>
            <w:r>
              <w:rPr>
                <w:rFonts w:ascii="Times New Roman" w:eastAsia="Times New Roman"/>
                <w:w w:val="100"/>
                <w:sz w:val="21"/>
              </w:rPr>
              <w:t>CT</w:t>
            </w:r>
            <w:r>
              <w:rPr>
                <w:spacing w:val="-108"/>
                <w:w w:val="100"/>
                <w:sz w:val="21"/>
              </w:rPr>
              <w:t>）、</w:t>
            </w:r>
            <w:r>
              <w:rPr>
                <w:spacing w:val="-3"/>
                <w:sz w:val="21"/>
              </w:rPr>
              <w:t>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before="22"/>
              <w:ind w:left="140"/>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40"/>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40"/>
              <w:rPr>
                <w:b/>
                <w:sz w:val="21"/>
              </w:rPr>
            </w:pPr>
            <w:r>
              <w:rPr>
                <w:b/>
                <w:sz w:val="21"/>
              </w:rPr>
              <w:t>脑垂体瘤、脑囊肿、脑血管性疾病不在保障范围内。</w:t>
            </w:r>
          </w:p>
        </w:tc>
      </w:tr>
      <w:tr>
        <w:trPr>
          <w:trHeight w:val="1872" w:hRule="atLeast"/>
        </w:trPr>
        <w:tc>
          <w:tcPr>
            <w:tcW w:w="542" w:type="dxa"/>
          </w:tcPr>
          <w:p>
            <w:pPr>
              <w:pStyle w:val="TableParagraph"/>
              <w:spacing w:before="38"/>
              <w:ind w:left="200"/>
              <w:rPr>
                <w:rFonts w:ascii="Times New Roman"/>
                <w:sz w:val="21"/>
              </w:rPr>
            </w:pPr>
            <w:r>
              <w:rPr>
                <w:rFonts w:ascii="Times New Roman"/>
                <w:sz w:val="21"/>
              </w:rPr>
              <w:t>10.</w:t>
            </w:r>
          </w:p>
        </w:tc>
        <w:tc>
          <w:tcPr>
            <w:tcW w:w="2636" w:type="dxa"/>
          </w:tcPr>
          <w:p>
            <w:pPr>
              <w:pStyle w:val="TableParagraph"/>
              <w:spacing w:line="266" w:lineRule="exact"/>
              <w:ind w:left="78"/>
              <w:rPr>
                <w:sz w:val="21"/>
              </w:rPr>
            </w:pPr>
            <w:r>
              <w:rPr>
                <w:sz w:val="21"/>
              </w:rPr>
              <w:t>慢性肝功能衰竭失代偿期</w:t>
            </w:r>
          </w:p>
        </w:tc>
        <w:tc>
          <w:tcPr>
            <w:tcW w:w="7204" w:type="dxa"/>
          </w:tcPr>
          <w:p>
            <w:pPr>
              <w:pStyle w:val="TableParagraph"/>
              <w:spacing w:line="266" w:lineRule="exact"/>
              <w:ind w:left="140"/>
              <w:rPr>
                <w:sz w:val="21"/>
              </w:rPr>
            </w:pPr>
            <w:r>
              <w:rPr>
                <w:sz w:val="21"/>
              </w:rPr>
              <w:t>指因慢性肝脏疾病导致肝功能衰竭。须满足下列全部条件：</w:t>
            </w:r>
          </w:p>
          <w:p>
            <w:pPr>
              <w:pStyle w:val="TableParagraph"/>
              <w:spacing w:before="37"/>
              <w:ind w:left="140"/>
              <w:rPr>
                <w:sz w:val="21"/>
              </w:rPr>
            </w:pPr>
            <w:r>
              <w:rPr>
                <w:sz w:val="21"/>
              </w:rPr>
              <w:t>（</w:t>
            </w:r>
            <w:r>
              <w:rPr>
                <w:rFonts w:ascii="Times New Roman" w:eastAsia="Times New Roman"/>
                <w:sz w:val="21"/>
              </w:rPr>
              <w:t>1</w:t>
            </w:r>
            <w:r>
              <w:rPr>
                <w:sz w:val="21"/>
              </w:rPr>
              <w:t>）持续性黄疸；</w:t>
            </w:r>
          </w:p>
          <w:p>
            <w:pPr>
              <w:pStyle w:val="TableParagraph"/>
              <w:spacing w:before="21"/>
              <w:ind w:left="140"/>
              <w:rPr>
                <w:sz w:val="21"/>
              </w:rPr>
            </w:pPr>
            <w:r>
              <w:rPr>
                <w:sz w:val="21"/>
              </w:rPr>
              <w:t>（</w:t>
            </w:r>
            <w:r>
              <w:rPr>
                <w:rFonts w:ascii="Times New Roman" w:eastAsia="Times New Roman"/>
                <w:sz w:val="21"/>
              </w:rPr>
              <w:t>2</w:t>
            </w:r>
            <w:r>
              <w:rPr>
                <w:sz w:val="21"/>
              </w:rPr>
              <w:t>）腹水；</w:t>
            </w:r>
          </w:p>
          <w:p>
            <w:pPr>
              <w:pStyle w:val="TableParagraph"/>
              <w:spacing w:before="21"/>
              <w:ind w:left="140"/>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40" w:right="1912"/>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542" w:type="dxa"/>
          </w:tcPr>
          <w:p>
            <w:pPr>
              <w:pStyle w:val="TableParagraph"/>
              <w:spacing w:before="38"/>
              <w:ind w:left="200"/>
              <w:rPr>
                <w:rFonts w:ascii="Times New Roman"/>
                <w:sz w:val="21"/>
              </w:rPr>
            </w:pPr>
            <w:r>
              <w:rPr>
                <w:rFonts w:ascii="Times New Roman"/>
                <w:sz w:val="21"/>
              </w:rPr>
              <w:t>11.</w:t>
            </w:r>
          </w:p>
        </w:tc>
        <w:tc>
          <w:tcPr>
            <w:tcW w:w="2636" w:type="dxa"/>
          </w:tcPr>
          <w:p>
            <w:pPr>
              <w:pStyle w:val="TableParagraph"/>
              <w:spacing w:line="273" w:lineRule="auto"/>
              <w:ind w:left="78" w:right="138"/>
              <w:rPr>
                <w:sz w:val="21"/>
              </w:rPr>
            </w:pPr>
            <w:r>
              <w:rPr>
                <w:sz w:val="21"/>
              </w:rPr>
              <w:t>脑炎后遗症或脑膜炎后遗症</w:t>
            </w:r>
          </w:p>
        </w:tc>
        <w:tc>
          <w:tcPr>
            <w:tcW w:w="7204" w:type="dxa"/>
          </w:tcPr>
          <w:p>
            <w:pPr>
              <w:pStyle w:val="TableParagraph"/>
              <w:spacing w:line="273" w:lineRule="auto"/>
              <w:ind w:left="140" w:right="260"/>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9"/>
              <w:ind w:left="14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4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40" w:right="20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02" w:hRule="atLeast"/>
        </w:trPr>
        <w:tc>
          <w:tcPr>
            <w:tcW w:w="542" w:type="dxa"/>
          </w:tcPr>
          <w:p>
            <w:pPr>
              <w:pStyle w:val="TableParagraph"/>
              <w:spacing w:before="38"/>
              <w:ind w:left="200"/>
              <w:rPr>
                <w:rFonts w:ascii="Times New Roman"/>
                <w:sz w:val="21"/>
              </w:rPr>
            </w:pPr>
            <w:r>
              <w:rPr>
                <w:rFonts w:ascii="Times New Roman"/>
                <w:sz w:val="21"/>
              </w:rPr>
              <w:t>12.</w:t>
            </w:r>
          </w:p>
        </w:tc>
        <w:tc>
          <w:tcPr>
            <w:tcW w:w="2636" w:type="dxa"/>
          </w:tcPr>
          <w:p>
            <w:pPr>
              <w:pStyle w:val="TableParagraph"/>
              <w:spacing w:line="266" w:lineRule="exact"/>
              <w:ind w:left="78"/>
              <w:rPr>
                <w:sz w:val="21"/>
              </w:rPr>
            </w:pPr>
            <w:r>
              <w:rPr>
                <w:sz w:val="21"/>
              </w:rPr>
              <w:t>深度昏迷</w:t>
            </w:r>
          </w:p>
        </w:tc>
        <w:tc>
          <w:tcPr>
            <w:tcW w:w="7204" w:type="dxa"/>
          </w:tcPr>
          <w:p>
            <w:pPr>
              <w:pStyle w:val="TableParagraph"/>
              <w:spacing w:line="264" w:lineRule="auto"/>
              <w:ind w:left="140" w:right="253"/>
              <w:jc w:val="both"/>
              <w:rPr>
                <w:sz w:val="21"/>
              </w:rPr>
            </w:pPr>
            <w:r>
              <w:rPr>
                <w:sz w:val="21"/>
              </w:rPr>
              <w:t>指因疾病或意外伤害导致意识丧失，对外界刺激和体内需求均无反应，昏</w:t>
            </w:r>
            <w:r>
              <w:rPr>
                <w:spacing w:val="-3"/>
                <w:sz w:val="21"/>
              </w:rPr>
              <w:t>迷程度按照格拉斯哥昏迷分级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9"/>
                <w:sz w:val="21"/>
              </w:rPr>
              <w:t>分或 </w:t>
            </w:r>
            <w:r>
              <w:rPr>
                <w:rFonts w:ascii="Times New Roman" w:eastAsia="Times New Roman"/>
                <w:sz w:val="21"/>
              </w:rPr>
              <w:t>5 </w:t>
            </w:r>
            <w:r>
              <w:rPr>
                <w:spacing w:val="-3"/>
                <w:sz w:val="21"/>
              </w:rPr>
              <w:t>分以</w:t>
            </w:r>
            <w:r>
              <w:rPr>
                <w:spacing w:val="-5"/>
                <w:sz w:val="21"/>
              </w:rPr>
              <w:t>下，且已经持续使用呼吸机及其他生命维持系统 </w:t>
            </w:r>
            <w:r>
              <w:rPr>
                <w:rFonts w:ascii="Times New Roman" w:eastAsia="Times New Roman"/>
                <w:sz w:val="21"/>
              </w:rPr>
              <w:t>96 </w:t>
            </w:r>
            <w:r>
              <w:rPr>
                <w:spacing w:val="-1"/>
                <w:sz w:val="21"/>
              </w:rPr>
              <w:t>小时以上。</w:t>
            </w:r>
          </w:p>
          <w:p>
            <w:pPr>
              <w:pStyle w:val="TableParagraph"/>
              <w:spacing w:line="253" w:lineRule="exact" w:before="9"/>
              <w:ind w:left="140"/>
              <w:jc w:val="both"/>
              <w:rPr>
                <w:b/>
                <w:sz w:val="21"/>
              </w:rPr>
            </w:pPr>
            <w:r>
              <w:rPr>
                <w:b/>
                <w:sz w:val="21"/>
              </w:rPr>
              <w:t>因酗酒或药物滥用导致的深度昏迷不在保障范围内。</w:t>
            </w:r>
          </w:p>
        </w:tc>
      </w:tr>
    </w:tbl>
    <w:p>
      <w:pPr>
        <w:spacing w:after="0" w:line="253" w:lineRule="exact"/>
        <w:jc w:val="both"/>
        <w:rPr>
          <w:sz w:val="21"/>
        </w:rPr>
        <w:sectPr>
          <w:pgSz w:w="11910" w:h="16160"/>
          <w:pgMar w:header="0" w:footer="631" w:top="142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515"/>
        <w:gridCol w:w="7270"/>
      </w:tblGrid>
      <w:tr>
        <w:trPr>
          <w:trHeight w:val="1548" w:hRule="atLeast"/>
        </w:trPr>
        <w:tc>
          <w:tcPr>
            <w:tcW w:w="542" w:type="dxa"/>
          </w:tcPr>
          <w:p>
            <w:pPr>
              <w:pStyle w:val="TableParagraph"/>
              <w:spacing w:before="26"/>
              <w:ind w:right="77"/>
              <w:jc w:val="right"/>
              <w:rPr>
                <w:rFonts w:ascii="Times New Roman"/>
                <w:sz w:val="21"/>
              </w:rPr>
            </w:pPr>
            <w:r>
              <w:rPr>
                <w:rFonts w:ascii="Times New Roman"/>
                <w:sz w:val="21"/>
              </w:rPr>
              <w:t>13.</w:t>
            </w:r>
          </w:p>
        </w:tc>
        <w:tc>
          <w:tcPr>
            <w:tcW w:w="2515" w:type="dxa"/>
          </w:tcPr>
          <w:p>
            <w:pPr>
              <w:pStyle w:val="TableParagraph"/>
              <w:spacing w:line="270" w:lineRule="exact"/>
              <w:ind w:left="78"/>
              <w:rPr>
                <w:b/>
                <w:sz w:val="21"/>
              </w:rPr>
            </w:pPr>
            <w:r>
              <w:rPr>
                <w:sz w:val="21"/>
              </w:rPr>
              <w:t>双耳失聪 </w:t>
            </w:r>
            <w:r>
              <w:rPr>
                <w:rFonts w:ascii="Times New Roman" w:eastAsia="Times New Roman"/>
                <w:sz w:val="21"/>
              </w:rPr>
              <w:t>-  </w:t>
            </w:r>
            <w:r>
              <w:rPr>
                <w:b/>
                <w:sz w:val="21"/>
              </w:rPr>
              <w:t>三岁始理赔</w:t>
            </w:r>
          </w:p>
        </w:tc>
        <w:tc>
          <w:tcPr>
            <w:tcW w:w="7270" w:type="dxa"/>
          </w:tcPr>
          <w:p>
            <w:pPr>
              <w:pStyle w:val="TableParagraph"/>
              <w:spacing w:line="270" w:lineRule="exact"/>
              <w:ind w:left="261"/>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1"/>
              <w:ind w:left="261" w:right="304"/>
              <w:rPr>
                <w:sz w:val="21"/>
              </w:rPr>
            </w:pPr>
            <w:r>
              <w:rPr>
                <w:spacing w:val="-13"/>
                <w:sz w:val="21"/>
              </w:rPr>
              <w:t>赫兹和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4"/>
                <w:sz w:val="21"/>
              </w:rPr>
              <w:t>分贝，且经纯音听力测试</w:t>
            </w:r>
            <w:r>
              <w:rPr>
                <w:spacing w:val="-3"/>
                <w:sz w:val="21"/>
              </w:rPr>
              <w:t>声导抗检测或听觉诱发电位检测等证实。</w:t>
            </w:r>
          </w:p>
          <w:p>
            <w:pPr>
              <w:pStyle w:val="TableParagraph"/>
              <w:spacing w:line="312" w:lineRule="exact" w:before="17"/>
              <w:ind w:left="261" w:right="205"/>
              <w:rPr>
                <w:sz w:val="21"/>
              </w:rPr>
            </w:pPr>
            <w:r>
              <w:rPr>
                <w:sz w:val="21"/>
              </w:rPr>
              <w:t>被保险人申请理赔时年龄必须在三周岁以上，并且提供理赔当时的听力丧失诊断及检查证据。</w:t>
            </w:r>
          </w:p>
        </w:tc>
      </w:tr>
      <w:tr>
        <w:trPr>
          <w:trHeight w:val="2496" w:hRule="atLeast"/>
        </w:trPr>
        <w:tc>
          <w:tcPr>
            <w:tcW w:w="542" w:type="dxa"/>
          </w:tcPr>
          <w:p>
            <w:pPr>
              <w:pStyle w:val="TableParagraph"/>
              <w:spacing w:before="38"/>
              <w:ind w:right="77"/>
              <w:jc w:val="right"/>
              <w:rPr>
                <w:rFonts w:ascii="Times New Roman"/>
                <w:sz w:val="21"/>
              </w:rPr>
            </w:pPr>
            <w:r>
              <w:rPr>
                <w:rFonts w:ascii="Times New Roman"/>
                <w:sz w:val="21"/>
              </w:rPr>
              <w:t>14.</w:t>
            </w:r>
          </w:p>
        </w:tc>
        <w:tc>
          <w:tcPr>
            <w:tcW w:w="2515" w:type="dxa"/>
          </w:tcPr>
          <w:p>
            <w:pPr>
              <w:pStyle w:val="TableParagraph"/>
              <w:spacing w:line="282" w:lineRule="exact"/>
              <w:ind w:left="78"/>
              <w:rPr>
                <w:b/>
                <w:sz w:val="21"/>
              </w:rPr>
            </w:pPr>
            <w:r>
              <w:rPr>
                <w:sz w:val="21"/>
              </w:rPr>
              <w:t>双目失明 </w:t>
            </w:r>
            <w:r>
              <w:rPr>
                <w:rFonts w:ascii="Times New Roman" w:eastAsia="Times New Roman"/>
                <w:sz w:val="21"/>
              </w:rPr>
              <w:t>-  </w:t>
            </w:r>
            <w:r>
              <w:rPr>
                <w:b/>
                <w:sz w:val="21"/>
              </w:rPr>
              <w:t>三岁始理赔</w:t>
            </w:r>
          </w:p>
        </w:tc>
        <w:tc>
          <w:tcPr>
            <w:tcW w:w="7270" w:type="dxa"/>
          </w:tcPr>
          <w:p>
            <w:pPr>
              <w:pStyle w:val="TableParagraph"/>
              <w:spacing w:line="273" w:lineRule="auto"/>
              <w:ind w:left="261" w:right="205"/>
              <w:rPr>
                <w:sz w:val="21"/>
              </w:rPr>
            </w:pPr>
            <w:r>
              <w:rPr>
                <w:sz w:val="21"/>
              </w:rPr>
              <w:t>指因疾病或意外伤害导致双眼视力永久不可逆性丧失，双眼中较好眼须满足下列至少一项条件：</w:t>
            </w:r>
          </w:p>
          <w:p>
            <w:pPr>
              <w:pStyle w:val="TableParagraph"/>
              <w:spacing w:before="16"/>
              <w:ind w:left="261"/>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261" w:right="198"/>
              <w:rPr>
                <w:sz w:val="21"/>
              </w:rPr>
            </w:pPr>
            <w:r>
              <w:rPr>
                <w:spacing w:val="-4"/>
                <w:sz w:val="21"/>
              </w:rPr>
              <w:t>（</w:t>
            </w:r>
            <w:r>
              <w:rPr>
                <w:rFonts w:ascii="Times New Roman" w:eastAsia="Times New Roman"/>
                <w:spacing w:val="-4"/>
                <w:sz w:val="21"/>
              </w:rPr>
              <w:t>2</w:t>
            </w:r>
            <w:r>
              <w:rPr>
                <w:spacing w:val="-4"/>
                <w:sz w:val="21"/>
              </w:rPr>
              <w:t>）</w:t>
            </w:r>
            <w:r>
              <w:rPr>
                <w:spacing w:val="-6"/>
                <w:sz w:val="21"/>
              </w:rPr>
              <w:t>矫正视力低于 </w:t>
            </w:r>
            <w:r>
              <w:rPr>
                <w:rFonts w:ascii="Times New Roman" w:eastAsia="Times New Roman"/>
                <w:spacing w:val="-4"/>
                <w:sz w:val="21"/>
              </w:rPr>
              <w:t>0.02</w:t>
            </w:r>
            <w:r>
              <w:rPr>
                <w:spacing w:val="-4"/>
                <w:sz w:val="21"/>
              </w:rPr>
              <w:t>（采用国际标准视力表，如果使用其他视力表应进</w:t>
            </w:r>
            <w:r>
              <w:rPr>
                <w:spacing w:val="-4"/>
                <w:w w:val="100"/>
                <w:sz w:val="21"/>
              </w:rPr>
              <w:t>行换算</w:t>
            </w:r>
            <w:r>
              <w:rPr>
                <w:spacing w:val="-106"/>
                <w:w w:val="100"/>
                <w:sz w:val="21"/>
              </w:rPr>
              <w:t>）</w:t>
            </w:r>
            <w:r>
              <w:rPr>
                <w:w w:val="100"/>
                <w:sz w:val="21"/>
              </w:rPr>
              <w:t>；</w:t>
            </w:r>
          </w:p>
          <w:p>
            <w:pPr>
              <w:pStyle w:val="TableParagraph"/>
              <w:spacing w:before="22"/>
              <w:ind w:left="26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261" w:right="204"/>
              <w:rPr>
                <w:sz w:val="21"/>
              </w:rPr>
            </w:pPr>
            <w:r>
              <w:rPr>
                <w:sz w:val="21"/>
              </w:rPr>
              <w:t>被保险人申请理赔时年龄必须在三周岁以上，并且提供理赔当时的视力丧失诊断及检查证据。</w:t>
            </w:r>
          </w:p>
        </w:tc>
      </w:tr>
      <w:tr>
        <w:trPr>
          <w:trHeight w:val="936" w:hRule="atLeast"/>
        </w:trPr>
        <w:tc>
          <w:tcPr>
            <w:tcW w:w="542" w:type="dxa"/>
          </w:tcPr>
          <w:p>
            <w:pPr>
              <w:pStyle w:val="TableParagraph"/>
              <w:spacing w:before="38"/>
              <w:ind w:right="77"/>
              <w:jc w:val="right"/>
              <w:rPr>
                <w:rFonts w:ascii="Times New Roman"/>
                <w:sz w:val="21"/>
              </w:rPr>
            </w:pPr>
            <w:r>
              <w:rPr>
                <w:rFonts w:ascii="Times New Roman"/>
                <w:sz w:val="21"/>
              </w:rPr>
              <w:t>15.</w:t>
            </w:r>
          </w:p>
        </w:tc>
        <w:tc>
          <w:tcPr>
            <w:tcW w:w="2515" w:type="dxa"/>
          </w:tcPr>
          <w:p>
            <w:pPr>
              <w:pStyle w:val="TableParagraph"/>
              <w:spacing w:line="266" w:lineRule="exact"/>
              <w:ind w:left="78"/>
              <w:rPr>
                <w:sz w:val="21"/>
              </w:rPr>
            </w:pPr>
            <w:r>
              <w:rPr>
                <w:sz w:val="21"/>
              </w:rPr>
              <w:t>瘫痪</w:t>
            </w:r>
          </w:p>
        </w:tc>
        <w:tc>
          <w:tcPr>
            <w:tcW w:w="7270" w:type="dxa"/>
          </w:tcPr>
          <w:p>
            <w:pPr>
              <w:pStyle w:val="TableParagraph"/>
              <w:spacing w:line="264" w:lineRule="auto"/>
              <w:ind w:left="261" w:right="196"/>
              <w:jc w:val="both"/>
              <w:rPr>
                <w:sz w:val="21"/>
              </w:rPr>
            </w:pPr>
            <w:r>
              <w:rPr>
                <w:sz w:val="21"/>
              </w:rPr>
              <w:t>指因疾病或意外伤害导致两肢或两肢以上肢体机能永久完全丧失。肢体机</w:t>
            </w:r>
            <w:r>
              <w:rPr>
                <w:spacing w:val="-5"/>
                <w:sz w:val="21"/>
              </w:rPr>
              <w:t>能永久完全丧失，指疾病确诊 </w:t>
            </w:r>
            <w:r>
              <w:rPr>
                <w:rFonts w:ascii="Times New Roman" w:eastAsia="Times New Roman"/>
                <w:sz w:val="21"/>
              </w:rPr>
              <w:t>180 </w:t>
            </w:r>
            <w:r>
              <w:rPr>
                <w:spacing w:val="-6"/>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623" w:hRule="atLeast"/>
        </w:trPr>
        <w:tc>
          <w:tcPr>
            <w:tcW w:w="542" w:type="dxa"/>
          </w:tcPr>
          <w:p>
            <w:pPr>
              <w:pStyle w:val="TableParagraph"/>
              <w:spacing w:before="38"/>
              <w:ind w:right="77"/>
              <w:jc w:val="right"/>
              <w:rPr>
                <w:rFonts w:ascii="Times New Roman"/>
                <w:sz w:val="21"/>
              </w:rPr>
            </w:pPr>
            <w:r>
              <w:rPr>
                <w:rFonts w:ascii="Times New Roman"/>
                <w:sz w:val="21"/>
              </w:rPr>
              <w:t>16.</w:t>
            </w:r>
          </w:p>
        </w:tc>
        <w:tc>
          <w:tcPr>
            <w:tcW w:w="2515" w:type="dxa"/>
          </w:tcPr>
          <w:p>
            <w:pPr>
              <w:pStyle w:val="TableParagraph"/>
              <w:spacing w:line="266" w:lineRule="exact"/>
              <w:ind w:left="78"/>
              <w:rPr>
                <w:sz w:val="21"/>
              </w:rPr>
            </w:pPr>
            <w:r>
              <w:rPr>
                <w:sz w:val="21"/>
              </w:rPr>
              <w:t>心脏瓣膜手术</w:t>
            </w:r>
          </w:p>
        </w:tc>
        <w:tc>
          <w:tcPr>
            <w:tcW w:w="7270" w:type="dxa"/>
          </w:tcPr>
          <w:p>
            <w:pPr>
              <w:pStyle w:val="TableParagraph"/>
              <w:spacing w:line="266" w:lineRule="exact"/>
              <w:ind w:left="261"/>
              <w:rPr>
                <w:sz w:val="21"/>
              </w:rPr>
            </w:pPr>
            <w:r>
              <w:rPr>
                <w:sz w:val="21"/>
              </w:rPr>
              <w:t>指为治疗心脏瓣膜疾病，实际实施了开胸进行的心脏瓣膜置换或修复的手</w:t>
            </w:r>
          </w:p>
          <w:p>
            <w:pPr>
              <w:pStyle w:val="TableParagraph"/>
              <w:spacing w:before="37"/>
              <w:ind w:left="261"/>
              <w:rPr>
                <w:sz w:val="21"/>
              </w:rPr>
            </w:pPr>
            <w:r>
              <w:rPr>
                <w:sz w:val="21"/>
              </w:rPr>
              <w:t>术。</w:t>
            </w:r>
          </w:p>
        </w:tc>
      </w:tr>
      <w:tr>
        <w:trPr>
          <w:trHeight w:val="1872" w:hRule="atLeast"/>
        </w:trPr>
        <w:tc>
          <w:tcPr>
            <w:tcW w:w="542" w:type="dxa"/>
          </w:tcPr>
          <w:p>
            <w:pPr>
              <w:pStyle w:val="TableParagraph"/>
              <w:spacing w:before="38"/>
              <w:ind w:right="77"/>
              <w:jc w:val="right"/>
              <w:rPr>
                <w:rFonts w:ascii="Times New Roman"/>
                <w:sz w:val="21"/>
              </w:rPr>
            </w:pPr>
            <w:r>
              <w:rPr>
                <w:rFonts w:ascii="Times New Roman"/>
                <w:sz w:val="21"/>
              </w:rPr>
              <w:t>17.</w:t>
            </w:r>
          </w:p>
        </w:tc>
        <w:tc>
          <w:tcPr>
            <w:tcW w:w="2515" w:type="dxa"/>
          </w:tcPr>
          <w:p>
            <w:pPr>
              <w:pStyle w:val="TableParagraph"/>
              <w:spacing w:line="266" w:lineRule="exact"/>
              <w:ind w:left="78"/>
              <w:rPr>
                <w:sz w:val="21"/>
              </w:rPr>
            </w:pPr>
            <w:r>
              <w:rPr>
                <w:sz w:val="21"/>
              </w:rPr>
              <w:t>严重阿尔茨海默病</w:t>
            </w:r>
          </w:p>
        </w:tc>
        <w:tc>
          <w:tcPr>
            <w:tcW w:w="7270" w:type="dxa"/>
          </w:tcPr>
          <w:p>
            <w:pPr>
              <w:pStyle w:val="TableParagraph"/>
              <w:spacing w:line="264" w:lineRule="auto"/>
              <w:ind w:left="261" w:right="198"/>
              <w:jc w:val="both"/>
              <w:rPr>
                <w:sz w:val="21"/>
              </w:rPr>
            </w:pPr>
            <w:r>
              <w:rPr>
                <w:sz w:val="21"/>
              </w:rPr>
              <w:t>指因大脑进行性、不可逆性改变导致智能严重衰退或丧失，临床表现为明显的认知能力障碍、行为异常和社交能力减退，其日常生活必须持续受到</w:t>
            </w:r>
            <w:r>
              <w:rPr>
                <w:spacing w:val="-5"/>
                <w:w w:val="100"/>
                <w:sz w:val="21"/>
              </w:rPr>
              <w:t>他人监护。须由头颅断层扫描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7"/>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3"/>
                <w:w w:val="100"/>
                <w:sz w:val="21"/>
              </w:rPr>
              <w:t>）</w:t>
            </w:r>
            <w:r>
              <w:rPr>
                <w:spacing w:val="-2"/>
                <w:w w:val="100"/>
                <w:sz w:val="21"/>
              </w:rPr>
              <w:t>或正电子发射</w:t>
            </w:r>
            <w:r>
              <w:rPr>
                <w:spacing w:val="-8"/>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w:t>
            </w:r>
            <w:r>
              <w:rPr>
                <w:spacing w:val="-4"/>
                <w:sz w:val="21"/>
              </w:rPr>
              <w:t>完成六项基本日常生活活动中的三项或三项以上。</w:t>
            </w:r>
          </w:p>
          <w:p>
            <w:pPr>
              <w:pStyle w:val="TableParagraph"/>
              <w:spacing w:before="25"/>
              <w:ind w:left="261"/>
              <w:jc w:val="both"/>
              <w:rPr>
                <w:b/>
                <w:sz w:val="21"/>
              </w:rPr>
            </w:pPr>
            <w:r>
              <w:rPr>
                <w:b/>
                <w:sz w:val="21"/>
              </w:rPr>
              <w:t>神经官能症和精神疾病不在保障范围内。</w:t>
            </w:r>
          </w:p>
        </w:tc>
      </w:tr>
      <w:tr>
        <w:trPr>
          <w:trHeight w:val="2496" w:hRule="atLeast"/>
        </w:trPr>
        <w:tc>
          <w:tcPr>
            <w:tcW w:w="542" w:type="dxa"/>
          </w:tcPr>
          <w:p>
            <w:pPr>
              <w:pStyle w:val="TableParagraph"/>
              <w:spacing w:before="38"/>
              <w:ind w:right="77"/>
              <w:jc w:val="right"/>
              <w:rPr>
                <w:rFonts w:ascii="Times New Roman"/>
                <w:sz w:val="21"/>
              </w:rPr>
            </w:pPr>
            <w:r>
              <w:rPr>
                <w:rFonts w:ascii="Times New Roman"/>
                <w:sz w:val="21"/>
              </w:rPr>
              <w:t>18.</w:t>
            </w:r>
          </w:p>
        </w:tc>
        <w:tc>
          <w:tcPr>
            <w:tcW w:w="2515" w:type="dxa"/>
          </w:tcPr>
          <w:p>
            <w:pPr>
              <w:pStyle w:val="TableParagraph"/>
              <w:spacing w:line="266" w:lineRule="exact"/>
              <w:ind w:left="78"/>
              <w:rPr>
                <w:sz w:val="21"/>
              </w:rPr>
            </w:pPr>
            <w:r>
              <w:rPr>
                <w:sz w:val="21"/>
              </w:rPr>
              <w:t>严重脑损伤</w:t>
            </w:r>
          </w:p>
        </w:tc>
        <w:tc>
          <w:tcPr>
            <w:tcW w:w="7270" w:type="dxa"/>
          </w:tcPr>
          <w:p>
            <w:pPr>
              <w:pStyle w:val="TableParagraph"/>
              <w:spacing w:line="261" w:lineRule="auto"/>
              <w:ind w:left="261" w:right="198"/>
              <w:jc w:val="both"/>
              <w:rPr>
                <w:sz w:val="21"/>
              </w:rPr>
            </w:pPr>
            <w:r>
              <w:rPr>
                <w:sz w:val="21"/>
              </w:rPr>
              <w:t>指因头部遭受机械性外力，引起脑重要部位损伤，导致神经系统永久性的</w:t>
            </w:r>
            <w:r>
              <w:rPr>
                <w:spacing w:val="-5"/>
                <w:w w:val="100"/>
                <w:sz w:val="21"/>
              </w:rPr>
              <w:t>功能障碍。须由头颅断层扫描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7"/>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3"/>
                <w:w w:val="100"/>
                <w:sz w:val="21"/>
              </w:rPr>
              <w:t>）</w:t>
            </w:r>
            <w:r>
              <w:rPr>
                <w:spacing w:val="-2"/>
                <w:w w:val="100"/>
                <w:sz w:val="21"/>
              </w:rPr>
              <w:t>或正电子发射</w:t>
            </w:r>
            <w:r>
              <w:rPr>
                <w:spacing w:val="-8"/>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等影像学检查证实。神经系统永久性的功能障碍，指脑损</w:t>
            </w:r>
            <w:r>
              <w:rPr>
                <w:spacing w:val="-24"/>
                <w:sz w:val="21"/>
              </w:rPr>
              <w:t>伤 </w:t>
            </w:r>
            <w:r>
              <w:rPr>
                <w:rFonts w:ascii="Times New Roman" w:eastAsia="Times New Roman"/>
                <w:sz w:val="21"/>
              </w:rPr>
              <w:t>180 </w:t>
            </w:r>
            <w:r>
              <w:rPr>
                <w:spacing w:val="-3"/>
                <w:sz w:val="21"/>
              </w:rPr>
              <w:t>天后，仍遗留下列一种或一种以上障碍：</w:t>
            </w:r>
          </w:p>
          <w:p>
            <w:pPr>
              <w:pStyle w:val="TableParagraph"/>
              <w:spacing w:before="9"/>
              <w:ind w:left="26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6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261" w:right="15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542" w:type="dxa"/>
          </w:tcPr>
          <w:p>
            <w:pPr>
              <w:pStyle w:val="TableParagraph"/>
              <w:spacing w:before="38"/>
              <w:ind w:right="77"/>
              <w:jc w:val="right"/>
              <w:rPr>
                <w:rFonts w:ascii="Times New Roman"/>
                <w:sz w:val="21"/>
              </w:rPr>
            </w:pPr>
            <w:r>
              <w:rPr>
                <w:rFonts w:ascii="Times New Roman"/>
                <w:sz w:val="21"/>
              </w:rPr>
              <w:t>19.</w:t>
            </w:r>
          </w:p>
        </w:tc>
        <w:tc>
          <w:tcPr>
            <w:tcW w:w="2515" w:type="dxa"/>
          </w:tcPr>
          <w:p>
            <w:pPr>
              <w:pStyle w:val="TableParagraph"/>
              <w:spacing w:line="266" w:lineRule="exact"/>
              <w:ind w:left="78"/>
              <w:rPr>
                <w:sz w:val="21"/>
              </w:rPr>
            </w:pPr>
            <w:r>
              <w:rPr>
                <w:sz w:val="21"/>
              </w:rPr>
              <w:t>严重帕金森病</w:t>
            </w:r>
          </w:p>
        </w:tc>
        <w:tc>
          <w:tcPr>
            <w:tcW w:w="7270" w:type="dxa"/>
          </w:tcPr>
          <w:p>
            <w:pPr>
              <w:pStyle w:val="TableParagraph"/>
              <w:spacing w:line="273" w:lineRule="auto"/>
              <w:ind w:left="261" w:right="205"/>
              <w:rPr>
                <w:sz w:val="21"/>
              </w:rPr>
            </w:pPr>
            <w:r>
              <w:rPr>
                <w:sz w:val="21"/>
              </w:rPr>
              <w:t>是一种中枢神经系统的退行性疾病，临床表现为震颤麻痹、共济失调等。须满足下列全部条件：</w:t>
            </w:r>
          </w:p>
          <w:p>
            <w:pPr>
              <w:pStyle w:val="TableParagraph"/>
              <w:spacing w:before="16"/>
              <w:ind w:left="261"/>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261" w:right="15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261"/>
              <w:rPr>
                <w:b/>
                <w:sz w:val="21"/>
              </w:rPr>
            </w:pPr>
            <w:r>
              <w:rPr>
                <w:b/>
                <w:sz w:val="21"/>
              </w:rPr>
              <w:t>继发性帕金森综合征不在保障范围内。</w:t>
            </w:r>
          </w:p>
        </w:tc>
      </w:tr>
      <w:tr>
        <w:trPr>
          <w:trHeight w:val="623" w:hRule="atLeast"/>
        </w:trPr>
        <w:tc>
          <w:tcPr>
            <w:tcW w:w="542" w:type="dxa"/>
          </w:tcPr>
          <w:p>
            <w:pPr>
              <w:pStyle w:val="TableParagraph"/>
              <w:spacing w:before="38"/>
              <w:ind w:right="77"/>
              <w:jc w:val="right"/>
              <w:rPr>
                <w:rFonts w:ascii="Times New Roman"/>
                <w:sz w:val="21"/>
              </w:rPr>
            </w:pPr>
            <w:r>
              <w:rPr>
                <w:rFonts w:ascii="Times New Roman"/>
                <w:sz w:val="21"/>
              </w:rPr>
              <w:t>20.</w:t>
            </w:r>
          </w:p>
        </w:tc>
        <w:tc>
          <w:tcPr>
            <w:tcW w:w="2515" w:type="dxa"/>
          </w:tcPr>
          <w:p>
            <w:pPr>
              <w:pStyle w:val="TableParagraph"/>
              <w:spacing w:line="266" w:lineRule="exact"/>
              <w:ind w:left="78"/>
              <w:rPr>
                <w:sz w:val="21"/>
              </w:rPr>
            </w:pPr>
            <w:r>
              <w:rPr>
                <w:sz w:val="21"/>
              </w:rPr>
              <w:t>严重Ⅲ度烧伤</w:t>
            </w:r>
          </w:p>
        </w:tc>
        <w:tc>
          <w:tcPr>
            <w:tcW w:w="7270" w:type="dxa"/>
          </w:tcPr>
          <w:p>
            <w:pPr>
              <w:pStyle w:val="TableParagraph"/>
              <w:spacing w:line="256" w:lineRule="auto"/>
              <w:ind w:left="261" w:right="196"/>
              <w:rPr>
                <w:sz w:val="21"/>
              </w:rPr>
            </w:pPr>
            <w:r>
              <w:rPr>
                <w:spacing w:val="-7"/>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z w:val="21"/>
              </w:rPr>
              <w:t>％以</w:t>
            </w:r>
            <w:r>
              <w:rPr>
                <w:spacing w:val="-3"/>
                <w:sz w:val="21"/>
              </w:rPr>
              <w:t>上。体表面积根据《中国新九分法》计算。</w:t>
            </w:r>
          </w:p>
        </w:tc>
      </w:tr>
      <w:tr>
        <w:trPr>
          <w:trHeight w:val="279" w:hRule="atLeast"/>
        </w:trPr>
        <w:tc>
          <w:tcPr>
            <w:tcW w:w="542" w:type="dxa"/>
          </w:tcPr>
          <w:p>
            <w:pPr>
              <w:pStyle w:val="TableParagraph"/>
              <w:spacing w:line="222" w:lineRule="exact" w:before="38"/>
              <w:ind w:right="77"/>
              <w:jc w:val="right"/>
              <w:rPr>
                <w:rFonts w:ascii="Times New Roman"/>
                <w:sz w:val="21"/>
              </w:rPr>
            </w:pPr>
            <w:r>
              <w:rPr>
                <w:rFonts w:ascii="Times New Roman"/>
                <w:sz w:val="21"/>
              </w:rPr>
              <w:t>21.</w:t>
            </w:r>
          </w:p>
        </w:tc>
        <w:tc>
          <w:tcPr>
            <w:tcW w:w="2515" w:type="dxa"/>
          </w:tcPr>
          <w:p>
            <w:pPr>
              <w:pStyle w:val="TableParagraph"/>
              <w:spacing w:line="260" w:lineRule="exact"/>
              <w:ind w:left="78"/>
              <w:rPr>
                <w:sz w:val="21"/>
              </w:rPr>
            </w:pPr>
            <w:r>
              <w:rPr>
                <w:sz w:val="21"/>
              </w:rPr>
              <w:t>严重原发性肺动脉高压</w:t>
            </w:r>
          </w:p>
        </w:tc>
        <w:tc>
          <w:tcPr>
            <w:tcW w:w="7270" w:type="dxa"/>
          </w:tcPr>
          <w:p>
            <w:pPr>
              <w:pStyle w:val="TableParagraph"/>
              <w:spacing w:line="260" w:lineRule="exact"/>
              <w:ind w:left="261"/>
              <w:rPr>
                <w:sz w:val="21"/>
              </w:rPr>
            </w:pPr>
            <w:r>
              <w:rPr>
                <w:sz w:val="21"/>
              </w:rPr>
              <w:t>指不明原因的肺动脉压力持续性增高，进行性发展而导致的慢性疾病，已</w:t>
            </w:r>
          </w:p>
        </w:tc>
      </w:tr>
    </w:tbl>
    <w:p>
      <w:pPr>
        <w:pStyle w:val="BodyText"/>
        <w:spacing w:before="4"/>
        <w:rPr>
          <w:rFonts w:ascii="楷体"/>
          <w:sz w:val="29"/>
        </w:rPr>
      </w:pPr>
      <w:r>
        <w:rPr/>
        <w:pict>
          <v:line style="position:absolute;mso-position-horizontal-relative:page;mso-position-vertical-relative:paragraph;z-index:1192;mso-wrap-distance-left:0;mso-wrap-distance-right:0" from="53.880001pt,21.389643pt" to="197.930001pt,21.389643pt" stroked="true" strokeweight=".47998pt" strokecolor="#000000">
            <v:stroke dashstyle="solid"/>
            <w10:wrap type="topAndBottom"/>
          </v:line>
        </w:pict>
      </w:r>
    </w:p>
    <w:p>
      <w:pPr>
        <w:pStyle w:val="BodyText"/>
        <w:spacing w:line="223" w:lineRule="auto" w:before="55"/>
        <w:ind w:left="317" w:right="312"/>
        <w:rPr>
          <w:rFonts w:ascii="楷体" w:eastAsia="楷体" w:hint="eastAsia"/>
        </w:rPr>
      </w:pPr>
      <w:r>
        <w:rPr>
          <w:rFonts w:ascii="Times New Roman" w:eastAsia="Times New Roman"/>
          <w:position w:val="10"/>
          <w:sz w:val="14"/>
        </w:rPr>
        <w:t>24</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38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776"/>
        <w:gridCol w:w="7010"/>
      </w:tblGrid>
      <w:tr>
        <w:trPr>
          <w:trHeight w:val="577" w:hRule="atLeast"/>
        </w:trPr>
        <w:tc>
          <w:tcPr>
            <w:tcW w:w="542" w:type="dxa"/>
          </w:tcPr>
          <w:p>
            <w:pPr>
              <w:pStyle w:val="TableParagraph"/>
              <w:rPr>
                <w:rFonts w:ascii="Times New Roman"/>
                <w:sz w:val="20"/>
              </w:rPr>
            </w:pPr>
          </w:p>
        </w:tc>
        <w:tc>
          <w:tcPr>
            <w:tcW w:w="2776" w:type="dxa"/>
          </w:tcPr>
          <w:p>
            <w:pPr>
              <w:pStyle w:val="TableParagraph"/>
              <w:rPr>
                <w:rFonts w:ascii="Times New Roman"/>
                <w:sz w:val="20"/>
              </w:rPr>
            </w:pPr>
          </w:p>
        </w:tc>
        <w:tc>
          <w:tcPr>
            <w:tcW w:w="7010" w:type="dxa"/>
          </w:tcPr>
          <w:p>
            <w:pPr>
              <w:pStyle w:val="TableParagraph"/>
              <w:spacing w:line="202" w:lineRule="exact"/>
              <w:rPr>
                <w:sz w:val="21"/>
              </w:rPr>
            </w:pPr>
            <w:r>
              <w:rPr>
                <w:sz w:val="21"/>
              </w:rPr>
              <w:t>经造成永久不可逆性的体力活动能力受限，达到美国纽约心脏病学会心功</w:t>
            </w:r>
          </w:p>
          <w:p>
            <w:pPr>
              <w:pStyle w:val="TableParagraph"/>
              <w:spacing w:before="37"/>
              <w:rPr>
                <w:sz w:val="21"/>
              </w:rPr>
            </w:pPr>
            <w:r>
              <w:rPr>
                <w:sz w:val="21"/>
              </w:rPr>
              <w:t>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542" w:type="dxa"/>
          </w:tcPr>
          <w:p>
            <w:pPr>
              <w:pStyle w:val="TableParagraph"/>
              <w:spacing w:before="21"/>
              <w:ind w:right="77"/>
              <w:jc w:val="right"/>
              <w:rPr>
                <w:rFonts w:ascii="Times New Roman"/>
                <w:sz w:val="21"/>
              </w:rPr>
            </w:pPr>
            <w:r>
              <w:rPr>
                <w:rFonts w:ascii="Times New Roman"/>
                <w:sz w:val="21"/>
              </w:rPr>
              <w:t>22.</w:t>
            </w:r>
          </w:p>
        </w:tc>
        <w:tc>
          <w:tcPr>
            <w:tcW w:w="2776" w:type="dxa"/>
          </w:tcPr>
          <w:p>
            <w:pPr>
              <w:pStyle w:val="TableParagraph"/>
              <w:spacing w:line="249" w:lineRule="exact"/>
              <w:ind w:left="78"/>
              <w:rPr>
                <w:sz w:val="21"/>
              </w:rPr>
            </w:pPr>
            <w:r>
              <w:rPr>
                <w:sz w:val="21"/>
              </w:rPr>
              <w:t>严重运动神经元病</w:t>
            </w:r>
          </w:p>
        </w:tc>
        <w:tc>
          <w:tcPr>
            <w:tcW w:w="7010" w:type="dxa"/>
          </w:tcPr>
          <w:p>
            <w:pPr>
              <w:pStyle w:val="TableParagraph"/>
              <w:spacing w:line="249" w:lineRule="exact"/>
              <w:rPr>
                <w:sz w:val="21"/>
              </w:rPr>
            </w:pPr>
            <w:r>
              <w:rPr>
                <w:sz w:val="21"/>
              </w:rPr>
              <w:t>是一组中枢神经系统运动神经元的进行性变性疾病，包括进行性脊肌萎缩</w:t>
            </w:r>
          </w:p>
          <w:p>
            <w:pPr>
              <w:pStyle w:val="TableParagraph"/>
              <w:spacing w:line="273" w:lineRule="auto" w:before="37"/>
              <w:ind w:right="206"/>
              <w:jc w:val="both"/>
              <w:rPr>
                <w:sz w:val="21"/>
              </w:rPr>
            </w:pPr>
            <w:r>
              <w:rPr>
                <w:sz w:val="21"/>
              </w:rPr>
              <w:t>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542" w:type="dxa"/>
          </w:tcPr>
          <w:p>
            <w:pPr>
              <w:pStyle w:val="TableParagraph"/>
              <w:spacing w:before="29"/>
              <w:ind w:right="77"/>
              <w:jc w:val="right"/>
              <w:rPr>
                <w:rFonts w:ascii="Times New Roman"/>
                <w:sz w:val="21"/>
              </w:rPr>
            </w:pPr>
            <w:r>
              <w:rPr>
                <w:rFonts w:ascii="Times New Roman"/>
                <w:sz w:val="21"/>
              </w:rPr>
              <w:t>23.</w:t>
            </w:r>
          </w:p>
        </w:tc>
        <w:tc>
          <w:tcPr>
            <w:tcW w:w="2776" w:type="dxa"/>
          </w:tcPr>
          <w:p>
            <w:pPr>
              <w:pStyle w:val="TableParagraph"/>
              <w:spacing w:line="273" w:lineRule="exact"/>
              <w:ind w:left="78"/>
              <w:rPr>
                <w:b/>
                <w:sz w:val="21"/>
              </w:rPr>
            </w:pPr>
            <w:r>
              <w:rPr>
                <w:sz w:val="21"/>
              </w:rPr>
              <w:t>语言能力丧失 </w:t>
            </w:r>
            <w:r>
              <w:rPr>
                <w:rFonts w:ascii="Times New Roman" w:eastAsia="Times New Roman"/>
                <w:sz w:val="21"/>
              </w:rPr>
              <w:t>-  </w:t>
            </w:r>
            <w:r>
              <w:rPr>
                <w:b/>
                <w:sz w:val="21"/>
              </w:rPr>
              <w:t>三岁始理</w:t>
            </w:r>
          </w:p>
          <w:p>
            <w:pPr>
              <w:pStyle w:val="TableParagraph"/>
              <w:spacing w:before="21"/>
              <w:ind w:left="78"/>
              <w:rPr>
                <w:b/>
                <w:sz w:val="21"/>
              </w:rPr>
            </w:pPr>
            <w:r>
              <w:rPr>
                <w:b/>
                <w:w w:val="100"/>
                <w:sz w:val="21"/>
              </w:rPr>
              <w:t>赔</w:t>
            </w:r>
          </w:p>
        </w:tc>
        <w:tc>
          <w:tcPr>
            <w:tcW w:w="7010" w:type="dxa"/>
          </w:tcPr>
          <w:p>
            <w:pPr>
              <w:pStyle w:val="TableParagraph"/>
              <w:spacing w:line="273" w:lineRule="exact"/>
              <w:rPr>
                <w:sz w:val="21"/>
              </w:rPr>
            </w:pPr>
            <w:r>
              <w:rPr>
                <w:spacing w:val="-11"/>
                <w:sz w:val="21"/>
              </w:rPr>
              <w:t>指因疾病或意外伤害导致完全丧失语言能力，经过积极治疗至少 </w:t>
            </w:r>
            <w:r>
              <w:rPr>
                <w:rFonts w:ascii="Times New Roman" w:eastAsia="Times New Roman"/>
                <w:sz w:val="21"/>
              </w:rPr>
              <w:t>12 </w:t>
            </w:r>
            <w:r>
              <w:rPr>
                <w:spacing w:val="-55"/>
                <w:sz w:val="21"/>
              </w:rPr>
              <w:t>个月</w:t>
            </w:r>
            <w:r>
              <w:rPr>
                <w:spacing w:val="-3"/>
                <w:sz w:val="21"/>
              </w:rPr>
              <w:t>（</w:t>
            </w:r>
            <w:r>
              <w:rPr>
                <w:sz w:val="21"/>
              </w:rPr>
              <w:t>声</w:t>
            </w:r>
          </w:p>
          <w:p>
            <w:pPr>
              <w:pStyle w:val="TableParagraph"/>
              <w:spacing w:line="273" w:lineRule="auto" w:before="21"/>
              <w:ind w:right="1227"/>
              <w:rPr>
                <w:b/>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73" w:lineRule="auto" w:before="7"/>
              <w:ind w:right="206"/>
              <w:rPr>
                <w:sz w:val="21"/>
              </w:rPr>
            </w:pPr>
            <w:r>
              <w:rPr>
                <w:sz w:val="21"/>
              </w:rPr>
              <w:t>被保险人申请理赔时年龄必须在三周岁以上，并且提供理赔当时的语言能力丧失诊断及检查证据。</w:t>
            </w:r>
          </w:p>
        </w:tc>
      </w:tr>
      <w:tr>
        <w:trPr>
          <w:trHeight w:val="2192" w:hRule="atLeast"/>
        </w:trPr>
        <w:tc>
          <w:tcPr>
            <w:tcW w:w="542" w:type="dxa"/>
          </w:tcPr>
          <w:p>
            <w:pPr>
              <w:pStyle w:val="TableParagraph"/>
              <w:spacing w:before="29"/>
              <w:ind w:right="77"/>
              <w:jc w:val="right"/>
              <w:rPr>
                <w:rFonts w:ascii="Times New Roman"/>
                <w:sz w:val="21"/>
              </w:rPr>
            </w:pPr>
            <w:r>
              <w:rPr>
                <w:rFonts w:ascii="Times New Roman"/>
                <w:sz w:val="21"/>
              </w:rPr>
              <w:t>24.</w:t>
            </w:r>
          </w:p>
        </w:tc>
        <w:tc>
          <w:tcPr>
            <w:tcW w:w="2776" w:type="dxa"/>
          </w:tcPr>
          <w:p>
            <w:pPr>
              <w:pStyle w:val="TableParagraph"/>
              <w:spacing w:line="258" w:lineRule="exact"/>
              <w:ind w:left="78"/>
              <w:rPr>
                <w:sz w:val="21"/>
              </w:rPr>
            </w:pPr>
            <w:r>
              <w:rPr>
                <w:sz w:val="21"/>
              </w:rPr>
              <w:t>重型再生障碍性贫血</w:t>
            </w:r>
          </w:p>
        </w:tc>
        <w:tc>
          <w:tcPr>
            <w:tcW w:w="7010" w:type="dxa"/>
          </w:tcPr>
          <w:p>
            <w:pPr>
              <w:pStyle w:val="TableParagraph"/>
              <w:spacing w:line="258" w:lineRule="exact"/>
              <w:rPr>
                <w:sz w:val="21"/>
              </w:rPr>
            </w:pPr>
            <w:r>
              <w:rPr>
                <w:sz w:val="21"/>
              </w:rPr>
              <w:t>指因骨髓造血功能慢性持续性衰竭导致的贫血、中性粒细胞减少及血小板</w:t>
            </w:r>
          </w:p>
          <w:p>
            <w:pPr>
              <w:pStyle w:val="TableParagraph"/>
              <w:spacing w:before="37"/>
              <w:rPr>
                <w:sz w:val="21"/>
              </w:rPr>
            </w:pPr>
            <w:r>
              <w:rPr>
                <w:sz w:val="21"/>
              </w:rPr>
              <w:t>减少。须满足下列全部条件：</w:t>
            </w:r>
          </w:p>
          <w:p>
            <w:pPr>
              <w:pStyle w:val="TableParagraph"/>
              <w:spacing w:before="37"/>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526"/>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526"/>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526"/>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542" w:type="dxa"/>
          </w:tcPr>
          <w:p>
            <w:pPr>
              <w:pStyle w:val="TableParagraph"/>
              <w:spacing w:before="21"/>
              <w:ind w:right="77"/>
              <w:jc w:val="right"/>
              <w:rPr>
                <w:rFonts w:ascii="Times New Roman"/>
                <w:sz w:val="21"/>
              </w:rPr>
            </w:pPr>
            <w:r>
              <w:rPr>
                <w:rFonts w:ascii="Times New Roman"/>
                <w:sz w:val="21"/>
              </w:rPr>
              <w:t>25.</w:t>
            </w:r>
          </w:p>
        </w:tc>
        <w:tc>
          <w:tcPr>
            <w:tcW w:w="2776" w:type="dxa"/>
          </w:tcPr>
          <w:p>
            <w:pPr>
              <w:pStyle w:val="TableParagraph"/>
              <w:spacing w:line="249" w:lineRule="exact"/>
              <w:ind w:left="78"/>
              <w:rPr>
                <w:sz w:val="21"/>
              </w:rPr>
            </w:pPr>
            <w:r>
              <w:rPr>
                <w:sz w:val="21"/>
              </w:rPr>
              <w:t>主动脉手术</w:t>
            </w:r>
          </w:p>
        </w:tc>
        <w:tc>
          <w:tcPr>
            <w:tcW w:w="7010" w:type="dxa"/>
          </w:tcPr>
          <w:p>
            <w:pPr>
              <w:pStyle w:val="TableParagraph"/>
              <w:spacing w:line="249" w:lineRule="exact"/>
              <w:rPr>
                <w:sz w:val="21"/>
              </w:rPr>
            </w:pPr>
            <w:r>
              <w:rPr>
                <w:sz w:val="21"/>
              </w:rPr>
              <w:t>指为治疗主动脉疾病，实际实施了开胸或开腹进行的切除、置换、修补病</w:t>
            </w:r>
          </w:p>
          <w:p>
            <w:pPr>
              <w:pStyle w:val="TableParagraph"/>
              <w:spacing w:line="273" w:lineRule="auto" w:before="37"/>
              <w:ind w:right="206"/>
              <w:rPr>
                <w:sz w:val="21"/>
              </w:rPr>
            </w:pPr>
            <w:r>
              <w:rPr>
                <w:sz w:val="21"/>
              </w:rPr>
              <w:t>损主动脉血管的手术。主动脉指胸主动脉和腹主动脉，不包括胸主动脉和腹主动脉的分支血管。</w:t>
            </w:r>
          </w:p>
          <w:p>
            <w:pPr>
              <w:pStyle w:val="TableParagraph"/>
              <w:spacing w:before="7"/>
              <w:rPr>
                <w:b/>
                <w:sz w:val="21"/>
              </w:rPr>
            </w:pPr>
            <w:r>
              <w:rPr>
                <w:b/>
                <w:sz w:val="21"/>
              </w:rPr>
              <w:t>动脉内血管成形术不在保障范围内。</w:t>
            </w:r>
          </w:p>
        </w:tc>
      </w:tr>
      <w:tr>
        <w:trPr>
          <w:trHeight w:val="2192" w:hRule="atLeast"/>
        </w:trPr>
        <w:tc>
          <w:tcPr>
            <w:tcW w:w="542" w:type="dxa"/>
          </w:tcPr>
          <w:p>
            <w:pPr>
              <w:pStyle w:val="TableParagraph"/>
              <w:spacing w:before="29"/>
              <w:ind w:right="77"/>
              <w:jc w:val="right"/>
              <w:rPr>
                <w:rFonts w:ascii="Times New Roman"/>
                <w:sz w:val="21"/>
              </w:rPr>
            </w:pPr>
            <w:r>
              <w:rPr>
                <w:rFonts w:ascii="Times New Roman"/>
                <w:sz w:val="21"/>
              </w:rPr>
              <w:t>26.</w:t>
            </w:r>
          </w:p>
        </w:tc>
        <w:tc>
          <w:tcPr>
            <w:tcW w:w="2776" w:type="dxa"/>
          </w:tcPr>
          <w:p>
            <w:pPr>
              <w:pStyle w:val="TableParagraph"/>
              <w:spacing w:line="257" w:lineRule="exact"/>
              <w:ind w:left="78"/>
              <w:rPr>
                <w:sz w:val="21"/>
              </w:rPr>
            </w:pPr>
            <w:r>
              <w:rPr>
                <w:sz w:val="21"/>
              </w:rPr>
              <w:t>严重多发性硬化</w:t>
            </w:r>
          </w:p>
        </w:tc>
        <w:tc>
          <w:tcPr>
            <w:tcW w:w="7010" w:type="dxa"/>
          </w:tcPr>
          <w:p>
            <w:pPr>
              <w:pStyle w:val="TableParagraph"/>
              <w:spacing w:line="257" w:lineRule="exact"/>
              <w:rPr>
                <w:sz w:val="21"/>
              </w:rPr>
            </w:pPr>
            <w:r>
              <w:rPr>
                <w:sz w:val="21"/>
              </w:rPr>
              <w:t>多发性硬化为中枢神经系统白质多灶性脱髓鞘病变，病变有时累及灰质。</w:t>
            </w:r>
          </w:p>
          <w:p>
            <w:pPr>
              <w:pStyle w:val="TableParagraph"/>
              <w:spacing w:line="261" w:lineRule="auto" w:before="37"/>
              <w:ind w:right="197"/>
              <w:jc w:val="both"/>
              <w:rPr>
                <w:sz w:val="21"/>
              </w:rPr>
            </w:pPr>
            <w:r>
              <w:rPr>
                <w:spacing w:val="-6"/>
                <w:sz w:val="21"/>
              </w:rPr>
              <w:t>多发性硬化须由核磁共振</w:t>
            </w:r>
            <w:r>
              <w:rPr>
                <w:spacing w:val="-9"/>
                <w:sz w:val="21"/>
              </w:rPr>
              <w:t>（</w:t>
            </w:r>
            <w:r>
              <w:rPr>
                <w:rFonts w:ascii="Times New Roman" w:eastAsia="Times New Roman"/>
                <w:spacing w:val="-9"/>
                <w:sz w:val="21"/>
              </w:rPr>
              <w:t>MRI</w:t>
            </w:r>
            <w:r>
              <w:rPr>
                <w:spacing w:val="-9"/>
                <w:sz w:val="21"/>
              </w:rPr>
              <w:t>）</w:t>
            </w:r>
            <w:r>
              <w:rPr>
                <w:spacing w:val="-7"/>
                <w:sz w:val="21"/>
              </w:rPr>
              <w:t>等影像学检查证实，经三级医院神经科专科医生明确诊断，并且已经造成永久不可逆的神经系统功能损害。永久不</w:t>
            </w:r>
            <w:r>
              <w:rPr>
                <w:spacing w:val="-5"/>
                <w:sz w:val="21"/>
              </w:rPr>
              <w:t>可逆神经系统功能损害指被保险人持续 </w:t>
            </w:r>
            <w:r>
              <w:rPr>
                <w:rFonts w:ascii="Times New Roman" w:eastAsia="Times New Roman"/>
                <w:sz w:val="21"/>
              </w:rPr>
              <w:t>180 </w:t>
            </w:r>
            <w:r>
              <w:rPr>
                <w:spacing w:val="-3"/>
                <w:sz w:val="21"/>
              </w:rPr>
              <w:t>天无法独立完成下列基本日常生活活动：</w:t>
            </w:r>
          </w:p>
          <w:p>
            <w:pPr>
              <w:pStyle w:val="TableParagraph"/>
              <w:spacing w:before="18"/>
              <w:ind w:left="2"/>
              <w:jc w:val="both"/>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1"/>
              <w:ind w:left="2"/>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4708" w:hRule="atLeast"/>
        </w:trPr>
        <w:tc>
          <w:tcPr>
            <w:tcW w:w="542" w:type="dxa"/>
          </w:tcPr>
          <w:p>
            <w:pPr>
              <w:pStyle w:val="TableParagraph"/>
              <w:spacing w:before="21"/>
              <w:ind w:right="77"/>
              <w:jc w:val="right"/>
              <w:rPr>
                <w:rFonts w:ascii="Times New Roman"/>
                <w:sz w:val="21"/>
              </w:rPr>
            </w:pPr>
            <w:r>
              <w:rPr>
                <w:rFonts w:ascii="Times New Roman"/>
                <w:sz w:val="21"/>
              </w:rPr>
              <w:t>27.</w:t>
            </w:r>
          </w:p>
        </w:tc>
        <w:tc>
          <w:tcPr>
            <w:tcW w:w="2776" w:type="dxa"/>
            <w:tcBorders>
              <w:right w:val="single" w:sz="4" w:space="0" w:color="000000"/>
            </w:tcBorders>
          </w:tcPr>
          <w:p>
            <w:pPr>
              <w:pStyle w:val="TableParagraph"/>
              <w:spacing w:line="265" w:lineRule="exact"/>
              <w:ind w:left="78"/>
              <w:rPr>
                <w:sz w:val="21"/>
              </w:rPr>
            </w:pPr>
            <w:r>
              <w:rPr>
                <w:sz w:val="21"/>
              </w:rPr>
              <w:t>因职业关系导致的 </w:t>
            </w:r>
            <w:r>
              <w:rPr>
                <w:rFonts w:ascii="Times New Roman" w:eastAsia="Times New Roman"/>
                <w:sz w:val="21"/>
              </w:rPr>
              <w:t>HIV </w:t>
            </w:r>
            <w:r>
              <w:rPr>
                <w:sz w:val="21"/>
              </w:rPr>
              <w:t>感</w:t>
            </w:r>
          </w:p>
          <w:p>
            <w:pPr>
              <w:pStyle w:val="TableParagraph"/>
              <w:spacing w:before="21"/>
              <w:ind w:left="78"/>
              <w:rPr>
                <w:sz w:val="21"/>
              </w:rPr>
            </w:pPr>
            <w:r>
              <w:rPr>
                <w:w w:val="100"/>
                <w:sz w:val="21"/>
              </w:rPr>
              <w:t>染</w:t>
            </w:r>
          </w:p>
        </w:tc>
        <w:tc>
          <w:tcPr>
            <w:tcW w:w="7010" w:type="dxa"/>
            <w:tcBorders>
              <w:left w:val="single" w:sz="4" w:space="0" w:color="000000"/>
            </w:tcBorders>
          </w:tcPr>
          <w:p>
            <w:pPr>
              <w:pStyle w:val="TableParagraph"/>
              <w:spacing w:line="249" w:lineRule="exact"/>
              <w:ind w:left="-5"/>
              <w:rPr>
                <w:sz w:val="21"/>
              </w:rPr>
            </w:pPr>
            <w:r>
              <w:rPr>
                <w:sz w:val="21"/>
              </w:rPr>
              <w:t>被保险人在其常规职业工作过程中遭遇外伤，或者职业需要处理血液或者</w:t>
            </w:r>
          </w:p>
          <w:p>
            <w:pPr>
              <w:pStyle w:val="TableParagraph"/>
              <w:spacing w:line="256" w:lineRule="auto" w:before="37"/>
              <w:ind w:left="-5" w:right="2849"/>
              <w:rPr>
                <w:sz w:val="21"/>
              </w:rPr>
            </w:pPr>
            <w:r>
              <w:rPr>
                <w:spacing w:val="-3"/>
                <w:w w:val="100"/>
                <w:sz w:val="21"/>
              </w:rPr>
              <w:t>其他体液时感染上人类免疫缺陷病毒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3"/>
                <w:sz w:val="21"/>
              </w:rPr>
              <w:t>理赔必须符合下列所有条件：</w:t>
            </w:r>
          </w:p>
          <w:p>
            <w:pPr>
              <w:pStyle w:val="TableParagraph"/>
              <w:spacing w:line="259" w:lineRule="auto" w:before="22"/>
              <w:ind w:left="-5" w:right="150"/>
              <w:rPr>
                <w:sz w:val="21"/>
              </w:rPr>
            </w:pPr>
            <w:r>
              <w:rPr>
                <w:sz w:val="21"/>
              </w:rPr>
              <w:t>（</w:t>
            </w:r>
            <w:r>
              <w:rPr>
                <w:rFonts w:ascii="Times New Roman" w:eastAsia="Times New Roman"/>
                <w:sz w:val="21"/>
              </w:rPr>
              <w:t>1</w:t>
            </w:r>
            <w:r>
              <w:rPr>
                <w:sz w:val="21"/>
              </w:rPr>
              <w:t>）感染必须是在被保险人正在从事其职业工作中发生，该职业必须属于以下列表内的职业：</w:t>
            </w:r>
          </w:p>
          <w:p>
            <w:pPr>
              <w:pStyle w:val="TableParagraph"/>
              <w:tabs>
                <w:tab w:pos="2796" w:val="left" w:leader="none"/>
              </w:tabs>
              <w:spacing w:before="29"/>
              <w:ind w:left="72"/>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2796" w:val="left" w:leader="none"/>
              </w:tabs>
              <w:spacing w:before="53"/>
              <w:ind w:left="72"/>
              <w:rPr>
                <w:sz w:val="21"/>
              </w:rPr>
            </w:pPr>
            <w:r>
              <w:rPr>
                <w:sz w:val="21"/>
              </w:rPr>
              <w:t>实验</w:t>
            </w:r>
            <w:r>
              <w:rPr>
                <w:spacing w:val="-3"/>
                <w:sz w:val="21"/>
              </w:rPr>
              <w:t>室</w:t>
            </w:r>
            <w:r>
              <w:rPr>
                <w:sz w:val="21"/>
              </w:rPr>
              <w:t>工</w:t>
            </w:r>
            <w:r>
              <w:rPr>
                <w:spacing w:val="-3"/>
                <w:sz w:val="21"/>
              </w:rPr>
              <w:t>作</w:t>
            </w:r>
            <w:r>
              <w:rPr>
                <w:sz w:val="21"/>
              </w:rPr>
              <w:t>人员</w:t>
              <w:tab/>
              <w:t>医</w:t>
            </w:r>
            <w:r>
              <w:rPr>
                <w:spacing w:val="-44"/>
                <w:sz w:val="21"/>
              </w:rPr>
              <w:t> </w:t>
            </w:r>
            <w:r>
              <w:rPr>
                <w:sz w:val="21"/>
              </w:rPr>
              <w:t>护 工</w:t>
            </w:r>
          </w:p>
          <w:p>
            <w:pPr>
              <w:pStyle w:val="TableParagraph"/>
              <w:tabs>
                <w:tab w:pos="2796" w:val="left" w:leader="none"/>
              </w:tabs>
              <w:spacing w:line="285" w:lineRule="auto" w:before="51"/>
              <w:ind w:left="72" w:right="2732"/>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 助产士</w:t>
              <w:tab/>
              <w:t>消防</w:t>
            </w:r>
            <w:r>
              <w:rPr>
                <w:spacing w:val="-3"/>
                <w:sz w:val="21"/>
              </w:rPr>
              <w:t>队</w:t>
            </w:r>
            <w:r>
              <w:rPr>
                <w:sz w:val="21"/>
              </w:rPr>
              <w:t>员</w:t>
            </w:r>
          </w:p>
          <w:p>
            <w:pPr>
              <w:pStyle w:val="TableParagraph"/>
              <w:tabs>
                <w:tab w:pos="2796" w:val="left" w:leader="none"/>
              </w:tabs>
              <w:spacing w:before="11"/>
              <w:ind w:left="72"/>
              <w:rPr>
                <w:sz w:val="21"/>
              </w:rPr>
            </w:pPr>
            <w:r>
              <w:rPr>
                <w:sz w:val="21"/>
              </w:rPr>
              <w:t>警察</w:t>
              <w:tab/>
              <w:t>狱警</w:t>
            </w:r>
          </w:p>
          <w:p>
            <w:pPr>
              <w:pStyle w:val="TableParagraph"/>
              <w:spacing w:line="256" w:lineRule="auto" w:before="48"/>
              <w:ind w:left="-5" w:right="124"/>
              <w:rPr>
                <w:sz w:val="21"/>
              </w:rPr>
            </w:pPr>
            <w:r>
              <w:rPr>
                <w:sz w:val="21"/>
              </w:rPr>
              <w:t>（</w:t>
            </w:r>
            <w:r>
              <w:rPr>
                <w:rFonts w:ascii="Times New Roman" w:eastAsia="Times New Roman"/>
                <w:sz w:val="21"/>
              </w:rPr>
              <w:t>2</w:t>
            </w:r>
            <w:r>
              <w:rPr>
                <w:sz w:val="21"/>
              </w:rPr>
              <w:t>）必须提供被保险人在所报事故发生后的 </w:t>
            </w:r>
            <w:r>
              <w:rPr>
                <w:rFonts w:ascii="Times New Roman" w:eastAsia="Times New Roman"/>
                <w:sz w:val="21"/>
              </w:rPr>
              <w:t>5 </w:t>
            </w:r>
            <w:r>
              <w:rPr>
                <w:sz w:val="21"/>
              </w:rPr>
              <w:t>天以内进行的检查报告，该报告必须显示被保险人血液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before="4"/>
              <w:ind w:left="-5"/>
              <w:rPr>
                <w:sz w:val="21"/>
              </w:rPr>
            </w:pPr>
            <w:r>
              <w:rPr>
                <w:sz w:val="21"/>
              </w:rPr>
              <w:t>（</w:t>
            </w:r>
            <w:r>
              <w:rPr>
                <w:rFonts w:ascii="Times New Roman" w:eastAsia="Times New Roman"/>
                <w:sz w:val="21"/>
              </w:rPr>
              <w:t>3</w:t>
            </w:r>
            <w:r>
              <w:rPr>
                <w:sz w:val="21"/>
              </w:rPr>
              <w:t>）必须在事故发生后的 </w:t>
            </w:r>
            <w:r>
              <w:rPr>
                <w:rFonts w:ascii="Times New Roman" w:eastAsia="Times New Roman"/>
                <w:sz w:val="21"/>
              </w:rPr>
              <w:t>6 </w:t>
            </w:r>
            <w:r>
              <w:rPr>
                <w:sz w:val="21"/>
              </w:rPr>
              <w:t>个月内证实被保险人体内存在 </w:t>
            </w:r>
            <w:r>
              <w:rPr>
                <w:rFonts w:ascii="Times New Roman" w:eastAsia="Times New Roman"/>
                <w:sz w:val="21"/>
              </w:rPr>
              <w:t>HIV </w:t>
            </w:r>
            <w:r>
              <w:rPr>
                <w:sz w:val="21"/>
              </w:rPr>
              <w:t>病毒或者</w:t>
            </w:r>
          </w:p>
          <w:p>
            <w:pPr>
              <w:pStyle w:val="TableParagraph"/>
              <w:spacing w:before="21"/>
              <w:ind w:left="-5"/>
              <w:rPr>
                <w:sz w:val="21"/>
              </w:rPr>
            </w:pPr>
            <w:r>
              <w:rPr>
                <w:rFonts w:ascii="Times New Roman" w:eastAsia="Times New Roman"/>
                <w:sz w:val="21"/>
              </w:rPr>
              <w:t>HIV </w:t>
            </w:r>
            <w:r>
              <w:rPr>
                <w:sz w:val="21"/>
              </w:rPr>
              <w:t>抗体，即血液 </w:t>
            </w:r>
            <w:r>
              <w:rPr>
                <w:rFonts w:ascii="Times New Roman" w:eastAsia="Times New Roman"/>
                <w:sz w:val="21"/>
              </w:rPr>
              <w:t>HIV </w:t>
            </w:r>
            <w:r>
              <w:rPr>
                <w:sz w:val="21"/>
              </w:rPr>
              <w:t>病毒阳性和</w:t>
            </w:r>
            <w:r>
              <w:rPr>
                <w:rFonts w:ascii="Times New Roman" w:eastAsia="Times New Roman"/>
                <w:sz w:val="21"/>
              </w:rPr>
              <w:t>/</w:t>
            </w:r>
            <w:r>
              <w:rPr>
                <w:sz w:val="21"/>
              </w:rPr>
              <w:t>或 </w:t>
            </w:r>
            <w:r>
              <w:rPr>
                <w:rFonts w:ascii="Times New Roman" w:eastAsia="Times New Roman"/>
                <w:sz w:val="21"/>
              </w:rPr>
              <w:t>HIV </w:t>
            </w:r>
            <w:r>
              <w:rPr>
                <w:sz w:val="21"/>
              </w:rPr>
              <w:t>抗体阳性。</w:t>
            </w:r>
          </w:p>
          <w:p>
            <w:pPr>
              <w:pStyle w:val="TableParagraph"/>
              <w:spacing w:line="264" w:lineRule="exact" w:before="21"/>
              <w:ind w:left="-5"/>
              <w:rPr>
                <w:sz w:val="21"/>
              </w:rPr>
            </w:pPr>
            <w:r>
              <w:rPr>
                <w:sz w:val="21"/>
              </w:rPr>
              <w:t>我们承担本项疾病责任不受本附加合同第八条“责任免除”中“被保险人</w:t>
            </w:r>
          </w:p>
        </w:tc>
      </w:tr>
    </w:tbl>
    <w:p>
      <w:pPr>
        <w:rPr>
          <w:sz w:val="2"/>
          <w:szCs w:val="2"/>
        </w:rPr>
      </w:pPr>
      <w:r>
        <w:rPr/>
        <w:pict>
          <v:group style="position:absolute;margin-left:210.289993pt;margin-top:600.459961pt;width:278.1pt;height:82.1pt;mso-position-horizontal-relative:page;mso-position-vertical-relative:page;z-index:-35008" coordorigin="4206,12009" coordsize="5562,1642">
            <v:line style="position:absolute" from="4206,12014" to="6921,12014" stroked="true" strokeweight=".48004pt" strokecolor="#000000">
              <v:stroke dashstyle="solid"/>
            </v:line>
            <v:rect style="position:absolute;left:6920;top:12009;width:10;height:10" filled="true" fillcolor="#000000" stroked="false">
              <v:fill type="solid"/>
            </v:rect>
            <v:line style="position:absolute" from="6930,12014" to="9758,12014" stroked="true" strokeweight=".48004pt" strokecolor="#000000">
              <v:stroke dashstyle="solid"/>
            </v:line>
            <v:line style="position:absolute" from="4206,12338" to="6921,12338" stroked="true" strokeweight=".71997pt" strokecolor="#000000">
              <v:stroke dashstyle="solid"/>
            </v:line>
            <v:line style="position:absolute" from="6935,12338" to="9758,12338" stroked="true" strokeweight=".71997pt" strokecolor="#000000">
              <v:stroke dashstyle="solid"/>
            </v:line>
            <v:line style="position:absolute" from="4206,12667" to="6921,12667" stroked="true" strokeweight=".71997pt" strokecolor="#000000">
              <v:stroke dashstyle="solid"/>
            </v:line>
            <v:line style="position:absolute" from="6935,12667" to="9758,12667" stroked="true" strokeweight=".71997pt" strokecolor="#000000">
              <v:stroke dashstyle="solid"/>
            </v:line>
            <v:line style="position:absolute" from="4206,12993" to="6921,12993" stroked="true" strokeweight=".71997pt" strokecolor="#000000">
              <v:stroke dashstyle="solid"/>
            </v:line>
            <v:line style="position:absolute" from="6935,12993" to="9758,12993" stroked="true" strokeweight=".71997pt" strokecolor="#000000">
              <v:stroke dashstyle="solid"/>
            </v:line>
            <v:line style="position:absolute" from="4206,13320" to="6921,13320" stroked="true" strokeweight=".71997pt" strokecolor="#000000">
              <v:stroke dashstyle="solid"/>
            </v:line>
            <v:line style="position:absolute" from="6935,13320" to="9758,13320" stroked="true" strokeweight=".71997pt" strokecolor="#000000">
              <v:stroke dashstyle="solid"/>
            </v:line>
            <v:line style="position:absolute" from="4206,13646" to="6921,13646" stroked="true" strokeweight=".47998pt" strokecolor="#000000">
              <v:stroke dashstyle="solid"/>
            </v:line>
            <v:line style="position:absolute" from="6928,12019" to="6928,13641" stroked="true" strokeweight=".72pt" strokecolor="#000000">
              <v:stroke dashstyle="solid"/>
            </v:line>
            <v:rect style="position:absolute;left:6920;top:13641;width:10;height:10" filled="true" fillcolor="#000000" stroked="false">
              <v:fill type="solid"/>
            </v:rect>
            <v:line style="position:absolute" from="6930,13646" to="9758,13646" stroked="true" strokeweight=".47998pt" strokecolor="#000000">
              <v:stroke dashstyle="solid"/>
            </v:line>
            <v:line style="position:absolute" from="9763,12009" to="9763,13641" stroked="true" strokeweight=".48001pt" strokecolor="#000000">
              <v:stroke dashstyle="solid"/>
            </v:line>
            <v:rect style="position:absolute;left:9758;top:13641;width:10;height:10" filled="true" fillcolor="#000000" stroked="false">
              <v:fill type="solid"/>
            </v:rect>
            <w10:wrap type="none"/>
          </v:group>
        </w:pict>
      </w:r>
    </w:p>
    <w:p>
      <w:pPr>
        <w:spacing w:after="0"/>
        <w:rPr>
          <w:sz w:val="2"/>
          <w:szCs w:val="2"/>
        </w:rPr>
        <w:sectPr>
          <w:pgSz w:w="11910" w:h="16160"/>
          <w:pgMar w:header="0" w:footer="631" w:top="1440" w:bottom="82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635"/>
        <w:gridCol w:w="7150"/>
      </w:tblGrid>
      <w:tr>
        <w:trPr>
          <w:trHeight w:val="266" w:hRule="atLeast"/>
        </w:trPr>
        <w:tc>
          <w:tcPr>
            <w:tcW w:w="542" w:type="dxa"/>
          </w:tcPr>
          <w:p>
            <w:pPr>
              <w:pStyle w:val="TableParagraph"/>
              <w:rPr>
                <w:rFonts w:ascii="Times New Roman"/>
                <w:sz w:val="18"/>
              </w:rPr>
            </w:pPr>
          </w:p>
        </w:tc>
        <w:tc>
          <w:tcPr>
            <w:tcW w:w="2635" w:type="dxa"/>
          </w:tcPr>
          <w:p>
            <w:pPr>
              <w:pStyle w:val="TableParagraph"/>
              <w:rPr>
                <w:rFonts w:ascii="Times New Roman"/>
                <w:sz w:val="18"/>
              </w:rPr>
            </w:pPr>
          </w:p>
        </w:tc>
        <w:tc>
          <w:tcPr>
            <w:tcW w:w="7150" w:type="dxa"/>
          </w:tcPr>
          <w:p>
            <w:pPr>
              <w:pStyle w:val="TableParagraph"/>
              <w:spacing w:line="202" w:lineRule="exact"/>
              <w:ind w:left="141"/>
              <w:rPr>
                <w:sz w:val="21"/>
              </w:rPr>
            </w:pPr>
            <w:r>
              <w:rPr>
                <w:sz w:val="21"/>
              </w:rPr>
              <w:t>感染艾滋病病毒或患艾滋病”的限制。</w:t>
            </w:r>
          </w:p>
        </w:tc>
      </w:tr>
      <w:tr>
        <w:trPr>
          <w:trHeight w:val="3754" w:hRule="atLeast"/>
        </w:trPr>
        <w:tc>
          <w:tcPr>
            <w:tcW w:w="542" w:type="dxa"/>
          </w:tcPr>
          <w:p>
            <w:pPr>
              <w:pStyle w:val="TableParagraph"/>
              <w:spacing w:before="39"/>
              <w:ind w:right="77"/>
              <w:jc w:val="right"/>
              <w:rPr>
                <w:rFonts w:ascii="Times New Roman"/>
                <w:sz w:val="21"/>
              </w:rPr>
            </w:pPr>
            <w:r>
              <w:rPr>
                <w:rFonts w:ascii="Times New Roman"/>
                <w:sz w:val="21"/>
              </w:rPr>
              <w:t>28.</w:t>
            </w:r>
          </w:p>
        </w:tc>
        <w:tc>
          <w:tcPr>
            <w:tcW w:w="2635" w:type="dxa"/>
          </w:tcPr>
          <w:p>
            <w:pPr>
              <w:pStyle w:val="TableParagraph"/>
              <w:spacing w:line="273" w:lineRule="auto"/>
              <w:ind w:left="78" w:right="137"/>
              <w:rPr>
                <w:sz w:val="21"/>
              </w:rPr>
            </w:pPr>
            <w:r>
              <w:rPr>
                <w:sz w:val="21"/>
              </w:rPr>
              <w:t>特发性慢性肾上腺皮质功能减退</w:t>
            </w:r>
          </w:p>
        </w:tc>
        <w:tc>
          <w:tcPr>
            <w:tcW w:w="7150" w:type="dxa"/>
          </w:tcPr>
          <w:p>
            <w:pPr>
              <w:pStyle w:val="TableParagraph"/>
              <w:spacing w:line="273" w:lineRule="auto"/>
              <w:ind w:left="141" w:right="202"/>
              <w:rPr>
                <w:sz w:val="21"/>
              </w:rPr>
            </w:pPr>
            <w:r>
              <w:rPr>
                <w:sz w:val="21"/>
              </w:rPr>
              <w:t>指自身免疫性肾上腺炎（既往称：特发性肾上腺皮质萎缩）导致肾上腺萎缩和慢性肾上腺皮质功能减退。必须满足所有以下条件：</w:t>
            </w:r>
          </w:p>
          <w:p>
            <w:pPr>
              <w:pStyle w:val="TableParagraph"/>
              <w:spacing w:before="15"/>
              <w:ind w:left="141"/>
              <w:rPr>
                <w:sz w:val="21"/>
              </w:rPr>
            </w:pPr>
            <w:r>
              <w:rPr>
                <w:sz w:val="21"/>
              </w:rPr>
              <w:t>（</w:t>
            </w:r>
            <w:r>
              <w:rPr>
                <w:rFonts w:ascii="Times New Roman" w:eastAsia="Times New Roman"/>
                <w:sz w:val="21"/>
              </w:rPr>
              <w:t>1</w:t>
            </w:r>
            <w:r>
              <w:rPr>
                <w:sz w:val="21"/>
              </w:rPr>
              <w:t>）明确诊断，符合所有以下诊断标准；</w:t>
            </w:r>
          </w:p>
          <w:p>
            <w:pPr>
              <w:pStyle w:val="TableParagraph"/>
              <w:spacing w:before="20"/>
              <w:ind w:left="667"/>
              <w:rPr>
                <w:sz w:val="21"/>
              </w:rPr>
            </w:pPr>
            <w:r>
              <w:rPr>
                <w:sz w:val="21"/>
              </w:rPr>
              <w:t>① 血浆促肾上腺皮质激素</w:t>
            </w:r>
            <w:r>
              <w:rPr>
                <w:rFonts w:ascii="Times New Roman" w:hAnsi="Times New Roman" w:eastAsia="Times New Roman"/>
                <w:sz w:val="21"/>
              </w:rPr>
              <w:t>(ACTH)</w:t>
            </w:r>
            <w:r>
              <w:rPr>
                <w:sz w:val="21"/>
              </w:rPr>
              <w:t>水平测定大于 </w:t>
            </w:r>
            <w:r>
              <w:rPr>
                <w:rFonts w:ascii="Times New Roman" w:hAnsi="Times New Roman" w:eastAsia="Times New Roman"/>
                <w:sz w:val="21"/>
              </w:rPr>
              <w:t>100pg/ml</w:t>
            </w:r>
            <w:r>
              <w:rPr>
                <w:sz w:val="21"/>
              </w:rPr>
              <w:t>；</w:t>
            </w:r>
          </w:p>
          <w:p>
            <w:pPr>
              <w:pStyle w:val="TableParagraph"/>
              <w:spacing w:line="264" w:lineRule="auto" w:before="20"/>
              <w:ind w:left="141" w:right="246" w:firstLine="525"/>
              <w:jc w:val="both"/>
              <w:rPr>
                <w:sz w:val="21"/>
              </w:rPr>
            </w:pPr>
            <w:r>
              <w:rPr>
                <w:spacing w:val="-1"/>
                <w:sz w:val="21"/>
              </w:rPr>
              <w:t>② 血浆和尿游离皮质醇及尿</w:t>
            </w:r>
            <w:r>
              <w:rPr>
                <w:sz w:val="21"/>
              </w:rPr>
              <w:t>17</w:t>
            </w:r>
            <w:r>
              <w:rPr>
                <w:spacing w:val="-25"/>
                <w:sz w:val="21"/>
              </w:rPr>
              <w:t> 羟皮质类固醇、</w:t>
            </w:r>
            <w:r>
              <w:rPr>
                <w:sz w:val="21"/>
              </w:rPr>
              <w:t>17</w:t>
            </w:r>
            <w:r>
              <w:rPr>
                <w:spacing w:val="-12"/>
                <w:sz w:val="21"/>
              </w:rPr>
              <w:t> 酮皮质类固醇测定</w:t>
            </w:r>
            <w:r>
              <w:rPr>
                <w:spacing w:val="-9"/>
                <w:sz w:val="21"/>
              </w:rPr>
              <w:t>血浆肾素活性、血管紧张素 </w:t>
            </w:r>
            <w:r>
              <w:rPr>
                <w:rFonts w:ascii="Times New Roman" w:hAnsi="Times New Roman" w:eastAsia="Times New Roman"/>
                <w:sz w:val="21"/>
              </w:rPr>
              <w:t>II </w:t>
            </w:r>
            <w:r>
              <w:rPr>
                <w:spacing w:val="-3"/>
                <w:sz w:val="21"/>
              </w:rPr>
              <w:t>和醛固酮测定，显示为原发性肾上腺皮质功能减退症；</w:t>
            </w:r>
          </w:p>
          <w:p>
            <w:pPr>
              <w:pStyle w:val="TableParagraph"/>
              <w:spacing w:line="256" w:lineRule="auto" w:before="15"/>
              <w:ind w:left="141" w:right="405" w:firstLine="525"/>
              <w:rPr>
                <w:sz w:val="21"/>
              </w:rPr>
            </w:pPr>
            <w:r>
              <w:rPr>
                <w:sz w:val="21"/>
              </w:rPr>
              <w:t>③ 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before="22"/>
              <w:ind w:left="141"/>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p>
            <w:pPr>
              <w:pStyle w:val="TableParagraph"/>
              <w:spacing w:line="256" w:lineRule="auto" w:before="22"/>
              <w:ind w:left="141" w:right="201"/>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tc>
      </w:tr>
      <w:tr>
        <w:trPr>
          <w:trHeight w:val="2496" w:hRule="atLeast"/>
        </w:trPr>
        <w:tc>
          <w:tcPr>
            <w:tcW w:w="542" w:type="dxa"/>
          </w:tcPr>
          <w:p>
            <w:pPr>
              <w:pStyle w:val="TableParagraph"/>
              <w:spacing w:before="29"/>
              <w:ind w:right="77"/>
              <w:jc w:val="right"/>
              <w:rPr>
                <w:rFonts w:ascii="Times New Roman"/>
                <w:sz w:val="21"/>
              </w:rPr>
            </w:pPr>
            <w:r>
              <w:rPr>
                <w:rFonts w:ascii="Times New Roman"/>
                <w:sz w:val="21"/>
              </w:rPr>
              <w:t>29.</w:t>
            </w:r>
          </w:p>
        </w:tc>
        <w:tc>
          <w:tcPr>
            <w:tcW w:w="2635" w:type="dxa"/>
          </w:tcPr>
          <w:p>
            <w:pPr>
              <w:pStyle w:val="TableParagraph"/>
              <w:spacing w:line="257" w:lineRule="exact"/>
              <w:ind w:left="78"/>
              <w:rPr>
                <w:sz w:val="21"/>
              </w:rPr>
            </w:pPr>
            <w:r>
              <w:rPr>
                <w:sz w:val="21"/>
              </w:rPr>
              <w:t>严重冠状动脉粥样硬化性</w:t>
            </w:r>
          </w:p>
          <w:p>
            <w:pPr>
              <w:pStyle w:val="TableParagraph"/>
              <w:spacing w:before="37"/>
              <w:ind w:left="78"/>
              <w:rPr>
                <w:sz w:val="21"/>
              </w:rPr>
            </w:pPr>
            <w:r>
              <w:rPr>
                <w:sz w:val="21"/>
              </w:rPr>
              <w:t>心脏病</w:t>
            </w:r>
          </w:p>
        </w:tc>
        <w:tc>
          <w:tcPr>
            <w:tcW w:w="7150" w:type="dxa"/>
          </w:tcPr>
          <w:p>
            <w:pPr>
              <w:pStyle w:val="TableParagraph"/>
              <w:spacing w:line="257" w:lineRule="exact"/>
              <w:ind w:left="141"/>
              <w:rPr>
                <w:sz w:val="21"/>
              </w:rPr>
            </w:pPr>
            <w:r>
              <w:rPr>
                <w:sz w:val="21"/>
              </w:rPr>
              <w:t>指经心脏科专科医师根据冠状动脉造影检查结果确诊为主要血管严重狭窄</w:t>
            </w:r>
          </w:p>
          <w:p>
            <w:pPr>
              <w:pStyle w:val="TableParagraph"/>
              <w:spacing w:before="37"/>
              <w:ind w:left="141"/>
              <w:rPr>
                <w:sz w:val="21"/>
              </w:rPr>
            </w:pPr>
            <w:r>
              <w:rPr>
                <w:sz w:val="21"/>
              </w:rPr>
              <w:t>性病变，须满足下列至少一项条件：</w:t>
            </w:r>
          </w:p>
          <w:p>
            <w:pPr>
              <w:pStyle w:val="TableParagraph"/>
              <w:spacing w:line="256" w:lineRule="auto" w:before="37"/>
              <w:ind w:left="141" w:right="150"/>
              <w:rPr>
                <w:sz w:val="21"/>
              </w:rPr>
            </w:pPr>
            <w:r>
              <w:rPr>
                <w:sz w:val="21"/>
              </w:rPr>
              <w:t>（</w:t>
            </w:r>
            <w:r>
              <w:rPr>
                <w:rFonts w:ascii="Times New Roman" w:eastAsia="Times New Roman"/>
                <w:sz w:val="21"/>
              </w:rPr>
              <w:t>1</w:t>
            </w:r>
            <w:r>
              <w:rPr>
                <w:sz w:val="21"/>
              </w:rPr>
              <w:t>）左冠状动脉主干和右冠状动脉中，一支血管管腔堵塞</w:t>
            </w:r>
            <w:r>
              <w:rPr>
                <w:rFonts w:ascii="Times New Roman" w:eastAsia="Times New Roman"/>
                <w:sz w:val="21"/>
              </w:rPr>
              <w:t>75</w:t>
            </w:r>
            <w:r>
              <w:rPr>
                <w:sz w:val="21"/>
              </w:rPr>
              <w:t>％以上，另一支血管管腔堵塞</w:t>
            </w:r>
            <w:r>
              <w:rPr>
                <w:rFonts w:ascii="Times New Roman" w:eastAsia="Times New Roman"/>
                <w:sz w:val="21"/>
              </w:rPr>
              <w:t>60</w:t>
            </w:r>
            <w:r>
              <w:rPr>
                <w:sz w:val="21"/>
              </w:rPr>
              <w:t>％以上；</w:t>
            </w:r>
          </w:p>
          <w:p>
            <w:pPr>
              <w:pStyle w:val="TableParagraph"/>
              <w:spacing w:line="256" w:lineRule="auto" w:before="5"/>
              <w:ind w:left="141" w:right="196"/>
              <w:rPr>
                <w:sz w:val="21"/>
              </w:rPr>
            </w:pPr>
            <w:r>
              <w:rPr>
                <w:sz w:val="21"/>
              </w:rPr>
              <w:t>（</w:t>
            </w:r>
            <w:r>
              <w:rPr>
                <w:rFonts w:ascii="Times New Roman" w:eastAsia="Times New Roman"/>
                <w:sz w:val="21"/>
              </w:rPr>
              <w:t>2</w:t>
            </w:r>
            <w:r>
              <w:rPr>
                <w:sz w:val="21"/>
              </w:rPr>
              <w:t>）前降支、回旋支和右冠状动脉中，至少一支血管管腔堵塞</w:t>
            </w:r>
            <w:r>
              <w:rPr>
                <w:rFonts w:ascii="Times New Roman" w:eastAsia="Times New Roman"/>
                <w:sz w:val="21"/>
              </w:rPr>
              <w:t>75%</w:t>
            </w:r>
            <w:r>
              <w:rPr>
                <w:sz w:val="21"/>
              </w:rPr>
              <w:t>以上， 其他两支血管管腔堵塞</w:t>
            </w:r>
            <w:r>
              <w:rPr>
                <w:rFonts w:ascii="Times New Roman" w:eastAsia="Times New Roman"/>
                <w:sz w:val="21"/>
              </w:rPr>
              <w:t>60%</w:t>
            </w:r>
            <w:r>
              <w:rPr>
                <w:sz w:val="21"/>
              </w:rPr>
              <w:t>以上。</w:t>
            </w:r>
          </w:p>
          <w:p>
            <w:pPr>
              <w:pStyle w:val="TableParagraph"/>
              <w:spacing w:line="273" w:lineRule="auto" w:before="5"/>
              <w:ind w:left="141" w:right="198"/>
              <w:rPr>
                <w:b/>
                <w:sz w:val="21"/>
              </w:rPr>
            </w:pPr>
            <w:r>
              <w:rPr>
                <w:b/>
                <w:sz w:val="21"/>
              </w:rPr>
              <w:t>前降支的分支血管、左旋支的分支血管及右冠状动脉的分支血管的狭窄不作为本保障的衡量指标。</w:t>
            </w:r>
          </w:p>
        </w:tc>
      </w:tr>
      <w:tr>
        <w:trPr>
          <w:trHeight w:val="1560" w:hRule="atLeast"/>
        </w:trPr>
        <w:tc>
          <w:tcPr>
            <w:tcW w:w="542" w:type="dxa"/>
          </w:tcPr>
          <w:p>
            <w:pPr>
              <w:pStyle w:val="TableParagraph"/>
              <w:spacing w:before="29"/>
              <w:ind w:right="77"/>
              <w:jc w:val="right"/>
              <w:rPr>
                <w:rFonts w:ascii="Times New Roman"/>
                <w:sz w:val="21"/>
              </w:rPr>
            </w:pPr>
            <w:r>
              <w:rPr>
                <w:rFonts w:ascii="Times New Roman"/>
                <w:sz w:val="21"/>
              </w:rPr>
              <w:t>30.</w:t>
            </w:r>
          </w:p>
        </w:tc>
        <w:tc>
          <w:tcPr>
            <w:tcW w:w="2635" w:type="dxa"/>
          </w:tcPr>
          <w:p>
            <w:pPr>
              <w:pStyle w:val="TableParagraph"/>
              <w:spacing w:line="257" w:lineRule="exact"/>
              <w:ind w:left="78"/>
              <w:rPr>
                <w:sz w:val="21"/>
              </w:rPr>
            </w:pPr>
            <w:r>
              <w:rPr>
                <w:sz w:val="21"/>
              </w:rPr>
              <w:t>脊髓灰质炎</w:t>
            </w:r>
          </w:p>
        </w:tc>
        <w:tc>
          <w:tcPr>
            <w:tcW w:w="7150" w:type="dxa"/>
          </w:tcPr>
          <w:p>
            <w:pPr>
              <w:pStyle w:val="TableParagraph"/>
              <w:spacing w:line="257" w:lineRule="exact"/>
              <w:ind w:left="141"/>
              <w:rPr>
                <w:sz w:val="21"/>
              </w:rPr>
            </w:pPr>
            <w:r>
              <w:rPr>
                <w:sz w:val="21"/>
              </w:rPr>
              <w:t>指由于脊髓灰质炎病毒感染所致的瘫痪性疾病，临床表现为运动功能损害</w:t>
            </w:r>
          </w:p>
          <w:p>
            <w:pPr>
              <w:pStyle w:val="TableParagraph"/>
              <w:spacing w:line="266" w:lineRule="auto" w:before="37"/>
              <w:ind w:left="141" w:right="198"/>
              <w:jc w:val="both"/>
              <w:rPr>
                <w:sz w:val="21"/>
              </w:rPr>
            </w:pPr>
            <w:r>
              <w:rPr>
                <w:sz w:val="21"/>
              </w:rPr>
              <w:t>或呼吸无力。脊髓灰质炎必须明确诊断。</w:t>
            </w:r>
            <w:r>
              <w:rPr>
                <w:b/>
                <w:sz w:val="21"/>
              </w:rPr>
              <w:t>本附加合同仅对脊髓灰质炎造成的神经系统功能损害导致被保险人一肢或一肢以上肢体机能永久完全丧失</w:t>
            </w:r>
            <w:r>
              <w:rPr>
                <w:b/>
                <w:spacing w:val="-2"/>
                <w:sz w:val="21"/>
              </w:rPr>
              <w:t>的情况予以理赔。</w:t>
            </w:r>
            <w:r>
              <w:rPr>
                <w:spacing w:val="-4"/>
                <w:sz w:val="21"/>
              </w:rPr>
              <w:t>肢体机能永久完全丧失，指疾病确诊</w:t>
            </w:r>
            <w:r>
              <w:rPr>
                <w:rFonts w:ascii="Times New Roman" w:eastAsia="Times New Roman"/>
                <w:sz w:val="21"/>
              </w:rPr>
              <w:t>180</w:t>
            </w:r>
            <w:r>
              <w:rPr>
                <w:spacing w:val="-4"/>
                <w:sz w:val="21"/>
              </w:rPr>
              <w:t>天后，每肢三大</w:t>
            </w:r>
            <w:r>
              <w:rPr>
                <w:spacing w:val="-3"/>
                <w:sz w:val="21"/>
              </w:rPr>
              <w:t>关节中的两大关节仍然完全僵硬，或不能随意识活动。</w:t>
            </w:r>
          </w:p>
        </w:tc>
      </w:tr>
      <w:tr>
        <w:trPr>
          <w:trHeight w:val="3120" w:hRule="atLeast"/>
        </w:trPr>
        <w:tc>
          <w:tcPr>
            <w:tcW w:w="542" w:type="dxa"/>
          </w:tcPr>
          <w:p>
            <w:pPr>
              <w:pStyle w:val="TableParagraph"/>
              <w:spacing w:before="29"/>
              <w:ind w:right="77"/>
              <w:jc w:val="right"/>
              <w:rPr>
                <w:rFonts w:ascii="Times New Roman"/>
                <w:sz w:val="21"/>
              </w:rPr>
            </w:pPr>
            <w:r>
              <w:rPr>
                <w:rFonts w:ascii="Times New Roman"/>
                <w:sz w:val="21"/>
              </w:rPr>
              <w:t>31.</w:t>
            </w:r>
          </w:p>
        </w:tc>
        <w:tc>
          <w:tcPr>
            <w:tcW w:w="2635" w:type="dxa"/>
          </w:tcPr>
          <w:p>
            <w:pPr>
              <w:pStyle w:val="TableParagraph"/>
              <w:spacing w:line="257" w:lineRule="exact"/>
              <w:ind w:left="78"/>
              <w:rPr>
                <w:sz w:val="21"/>
              </w:rPr>
            </w:pPr>
            <w:r>
              <w:rPr>
                <w:sz w:val="21"/>
              </w:rPr>
              <w:t>全身性（型）重症肌无力</w:t>
            </w:r>
          </w:p>
        </w:tc>
        <w:tc>
          <w:tcPr>
            <w:tcW w:w="7150" w:type="dxa"/>
          </w:tcPr>
          <w:p>
            <w:pPr>
              <w:pStyle w:val="TableParagraph"/>
              <w:spacing w:line="257" w:lineRule="exact"/>
              <w:ind w:left="141"/>
              <w:rPr>
                <w:sz w:val="21"/>
              </w:rPr>
            </w:pPr>
            <w:r>
              <w:rPr>
                <w:sz w:val="21"/>
              </w:rPr>
              <w:t>指一种神经与肌肉接头部位传递障碍的自身免疫性疾病，临床特征是局部</w:t>
            </w:r>
          </w:p>
          <w:p>
            <w:pPr>
              <w:pStyle w:val="TableParagraph"/>
              <w:spacing w:line="273" w:lineRule="auto" w:before="37"/>
              <w:ind w:left="141" w:right="200"/>
              <w:jc w:val="both"/>
              <w:rPr>
                <w:sz w:val="21"/>
              </w:rPr>
            </w:pPr>
            <w:r>
              <w:rPr>
                <w:sz w:val="21"/>
              </w:rPr>
              <w:t>或全身横纹肌于活动时易于疲劳无力，颅神经眼外肌最易累及，也可涉及呼吸肌、下肢近端肌群乃至全身肌肉。其诊断必须同时满足下列全部条件</w:t>
            </w:r>
          </w:p>
          <w:p>
            <w:pPr>
              <w:pStyle w:val="TableParagraph"/>
              <w:spacing w:line="264" w:lineRule="auto" w:before="7"/>
              <w:ind w:left="141" w:right="198"/>
              <w:jc w:val="both"/>
              <w:rPr>
                <w:sz w:val="21"/>
              </w:rPr>
            </w:pPr>
            <w:r>
              <w:rPr>
                <w:spacing w:val="-20"/>
                <w:sz w:val="21"/>
              </w:rPr>
              <w:t>（</w:t>
            </w:r>
            <w:r>
              <w:rPr>
                <w:rFonts w:ascii="Times New Roman" w:eastAsia="Times New Roman"/>
                <w:spacing w:val="-20"/>
                <w:sz w:val="21"/>
              </w:rPr>
              <w:t>1</w:t>
            </w:r>
            <w:r>
              <w:rPr>
                <w:spacing w:val="-20"/>
                <w:sz w:val="21"/>
              </w:rPr>
              <w:t>）</w:t>
            </w:r>
            <w:r>
              <w:rPr>
                <w:spacing w:val="-15"/>
                <w:sz w:val="21"/>
              </w:rPr>
              <w:t>经药物、胸腺手术治疗一年以上无法控制病情，丧失正常工作能力</w:t>
            </w:r>
            <w:r>
              <w:rPr>
                <w:sz w:val="21"/>
              </w:rPr>
              <w:t>（为维持生命必要的日常生活活动，全需他人扶助，系指食物摄取、大小便始</w:t>
            </w:r>
            <w:r>
              <w:rPr>
                <w:spacing w:val="-16"/>
                <w:sz w:val="21"/>
              </w:rPr>
              <w:t>末、穿脱衣服、起居、步行、入浴等，皆不能自己为之，需要他人帮助。</w:t>
            </w:r>
            <w:r>
              <w:rPr>
                <w:sz w:val="21"/>
              </w:rPr>
              <w:t>）</w:t>
            </w:r>
          </w:p>
          <w:p>
            <w:pPr>
              <w:pStyle w:val="TableParagraph"/>
              <w:spacing w:line="259" w:lineRule="auto" w:before="15"/>
              <w:ind w:left="141" w:right="198"/>
              <w:jc w:val="both"/>
              <w:rPr>
                <w:sz w:val="21"/>
              </w:rPr>
            </w:pPr>
            <w:r>
              <w:rPr>
                <w:spacing w:val="-4"/>
                <w:sz w:val="21"/>
              </w:rPr>
              <w:t>（</w:t>
            </w:r>
            <w:r>
              <w:rPr>
                <w:rFonts w:ascii="Times New Roman" w:eastAsia="Times New Roman"/>
                <w:spacing w:val="-4"/>
                <w:sz w:val="21"/>
              </w:rPr>
              <w:t>2</w:t>
            </w:r>
            <w:r>
              <w:rPr>
                <w:spacing w:val="-4"/>
                <w:sz w:val="21"/>
              </w:rPr>
              <w:t>）</w:t>
            </w:r>
            <w:r>
              <w:rPr>
                <w:spacing w:val="-5"/>
                <w:sz w:val="21"/>
              </w:rPr>
              <w:t>出现因延髓肌受累引起的构音困难、进食呛咳；或由于肌无力累及延</w:t>
            </w:r>
            <w:r>
              <w:rPr>
                <w:spacing w:val="-4"/>
                <w:sz w:val="21"/>
              </w:rPr>
              <w:t>髓肌、呼吸肌而致机体呼吸功能不正常的危急状态即肌无力危象；</w:t>
            </w:r>
          </w:p>
          <w:p>
            <w:pPr>
              <w:pStyle w:val="TableParagraph"/>
              <w:spacing w:line="256" w:lineRule="auto" w:before="20"/>
              <w:ind w:left="141" w:right="198"/>
              <w:jc w:val="both"/>
              <w:rPr>
                <w:sz w:val="21"/>
              </w:rPr>
            </w:pPr>
            <w:r>
              <w:rPr>
                <w:spacing w:val="-4"/>
                <w:sz w:val="21"/>
              </w:rPr>
              <w:t>（</w:t>
            </w:r>
            <w:r>
              <w:rPr>
                <w:rFonts w:ascii="Times New Roman" w:eastAsia="Times New Roman"/>
                <w:spacing w:val="-4"/>
                <w:sz w:val="21"/>
              </w:rPr>
              <w:t>3</w:t>
            </w:r>
            <w:r>
              <w:rPr>
                <w:spacing w:val="-4"/>
                <w:sz w:val="21"/>
              </w:rPr>
              <w:t>）</w:t>
            </w:r>
            <w:r>
              <w:rPr>
                <w:spacing w:val="-5"/>
                <w:sz w:val="21"/>
              </w:rPr>
              <w:t>症状缓解、复发及恶化交替出现，临床接受新斯的明等抗胆碱酯酶药</w:t>
            </w:r>
            <w:r>
              <w:rPr>
                <w:spacing w:val="-4"/>
                <w:sz w:val="21"/>
              </w:rPr>
              <w:t>物治疗的病史。</w:t>
            </w:r>
          </w:p>
        </w:tc>
      </w:tr>
      <w:tr>
        <w:trPr>
          <w:trHeight w:val="1247" w:hRule="atLeast"/>
        </w:trPr>
        <w:tc>
          <w:tcPr>
            <w:tcW w:w="542" w:type="dxa"/>
          </w:tcPr>
          <w:p>
            <w:pPr>
              <w:pStyle w:val="TableParagraph"/>
              <w:spacing w:before="29"/>
              <w:ind w:right="77"/>
              <w:jc w:val="right"/>
              <w:rPr>
                <w:rFonts w:ascii="Times New Roman"/>
                <w:sz w:val="21"/>
              </w:rPr>
            </w:pPr>
            <w:r>
              <w:rPr>
                <w:rFonts w:ascii="Times New Roman"/>
                <w:sz w:val="21"/>
              </w:rPr>
              <w:t>32.</w:t>
            </w:r>
          </w:p>
        </w:tc>
        <w:tc>
          <w:tcPr>
            <w:tcW w:w="2635" w:type="dxa"/>
          </w:tcPr>
          <w:p>
            <w:pPr>
              <w:pStyle w:val="TableParagraph"/>
              <w:spacing w:line="257" w:lineRule="exact"/>
              <w:ind w:left="78"/>
              <w:rPr>
                <w:sz w:val="21"/>
              </w:rPr>
            </w:pPr>
            <w:r>
              <w:rPr>
                <w:sz w:val="21"/>
              </w:rPr>
              <w:t>严重心肌病</w:t>
            </w:r>
          </w:p>
        </w:tc>
        <w:tc>
          <w:tcPr>
            <w:tcW w:w="7150" w:type="dxa"/>
          </w:tcPr>
          <w:p>
            <w:pPr>
              <w:pStyle w:val="TableParagraph"/>
              <w:spacing w:line="257" w:lineRule="exact"/>
              <w:ind w:left="141"/>
              <w:rPr>
                <w:sz w:val="21"/>
              </w:rPr>
            </w:pPr>
            <w:r>
              <w:rPr>
                <w:sz w:val="21"/>
              </w:rPr>
              <w:t>指被保人因心肌病导致慢性心功能损害造成永久不可逆性的心功能衰竭。</w:t>
            </w:r>
          </w:p>
          <w:p>
            <w:pPr>
              <w:pStyle w:val="TableParagraph"/>
              <w:spacing w:line="256" w:lineRule="auto" w:before="37"/>
              <w:ind w:left="141" w:right="196"/>
              <w:jc w:val="both"/>
              <w:rPr>
                <w:sz w:val="21"/>
              </w:rPr>
            </w:pPr>
            <w:r>
              <w:rPr>
                <w:sz w:val="21"/>
              </w:rPr>
              <w:t>心功能衰竭程度达到纽约心脏病学会的心功能分级标准之心功能</w:t>
            </w:r>
            <w:r>
              <w:rPr>
                <w:rFonts w:ascii="Times New Roman" w:eastAsia="Times New Roman"/>
                <w:sz w:val="21"/>
              </w:rPr>
              <w:t>IV</w:t>
            </w:r>
            <w:r>
              <w:rPr>
                <w:sz w:val="21"/>
              </w:rPr>
              <w:t>级，且</w:t>
            </w:r>
            <w:r>
              <w:rPr>
                <w:spacing w:val="-3"/>
                <w:sz w:val="21"/>
              </w:rPr>
              <w:t>心功能衰竭状态持续至少</w:t>
            </w:r>
            <w:r>
              <w:rPr>
                <w:rFonts w:ascii="Times New Roman" w:eastAsia="Times New Roman"/>
                <w:sz w:val="21"/>
              </w:rPr>
              <w:t>180</w:t>
            </w:r>
            <w:r>
              <w:rPr>
                <w:spacing w:val="-6"/>
                <w:sz w:val="21"/>
              </w:rPr>
              <w:t>天。被保险人永久不可逆性的体力活动能力受</w:t>
            </w:r>
            <w:r>
              <w:rPr>
                <w:spacing w:val="-4"/>
                <w:sz w:val="21"/>
              </w:rPr>
              <w:t>限，且不能从事任何体力活动。</w:t>
            </w:r>
          </w:p>
        </w:tc>
      </w:tr>
      <w:tr>
        <w:trPr>
          <w:trHeight w:val="935" w:hRule="atLeast"/>
        </w:trPr>
        <w:tc>
          <w:tcPr>
            <w:tcW w:w="542" w:type="dxa"/>
          </w:tcPr>
          <w:p>
            <w:pPr>
              <w:pStyle w:val="TableParagraph"/>
              <w:spacing w:before="29"/>
              <w:ind w:right="77"/>
              <w:jc w:val="right"/>
              <w:rPr>
                <w:rFonts w:ascii="Times New Roman"/>
                <w:sz w:val="21"/>
              </w:rPr>
            </w:pPr>
            <w:r>
              <w:rPr>
                <w:rFonts w:ascii="Times New Roman"/>
                <w:sz w:val="21"/>
              </w:rPr>
              <w:t>33.</w:t>
            </w:r>
          </w:p>
        </w:tc>
        <w:tc>
          <w:tcPr>
            <w:tcW w:w="2635" w:type="dxa"/>
          </w:tcPr>
          <w:p>
            <w:pPr>
              <w:pStyle w:val="TableParagraph"/>
              <w:spacing w:line="273" w:lineRule="exact"/>
              <w:ind w:left="78"/>
              <w:rPr>
                <w:sz w:val="21"/>
              </w:rPr>
            </w:pPr>
            <w:r>
              <w:rPr>
                <w:sz w:val="21"/>
              </w:rPr>
              <w:t>严重克罗恩病（</w:t>
            </w:r>
            <w:r>
              <w:rPr>
                <w:rFonts w:ascii="Times New Roman" w:hAnsi="Times New Roman" w:eastAsia="Times New Roman"/>
                <w:sz w:val="21"/>
              </w:rPr>
              <w:t>Crohn’s </w:t>
            </w:r>
            <w:r>
              <w:rPr>
                <w:sz w:val="21"/>
              </w:rPr>
              <w:t>病</w:t>
            </w:r>
          </w:p>
        </w:tc>
        <w:tc>
          <w:tcPr>
            <w:tcW w:w="7150" w:type="dxa"/>
          </w:tcPr>
          <w:p>
            <w:pPr>
              <w:pStyle w:val="TableParagraph"/>
              <w:spacing w:line="257" w:lineRule="exact"/>
              <w:ind w:left="141"/>
              <w:rPr>
                <w:sz w:val="21"/>
              </w:rPr>
            </w:pPr>
            <w:r>
              <w:rPr>
                <w:sz w:val="21"/>
              </w:rPr>
              <w:t>克罗恩病是一种慢性肉芽肿性肠炎，具有特征性的克罗恩病病理组织学变</w:t>
            </w:r>
          </w:p>
          <w:p>
            <w:pPr>
              <w:pStyle w:val="TableParagraph"/>
              <w:spacing w:line="273" w:lineRule="auto" w:before="37"/>
              <w:ind w:left="141" w:right="205"/>
              <w:rPr>
                <w:sz w:val="21"/>
              </w:rPr>
            </w:pPr>
            <w:r>
              <w:rPr>
                <w:sz w:val="21"/>
              </w:rPr>
              <w:t>化。诊断必须由病理检查结果证实。被保险人所患的克罗恩病必须已经造成瘘管形成并伴有肠梗阻或肠穿孔。</w:t>
            </w:r>
          </w:p>
        </w:tc>
      </w:tr>
      <w:tr>
        <w:trPr>
          <w:trHeight w:val="279" w:hRule="atLeast"/>
        </w:trPr>
        <w:tc>
          <w:tcPr>
            <w:tcW w:w="542" w:type="dxa"/>
          </w:tcPr>
          <w:p>
            <w:pPr>
              <w:pStyle w:val="TableParagraph"/>
              <w:spacing w:line="230" w:lineRule="exact" w:before="29"/>
              <w:ind w:right="77"/>
              <w:jc w:val="right"/>
              <w:rPr>
                <w:rFonts w:ascii="Times New Roman"/>
                <w:sz w:val="21"/>
              </w:rPr>
            </w:pPr>
            <w:r>
              <w:rPr>
                <w:rFonts w:ascii="Times New Roman"/>
                <w:sz w:val="21"/>
              </w:rPr>
              <w:t>34.</w:t>
            </w:r>
          </w:p>
        </w:tc>
        <w:tc>
          <w:tcPr>
            <w:tcW w:w="2635" w:type="dxa"/>
          </w:tcPr>
          <w:p>
            <w:pPr>
              <w:pStyle w:val="TableParagraph"/>
              <w:spacing w:line="257" w:lineRule="exact"/>
              <w:ind w:left="78"/>
              <w:rPr>
                <w:sz w:val="21"/>
              </w:rPr>
            </w:pPr>
            <w:r>
              <w:rPr>
                <w:sz w:val="21"/>
              </w:rPr>
              <w:t>严重溃疡性结肠炎</w:t>
            </w:r>
          </w:p>
        </w:tc>
        <w:tc>
          <w:tcPr>
            <w:tcW w:w="7150" w:type="dxa"/>
          </w:tcPr>
          <w:p>
            <w:pPr>
              <w:pStyle w:val="TableParagraph"/>
              <w:spacing w:line="257" w:lineRule="exact"/>
              <w:ind w:left="141"/>
              <w:rPr>
                <w:sz w:val="21"/>
              </w:rPr>
            </w:pPr>
            <w:r>
              <w:rPr>
                <w:sz w:val="21"/>
              </w:rPr>
              <w:t>本附加合同所保障的溃疡性结肠炎是指伴有致命性电解质紊乱的急性暴发</w:t>
            </w:r>
          </w:p>
        </w:tc>
      </w:tr>
    </w:tbl>
    <w:p>
      <w:pPr>
        <w:spacing w:after="0" w:line="257" w:lineRule="exact"/>
        <w:rPr>
          <w:sz w:val="21"/>
        </w:rPr>
        <w:sectPr>
          <w:pgSz w:w="11910" w:h="16160"/>
          <w:pgMar w:header="0" w:footer="631" w:top="1440" w:bottom="820" w:left="760" w:right="580"/>
        </w:sectPr>
      </w:pPr>
    </w:p>
    <w:p>
      <w:pPr>
        <w:pStyle w:val="BodyText"/>
        <w:spacing w:line="273" w:lineRule="auto" w:before="7"/>
        <w:ind w:left="3236" w:right="207"/>
      </w:pPr>
      <w:r>
        <w:rPr>
          <w:spacing w:val="-6"/>
        </w:rPr>
        <w:t>性溃疡性结肠炎，病变累及全结肠，表现为严重的血便和系统性症状体征溃疡性结肠炎必须根据组织病理学特点诊断，并且被保险人已经接受了结</w:t>
      </w:r>
      <w:r>
        <w:rPr>
          <w:spacing w:val="-4"/>
        </w:rPr>
        <w:t>肠切除或回肠造瘘术。</w:t>
      </w:r>
    </w:p>
    <w:p>
      <w:pPr>
        <w:pStyle w:val="ListParagraph"/>
        <w:numPr>
          <w:ilvl w:val="0"/>
          <w:numId w:val="7"/>
        </w:numPr>
        <w:tabs>
          <w:tab w:pos="539" w:val="left" w:leader="none"/>
          <w:tab w:pos="3236" w:val="left" w:leader="none"/>
        </w:tabs>
        <w:spacing w:line="240" w:lineRule="auto" w:before="7" w:after="0"/>
        <w:ind w:left="538" w:right="0" w:hanging="421"/>
        <w:jc w:val="left"/>
        <w:rPr>
          <w:sz w:val="21"/>
        </w:rPr>
      </w:pPr>
      <w:r>
        <w:rPr>
          <w:sz w:val="21"/>
        </w:rPr>
        <w:t>植物</w:t>
      </w:r>
      <w:r>
        <w:rPr>
          <w:spacing w:val="-3"/>
          <w:sz w:val="21"/>
        </w:rPr>
        <w:t>人</w:t>
      </w:r>
      <w:r>
        <w:rPr>
          <w:sz w:val="21"/>
        </w:rPr>
        <w:t>状态</w:t>
        <w:tab/>
      </w:r>
      <w:r>
        <w:rPr>
          <w:spacing w:val="-1"/>
          <w:sz w:val="21"/>
        </w:rPr>
        <w:t>植物</w:t>
      </w:r>
      <w:r>
        <w:rPr>
          <w:sz w:val="21"/>
        </w:rPr>
        <w:t>人状态是指由</w:t>
      </w:r>
      <w:r>
        <w:rPr>
          <w:spacing w:val="-3"/>
          <w:sz w:val="21"/>
        </w:rPr>
        <w:t>于</w:t>
      </w:r>
      <w:r>
        <w:rPr>
          <w:sz w:val="21"/>
        </w:rPr>
        <w:t>严</w:t>
      </w:r>
      <w:r>
        <w:rPr>
          <w:spacing w:val="-3"/>
          <w:sz w:val="21"/>
        </w:rPr>
        <w:t>重</w:t>
      </w:r>
      <w:r>
        <w:rPr>
          <w:sz w:val="21"/>
        </w:rPr>
        <w:t>颅脑外伤造成大脑和</w:t>
      </w:r>
      <w:r>
        <w:rPr>
          <w:rFonts w:ascii="Times New Roman" w:eastAsia="Times New Roman"/>
          <w:sz w:val="21"/>
        </w:rPr>
        <w:t>/</w:t>
      </w:r>
      <w:r>
        <w:rPr>
          <w:sz w:val="21"/>
        </w:rPr>
        <w:t>或</w:t>
      </w:r>
      <w:r>
        <w:rPr>
          <w:spacing w:val="-3"/>
          <w:sz w:val="21"/>
        </w:rPr>
        <w:t>脑</w:t>
      </w:r>
      <w:r>
        <w:rPr>
          <w:sz w:val="21"/>
        </w:rPr>
        <w:t>干严重损害导致完</w:t>
      </w:r>
      <w:r>
        <w:rPr>
          <w:spacing w:val="-3"/>
          <w:sz w:val="21"/>
        </w:rPr>
        <w:t>全</w:t>
      </w:r>
      <w:r>
        <w:rPr>
          <w:sz w:val="21"/>
        </w:rPr>
        <w:t>永</w:t>
      </w:r>
    </w:p>
    <w:p>
      <w:pPr>
        <w:pStyle w:val="BodyText"/>
        <w:spacing w:line="266" w:lineRule="auto" w:before="21"/>
        <w:ind w:left="3236" w:right="202"/>
        <w:jc w:val="both"/>
      </w:pPr>
      <w:r>
        <w:rPr/>
        <w:t>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rPr>
        <w:t>12</w:t>
      </w:r>
      <w:r>
        <w:rPr/>
        <w:t>个月以上。诊断必须明确并且具有严重颅脑外伤和脑损害的证据。</w:t>
      </w:r>
    </w:p>
    <w:p>
      <w:pPr>
        <w:pStyle w:val="ListParagraph"/>
        <w:numPr>
          <w:ilvl w:val="0"/>
          <w:numId w:val="7"/>
        </w:numPr>
        <w:tabs>
          <w:tab w:pos="539" w:val="left" w:leader="none"/>
          <w:tab w:pos="3236" w:val="left" w:leader="none"/>
        </w:tabs>
        <w:spacing w:line="240" w:lineRule="auto" w:before="14" w:after="0"/>
        <w:ind w:left="538" w:right="0" w:hanging="421"/>
        <w:jc w:val="left"/>
        <w:rPr>
          <w:sz w:val="21"/>
        </w:rPr>
      </w:pPr>
      <w:r>
        <w:rPr>
          <w:sz w:val="21"/>
        </w:rPr>
        <w:t>严重</w:t>
      </w:r>
      <w:r>
        <w:rPr>
          <w:spacing w:val="-50"/>
          <w:sz w:val="21"/>
        </w:rPr>
        <w:t> </w:t>
      </w:r>
      <w:r>
        <w:rPr>
          <w:rFonts w:ascii="Times New Roman" w:eastAsia="Times New Roman"/>
          <w:sz w:val="21"/>
        </w:rPr>
        <w:t>1 </w:t>
      </w:r>
      <w:r>
        <w:rPr>
          <w:sz w:val="21"/>
        </w:rPr>
        <w:t>型</w:t>
      </w:r>
      <w:r>
        <w:rPr>
          <w:spacing w:val="-3"/>
          <w:sz w:val="21"/>
        </w:rPr>
        <w:t>糖</w:t>
      </w:r>
      <w:r>
        <w:rPr>
          <w:sz w:val="21"/>
        </w:rPr>
        <w:t>尿病</w:t>
        <w:tab/>
        <w:t>指由于胰岛素分泌绝对不足引起的慢性血糖升高，且已经持续性地依赖外</w:t>
      </w:r>
    </w:p>
    <w:p>
      <w:pPr>
        <w:pStyle w:val="BodyText"/>
        <w:spacing w:line="266" w:lineRule="auto" w:before="21"/>
        <w:ind w:left="3236" w:right="80"/>
      </w:pPr>
      <w:r>
        <w:rPr/>
        <w:t>源性胰岛素维持</w:t>
      </w:r>
      <w:r>
        <w:rPr>
          <w:rFonts w:ascii="Times New Roman" w:eastAsia="Times New Roman"/>
        </w:rPr>
        <w:t>180</w:t>
      </w:r>
      <w:r>
        <w:rPr/>
        <w:t>天以上。须经血胰岛素测定、血</w:t>
      </w:r>
      <w:r>
        <w:rPr>
          <w:rFonts w:ascii="Times New Roman" w:eastAsia="Times New Roman"/>
        </w:rPr>
        <w:t>C</w:t>
      </w:r>
      <w:r>
        <w:rPr/>
        <w:t>肽测定或尿</w:t>
      </w:r>
      <w:r>
        <w:rPr>
          <w:rFonts w:ascii="Times New Roman" w:eastAsia="Times New Roman"/>
        </w:rPr>
        <w:t>C</w:t>
      </w:r>
      <w:r>
        <w:rPr/>
        <w:t>肽测定， 结果异常，并由内分泌科专科医生明确诊断。并须在本附加合同有效期内且已经接受下列治疗：因严重心律失常已经植入了心脏起搏器，或因坏疽需切除至少一个脚趾。</w:t>
      </w:r>
    </w:p>
    <w:p>
      <w:pPr>
        <w:spacing w:after="0" w:line="266" w:lineRule="auto"/>
        <w:sectPr>
          <w:pgSz w:w="11910" w:h="16160"/>
          <w:pgMar w:header="0" w:footer="631" w:top="1360" w:bottom="820" w:left="960" w:right="700"/>
        </w:sectPr>
      </w:pPr>
    </w:p>
    <w:p>
      <w:pPr>
        <w:pStyle w:val="ListParagraph"/>
        <w:numPr>
          <w:ilvl w:val="0"/>
          <w:numId w:val="7"/>
        </w:numPr>
        <w:tabs>
          <w:tab w:pos="539" w:val="left" w:leader="none"/>
        </w:tabs>
        <w:spacing w:line="240" w:lineRule="auto" w:before="14" w:after="0"/>
        <w:ind w:left="538" w:right="0" w:hanging="421"/>
        <w:jc w:val="left"/>
        <w:rPr>
          <w:sz w:val="21"/>
        </w:rPr>
      </w:pPr>
      <w:r>
        <w:rPr>
          <w:spacing w:val="-2"/>
          <w:w w:val="100"/>
          <w:sz w:val="21"/>
        </w:rPr>
        <w:t>系统性红斑狼疮</w:t>
      </w:r>
      <w:r>
        <w:rPr>
          <w:spacing w:val="-3"/>
          <w:sz w:val="21"/>
        </w:rPr>
        <w:t> </w:t>
      </w:r>
      <w:r>
        <w:rPr>
          <w:spacing w:val="-106"/>
          <w:w w:val="100"/>
          <w:sz w:val="21"/>
        </w:rPr>
        <w:t>－</w:t>
      </w:r>
      <w:r>
        <w:rPr>
          <w:spacing w:val="-3"/>
          <w:w w:val="100"/>
          <w:sz w:val="21"/>
        </w:rPr>
        <w:t>（</w:t>
      </w:r>
      <w:r>
        <w:rPr>
          <w:w w:val="100"/>
          <w:sz w:val="21"/>
        </w:rPr>
        <w:t>并发</w:t>
      </w:r>
    </w:p>
    <w:p>
      <w:pPr>
        <w:pStyle w:val="BodyText"/>
        <w:spacing w:before="21"/>
        <w:ind w:left="538"/>
      </w:pPr>
      <w:r>
        <w:rPr>
          <w:rFonts w:ascii="Times New Roman" w:eastAsia="Times New Roman"/>
        </w:rPr>
        <w:t>III </w:t>
      </w:r>
      <w:r>
        <w:rPr/>
        <w:t>型或以上狼疮性肾炎</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7"/>
        </w:rPr>
      </w:pPr>
    </w:p>
    <w:p>
      <w:pPr>
        <w:pStyle w:val="ListParagraph"/>
        <w:numPr>
          <w:ilvl w:val="0"/>
          <w:numId w:val="7"/>
        </w:numPr>
        <w:tabs>
          <w:tab w:pos="539" w:val="left" w:leader="none"/>
        </w:tabs>
        <w:spacing w:line="256" w:lineRule="auto" w:before="0" w:after="0"/>
        <w:ind w:left="538" w:right="0" w:hanging="421"/>
        <w:jc w:val="left"/>
        <w:rPr>
          <w:sz w:val="21"/>
        </w:rPr>
      </w:pPr>
      <w:r>
        <w:rPr>
          <w:spacing w:val="5"/>
          <w:sz w:val="21"/>
        </w:rPr>
        <w:t>非阿尔茨海默病所致严重痴呆</w:t>
      </w:r>
    </w:p>
    <w:p>
      <w:pPr>
        <w:pStyle w:val="BodyText"/>
        <w:spacing w:line="273" w:lineRule="auto" w:before="14"/>
        <w:ind w:left="117" w:right="282"/>
      </w:pPr>
      <w:r>
        <w:rPr/>
        <w:br w:type="column"/>
      </w:r>
      <w:r>
        <w:rPr/>
        <w:t>系统性红斑狼疮是由多种因素引起，累及多系统的自身免疫性疾病。其特点是生成自身抗体对抗多种自身抗原。多见于育龄妇女。</w:t>
      </w:r>
    </w:p>
    <w:p>
      <w:pPr>
        <w:spacing w:line="266" w:lineRule="auto" w:before="8"/>
        <w:ind w:left="117" w:right="202" w:firstLine="0"/>
        <w:jc w:val="left"/>
        <w:rPr>
          <w:b/>
          <w:sz w:val="21"/>
        </w:rPr>
      </w:pPr>
      <w:r>
        <w:rPr>
          <w:sz w:val="21"/>
        </w:rPr>
        <w:t>本附加合同所指的系统性红斑狼疮仅限于累及肾脏（经肾脏活检确认的， </w:t>
      </w:r>
      <w:r>
        <w:rPr>
          <w:spacing w:val="15"/>
          <w:sz w:val="21"/>
        </w:rPr>
        <w:t>符合</w:t>
      </w:r>
      <w:r>
        <w:rPr>
          <w:rFonts w:ascii="Times New Roman" w:eastAsia="Times New Roman"/>
          <w:sz w:val="21"/>
        </w:rPr>
        <w:t>WHO </w:t>
      </w:r>
      <w:r>
        <w:rPr>
          <w:spacing w:val="2"/>
          <w:sz w:val="21"/>
        </w:rPr>
        <w:t>诊断标准定义</w:t>
      </w:r>
      <w:r>
        <w:rPr>
          <w:rFonts w:ascii="Times New Roman" w:eastAsia="Times New Roman"/>
          <w:sz w:val="21"/>
        </w:rPr>
        <w:t>III </w:t>
      </w:r>
      <w:r>
        <w:rPr>
          <w:spacing w:val="16"/>
          <w:sz w:val="21"/>
        </w:rPr>
        <w:t>型或</w:t>
      </w:r>
      <w:r>
        <w:rPr>
          <w:rFonts w:ascii="Times New Roman" w:eastAsia="Times New Roman"/>
          <w:sz w:val="21"/>
        </w:rPr>
        <w:t>III </w:t>
      </w:r>
      <w:r>
        <w:rPr>
          <w:spacing w:val="-3"/>
          <w:sz w:val="21"/>
        </w:rPr>
        <w:t>型以上狼疮性肾炎</w:t>
      </w:r>
      <w:r>
        <w:rPr>
          <w:spacing w:val="-106"/>
          <w:sz w:val="21"/>
        </w:rPr>
        <w:t>）</w:t>
      </w:r>
      <w:r>
        <w:rPr>
          <w:spacing w:val="-3"/>
          <w:sz w:val="21"/>
        </w:rPr>
        <w:t>的系统性红斑狼疮</w:t>
      </w:r>
      <w:r>
        <w:rPr>
          <w:b/>
          <w:spacing w:val="-3"/>
          <w:sz w:val="21"/>
        </w:rPr>
        <w:t>其他类型的红斑性狼疮，如盘状狼疮、仅累及血液及关节的狼疮不在保障范围內。</w:t>
      </w:r>
    </w:p>
    <w:p>
      <w:pPr>
        <w:pStyle w:val="BodyText"/>
        <w:spacing w:before="14"/>
        <w:ind w:left="117"/>
      </w:pPr>
      <w:r>
        <w:rPr/>
        <w:t>世界卫生组织（</w:t>
      </w:r>
      <w:r>
        <w:rPr>
          <w:rFonts w:ascii="Times New Roman" w:eastAsia="Times New Roman"/>
        </w:rPr>
        <w:t>WHO</w:t>
      </w:r>
      <w:r>
        <w:rPr/>
        <w:t>）狼疮性肾炎分型：</w:t>
      </w:r>
    </w:p>
    <w:p>
      <w:pPr>
        <w:pStyle w:val="BodyText"/>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86" w:lineRule="exact"/>
              <w:ind w:left="107"/>
              <w:rPr>
                <w:sz w:val="21"/>
              </w:rPr>
            </w:pPr>
            <w:r>
              <w:rPr>
                <w:rFonts w:ascii="Times New Roman" w:eastAsia="Times New Roman"/>
                <w:sz w:val="21"/>
              </w:rPr>
              <w:t>I </w:t>
            </w:r>
            <w:r>
              <w:rPr>
                <w:sz w:val="21"/>
              </w:rPr>
              <w:t>型</w:t>
            </w:r>
          </w:p>
        </w:tc>
        <w:tc>
          <w:tcPr>
            <w:tcW w:w="1985" w:type="dxa"/>
          </w:tcPr>
          <w:p>
            <w:pPr>
              <w:pStyle w:val="TableParagraph"/>
              <w:spacing w:line="270" w:lineRule="exact"/>
              <w:ind w:left="107"/>
              <w:rPr>
                <w:sz w:val="21"/>
              </w:rPr>
            </w:pPr>
            <w:r>
              <w:rPr>
                <w:sz w:val="21"/>
              </w:rPr>
              <w:t>微小病变型</w:t>
            </w:r>
          </w:p>
        </w:tc>
      </w:tr>
      <w:tr>
        <w:trPr>
          <w:trHeight w:val="313" w:hRule="atLeast"/>
        </w:trPr>
        <w:tc>
          <w:tcPr>
            <w:tcW w:w="2122" w:type="dxa"/>
          </w:tcPr>
          <w:p>
            <w:pPr>
              <w:pStyle w:val="TableParagraph"/>
              <w:spacing w:line="288" w:lineRule="exact"/>
              <w:ind w:left="107"/>
              <w:rPr>
                <w:sz w:val="21"/>
              </w:rPr>
            </w:pPr>
            <w:r>
              <w:rPr>
                <w:rFonts w:ascii="Times New Roman" w:eastAsia="Times New Roman"/>
                <w:sz w:val="21"/>
              </w:rPr>
              <w:t>II </w:t>
            </w:r>
            <w:r>
              <w:rPr>
                <w:sz w:val="21"/>
              </w:rPr>
              <w:t>型</w:t>
            </w:r>
          </w:p>
        </w:tc>
        <w:tc>
          <w:tcPr>
            <w:tcW w:w="1985" w:type="dxa"/>
          </w:tcPr>
          <w:p>
            <w:pPr>
              <w:pStyle w:val="TableParagraph"/>
              <w:spacing w:line="272" w:lineRule="exact"/>
              <w:ind w:left="107"/>
              <w:rPr>
                <w:sz w:val="21"/>
              </w:rPr>
            </w:pPr>
            <w:r>
              <w:rPr>
                <w:sz w:val="21"/>
              </w:rPr>
              <w:t>系膜病变型</w:t>
            </w:r>
          </w:p>
        </w:tc>
      </w:tr>
      <w:tr>
        <w:trPr>
          <w:trHeight w:val="312" w:hRule="atLeast"/>
        </w:trPr>
        <w:tc>
          <w:tcPr>
            <w:tcW w:w="2122" w:type="dxa"/>
          </w:tcPr>
          <w:p>
            <w:pPr>
              <w:pStyle w:val="TableParagraph"/>
              <w:spacing w:line="286" w:lineRule="exact"/>
              <w:ind w:left="107"/>
              <w:rPr>
                <w:sz w:val="21"/>
              </w:rPr>
            </w:pPr>
            <w:r>
              <w:rPr>
                <w:rFonts w:ascii="Times New Roman" w:eastAsia="Times New Roman"/>
                <w:sz w:val="21"/>
              </w:rPr>
              <w:t>III </w:t>
            </w:r>
            <w:r>
              <w:rPr>
                <w:sz w:val="21"/>
              </w:rPr>
              <w:t>型</w:t>
            </w:r>
          </w:p>
        </w:tc>
        <w:tc>
          <w:tcPr>
            <w:tcW w:w="1985" w:type="dxa"/>
          </w:tcPr>
          <w:p>
            <w:pPr>
              <w:pStyle w:val="TableParagraph"/>
              <w:spacing w:line="270" w:lineRule="exact"/>
              <w:ind w:left="107"/>
              <w:rPr>
                <w:sz w:val="21"/>
              </w:rPr>
            </w:pPr>
            <w:r>
              <w:rPr>
                <w:sz w:val="21"/>
              </w:rPr>
              <w:t>局灶及节段增生型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IV </w:t>
            </w:r>
            <w:r>
              <w:rPr>
                <w:sz w:val="21"/>
              </w:rPr>
              <w:t>型</w:t>
            </w:r>
          </w:p>
        </w:tc>
        <w:tc>
          <w:tcPr>
            <w:tcW w:w="1985" w:type="dxa"/>
          </w:tcPr>
          <w:p>
            <w:pPr>
              <w:pStyle w:val="TableParagraph"/>
              <w:spacing w:line="270" w:lineRule="exact"/>
              <w:ind w:left="107"/>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7"/>
              <w:rPr>
                <w:sz w:val="21"/>
              </w:rPr>
            </w:pPr>
            <w:r>
              <w:rPr>
                <w:sz w:val="21"/>
              </w:rPr>
              <w:t>膜型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7"/>
              <w:rPr>
                <w:sz w:val="21"/>
              </w:rPr>
            </w:pPr>
            <w:r>
              <w:rPr>
                <w:sz w:val="21"/>
              </w:rPr>
              <w:t>肾小球硬化型</w:t>
            </w:r>
          </w:p>
        </w:tc>
      </w:tr>
    </w:tbl>
    <w:p>
      <w:pPr>
        <w:pStyle w:val="BodyText"/>
        <w:spacing w:line="273" w:lineRule="auto"/>
        <w:ind w:left="117" w:right="282"/>
        <w:rPr>
          <w:b/>
        </w:rPr>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 </w:t>
      </w:r>
      <w:r>
        <w:rPr>
          <w:b/>
          <w:spacing w:val="-3"/>
        </w:rPr>
        <w:t>神经官能症,精神疾病及酒精中毒所致脑损害不在保障范围内。</w:t>
      </w:r>
    </w:p>
    <w:p>
      <w:pPr>
        <w:spacing w:after="0" w:line="273" w:lineRule="auto"/>
        <w:sectPr>
          <w:type w:val="continuous"/>
          <w:pgSz w:w="11910" w:h="16160"/>
          <w:pgMar w:top="440" w:bottom="280" w:left="960" w:right="700"/>
          <w:cols w:num="2" w:equalWidth="0">
            <w:col w:w="2955" w:space="163"/>
            <w:col w:w="7132"/>
          </w:cols>
        </w:sectPr>
      </w:pPr>
    </w:p>
    <w:p>
      <w:pPr>
        <w:pStyle w:val="ListParagraph"/>
        <w:numPr>
          <w:ilvl w:val="0"/>
          <w:numId w:val="7"/>
        </w:numPr>
        <w:tabs>
          <w:tab w:pos="539" w:val="left" w:leader="none"/>
          <w:tab w:pos="3236" w:val="left" w:leader="none"/>
        </w:tabs>
        <w:spacing w:line="240" w:lineRule="auto" w:before="7" w:after="0"/>
        <w:ind w:left="538" w:right="0" w:hanging="421"/>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w:t>
      </w:r>
      <w:r>
        <w:rPr>
          <w:spacing w:val="-3"/>
          <w:sz w:val="21"/>
        </w:rPr>
        <w:t>变</w:t>
      </w:r>
      <w:r>
        <w:rPr>
          <w:sz w:val="21"/>
        </w:rPr>
        <w:t>，</w:t>
      </w:r>
      <w:r>
        <w:rPr>
          <w:spacing w:val="-3"/>
          <w:sz w:val="21"/>
        </w:rPr>
        <w:t>表</w:t>
      </w:r>
      <w:r>
        <w:rPr>
          <w:sz w:val="21"/>
        </w:rPr>
        <w:t>现</w:t>
      </w:r>
      <w:r>
        <w:rPr>
          <w:spacing w:val="-3"/>
          <w:sz w:val="21"/>
        </w:rPr>
        <w:t>为</w:t>
      </w:r>
      <w:r>
        <w:rPr>
          <w:sz w:val="21"/>
        </w:rPr>
        <w:t>关</w:t>
      </w:r>
      <w:r>
        <w:rPr>
          <w:spacing w:val="-3"/>
          <w:sz w:val="21"/>
        </w:rPr>
        <w:t>节</w:t>
      </w:r>
      <w:r>
        <w:rPr>
          <w:sz w:val="21"/>
        </w:rPr>
        <w:t>严重</w:t>
      </w:r>
      <w:r>
        <w:rPr>
          <w:spacing w:val="-3"/>
          <w:sz w:val="21"/>
        </w:rPr>
        <w:t>变</w:t>
      </w:r>
      <w:r>
        <w:rPr>
          <w:sz w:val="21"/>
        </w:rPr>
        <w:t>形</w:t>
      </w:r>
      <w:r>
        <w:rPr>
          <w:spacing w:val="-3"/>
          <w:sz w:val="21"/>
        </w:rPr>
        <w:t>，</w:t>
      </w:r>
      <w:r>
        <w:rPr>
          <w:sz w:val="21"/>
        </w:rPr>
        <w:t>侵</w:t>
      </w:r>
      <w:r>
        <w:rPr>
          <w:spacing w:val="-3"/>
          <w:sz w:val="21"/>
        </w:rPr>
        <w:t>犯</w:t>
      </w:r>
      <w:r>
        <w:rPr>
          <w:sz w:val="21"/>
        </w:rPr>
        <w:t>至</w:t>
      </w:r>
      <w:r>
        <w:rPr>
          <w:spacing w:val="-3"/>
          <w:sz w:val="21"/>
        </w:rPr>
        <w:t>少</w:t>
      </w:r>
      <w:r>
        <w:rPr>
          <w:sz w:val="21"/>
        </w:rPr>
        <w:t>三</w:t>
      </w:r>
    </w:p>
    <w:p>
      <w:pPr>
        <w:pStyle w:val="BodyText"/>
        <w:spacing w:line="266" w:lineRule="auto" w:before="21"/>
        <w:ind w:left="3236" w:right="198"/>
      </w:pPr>
      <w:r>
        <w:rPr>
          <w:spacing w:val="-2"/>
        </w:rPr>
        <w:t>个主要关节</w:t>
      </w:r>
      <w:r>
        <w:rPr/>
        <w:t>（</w:t>
      </w:r>
      <w:r>
        <w:rPr>
          <w:spacing w:val="-3"/>
        </w:rPr>
        <w:t>腕关节、肘关节、肩关节、踝关节、膝关节、髋关节</w:t>
      </w:r>
      <w:r>
        <w:rPr/>
        <w:t>）</w:t>
      </w:r>
      <w:r>
        <w:rPr>
          <w:spacing w:val="-2"/>
        </w:rPr>
        <w:t>或关</w:t>
      </w:r>
      <w:r>
        <w:rPr>
          <w:spacing w:val="-4"/>
        </w:rPr>
        <w:t>节组</w:t>
      </w:r>
      <w:r>
        <w:rPr>
          <w:spacing w:val="-3"/>
        </w:rPr>
        <w:t>（</w:t>
      </w:r>
      <w:r>
        <w:rPr>
          <w:spacing w:val="-5"/>
        </w:rPr>
        <w:t>如手的多个指间、掌指关节，足的多个足趾、跖趾关节等</w:t>
      </w:r>
      <w:r>
        <w:rPr>
          <w:spacing w:val="-106"/>
        </w:rPr>
        <w:t>）</w:t>
      </w:r>
      <w:r>
        <w:rPr>
          <w:spacing w:val="-3"/>
        </w:rPr>
        <w:t>。类风湿</w:t>
      </w:r>
      <w:r>
        <w:rPr>
          <w:spacing w:val="-5"/>
        </w:rPr>
        <w:t>性关节炎须明确诊断，并已达到类风湿性关节炎功能活动分级</w:t>
      </w:r>
      <w:r>
        <w:rPr/>
        <w:t>（</w:t>
      </w:r>
      <w:r>
        <w:rPr>
          <w:spacing w:val="-3"/>
        </w:rPr>
        <w:t>注</w:t>
      </w:r>
      <w:r>
        <w:rPr>
          <w:spacing w:val="-5"/>
        </w:rPr>
        <w:t>）</w:t>
      </w:r>
      <w:r>
        <w:rPr>
          <w:rFonts w:ascii="Times New Roman" w:eastAsia="Times New Roman"/>
          <w:spacing w:val="-5"/>
        </w:rPr>
        <w:t>IV </w:t>
      </w:r>
      <w:r>
        <w:rPr/>
        <w:t>级</w:t>
      </w:r>
      <w:r>
        <w:rPr>
          <w:spacing w:val="-3"/>
        </w:rPr>
        <w:t>的永久不可逆性关节功能障碍，且须满足下列全部条件：</w:t>
      </w:r>
    </w:p>
    <w:p>
      <w:pPr>
        <w:pStyle w:val="BodyText"/>
        <w:spacing w:before="14"/>
        <w:ind w:left="3236"/>
      </w:pPr>
      <w:r>
        <w:rPr/>
        <w:t>（</w:t>
      </w:r>
      <w:r>
        <w:rPr>
          <w:rFonts w:ascii="Times New Roman" w:eastAsia="Times New Roman"/>
        </w:rPr>
        <w:t>1</w:t>
      </w:r>
      <w:r>
        <w:rPr/>
        <w:t>）晨僵；</w:t>
      </w:r>
    </w:p>
    <w:p>
      <w:pPr>
        <w:pStyle w:val="BodyText"/>
        <w:spacing w:before="21"/>
        <w:ind w:left="3236"/>
      </w:pPr>
      <w:r>
        <w:rPr/>
        <w:t>（</w:t>
      </w:r>
      <w:r>
        <w:rPr>
          <w:rFonts w:ascii="Times New Roman" w:eastAsia="Times New Roman"/>
        </w:rPr>
        <w:t>2</w:t>
      </w:r>
      <w:r>
        <w:rPr/>
        <w:t>）对称性关节炎；</w:t>
      </w:r>
    </w:p>
    <w:p>
      <w:pPr>
        <w:pStyle w:val="BodyText"/>
        <w:spacing w:before="21"/>
        <w:ind w:left="3236"/>
      </w:pPr>
      <w:r>
        <w:rPr/>
        <w:t>（</w:t>
      </w:r>
      <w:r>
        <w:rPr>
          <w:rFonts w:ascii="Times New Roman" w:eastAsia="Times New Roman"/>
        </w:rPr>
        <w:t>3</w:t>
      </w:r>
      <w:r>
        <w:rPr/>
        <w:t>）类风湿性皮下结节；</w:t>
      </w:r>
    </w:p>
    <w:p>
      <w:pPr>
        <w:pStyle w:val="BodyText"/>
        <w:spacing w:before="21"/>
        <w:ind w:left="3236"/>
      </w:pPr>
      <w:r>
        <w:rPr/>
        <w:t>（</w:t>
      </w:r>
      <w:r>
        <w:rPr>
          <w:rFonts w:ascii="Times New Roman" w:eastAsia="Times New Roman"/>
        </w:rPr>
        <w:t>4</w:t>
      </w:r>
      <w:r>
        <w:rPr/>
        <w:t>）类风湿因子滴度升高；</w:t>
      </w:r>
    </w:p>
    <w:p>
      <w:pPr>
        <w:pStyle w:val="BodyText"/>
        <w:spacing w:line="256" w:lineRule="auto" w:before="21"/>
        <w:ind w:left="3236" w:right="1705"/>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3"/>
        <w:ind w:left="3641"/>
      </w:pPr>
      <w:r>
        <w:rPr/>
        <w:t>Ⅰ级：关节功能完整，一般活动无障碍。</w:t>
      </w:r>
    </w:p>
    <w:p>
      <w:pPr>
        <w:spacing w:after="0"/>
        <w:sectPr>
          <w:type w:val="continuous"/>
          <w:pgSz w:w="11910" w:h="16160"/>
          <w:pgMar w:top="440" w:bottom="280" w:left="960" w:right="7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635"/>
        <w:gridCol w:w="7148"/>
      </w:tblGrid>
      <w:tr>
        <w:trPr>
          <w:trHeight w:val="881" w:hRule="atLeast"/>
        </w:trPr>
        <w:tc>
          <w:tcPr>
            <w:tcW w:w="542" w:type="dxa"/>
          </w:tcPr>
          <w:p>
            <w:pPr>
              <w:pStyle w:val="TableParagraph"/>
              <w:rPr>
                <w:rFonts w:ascii="Times New Roman"/>
                <w:sz w:val="20"/>
              </w:rPr>
            </w:pPr>
          </w:p>
        </w:tc>
        <w:tc>
          <w:tcPr>
            <w:tcW w:w="2635" w:type="dxa"/>
          </w:tcPr>
          <w:p>
            <w:pPr>
              <w:pStyle w:val="TableParagraph"/>
              <w:rPr>
                <w:rFonts w:ascii="Times New Roman"/>
                <w:sz w:val="20"/>
              </w:rPr>
            </w:pPr>
          </w:p>
        </w:tc>
        <w:tc>
          <w:tcPr>
            <w:tcW w:w="7148" w:type="dxa"/>
          </w:tcPr>
          <w:p>
            <w:pPr>
              <w:pStyle w:val="TableParagraph"/>
              <w:spacing w:line="202" w:lineRule="exact"/>
              <w:ind w:left="547"/>
              <w:rPr>
                <w:sz w:val="21"/>
              </w:rPr>
            </w:pPr>
            <w:r>
              <w:rPr>
                <w:sz w:val="21"/>
              </w:rPr>
              <w:t>Ⅱ级：有关节不适或障碍，但尚能完成一半活动。</w:t>
            </w:r>
          </w:p>
          <w:p>
            <w:pPr>
              <w:pStyle w:val="TableParagraph"/>
              <w:spacing w:before="37"/>
              <w:ind w:left="547"/>
              <w:rPr>
                <w:sz w:val="21"/>
              </w:rPr>
            </w:pPr>
            <w:r>
              <w:rPr>
                <w:sz w:val="21"/>
              </w:rPr>
              <w:t>Ⅲ级：功能活动明显受限，但大部分生活可自理。</w:t>
            </w:r>
          </w:p>
          <w:p>
            <w:pPr>
              <w:pStyle w:val="TableParagraph"/>
              <w:spacing w:before="36"/>
              <w:ind w:left="547"/>
              <w:rPr>
                <w:sz w:val="21"/>
              </w:rPr>
            </w:pPr>
            <w:r>
              <w:rPr>
                <w:sz w:val="21"/>
              </w:rPr>
              <w:t>Ⅳ级：生活不能自理或卧床。</w:t>
            </w:r>
          </w:p>
        </w:tc>
      </w:tr>
      <w:tr>
        <w:trPr>
          <w:trHeight w:val="2184" w:hRule="atLeast"/>
        </w:trPr>
        <w:tc>
          <w:tcPr>
            <w:tcW w:w="542" w:type="dxa"/>
          </w:tcPr>
          <w:p>
            <w:pPr>
              <w:pStyle w:val="TableParagraph"/>
              <w:spacing w:before="29"/>
              <w:ind w:right="75"/>
              <w:jc w:val="right"/>
              <w:rPr>
                <w:rFonts w:ascii="Times New Roman"/>
                <w:sz w:val="21"/>
              </w:rPr>
            </w:pPr>
            <w:r>
              <w:rPr>
                <w:rFonts w:ascii="Times New Roman"/>
                <w:sz w:val="21"/>
              </w:rPr>
              <w:t>40.</w:t>
            </w:r>
          </w:p>
        </w:tc>
        <w:tc>
          <w:tcPr>
            <w:tcW w:w="2635" w:type="dxa"/>
          </w:tcPr>
          <w:p>
            <w:pPr>
              <w:pStyle w:val="TableParagraph"/>
              <w:spacing w:line="273" w:lineRule="exact"/>
              <w:ind w:left="78"/>
              <w:rPr>
                <w:b/>
                <w:sz w:val="21"/>
              </w:rPr>
            </w:pPr>
            <w:r>
              <w:rPr>
                <w:sz w:val="21"/>
              </w:rPr>
              <w:t>严重哮喘 </w:t>
            </w:r>
            <w:r>
              <w:rPr>
                <w:rFonts w:ascii="Times New Roman" w:eastAsia="Times New Roman"/>
                <w:sz w:val="21"/>
              </w:rPr>
              <w:t>-  </w:t>
            </w:r>
            <w:r>
              <w:rPr>
                <w:b/>
                <w:sz w:val="21"/>
              </w:rPr>
              <w:t>二十五岁前理</w:t>
            </w:r>
          </w:p>
          <w:p>
            <w:pPr>
              <w:pStyle w:val="TableParagraph"/>
              <w:spacing w:before="21"/>
              <w:ind w:left="78"/>
              <w:rPr>
                <w:b/>
                <w:sz w:val="21"/>
              </w:rPr>
            </w:pPr>
            <w:r>
              <w:rPr>
                <w:b/>
                <w:w w:val="100"/>
                <w:sz w:val="21"/>
              </w:rPr>
              <w:t>赔</w:t>
            </w:r>
          </w:p>
        </w:tc>
        <w:tc>
          <w:tcPr>
            <w:tcW w:w="7148" w:type="dxa"/>
          </w:tcPr>
          <w:p>
            <w:pPr>
              <w:pStyle w:val="TableParagraph"/>
              <w:spacing w:line="257" w:lineRule="exact"/>
              <w:ind w:left="141"/>
              <w:rPr>
                <w:sz w:val="21"/>
              </w:rPr>
            </w:pPr>
            <w:r>
              <w:rPr>
                <w:sz w:val="21"/>
              </w:rPr>
              <w:t>指一种反复发作的严重支气管阻塞性疾病，经我们认可的专科医生确诊，</w:t>
            </w:r>
          </w:p>
          <w:p>
            <w:pPr>
              <w:pStyle w:val="TableParagraph"/>
              <w:spacing w:before="37"/>
              <w:ind w:left="141"/>
              <w:rPr>
                <w:sz w:val="21"/>
              </w:rPr>
            </w:pPr>
            <w:r>
              <w:rPr>
                <w:sz w:val="21"/>
              </w:rPr>
              <w:t>且必须同时符合下列标准：</w:t>
            </w:r>
          </w:p>
          <w:p>
            <w:pPr>
              <w:pStyle w:val="TableParagraph"/>
              <w:spacing w:before="37"/>
              <w:ind w:left="141"/>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1"/>
              <w:ind w:left="141"/>
              <w:rPr>
                <w:sz w:val="21"/>
              </w:rPr>
            </w:pPr>
            <w:r>
              <w:rPr>
                <w:sz w:val="21"/>
              </w:rPr>
              <w:t>（</w:t>
            </w:r>
            <w:r>
              <w:rPr>
                <w:rFonts w:ascii="Times New Roman" w:eastAsia="Times New Roman"/>
                <w:sz w:val="21"/>
              </w:rPr>
              <w:t>2</w:t>
            </w:r>
            <w:r>
              <w:rPr>
                <w:sz w:val="21"/>
              </w:rPr>
              <w:t>）因慢性过度换气导致胸廓畸形；</w:t>
            </w:r>
          </w:p>
          <w:p>
            <w:pPr>
              <w:pStyle w:val="TableParagraph"/>
              <w:spacing w:before="21"/>
              <w:ind w:left="141"/>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1"/>
              <w:ind w:left="141" w:right="1644"/>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872" w:hRule="atLeast"/>
        </w:trPr>
        <w:tc>
          <w:tcPr>
            <w:tcW w:w="542" w:type="dxa"/>
          </w:tcPr>
          <w:p>
            <w:pPr>
              <w:pStyle w:val="TableParagraph"/>
              <w:spacing w:before="29"/>
              <w:ind w:right="75"/>
              <w:jc w:val="right"/>
              <w:rPr>
                <w:rFonts w:ascii="Times New Roman"/>
                <w:sz w:val="21"/>
              </w:rPr>
            </w:pPr>
            <w:r>
              <w:rPr>
                <w:rFonts w:ascii="Times New Roman"/>
                <w:sz w:val="21"/>
              </w:rPr>
              <w:t>41.</w:t>
            </w:r>
          </w:p>
        </w:tc>
        <w:tc>
          <w:tcPr>
            <w:tcW w:w="2635" w:type="dxa"/>
          </w:tcPr>
          <w:p>
            <w:pPr>
              <w:pStyle w:val="TableParagraph"/>
              <w:spacing w:line="257" w:lineRule="exact"/>
              <w:ind w:left="78"/>
              <w:rPr>
                <w:sz w:val="21"/>
              </w:rPr>
            </w:pPr>
            <w:r>
              <w:rPr>
                <w:sz w:val="21"/>
              </w:rPr>
              <w:t>肾髓质囊性病</w:t>
            </w:r>
          </w:p>
        </w:tc>
        <w:tc>
          <w:tcPr>
            <w:tcW w:w="7148" w:type="dxa"/>
          </w:tcPr>
          <w:p>
            <w:pPr>
              <w:pStyle w:val="TableParagraph"/>
              <w:spacing w:line="257" w:lineRule="exact"/>
              <w:ind w:left="141"/>
              <w:rPr>
                <w:sz w:val="21"/>
              </w:rPr>
            </w:pPr>
            <w:r>
              <w:rPr>
                <w:sz w:val="21"/>
              </w:rPr>
              <w:t>肾髓质囊性病的诊断须同时符合下列要求：</w:t>
            </w:r>
          </w:p>
          <w:p>
            <w:pPr>
              <w:pStyle w:val="TableParagraph"/>
              <w:spacing w:before="37"/>
              <w:ind w:left="141"/>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0"/>
              <w:ind w:left="141"/>
              <w:rPr>
                <w:sz w:val="21"/>
              </w:rPr>
            </w:pPr>
            <w:r>
              <w:rPr>
                <w:sz w:val="21"/>
              </w:rPr>
              <w:t>（</w:t>
            </w:r>
            <w:r>
              <w:rPr>
                <w:rFonts w:ascii="Times New Roman" w:eastAsia="Times New Roman"/>
                <w:sz w:val="21"/>
              </w:rPr>
              <w:t>2</w:t>
            </w:r>
            <w:r>
              <w:rPr>
                <w:sz w:val="21"/>
              </w:rPr>
              <w:t>）肾功能衰竭；</w:t>
            </w:r>
          </w:p>
          <w:p>
            <w:pPr>
              <w:pStyle w:val="TableParagraph"/>
              <w:spacing w:before="20"/>
              <w:ind w:left="141"/>
              <w:rPr>
                <w:sz w:val="21"/>
              </w:rPr>
            </w:pPr>
            <w:r>
              <w:rPr>
                <w:sz w:val="21"/>
              </w:rPr>
              <w:t>（</w:t>
            </w:r>
            <w:r>
              <w:rPr>
                <w:rFonts w:ascii="Times New Roman" w:eastAsia="Times New Roman"/>
                <w:sz w:val="21"/>
              </w:rPr>
              <w:t>3</w:t>
            </w:r>
            <w:r>
              <w:rPr>
                <w:sz w:val="21"/>
              </w:rPr>
              <w:t>）诊断须由肾组织活检确定。</w:t>
            </w:r>
          </w:p>
          <w:p>
            <w:pPr>
              <w:pStyle w:val="TableParagraph"/>
              <w:spacing w:line="273" w:lineRule="auto" w:before="20"/>
              <w:ind w:left="141" w:right="197"/>
              <w:rPr>
                <w:sz w:val="21"/>
              </w:rPr>
            </w:pPr>
            <w:r>
              <w:rPr>
                <w:sz w:val="21"/>
              </w:rPr>
              <w:t>我们承担本项疾病责任不受本附加合同第八条“责任免除”中“遗传性疾病，先天性畸形、变形或染色体异常”的限制。</w:t>
            </w:r>
          </w:p>
        </w:tc>
      </w:tr>
      <w:tr>
        <w:trPr>
          <w:trHeight w:val="1880" w:hRule="atLeast"/>
        </w:trPr>
        <w:tc>
          <w:tcPr>
            <w:tcW w:w="542" w:type="dxa"/>
          </w:tcPr>
          <w:p>
            <w:pPr>
              <w:pStyle w:val="TableParagraph"/>
              <w:spacing w:before="29"/>
              <w:ind w:right="75"/>
              <w:jc w:val="right"/>
              <w:rPr>
                <w:rFonts w:ascii="Times New Roman"/>
                <w:sz w:val="21"/>
              </w:rPr>
            </w:pPr>
            <w:r>
              <w:rPr>
                <w:rFonts w:ascii="Times New Roman"/>
                <w:sz w:val="21"/>
              </w:rPr>
              <w:t>42.</w:t>
            </w:r>
          </w:p>
        </w:tc>
        <w:tc>
          <w:tcPr>
            <w:tcW w:w="2635" w:type="dxa"/>
          </w:tcPr>
          <w:p>
            <w:pPr>
              <w:pStyle w:val="TableParagraph"/>
              <w:spacing w:line="257" w:lineRule="exact"/>
              <w:ind w:left="78"/>
              <w:rPr>
                <w:sz w:val="21"/>
              </w:rPr>
            </w:pPr>
            <w:r>
              <w:rPr>
                <w:sz w:val="21"/>
              </w:rPr>
              <w:t>重症急性坏死性筋膜炎</w:t>
            </w:r>
          </w:p>
        </w:tc>
        <w:tc>
          <w:tcPr>
            <w:tcW w:w="7148" w:type="dxa"/>
          </w:tcPr>
          <w:p>
            <w:pPr>
              <w:pStyle w:val="TableParagraph"/>
              <w:spacing w:line="257" w:lineRule="exact"/>
              <w:ind w:left="141"/>
              <w:rPr>
                <w:sz w:val="21"/>
              </w:rPr>
            </w:pPr>
            <w:r>
              <w:rPr>
                <w:sz w:val="21"/>
              </w:rPr>
              <w:t>是一种由细菌侵入皮下组织和筋膜引起的急性坏死性软组织感染，可伴有</w:t>
            </w:r>
          </w:p>
          <w:p>
            <w:pPr>
              <w:pStyle w:val="TableParagraph"/>
              <w:spacing w:line="273" w:lineRule="auto" w:before="37"/>
              <w:ind w:left="141" w:right="203"/>
              <w:rPr>
                <w:sz w:val="21"/>
              </w:rPr>
            </w:pPr>
            <w:r>
              <w:rPr>
                <w:sz w:val="21"/>
              </w:rPr>
              <w:t>毒血症、败血症、中毒性休克、弥漫性血管内凝血及多器官衰竭。必须满足以下所有条件：</w:t>
            </w:r>
          </w:p>
          <w:p>
            <w:pPr>
              <w:pStyle w:val="TableParagraph"/>
              <w:spacing w:before="7"/>
              <w:ind w:left="141"/>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141"/>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141"/>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42" w:type="dxa"/>
          </w:tcPr>
          <w:p>
            <w:pPr>
              <w:pStyle w:val="TableParagraph"/>
              <w:spacing w:before="21"/>
              <w:ind w:right="75"/>
              <w:jc w:val="right"/>
              <w:rPr>
                <w:rFonts w:ascii="Times New Roman"/>
                <w:sz w:val="21"/>
              </w:rPr>
            </w:pPr>
            <w:r>
              <w:rPr>
                <w:rFonts w:ascii="Times New Roman"/>
                <w:sz w:val="21"/>
              </w:rPr>
              <w:t>43.</w:t>
            </w:r>
          </w:p>
        </w:tc>
        <w:tc>
          <w:tcPr>
            <w:tcW w:w="2635" w:type="dxa"/>
          </w:tcPr>
          <w:p>
            <w:pPr>
              <w:pStyle w:val="TableParagraph"/>
              <w:spacing w:line="249" w:lineRule="exact"/>
              <w:ind w:left="78"/>
              <w:rPr>
                <w:sz w:val="21"/>
              </w:rPr>
            </w:pPr>
            <w:r>
              <w:rPr>
                <w:sz w:val="21"/>
              </w:rPr>
              <w:t>慢性呼吸功能衰竭终末期</w:t>
            </w:r>
          </w:p>
          <w:p>
            <w:pPr>
              <w:pStyle w:val="TableParagraph"/>
              <w:spacing w:before="37"/>
              <w:ind w:left="78"/>
              <w:rPr>
                <w:sz w:val="21"/>
              </w:rPr>
            </w:pPr>
            <w:r>
              <w:rPr>
                <w:sz w:val="21"/>
              </w:rPr>
              <w:t>肺病</w:t>
            </w:r>
          </w:p>
        </w:tc>
        <w:tc>
          <w:tcPr>
            <w:tcW w:w="7148" w:type="dxa"/>
          </w:tcPr>
          <w:p>
            <w:pPr>
              <w:pStyle w:val="TableParagraph"/>
              <w:spacing w:line="249" w:lineRule="exact"/>
              <w:ind w:left="141"/>
              <w:rPr>
                <w:sz w:val="21"/>
              </w:rPr>
            </w:pPr>
            <w:r>
              <w:rPr>
                <w:sz w:val="21"/>
              </w:rPr>
              <w:t>指慢性肺部疾病导致永久不可逆性的慢性呼吸功能衰竭，必须由呼吸专科</w:t>
            </w:r>
          </w:p>
          <w:p>
            <w:pPr>
              <w:pStyle w:val="TableParagraph"/>
              <w:spacing w:before="37"/>
              <w:ind w:left="141"/>
              <w:rPr>
                <w:sz w:val="21"/>
              </w:rPr>
            </w:pPr>
            <w:r>
              <w:rPr>
                <w:sz w:val="21"/>
              </w:rPr>
              <w:t>医师确认并符合下列所有条件：</w:t>
            </w:r>
          </w:p>
          <w:p>
            <w:pPr>
              <w:pStyle w:val="TableParagraph"/>
              <w:spacing w:before="37"/>
              <w:ind w:left="141"/>
              <w:rPr>
                <w:sz w:val="21"/>
              </w:rPr>
            </w:pPr>
            <w:r>
              <w:rPr>
                <w:sz w:val="21"/>
              </w:rPr>
              <w:t>（</w:t>
            </w:r>
            <w:r>
              <w:rPr>
                <w:rFonts w:ascii="Times New Roman" w:eastAsia="Times New Roman"/>
                <w:sz w:val="21"/>
              </w:rPr>
              <w:t>1</w:t>
            </w:r>
            <w:r>
              <w:rPr>
                <w:sz w:val="21"/>
              </w:rPr>
              <w:t>）休息时出现呼吸困难；</w:t>
            </w:r>
          </w:p>
          <w:p>
            <w:pPr>
              <w:pStyle w:val="TableParagraph"/>
              <w:spacing w:before="21"/>
              <w:ind w:left="141"/>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ind w:left="141"/>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141"/>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42" w:type="dxa"/>
          </w:tcPr>
          <w:p>
            <w:pPr>
              <w:pStyle w:val="TableParagraph"/>
              <w:spacing w:before="21"/>
              <w:ind w:right="75"/>
              <w:jc w:val="right"/>
              <w:rPr>
                <w:rFonts w:ascii="Times New Roman"/>
                <w:sz w:val="21"/>
              </w:rPr>
            </w:pPr>
            <w:r>
              <w:rPr>
                <w:rFonts w:ascii="Times New Roman"/>
                <w:sz w:val="21"/>
              </w:rPr>
              <w:t>44.</w:t>
            </w:r>
          </w:p>
        </w:tc>
        <w:tc>
          <w:tcPr>
            <w:tcW w:w="2635" w:type="dxa"/>
          </w:tcPr>
          <w:p>
            <w:pPr>
              <w:pStyle w:val="TableParagraph"/>
              <w:spacing w:line="249" w:lineRule="exact"/>
              <w:ind w:left="78"/>
              <w:rPr>
                <w:sz w:val="21"/>
              </w:rPr>
            </w:pPr>
            <w:r>
              <w:rPr>
                <w:sz w:val="21"/>
              </w:rPr>
              <w:t>胰腺移植</w:t>
            </w:r>
          </w:p>
        </w:tc>
        <w:tc>
          <w:tcPr>
            <w:tcW w:w="7148" w:type="dxa"/>
          </w:tcPr>
          <w:p>
            <w:pPr>
              <w:pStyle w:val="TableParagraph"/>
              <w:spacing w:line="249" w:lineRule="exact"/>
              <w:ind w:left="141"/>
              <w:rPr>
                <w:sz w:val="21"/>
              </w:rPr>
            </w:pPr>
            <w:r>
              <w:rPr>
                <w:sz w:val="21"/>
              </w:rPr>
              <w:t>指因胰腺功能衰竭，已经实施了在全身麻醉下进行的胰腺的异体器官移植</w:t>
            </w:r>
          </w:p>
          <w:p>
            <w:pPr>
              <w:pStyle w:val="TableParagraph"/>
              <w:spacing w:before="37"/>
              <w:ind w:left="141"/>
              <w:rPr>
                <w:sz w:val="21"/>
              </w:rPr>
            </w:pPr>
            <w:r>
              <w:rPr>
                <w:sz w:val="21"/>
              </w:rPr>
              <w:t>手术</w:t>
            </w:r>
            <w:r>
              <w:rPr>
                <w:spacing w:val="-3"/>
                <w:sz w:val="21"/>
              </w:rPr>
              <w:t>（供体必须是人体器官</w:t>
            </w:r>
            <w:r>
              <w:rPr>
                <w:spacing w:val="-106"/>
                <w:sz w:val="21"/>
              </w:rPr>
              <w:t>）</w:t>
            </w:r>
            <w:r>
              <w:rPr>
                <w:sz w:val="21"/>
              </w:rPr>
              <w:t>。</w:t>
            </w:r>
          </w:p>
          <w:p>
            <w:pPr>
              <w:pStyle w:val="TableParagraph"/>
              <w:spacing w:before="37"/>
              <w:ind w:left="141"/>
              <w:rPr>
                <w:b/>
                <w:sz w:val="21"/>
              </w:rPr>
            </w:pPr>
            <w:r>
              <w:rPr>
                <w:b/>
                <w:sz w:val="21"/>
              </w:rPr>
              <w:t>单纯胰岛移植、部分胰腺组织或细胞的移植不在保障范围内。</w:t>
            </w:r>
          </w:p>
        </w:tc>
      </w:tr>
      <w:tr>
        <w:trPr>
          <w:trHeight w:val="944" w:hRule="atLeast"/>
        </w:trPr>
        <w:tc>
          <w:tcPr>
            <w:tcW w:w="542" w:type="dxa"/>
          </w:tcPr>
          <w:p>
            <w:pPr>
              <w:pStyle w:val="TableParagraph"/>
              <w:spacing w:before="29"/>
              <w:ind w:right="77"/>
              <w:jc w:val="right"/>
              <w:rPr>
                <w:rFonts w:ascii="Times New Roman"/>
                <w:sz w:val="21"/>
              </w:rPr>
            </w:pPr>
            <w:r>
              <w:rPr>
                <w:rFonts w:ascii="Times New Roman"/>
                <w:sz w:val="21"/>
              </w:rPr>
              <w:t>45.</w:t>
            </w:r>
          </w:p>
        </w:tc>
        <w:tc>
          <w:tcPr>
            <w:tcW w:w="2635" w:type="dxa"/>
          </w:tcPr>
          <w:p>
            <w:pPr>
              <w:pStyle w:val="TableParagraph"/>
              <w:spacing w:line="257" w:lineRule="exact"/>
              <w:ind w:left="78"/>
              <w:rPr>
                <w:sz w:val="21"/>
              </w:rPr>
            </w:pPr>
            <w:r>
              <w:rPr>
                <w:sz w:val="21"/>
              </w:rPr>
              <w:t>埃博拉病毒感染</w:t>
            </w:r>
          </w:p>
        </w:tc>
        <w:tc>
          <w:tcPr>
            <w:tcW w:w="7148" w:type="dxa"/>
          </w:tcPr>
          <w:p>
            <w:pPr>
              <w:pStyle w:val="TableParagraph"/>
              <w:spacing w:line="257" w:lineRule="exact"/>
              <w:ind w:left="141"/>
              <w:rPr>
                <w:sz w:val="21"/>
              </w:rPr>
            </w:pPr>
            <w:r>
              <w:rPr>
                <w:sz w:val="21"/>
              </w:rPr>
              <w:t>指受埃博拉病毒感染导致出血性发热。埃博拉病必须经国家机关认可的有</w:t>
            </w:r>
          </w:p>
          <w:p>
            <w:pPr>
              <w:pStyle w:val="TableParagraph"/>
              <w:spacing w:line="273" w:lineRule="auto" w:before="37"/>
              <w:ind w:left="141" w:right="203"/>
              <w:rPr>
                <w:sz w:val="21"/>
              </w:rPr>
            </w:pPr>
            <w:r>
              <w:rPr>
                <w:sz w:val="21"/>
              </w:rPr>
              <w:t>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40" w:hRule="atLeast"/>
        </w:trPr>
        <w:tc>
          <w:tcPr>
            <w:tcW w:w="542" w:type="dxa"/>
          </w:tcPr>
          <w:p>
            <w:pPr>
              <w:pStyle w:val="TableParagraph"/>
              <w:spacing w:before="21"/>
              <w:ind w:right="75"/>
              <w:jc w:val="right"/>
              <w:rPr>
                <w:rFonts w:ascii="Times New Roman"/>
                <w:sz w:val="21"/>
              </w:rPr>
            </w:pPr>
            <w:r>
              <w:rPr>
                <w:rFonts w:ascii="Times New Roman"/>
                <w:sz w:val="21"/>
              </w:rPr>
              <w:t>46.</w:t>
            </w:r>
          </w:p>
        </w:tc>
        <w:tc>
          <w:tcPr>
            <w:tcW w:w="2635" w:type="dxa"/>
          </w:tcPr>
          <w:p>
            <w:pPr>
              <w:pStyle w:val="TableParagraph"/>
              <w:spacing w:line="249" w:lineRule="exact"/>
              <w:ind w:left="78"/>
              <w:rPr>
                <w:sz w:val="21"/>
              </w:rPr>
            </w:pPr>
            <w:r>
              <w:rPr>
                <w:sz w:val="21"/>
              </w:rPr>
              <w:t>破裂脑动脉瘤夹闭手术</w:t>
            </w:r>
          </w:p>
        </w:tc>
        <w:tc>
          <w:tcPr>
            <w:tcW w:w="7148" w:type="dxa"/>
          </w:tcPr>
          <w:p>
            <w:pPr>
              <w:pStyle w:val="TableParagraph"/>
              <w:spacing w:line="249" w:lineRule="exact"/>
              <w:ind w:left="141"/>
              <w:rPr>
                <w:sz w:val="21"/>
              </w:rPr>
            </w:pPr>
            <w:r>
              <w:rPr>
                <w:sz w:val="21"/>
              </w:rPr>
              <w:t>指因脑动脉瘤破裂造成蛛网膜下腔出血，被保险人实际接受了在全麻下进</w:t>
            </w:r>
          </w:p>
          <w:p>
            <w:pPr>
              <w:pStyle w:val="TableParagraph"/>
              <w:spacing w:before="37"/>
              <w:ind w:left="141"/>
              <w:rPr>
                <w:sz w:val="21"/>
              </w:rPr>
            </w:pPr>
            <w:r>
              <w:rPr>
                <w:sz w:val="21"/>
              </w:rPr>
              <w:t>行的开颅动脉瘤夹闭手术。</w:t>
            </w:r>
          </w:p>
          <w:p>
            <w:pPr>
              <w:pStyle w:val="TableParagraph"/>
              <w:spacing w:line="273" w:lineRule="auto" w:before="37"/>
              <w:ind w:left="141" w:right="203"/>
              <w:rPr>
                <w:b/>
                <w:sz w:val="21"/>
              </w:rPr>
            </w:pPr>
            <w:r>
              <w:rPr>
                <w:b/>
                <w:sz w:val="21"/>
              </w:rPr>
              <w:t>脑动脉瘤（未破裂）预防性手术、颅骨打孔手术、动脉瘤栓塞手术、血管内手术及其他颅脑手术不在保障范围内。</w:t>
            </w:r>
          </w:p>
        </w:tc>
      </w:tr>
      <w:tr>
        <w:trPr>
          <w:trHeight w:val="935" w:hRule="atLeast"/>
        </w:trPr>
        <w:tc>
          <w:tcPr>
            <w:tcW w:w="542" w:type="dxa"/>
          </w:tcPr>
          <w:p>
            <w:pPr>
              <w:pStyle w:val="TableParagraph"/>
              <w:spacing w:before="29"/>
              <w:ind w:right="75"/>
              <w:jc w:val="right"/>
              <w:rPr>
                <w:rFonts w:ascii="Times New Roman"/>
                <w:sz w:val="21"/>
              </w:rPr>
            </w:pPr>
            <w:r>
              <w:rPr>
                <w:rFonts w:ascii="Times New Roman"/>
                <w:sz w:val="21"/>
              </w:rPr>
              <w:t>47.</w:t>
            </w:r>
          </w:p>
        </w:tc>
        <w:tc>
          <w:tcPr>
            <w:tcW w:w="2635" w:type="dxa"/>
          </w:tcPr>
          <w:p>
            <w:pPr>
              <w:pStyle w:val="TableParagraph"/>
              <w:spacing w:line="257" w:lineRule="exact"/>
              <w:ind w:left="78"/>
              <w:rPr>
                <w:sz w:val="21"/>
              </w:rPr>
            </w:pPr>
            <w:r>
              <w:rPr>
                <w:sz w:val="21"/>
              </w:rPr>
              <w:t>丝虫病所致象皮肿</w:t>
            </w:r>
          </w:p>
        </w:tc>
        <w:tc>
          <w:tcPr>
            <w:tcW w:w="7148" w:type="dxa"/>
          </w:tcPr>
          <w:p>
            <w:pPr>
              <w:pStyle w:val="TableParagraph"/>
              <w:spacing w:line="257" w:lineRule="exact"/>
              <w:ind w:left="141"/>
              <w:rPr>
                <w:sz w:val="21"/>
              </w:rPr>
            </w:pPr>
            <w:r>
              <w:rPr>
                <w:sz w:val="21"/>
              </w:rPr>
              <w:t>指因丝虫感染导致淋巴阻塞性出现严重淋巴水肿，达到国际淋巴学会淋巴</w:t>
            </w:r>
          </w:p>
          <w:p>
            <w:pPr>
              <w:pStyle w:val="TableParagraph"/>
              <w:spacing w:line="256" w:lineRule="auto" w:before="37"/>
              <w:ind w:left="141" w:right="196"/>
              <w:rPr>
                <w:sz w:val="21"/>
              </w:rPr>
            </w:pPr>
            <w:r>
              <w:rPr>
                <w:spacing w:val="-9"/>
                <w:sz w:val="21"/>
              </w:rPr>
              <w:t>水肿分期第 </w:t>
            </w:r>
            <w:r>
              <w:rPr>
                <w:rFonts w:ascii="Times New Roman" w:eastAsia="Times New Roman"/>
                <w:sz w:val="21"/>
              </w:rPr>
              <w:t>III </w:t>
            </w:r>
            <w:r>
              <w:rPr>
                <w:spacing w:val="-8"/>
                <w:sz w:val="21"/>
              </w:rPr>
              <w:t>期，临床表现为肢体象皮肿，患肢较健肢增粗 </w:t>
            </w:r>
            <w:r>
              <w:rPr>
                <w:rFonts w:ascii="Times New Roman" w:eastAsia="Times New Roman"/>
                <w:sz w:val="21"/>
              </w:rPr>
              <w:t>30%</w:t>
            </w:r>
            <w:r>
              <w:rPr>
                <w:spacing w:val="-6"/>
                <w:sz w:val="21"/>
              </w:rPr>
              <w:t>以上，日</w:t>
            </w:r>
            <w:r>
              <w:rPr>
                <w:spacing w:val="-4"/>
                <w:sz w:val="21"/>
              </w:rPr>
              <w:t>常生活不能自理。</w:t>
            </w:r>
          </w:p>
        </w:tc>
      </w:tr>
      <w:tr>
        <w:trPr>
          <w:trHeight w:val="890" w:hRule="atLeast"/>
        </w:trPr>
        <w:tc>
          <w:tcPr>
            <w:tcW w:w="542" w:type="dxa"/>
          </w:tcPr>
          <w:p>
            <w:pPr>
              <w:pStyle w:val="TableParagraph"/>
              <w:spacing w:before="29"/>
              <w:ind w:right="75"/>
              <w:jc w:val="right"/>
              <w:rPr>
                <w:rFonts w:ascii="Times New Roman"/>
                <w:sz w:val="21"/>
              </w:rPr>
            </w:pPr>
            <w:r>
              <w:rPr>
                <w:rFonts w:ascii="Times New Roman"/>
                <w:sz w:val="21"/>
              </w:rPr>
              <w:t>48.</w:t>
            </w:r>
          </w:p>
        </w:tc>
        <w:tc>
          <w:tcPr>
            <w:tcW w:w="2635" w:type="dxa"/>
          </w:tcPr>
          <w:p>
            <w:pPr>
              <w:pStyle w:val="TableParagraph"/>
              <w:spacing w:line="257" w:lineRule="exact"/>
              <w:ind w:left="78"/>
              <w:rPr>
                <w:sz w:val="21"/>
              </w:rPr>
            </w:pPr>
            <w:r>
              <w:rPr>
                <w:sz w:val="21"/>
              </w:rPr>
              <w:t>急性坏死性胰腺炎开腹手</w:t>
            </w:r>
          </w:p>
          <w:p>
            <w:pPr>
              <w:pStyle w:val="TableParagraph"/>
              <w:spacing w:before="37"/>
              <w:ind w:left="78"/>
              <w:rPr>
                <w:sz w:val="21"/>
              </w:rPr>
            </w:pPr>
            <w:r>
              <w:rPr>
                <w:w w:val="100"/>
                <w:sz w:val="21"/>
              </w:rPr>
              <w:t>术</w:t>
            </w:r>
          </w:p>
        </w:tc>
        <w:tc>
          <w:tcPr>
            <w:tcW w:w="7148" w:type="dxa"/>
          </w:tcPr>
          <w:p>
            <w:pPr>
              <w:pStyle w:val="TableParagraph"/>
              <w:spacing w:line="257" w:lineRule="exact"/>
              <w:ind w:left="141"/>
              <w:rPr>
                <w:sz w:val="21"/>
              </w:rPr>
            </w:pPr>
            <w:r>
              <w:rPr>
                <w:sz w:val="21"/>
              </w:rPr>
              <w:t>指为治疗急性坏死性胰腺炎，实际实施了开腹进行的坏死组织清除术、病</w:t>
            </w:r>
          </w:p>
          <w:p>
            <w:pPr>
              <w:pStyle w:val="TableParagraph"/>
              <w:spacing w:before="37"/>
              <w:ind w:left="141"/>
              <w:rPr>
                <w:sz w:val="21"/>
              </w:rPr>
            </w:pPr>
            <w:r>
              <w:rPr>
                <w:sz w:val="21"/>
              </w:rPr>
              <w:t>灶切除术或胰腺部分切除术。</w:t>
            </w:r>
          </w:p>
          <w:p>
            <w:pPr>
              <w:pStyle w:val="TableParagraph"/>
              <w:spacing w:line="264" w:lineRule="exact" w:before="37"/>
              <w:ind w:left="141"/>
              <w:rPr>
                <w:sz w:val="21"/>
              </w:rPr>
            </w:pPr>
            <w:r>
              <w:rPr>
                <w:b/>
                <w:sz w:val="21"/>
              </w:rPr>
              <w:t>为治疗因酒精中毒引起的急性坏死性胰腺炎的开腹手术不在保障范围内</w:t>
            </w:r>
            <w:r>
              <w:rPr>
                <w:sz w:val="21"/>
              </w:rPr>
              <w:t>。</w:t>
            </w:r>
          </w:p>
        </w:tc>
      </w:tr>
    </w:tbl>
    <w:p>
      <w:pPr>
        <w:spacing w:after="0" w:line="264" w:lineRule="exact"/>
        <w:rPr>
          <w:sz w:val="21"/>
        </w:rPr>
        <w:sectPr>
          <w:pgSz w:w="11910" w:h="16160"/>
          <w:pgMar w:header="0" w:footer="631" w:top="144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505"/>
        <w:gridCol w:w="7301"/>
      </w:tblGrid>
      <w:tr>
        <w:trPr>
          <w:trHeight w:val="1514" w:hRule="atLeast"/>
        </w:trPr>
        <w:tc>
          <w:tcPr>
            <w:tcW w:w="542" w:type="dxa"/>
          </w:tcPr>
          <w:p>
            <w:pPr>
              <w:pStyle w:val="TableParagraph"/>
              <w:spacing w:line="234" w:lineRule="exact"/>
              <w:ind w:right="75"/>
              <w:jc w:val="right"/>
              <w:rPr>
                <w:rFonts w:ascii="Times New Roman"/>
                <w:sz w:val="21"/>
              </w:rPr>
            </w:pPr>
            <w:r>
              <w:rPr>
                <w:rFonts w:ascii="Times New Roman"/>
                <w:sz w:val="21"/>
              </w:rPr>
              <w:t>49.</w:t>
            </w:r>
          </w:p>
        </w:tc>
        <w:tc>
          <w:tcPr>
            <w:tcW w:w="2505" w:type="dxa"/>
          </w:tcPr>
          <w:p>
            <w:pPr>
              <w:pStyle w:val="TableParagraph"/>
              <w:spacing w:line="220" w:lineRule="exact"/>
              <w:ind w:left="78"/>
              <w:rPr>
                <w:sz w:val="21"/>
              </w:rPr>
            </w:pPr>
            <w:r>
              <w:rPr>
                <w:sz w:val="21"/>
              </w:rPr>
              <w:t>主动脉夹层血肿</w:t>
            </w:r>
          </w:p>
        </w:tc>
        <w:tc>
          <w:tcPr>
            <w:tcW w:w="7301" w:type="dxa"/>
          </w:tcPr>
          <w:p>
            <w:pPr>
              <w:pStyle w:val="TableParagraph"/>
              <w:spacing w:line="220" w:lineRule="exact"/>
              <w:ind w:left="271"/>
              <w:rPr>
                <w:sz w:val="21"/>
              </w:rPr>
            </w:pPr>
            <w:r>
              <w:rPr>
                <w:sz w:val="21"/>
              </w:rPr>
              <w:t>是指主动脉壁在受到某些病理因素的破坏后，高速、高压的主动脉血流将</w:t>
            </w:r>
          </w:p>
          <w:p>
            <w:pPr>
              <w:pStyle w:val="TableParagraph"/>
              <w:spacing w:line="261" w:lineRule="auto" w:before="37"/>
              <w:ind w:left="271" w:right="219"/>
              <w:jc w:val="both"/>
              <w:rPr>
                <w:sz w:val="21"/>
              </w:rPr>
            </w:pPr>
            <w:r>
              <w:rPr>
                <w:sz w:val="21"/>
              </w:rPr>
              <w:t>其内膜撕裂，以致主动脉腔内的血流通过主动脉内膜的破裂口进入主动脉</w:t>
            </w:r>
            <w:r>
              <w:rPr>
                <w:spacing w:val="-6"/>
                <w:w w:val="100"/>
                <w:sz w:val="21"/>
              </w:rPr>
              <w:t>内壁而形成血肿。被保险人需通过断层扫描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7"/>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pacing w:val="-1"/>
                <w:sz w:val="21"/>
              </w:rPr>
              <w:t>磁共振血管检验法</w:t>
            </w:r>
            <w:r>
              <w:rPr>
                <w:sz w:val="21"/>
              </w:rPr>
              <w:t>（</w:t>
            </w:r>
            <w:r>
              <w:rPr>
                <w:rFonts w:ascii="Times New Roman" w:eastAsia="Times New Roman"/>
                <w:sz w:val="21"/>
              </w:rPr>
              <w:t>MRA</w:t>
            </w:r>
            <w:r>
              <w:rPr>
                <w:sz w:val="21"/>
              </w:rPr>
              <w:t>）</w:t>
            </w:r>
            <w:r>
              <w:rPr>
                <w:spacing w:val="-3"/>
                <w:sz w:val="21"/>
              </w:rPr>
              <w:t>或血管扫描等检查，并且实施了胸腹切开的直视主动脉手术。</w:t>
            </w:r>
          </w:p>
        </w:tc>
      </w:tr>
      <w:tr>
        <w:trPr>
          <w:trHeight w:val="1880" w:hRule="atLeast"/>
        </w:trPr>
        <w:tc>
          <w:tcPr>
            <w:tcW w:w="542" w:type="dxa"/>
          </w:tcPr>
          <w:p>
            <w:pPr>
              <w:pStyle w:val="TableParagraph"/>
              <w:spacing w:before="38"/>
              <w:ind w:right="75"/>
              <w:jc w:val="right"/>
              <w:rPr>
                <w:rFonts w:ascii="Times New Roman"/>
                <w:sz w:val="21"/>
              </w:rPr>
            </w:pPr>
            <w:r>
              <w:rPr>
                <w:rFonts w:ascii="Times New Roman"/>
                <w:sz w:val="21"/>
              </w:rPr>
              <w:t>50.</w:t>
            </w:r>
          </w:p>
        </w:tc>
        <w:tc>
          <w:tcPr>
            <w:tcW w:w="2505" w:type="dxa"/>
          </w:tcPr>
          <w:p>
            <w:pPr>
              <w:pStyle w:val="TableParagraph"/>
              <w:spacing w:line="266" w:lineRule="exact"/>
              <w:ind w:left="78"/>
              <w:rPr>
                <w:sz w:val="21"/>
              </w:rPr>
            </w:pPr>
            <w:r>
              <w:rPr>
                <w:sz w:val="21"/>
              </w:rPr>
              <w:t>系统性硬皮病</w:t>
            </w:r>
          </w:p>
        </w:tc>
        <w:tc>
          <w:tcPr>
            <w:tcW w:w="7301" w:type="dxa"/>
          </w:tcPr>
          <w:p>
            <w:pPr>
              <w:pStyle w:val="TableParagraph"/>
              <w:spacing w:line="273" w:lineRule="auto"/>
              <w:ind w:left="271" w:right="220"/>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16"/>
              <w:ind w:left="271"/>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0"/>
              <w:ind w:left="271"/>
              <w:jc w:val="both"/>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0"/>
              <w:ind w:left="271"/>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42" w:type="dxa"/>
          </w:tcPr>
          <w:p>
            <w:pPr>
              <w:pStyle w:val="TableParagraph"/>
              <w:spacing w:before="30"/>
              <w:ind w:right="75"/>
              <w:jc w:val="right"/>
              <w:rPr>
                <w:rFonts w:ascii="Times New Roman"/>
                <w:sz w:val="21"/>
              </w:rPr>
            </w:pPr>
            <w:r>
              <w:rPr>
                <w:rFonts w:ascii="Times New Roman"/>
                <w:sz w:val="21"/>
              </w:rPr>
              <w:t>51.</w:t>
            </w:r>
          </w:p>
        </w:tc>
        <w:tc>
          <w:tcPr>
            <w:tcW w:w="2505" w:type="dxa"/>
          </w:tcPr>
          <w:p>
            <w:pPr>
              <w:pStyle w:val="TableParagraph"/>
              <w:spacing w:line="258" w:lineRule="exact"/>
              <w:ind w:left="78"/>
              <w:rPr>
                <w:sz w:val="21"/>
              </w:rPr>
            </w:pPr>
            <w:r>
              <w:rPr>
                <w:sz w:val="21"/>
              </w:rPr>
              <w:t>原发性硬化性胆管炎</w:t>
            </w:r>
          </w:p>
        </w:tc>
        <w:tc>
          <w:tcPr>
            <w:tcW w:w="7301" w:type="dxa"/>
          </w:tcPr>
          <w:p>
            <w:pPr>
              <w:pStyle w:val="TableParagraph"/>
              <w:spacing w:line="258" w:lineRule="exact"/>
              <w:ind w:left="271"/>
              <w:rPr>
                <w:sz w:val="21"/>
              </w:rPr>
            </w:pPr>
            <w:r>
              <w:rPr>
                <w:sz w:val="21"/>
              </w:rPr>
              <w:t>指一种胆汁淤积综合征，其特征是肝内、肝外胆道因纤维化性炎症逐渐狭</w:t>
            </w:r>
          </w:p>
          <w:p>
            <w:pPr>
              <w:pStyle w:val="TableParagraph"/>
              <w:spacing w:line="273" w:lineRule="auto" w:before="37"/>
              <w:ind w:left="271" w:right="226"/>
              <w:rPr>
                <w:sz w:val="21"/>
              </w:rPr>
            </w:pPr>
            <w:r>
              <w:rPr>
                <w:sz w:val="21"/>
              </w:rPr>
              <w:t>窄，并最终导致完全阻塞而发展为肝硬化。本病须经内镜逆行胰胆管造影等影像学检查证实，并须满足下列全部条件：</w:t>
            </w:r>
          </w:p>
          <w:p>
            <w:pPr>
              <w:pStyle w:val="TableParagraph"/>
              <w:spacing w:before="7"/>
              <w:ind w:left="271"/>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271"/>
              <w:rPr>
                <w:sz w:val="21"/>
              </w:rPr>
            </w:pPr>
            <w:r>
              <w:rPr>
                <w:sz w:val="21"/>
              </w:rPr>
              <w:t>（</w:t>
            </w:r>
            <w:r>
              <w:rPr>
                <w:rFonts w:ascii="Times New Roman" w:eastAsia="Times New Roman"/>
                <w:sz w:val="21"/>
              </w:rPr>
              <w:t>2</w:t>
            </w:r>
            <w:r>
              <w:rPr>
                <w:sz w:val="21"/>
              </w:rPr>
              <w:t>）持续性黄疸病史；</w:t>
            </w:r>
          </w:p>
          <w:p>
            <w:pPr>
              <w:pStyle w:val="TableParagraph"/>
              <w:spacing w:before="20"/>
              <w:ind w:left="271"/>
              <w:rPr>
                <w:sz w:val="21"/>
              </w:rPr>
            </w:pPr>
            <w:r>
              <w:rPr>
                <w:sz w:val="21"/>
              </w:rPr>
              <w:t>（</w:t>
            </w:r>
            <w:r>
              <w:rPr>
                <w:rFonts w:ascii="Times New Roman" w:eastAsia="Times New Roman"/>
                <w:sz w:val="21"/>
              </w:rPr>
              <w:t>3</w:t>
            </w:r>
            <w:r>
              <w:rPr>
                <w:sz w:val="21"/>
              </w:rPr>
              <w:t>）出现胆汁性肝硬化或门脉高压。</w:t>
            </w:r>
          </w:p>
          <w:p>
            <w:pPr>
              <w:pStyle w:val="TableParagraph"/>
              <w:spacing w:before="20"/>
              <w:ind w:left="271"/>
              <w:rPr>
                <w:b/>
                <w:sz w:val="21"/>
              </w:rPr>
            </w:pPr>
            <w:r>
              <w:rPr>
                <w:b/>
                <w:sz w:val="21"/>
              </w:rPr>
              <w:t>因肿瘤或胆管损伤等继发性的硬化性胆管炎不在保障范围内。</w:t>
            </w:r>
          </w:p>
        </w:tc>
      </w:tr>
      <w:tr>
        <w:trPr>
          <w:trHeight w:val="3120" w:hRule="atLeast"/>
        </w:trPr>
        <w:tc>
          <w:tcPr>
            <w:tcW w:w="542" w:type="dxa"/>
          </w:tcPr>
          <w:p>
            <w:pPr>
              <w:pStyle w:val="TableParagraph"/>
              <w:spacing w:before="38"/>
              <w:ind w:right="75"/>
              <w:jc w:val="right"/>
              <w:rPr>
                <w:rFonts w:ascii="Times New Roman"/>
                <w:sz w:val="21"/>
              </w:rPr>
            </w:pPr>
            <w:r>
              <w:rPr>
                <w:rFonts w:ascii="Times New Roman"/>
                <w:sz w:val="21"/>
              </w:rPr>
              <w:t>52.</w:t>
            </w:r>
          </w:p>
        </w:tc>
        <w:tc>
          <w:tcPr>
            <w:tcW w:w="2505" w:type="dxa"/>
          </w:tcPr>
          <w:p>
            <w:pPr>
              <w:pStyle w:val="TableParagraph"/>
              <w:spacing w:line="282" w:lineRule="exact"/>
              <w:ind w:left="78"/>
              <w:rPr>
                <w:sz w:val="21"/>
              </w:rPr>
            </w:pPr>
            <w:r>
              <w:rPr>
                <w:sz w:val="21"/>
              </w:rPr>
              <w:t>经输血导致的 </w:t>
            </w:r>
            <w:r>
              <w:rPr>
                <w:rFonts w:ascii="Times New Roman" w:eastAsia="Times New Roman"/>
                <w:sz w:val="21"/>
              </w:rPr>
              <w:t>HIV </w:t>
            </w:r>
            <w:r>
              <w:rPr>
                <w:sz w:val="21"/>
              </w:rPr>
              <w:t>感染</w:t>
            </w:r>
          </w:p>
        </w:tc>
        <w:tc>
          <w:tcPr>
            <w:tcW w:w="7301" w:type="dxa"/>
          </w:tcPr>
          <w:p>
            <w:pPr>
              <w:pStyle w:val="TableParagraph"/>
              <w:spacing w:line="282" w:lineRule="exact"/>
              <w:ind w:left="271"/>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271"/>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271" w:right="170"/>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3"/>
              <w:ind w:left="271"/>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271" w:right="223"/>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我们保留获得使用被保险人的所有血液样本的权利，并对这些样本进行独立检验。</w:t>
            </w:r>
          </w:p>
          <w:p>
            <w:pPr>
              <w:pStyle w:val="TableParagraph"/>
              <w:spacing w:line="312" w:lineRule="exact" w:before="11"/>
              <w:ind w:left="271" w:right="226"/>
              <w:rPr>
                <w:sz w:val="21"/>
              </w:rPr>
            </w:pPr>
            <w:r>
              <w:rPr>
                <w:sz w:val="21"/>
              </w:rPr>
              <w:t>我们承担本项疾病责任不受本附加合同第八条“责任免除”中“被保险人感染艾滋病病毒或患艾滋病”的限制。</w:t>
            </w:r>
          </w:p>
        </w:tc>
      </w:tr>
      <w:tr>
        <w:trPr>
          <w:trHeight w:val="1247" w:hRule="atLeast"/>
        </w:trPr>
        <w:tc>
          <w:tcPr>
            <w:tcW w:w="542" w:type="dxa"/>
          </w:tcPr>
          <w:p>
            <w:pPr>
              <w:pStyle w:val="TableParagraph"/>
              <w:spacing w:before="38"/>
              <w:ind w:right="75"/>
              <w:jc w:val="right"/>
              <w:rPr>
                <w:rFonts w:ascii="Times New Roman"/>
                <w:sz w:val="21"/>
              </w:rPr>
            </w:pPr>
            <w:r>
              <w:rPr>
                <w:rFonts w:ascii="Times New Roman"/>
                <w:sz w:val="21"/>
              </w:rPr>
              <w:t>53.</w:t>
            </w:r>
          </w:p>
        </w:tc>
        <w:tc>
          <w:tcPr>
            <w:tcW w:w="2505" w:type="dxa"/>
          </w:tcPr>
          <w:p>
            <w:pPr>
              <w:pStyle w:val="TableParagraph"/>
              <w:spacing w:line="266" w:lineRule="exact"/>
              <w:ind w:left="78"/>
              <w:rPr>
                <w:sz w:val="21"/>
              </w:rPr>
            </w:pPr>
            <w:r>
              <w:rPr>
                <w:sz w:val="21"/>
              </w:rPr>
              <w:t>疯牛病</w:t>
            </w:r>
          </w:p>
        </w:tc>
        <w:tc>
          <w:tcPr>
            <w:tcW w:w="7301" w:type="dxa"/>
          </w:tcPr>
          <w:p>
            <w:pPr>
              <w:pStyle w:val="TableParagraph"/>
              <w:spacing w:line="273" w:lineRule="auto"/>
              <w:ind w:left="271" w:right="226"/>
              <w:jc w:val="both"/>
              <w:rPr>
                <w:sz w:val="21"/>
              </w:rPr>
            </w:pPr>
            <w:r>
              <w:rPr>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p>
            <w:pPr>
              <w:pStyle w:val="TableParagraph"/>
              <w:spacing w:before="16"/>
              <w:ind w:left="271"/>
              <w:jc w:val="both"/>
              <w:rPr>
                <w:b/>
                <w:sz w:val="21"/>
              </w:rPr>
            </w:pPr>
            <w:r>
              <w:rPr>
                <w:b/>
                <w:sz w:val="21"/>
              </w:rPr>
              <w:t>疑似诊断不作为理赔依据。</w:t>
            </w:r>
          </w:p>
        </w:tc>
      </w:tr>
      <w:tr>
        <w:trPr>
          <w:trHeight w:val="1560" w:hRule="atLeast"/>
        </w:trPr>
        <w:tc>
          <w:tcPr>
            <w:tcW w:w="542" w:type="dxa"/>
          </w:tcPr>
          <w:p>
            <w:pPr>
              <w:pStyle w:val="TableParagraph"/>
              <w:spacing w:before="38"/>
              <w:ind w:right="75"/>
              <w:jc w:val="right"/>
              <w:rPr>
                <w:rFonts w:ascii="Times New Roman"/>
                <w:sz w:val="21"/>
              </w:rPr>
            </w:pPr>
            <w:r>
              <w:rPr>
                <w:rFonts w:ascii="Times New Roman"/>
                <w:sz w:val="21"/>
              </w:rPr>
              <w:t>54.</w:t>
            </w:r>
          </w:p>
        </w:tc>
        <w:tc>
          <w:tcPr>
            <w:tcW w:w="2505" w:type="dxa"/>
          </w:tcPr>
          <w:p>
            <w:pPr>
              <w:pStyle w:val="TableParagraph"/>
              <w:spacing w:line="266" w:lineRule="exact"/>
              <w:ind w:left="78"/>
              <w:rPr>
                <w:sz w:val="21"/>
              </w:rPr>
            </w:pPr>
            <w:r>
              <w:rPr>
                <w:sz w:val="21"/>
              </w:rPr>
              <w:t>慢性复发性胰腺炎</w:t>
            </w:r>
          </w:p>
        </w:tc>
        <w:tc>
          <w:tcPr>
            <w:tcW w:w="7301" w:type="dxa"/>
          </w:tcPr>
          <w:p>
            <w:pPr>
              <w:pStyle w:val="TableParagraph"/>
              <w:spacing w:line="261" w:lineRule="auto"/>
              <w:ind w:left="271" w:right="195"/>
              <w:jc w:val="both"/>
              <w:rPr>
                <w:sz w:val="21"/>
              </w:rPr>
            </w:pPr>
            <w:r>
              <w:rPr>
                <w:sz w:val="21"/>
              </w:rPr>
              <w:t>指有腹痛等典型症状的胰腺炎反复发作，导致胰腺进行性破坏，并导致胰腺功能紊乱而导致严重糖尿病以及营养不良、恶液质。断层扫描（</w:t>
            </w:r>
            <w:r>
              <w:rPr>
                <w:rFonts w:ascii="Times New Roman" w:eastAsia="Times New Roman"/>
                <w:sz w:val="21"/>
              </w:rPr>
              <w:t>CT</w:t>
            </w:r>
            <w:r>
              <w:rPr>
                <w:sz w:val="21"/>
              </w:rPr>
              <w:t>）证实胰腺存在广泛钙化，且必须接受酶替代以及胰岛素替代治疗</w:t>
            </w:r>
            <w:r>
              <w:rPr>
                <w:rFonts w:ascii="Times New Roman" w:eastAsia="Times New Roman"/>
                <w:sz w:val="21"/>
              </w:rPr>
              <w:t>6</w:t>
            </w:r>
            <w:r>
              <w:rPr>
                <w:sz w:val="21"/>
              </w:rPr>
              <w:t>个月以上。诊断必须由消化科专科医生确诊。</w:t>
            </w:r>
          </w:p>
          <w:p>
            <w:pPr>
              <w:pStyle w:val="TableParagraph"/>
              <w:spacing w:before="27"/>
              <w:ind w:left="271"/>
              <w:jc w:val="both"/>
              <w:rPr>
                <w:b/>
                <w:sz w:val="21"/>
              </w:rPr>
            </w:pPr>
            <w:r>
              <w:rPr>
                <w:b/>
                <w:sz w:val="21"/>
              </w:rPr>
              <w:t>酒精导致的慢性复发性胰腺炎不在保障范围内。</w:t>
            </w:r>
          </w:p>
        </w:tc>
      </w:tr>
      <w:tr>
        <w:trPr>
          <w:trHeight w:val="1559" w:hRule="atLeast"/>
        </w:trPr>
        <w:tc>
          <w:tcPr>
            <w:tcW w:w="542" w:type="dxa"/>
          </w:tcPr>
          <w:p>
            <w:pPr>
              <w:pStyle w:val="TableParagraph"/>
              <w:spacing w:before="38"/>
              <w:ind w:right="75"/>
              <w:jc w:val="right"/>
              <w:rPr>
                <w:rFonts w:ascii="Times New Roman"/>
                <w:sz w:val="21"/>
              </w:rPr>
            </w:pPr>
            <w:r>
              <w:rPr>
                <w:rFonts w:ascii="Times New Roman"/>
                <w:sz w:val="21"/>
              </w:rPr>
              <w:t>55.</w:t>
            </w:r>
          </w:p>
        </w:tc>
        <w:tc>
          <w:tcPr>
            <w:tcW w:w="2505" w:type="dxa"/>
          </w:tcPr>
          <w:p>
            <w:pPr>
              <w:pStyle w:val="TableParagraph"/>
              <w:spacing w:line="266" w:lineRule="exact"/>
              <w:ind w:left="78"/>
              <w:rPr>
                <w:sz w:val="21"/>
              </w:rPr>
            </w:pPr>
            <w:r>
              <w:rPr>
                <w:sz w:val="21"/>
              </w:rPr>
              <w:t>终末期疾病</w:t>
            </w:r>
          </w:p>
        </w:tc>
        <w:tc>
          <w:tcPr>
            <w:tcW w:w="7301" w:type="dxa"/>
          </w:tcPr>
          <w:p>
            <w:pPr>
              <w:pStyle w:val="TableParagraph"/>
              <w:spacing w:line="273" w:lineRule="auto"/>
              <w:ind w:left="271" w:right="226"/>
              <w:jc w:val="both"/>
              <w:rPr>
                <w:sz w:val="21"/>
              </w:rPr>
            </w:pPr>
            <w:r>
              <w:rPr>
                <w:sz w:val="21"/>
              </w:rPr>
              <w:t>指被保险人被确诊为疾病的终末期状态，疾病已经无法以现有的医疗技术医治缓解，并且根据临床医学经验判断被保险人将于未来六个月内死亡。在家属及患者的要求和医师的同意下积极治疗已被放弃，所有治疗措施仅</w:t>
            </w:r>
          </w:p>
          <w:p>
            <w:pPr>
              <w:pStyle w:val="TableParagraph"/>
              <w:spacing w:line="312" w:lineRule="exact" w:before="12"/>
              <w:ind w:left="271" w:right="226"/>
              <w:jc w:val="both"/>
              <w:rPr>
                <w:sz w:val="21"/>
              </w:rPr>
            </w:pPr>
            <w:r>
              <w:rPr>
                <w:sz w:val="21"/>
              </w:rPr>
              <w:t>以减轻患者痛苦为目的。此疾病状态必须在被保险人生前已经确诊并且具有医疗证明文件和临床检查依据。</w:t>
            </w:r>
          </w:p>
        </w:tc>
      </w:tr>
      <w:tr>
        <w:trPr>
          <w:trHeight w:val="578" w:hRule="atLeast"/>
        </w:trPr>
        <w:tc>
          <w:tcPr>
            <w:tcW w:w="542" w:type="dxa"/>
          </w:tcPr>
          <w:p>
            <w:pPr>
              <w:pStyle w:val="TableParagraph"/>
              <w:spacing w:before="38"/>
              <w:ind w:right="77"/>
              <w:jc w:val="right"/>
              <w:rPr>
                <w:rFonts w:ascii="Times New Roman"/>
                <w:sz w:val="21"/>
              </w:rPr>
            </w:pPr>
            <w:r>
              <w:rPr>
                <w:rFonts w:ascii="Times New Roman"/>
                <w:sz w:val="21"/>
              </w:rPr>
              <w:t>56.</w:t>
            </w:r>
          </w:p>
        </w:tc>
        <w:tc>
          <w:tcPr>
            <w:tcW w:w="2505" w:type="dxa"/>
          </w:tcPr>
          <w:p>
            <w:pPr>
              <w:pStyle w:val="TableParagraph"/>
              <w:spacing w:line="266" w:lineRule="exact"/>
              <w:ind w:left="78"/>
              <w:rPr>
                <w:sz w:val="21"/>
              </w:rPr>
            </w:pPr>
            <w:r>
              <w:rPr>
                <w:sz w:val="21"/>
              </w:rPr>
              <w:t>肺源性心脏病</w:t>
            </w:r>
          </w:p>
        </w:tc>
        <w:tc>
          <w:tcPr>
            <w:tcW w:w="7301" w:type="dxa"/>
          </w:tcPr>
          <w:p>
            <w:pPr>
              <w:pStyle w:val="TableParagraph"/>
              <w:spacing w:line="266" w:lineRule="exact"/>
              <w:ind w:left="271"/>
              <w:rPr>
                <w:sz w:val="21"/>
              </w:rPr>
            </w:pPr>
            <w:r>
              <w:rPr>
                <w:sz w:val="21"/>
              </w:rPr>
              <w:t>指由于各种胸肺及支气管病变而继发的肺动脉高压，最后导致以右室肥大</w:t>
            </w:r>
          </w:p>
          <w:p>
            <w:pPr>
              <w:pStyle w:val="TableParagraph"/>
              <w:spacing w:line="255" w:lineRule="exact" w:before="37"/>
              <w:ind w:left="271"/>
              <w:rPr>
                <w:sz w:val="21"/>
              </w:rPr>
            </w:pPr>
            <w:r>
              <w:rPr>
                <w:sz w:val="21"/>
              </w:rPr>
              <w:t>为特征的心脏病。须经呼吸专科医生确诊，且必须同时满足如下诊断标准</w:t>
            </w:r>
          </w:p>
        </w:tc>
      </w:tr>
    </w:tbl>
    <w:p>
      <w:pPr>
        <w:spacing w:after="0" w:line="255" w:lineRule="exact"/>
        <w:rPr>
          <w:sz w:val="21"/>
        </w:rPr>
        <w:sectPr>
          <w:pgSz w:w="11910" w:h="16160"/>
          <w:pgMar w:header="0" w:footer="631" w:top="1420" w:bottom="820" w:left="760" w:right="5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268"/>
        <w:gridCol w:w="7517"/>
      </w:tblGrid>
      <w:tr>
        <w:trPr>
          <w:trHeight w:val="1832" w:hRule="atLeast"/>
        </w:trPr>
        <w:tc>
          <w:tcPr>
            <w:tcW w:w="542" w:type="dxa"/>
          </w:tcPr>
          <w:p>
            <w:pPr>
              <w:pStyle w:val="TableParagraph"/>
              <w:rPr>
                <w:rFonts w:ascii="Times New Roman"/>
                <w:sz w:val="20"/>
              </w:rPr>
            </w:pPr>
          </w:p>
        </w:tc>
        <w:tc>
          <w:tcPr>
            <w:tcW w:w="2268" w:type="dxa"/>
          </w:tcPr>
          <w:p>
            <w:pPr>
              <w:pStyle w:val="TableParagraph"/>
              <w:rPr>
                <w:rFonts w:ascii="Times New Roman"/>
                <w:sz w:val="20"/>
              </w:rPr>
            </w:pPr>
          </w:p>
        </w:tc>
        <w:tc>
          <w:tcPr>
            <w:tcW w:w="7517" w:type="dxa"/>
          </w:tcPr>
          <w:p>
            <w:pPr>
              <w:pStyle w:val="TableParagraph"/>
              <w:spacing w:line="234" w:lineRule="exact"/>
              <w:ind w:left="508"/>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508"/>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0"/>
              <w:ind w:left="508"/>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0"/>
              <w:ind w:left="508"/>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0"/>
              <w:ind w:left="508"/>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0"/>
              <w:ind w:left="508"/>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542" w:type="dxa"/>
          </w:tcPr>
          <w:p>
            <w:pPr>
              <w:pStyle w:val="TableParagraph"/>
              <w:spacing w:before="30"/>
              <w:ind w:right="77"/>
              <w:jc w:val="right"/>
              <w:rPr>
                <w:rFonts w:ascii="Times New Roman"/>
                <w:sz w:val="21"/>
              </w:rPr>
            </w:pPr>
            <w:r>
              <w:rPr>
                <w:rFonts w:ascii="Times New Roman"/>
                <w:sz w:val="21"/>
              </w:rPr>
              <w:t>57.</w:t>
            </w:r>
          </w:p>
        </w:tc>
        <w:tc>
          <w:tcPr>
            <w:tcW w:w="2268" w:type="dxa"/>
          </w:tcPr>
          <w:p>
            <w:pPr>
              <w:pStyle w:val="TableParagraph"/>
              <w:spacing w:line="258" w:lineRule="exact"/>
              <w:ind w:left="78"/>
              <w:rPr>
                <w:sz w:val="21"/>
              </w:rPr>
            </w:pPr>
            <w:r>
              <w:rPr>
                <w:sz w:val="21"/>
              </w:rPr>
              <w:t>严重肌营养不良症</w:t>
            </w:r>
          </w:p>
        </w:tc>
        <w:tc>
          <w:tcPr>
            <w:tcW w:w="7517" w:type="dxa"/>
          </w:tcPr>
          <w:p>
            <w:pPr>
              <w:pStyle w:val="TableParagraph"/>
              <w:spacing w:line="258" w:lineRule="exact"/>
              <w:ind w:left="508"/>
              <w:rPr>
                <w:sz w:val="21"/>
              </w:rPr>
            </w:pPr>
            <w:r>
              <w:rPr>
                <w:sz w:val="21"/>
              </w:rPr>
              <w:t>指一组原发于肌肉的遗传性疾病，临床表现为与神经系统无关的肌肉无力</w:t>
            </w:r>
          </w:p>
          <w:p>
            <w:pPr>
              <w:pStyle w:val="TableParagraph"/>
              <w:spacing w:before="37"/>
              <w:ind w:left="508"/>
              <w:rPr>
                <w:sz w:val="21"/>
              </w:rPr>
            </w:pPr>
            <w:r>
              <w:rPr>
                <w:sz w:val="21"/>
              </w:rPr>
              <w:t>和肌肉萎缩。且须满足下列全部条件：</w:t>
            </w:r>
          </w:p>
          <w:p>
            <w:pPr>
              <w:pStyle w:val="TableParagraph"/>
              <w:spacing w:line="256" w:lineRule="auto" w:before="37"/>
              <w:ind w:left="508" w:right="149"/>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59" w:lineRule="auto" w:before="22"/>
              <w:ind w:left="508" w:right="15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312" w:lineRule="exact" w:before="15"/>
              <w:ind w:left="508" w:right="203"/>
              <w:rPr>
                <w:sz w:val="21"/>
              </w:rPr>
            </w:pPr>
            <w:r>
              <w:rPr>
                <w:sz w:val="21"/>
              </w:rPr>
              <w:t>本附加合同第八条责任免除中“遗传性疾病，先天性畸形、变形或染色体异常”不适用于本项疾病。</w:t>
            </w:r>
          </w:p>
        </w:tc>
      </w:tr>
      <w:tr>
        <w:trPr>
          <w:trHeight w:val="578" w:hRule="atLeast"/>
        </w:trPr>
        <w:tc>
          <w:tcPr>
            <w:tcW w:w="542" w:type="dxa"/>
          </w:tcPr>
          <w:p>
            <w:pPr>
              <w:pStyle w:val="TableParagraph"/>
              <w:spacing w:before="38"/>
              <w:ind w:right="75"/>
              <w:jc w:val="right"/>
              <w:rPr>
                <w:rFonts w:ascii="Times New Roman"/>
                <w:sz w:val="21"/>
              </w:rPr>
            </w:pPr>
            <w:r>
              <w:rPr>
                <w:rFonts w:ascii="Times New Roman"/>
                <w:sz w:val="21"/>
              </w:rPr>
              <w:t>58.</w:t>
            </w:r>
          </w:p>
        </w:tc>
        <w:tc>
          <w:tcPr>
            <w:tcW w:w="2268" w:type="dxa"/>
          </w:tcPr>
          <w:p>
            <w:pPr>
              <w:pStyle w:val="TableParagraph"/>
              <w:spacing w:line="266" w:lineRule="exact"/>
              <w:ind w:left="78"/>
              <w:rPr>
                <w:sz w:val="21"/>
              </w:rPr>
            </w:pPr>
            <w:r>
              <w:rPr>
                <w:sz w:val="21"/>
              </w:rPr>
              <w:t>严重川崎病</w:t>
            </w:r>
          </w:p>
        </w:tc>
        <w:tc>
          <w:tcPr>
            <w:tcW w:w="7517" w:type="dxa"/>
          </w:tcPr>
          <w:p>
            <w:pPr>
              <w:pStyle w:val="TableParagraph"/>
              <w:spacing w:line="266" w:lineRule="exact"/>
              <w:ind w:left="508"/>
              <w:rPr>
                <w:b/>
                <w:sz w:val="21"/>
              </w:rPr>
            </w:pPr>
            <w:r>
              <w:rPr>
                <w:sz w:val="21"/>
              </w:rPr>
              <w:t>为一种病因不明的系统性血管炎。</w:t>
            </w:r>
            <w:r>
              <w:rPr>
                <w:b/>
                <w:sz w:val="21"/>
              </w:rPr>
              <w:t>本附加合同仅对诊断性检查证实川崎病</w:t>
            </w:r>
          </w:p>
          <w:p>
            <w:pPr>
              <w:pStyle w:val="TableParagraph"/>
              <w:spacing w:line="255" w:lineRule="exact" w:before="37"/>
              <w:ind w:left="508"/>
              <w:rPr>
                <w:b/>
                <w:sz w:val="21"/>
              </w:rPr>
            </w:pPr>
            <w:r>
              <w:rPr>
                <w:b/>
                <w:sz w:val="21"/>
              </w:rPr>
              <w:t>并发动脉瘤或其他心血管异常并且实际接受了手术治疗的情况予以理赔。</w:t>
            </w:r>
          </w:p>
        </w:tc>
      </w:tr>
    </w:tbl>
    <w:p>
      <w:pPr>
        <w:pStyle w:val="BodyText"/>
        <w:spacing w:before="3"/>
        <w:rPr>
          <w:sz w:val="24"/>
        </w:rPr>
      </w:pPr>
    </w:p>
    <w:p>
      <w:pPr>
        <w:pStyle w:val="Heading2"/>
        <w:tabs>
          <w:tab w:pos="1397" w:val="left" w:leader="none"/>
        </w:tabs>
        <w:spacing w:before="36"/>
        <w:ind w:left="317"/>
      </w:pPr>
      <w:bookmarkStart w:name="_bookmark22" w:id="23"/>
      <w:bookmarkEnd w:id="23"/>
      <w:r>
        <w:rPr>
          <w:b w:val="0"/>
        </w:rPr>
      </w:r>
      <w:r>
        <w:rPr/>
        <w:t>第十七条</w:t>
        <w:tab/>
        <w:t>轻症的种类及定义</w:t>
      </w:r>
    </w:p>
    <w:p>
      <w:pPr>
        <w:pStyle w:val="BodyText"/>
        <w:spacing w:line="273" w:lineRule="auto" w:before="36"/>
        <w:ind w:left="317" w:right="320" w:firstLine="420"/>
      </w:pPr>
      <w:r>
        <w:rPr/>
        <w:t>本附加合同所保障的轻症，是指被保险人经专科医生明确诊断初次发生下列疾病或初次达到下列疾病状态或在医院初次接受下列手术。</w:t>
      </w:r>
    </w:p>
    <w:p>
      <w:pPr>
        <w:pStyle w:val="BodyText"/>
        <w:spacing w:before="7"/>
        <w:ind w:left="738"/>
      </w:pPr>
      <w:r>
        <w:rPr/>
        <w:t>本附加合同所保障的轻症共 </w:t>
      </w:r>
      <w:r>
        <w:rPr>
          <w:rFonts w:ascii="Times New Roman" w:eastAsia="Times New Roman"/>
        </w:rPr>
        <w:t>10 </w:t>
      </w:r>
      <w:r>
        <w:rPr/>
        <w:t>种。</w:t>
      </w:r>
    </w:p>
    <w:p>
      <w:pPr>
        <w:pStyle w:val="BodyText"/>
        <w:spacing w:before="1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760"/>
        <w:gridCol w:w="7057"/>
      </w:tblGrid>
      <w:tr>
        <w:trPr>
          <w:trHeight w:val="1522"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2760" w:type="dxa"/>
          </w:tcPr>
          <w:p>
            <w:pPr>
              <w:pStyle w:val="TableParagraph"/>
              <w:spacing w:line="220" w:lineRule="exact"/>
              <w:ind w:left="131"/>
              <w:rPr>
                <w:sz w:val="21"/>
              </w:rPr>
            </w:pPr>
            <w:r>
              <w:rPr>
                <w:sz w:val="21"/>
              </w:rPr>
              <w:t>糖尿病及其并发症</w:t>
            </w:r>
          </w:p>
        </w:tc>
        <w:tc>
          <w:tcPr>
            <w:tcW w:w="7057" w:type="dxa"/>
          </w:tcPr>
          <w:p>
            <w:pPr>
              <w:pStyle w:val="TableParagraph"/>
              <w:spacing w:line="220" w:lineRule="exact"/>
              <w:ind w:left="213"/>
              <w:rPr>
                <w:sz w:val="21"/>
              </w:rPr>
            </w:pPr>
            <w:r>
              <w:rPr>
                <w:sz w:val="21"/>
              </w:rPr>
              <w:t>指被保险人被确诊为糖尿病，并且出现以下任意一项并发症：</w:t>
            </w:r>
          </w:p>
          <w:p>
            <w:pPr>
              <w:pStyle w:val="TableParagraph"/>
              <w:spacing w:before="37"/>
              <w:ind w:left="213"/>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0"/>
              <w:ind w:left="213"/>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0"/>
              <w:ind w:left="213"/>
              <w:rPr>
                <w:rFonts w:ascii="Times New Roman" w:hAnsi="Times New Roman" w:eastAsia="Times New Roman"/>
                <w:sz w:val="21"/>
              </w:rPr>
            </w:pPr>
            <w:r>
              <w:rPr>
                <w:rFonts w:ascii="Times New Roman" w:hAnsi="Times New Roman" w:eastAsia="Times New Roman"/>
                <w:sz w:val="21"/>
              </w:rPr>
              <w:t>178μmol/L</w:t>
            </w:r>
            <w:r>
              <w:rPr>
                <w:rFonts w:ascii="Times New Roman" w:hAnsi="Times New Roman" w:eastAsia="Times New Roman"/>
                <w:spacing w:val="11"/>
                <w:sz w:val="21"/>
              </w:rPr>
              <w:t>  </w:t>
            </w:r>
            <w:r>
              <w:rPr>
                <w:spacing w:val="17"/>
                <w:sz w:val="21"/>
              </w:rPr>
              <w:t>或肌酐清除率小于 </w:t>
            </w:r>
            <w:r>
              <w:rPr>
                <w:rFonts w:ascii="Times New Roman" w:hAnsi="Times New Roman" w:eastAsia="Times New Roman"/>
                <w:sz w:val="21"/>
              </w:rPr>
              <w:t>25ml/min</w:t>
            </w:r>
            <w:r>
              <w:rPr>
                <w:rFonts w:ascii="Times New Roman" w:hAnsi="Times New Roman" w:eastAsia="Times New Roman"/>
                <w:spacing w:val="15"/>
                <w:sz w:val="21"/>
              </w:rPr>
              <w:t>  </w:t>
            </w:r>
            <w:r>
              <w:rPr>
                <w:spacing w:val="20"/>
                <w:sz w:val="21"/>
              </w:rPr>
              <w:t>或肾小球滤过率</w:t>
            </w:r>
            <w:r>
              <w:rPr>
                <w:sz w:val="21"/>
              </w:rPr>
              <w:t>（</w:t>
            </w:r>
            <w:r>
              <w:rPr>
                <w:spacing w:val="-78"/>
                <w:sz w:val="21"/>
              </w:rPr>
              <w:t> </w:t>
            </w:r>
            <w:r>
              <w:rPr>
                <w:rFonts w:ascii="Times New Roman" w:hAnsi="Times New Roman" w:eastAsia="Times New Roman"/>
                <w:sz w:val="21"/>
              </w:rPr>
              <w:t>GFR </w:t>
            </w:r>
            <w:r>
              <w:rPr>
                <w:sz w:val="21"/>
              </w:rPr>
              <w:t>）</w:t>
            </w:r>
            <w:r>
              <w:rPr>
                <w:spacing w:val="-83"/>
                <w:sz w:val="21"/>
              </w:rPr>
              <w:t> </w:t>
            </w:r>
            <w:r>
              <w:rPr>
                <w:rFonts w:ascii="Times New Roman" w:hAnsi="Times New Roman" w:eastAsia="Times New Roman"/>
                <w:sz w:val="21"/>
              </w:rPr>
              <w:t>&lt;</w:t>
            </w:r>
          </w:p>
          <w:p>
            <w:pPr>
              <w:pStyle w:val="TableParagraph"/>
              <w:spacing w:before="20"/>
              <w:ind w:left="213"/>
              <w:rPr>
                <w:sz w:val="21"/>
              </w:rPr>
            </w:pPr>
            <w:r>
              <w:rPr>
                <w:rFonts w:ascii="Times New Roman" w:eastAsia="Times New Roman"/>
                <w:sz w:val="21"/>
              </w:rPr>
              <w:t>25ml/min</w:t>
            </w:r>
            <w:r>
              <w:rPr>
                <w:sz w:val="21"/>
              </w:rPr>
              <w:t>。</w:t>
            </w:r>
          </w:p>
        </w:tc>
      </w:tr>
      <w:tr>
        <w:trPr>
          <w:trHeight w:val="2800"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2760" w:type="dxa"/>
          </w:tcPr>
          <w:p>
            <w:pPr>
              <w:pStyle w:val="TableParagraph"/>
              <w:spacing w:line="258" w:lineRule="exact"/>
              <w:ind w:left="131"/>
              <w:rPr>
                <w:sz w:val="21"/>
              </w:rPr>
            </w:pPr>
            <w:r>
              <w:rPr>
                <w:sz w:val="21"/>
              </w:rPr>
              <w:t>非危及生命的（极早期的</w:t>
            </w:r>
          </w:p>
          <w:p>
            <w:pPr>
              <w:pStyle w:val="TableParagraph"/>
              <w:spacing w:before="37"/>
              <w:ind w:left="131"/>
              <w:rPr>
                <w:sz w:val="21"/>
              </w:rPr>
            </w:pPr>
            <w:r>
              <w:rPr>
                <w:sz w:val="21"/>
              </w:rPr>
              <w:t>恶性病变</w:t>
            </w:r>
          </w:p>
        </w:tc>
        <w:tc>
          <w:tcPr>
            <w:tcW w:w="7057" w:type="dxa"/>
          </w:tcPr>
          <w:p>
            <w:pPr>
              <w:pStyle w:val="TableParagraph"/>
              <w:spacing w:line="258" w:lineRule="exact"/>
              <w:ind w:left="213"/>
              <w:rPr>
                <w:sz w:val="21"/>
              </w:rPr>
            </w:pPr>
            <w:r>
              <w:rPr>
                <w:sz w:val="21"/>
              </w:rPr>
              <w:t>指被保险人经组织病理学检查被明确诊断为下列恶性病变，并且接受了相</w:t>
            </w:r>
          </w:p>
          <w:p>
            <w:pPr>
              <w:pStyle w:val="TableParagraph"/>
              <w:spacing w:before="37"/>
              <w:ind w:left="213"/>
              <w:rPr>
                <w:sz w:val="21"/>
              </w:rPr>
            </w:pPr>
            <w:r>
              <w:rPr>
                <w:sz w:val="21"/>
              </w:rPr>
              <w:t>应的治疗。</w:t>
            </w:r>
          </w:p>
          <w:p>
            <w:pPr>
              <w:pStyle w:val="TableParagraph"/>
              <w:spacing w:before="37"/>
              <w:ind w:left="213"/>
              <w:rPr>
                <w:sz w:val="21"/>
              </w:rPr>
            </w:pPr>
            <w:r>
              <w:rPr>
                <w:sz w:val="21"/>
              </w:rPr>
              <w:t>（</w:t>
            </w:r>
            <w:r>
              <w:rPr>
                <w:rFonts w:ascii="Times New Roman" w:eastAsia="Times New Roman"/>
                <w:sz w:val="21"/>
              </w:rPr>
              <w:t>1</w:t>
            </w:r>
            <w:r>
              <w:rPr>
                <w:sz w:val="21"/>
              </w:rPr>
              <w:t>）原位癌；</w:t>
            </w:r>
          </w:p>
          <w:p>
            <w:pPr>
              <w:pStyle w:val="TableParagraph"/>
              <w:spacing w:before="21"/>
              <w:ind w:left="213"/>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213"/>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213"/>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9" w:lineRule="auto" w:before="21"/>
              <w:ind w:left="213" w:right="199"/>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pacing w:val="-11"/>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pacing w:val="-3"/>
                <w:sz w:val="21"/>
                <w:vertAlign w:val="baseline"/>
              </w:rPr>
              <w:t>期或更轻分期的前列腺癌（注：如果为女性重大疾病保险，则不包括此项</w:t>
            </w:r>
            <w:r>
              <w:rPr>
                <w:spacing w:val="-106"/>
                <w:sz w:val="21"/>
                <w:vertAlign w:val="baseline"/>
              </w:rPr>
              <w:t>）</w:t>
            </w:r>
            <w:r>
              <w:rPr>
                <w:sz w:val="21"/>
                <w:vertAlign w:val="baseline"/>
              </w:rPr>
              <w:t>。</w:t>
            </w:r>
          </w:p>
          <w:p>
            <w:pPr>
              <w:pStyle w:val="TableParagraph"/>
              <w:spacing w:before="20"/>
              <w:ind w:left="213"/>
              <w:rPr>
                <w:b/>
                <w:sz w:val="21"/>
              </w:rPr>
            </w:pPr>
            <w:r>
              <w:rPr>
                <w:b/>
                <w:sz w:val="21"/>
              </w:rPr>
              <w:t>任何在诊断时已经超越以上阶段的癌症不在此项责任保障范围内。</w:t>
            </w:r>
          </w:p>
        </w:tc>
      </w:tr>
      <w:tr>
        <w:trPr>
          <w:trHeight w:val="936" w:hRule="atLeast"/>
        </w:trPr>
        <w:tc>
          <w:tcPr>
            <w:tcW w:w="489" w:type="dxa"/>
          </w:tcPr>
          <w:p>
            <w:pPr>
              <w:pStyle w:val="TableParagraph"/>
              <w:spacing w:before="38"/>
              <w:ind w:left="180" w:right="111"/>
              <w:jc w:val="center"/>
              <w:rPr>
                <w:rFonts w:ascii="Times New Roman"/>
                <w:sz w:val="21"/>
              </w:rPr>
            </w:pPr>
            <w:r>
              <w:rPr>
                <w:rFonts w:ascii="Times New Roman"/>
                <w:sz w:val="21"/>
              </w:rPr>
              <w:t>3.</w:t>
            </w:r>
          </w:p>
        </w:tc>
        <w:tc>
          <w:tcPr>
            <w:tcW w:w="2760" w:type="dxa"/>
          </w:tcPr>
          <w:p>
            <w:pPr>
              <w:pStyle w:val="TableParagraph"/>
              <w:spacing w:line="273" w:lineRule="auto"/>
              <w:ind w:left="131" w:right="209"/>
              <w:rPr>
                <w:sz w:val="21"/>
              </w:rPr>
            </w:pPr>
            <w:r>
              <w:rPr>
                <w:spacing w:val="-16"/>
                <w:sz w:val="21"/>
              </w:rPr>
              <w:t>冠状动脉介入手术</w:t>
            </w:r>
            <w:r>
              <w:rPr>
                <w:spacing w:val="-3"/>
                <w:sz w:val="21"/>
              </w:rPr>
              <w:t>（</w:t>
            </w:r>
            <w:r>
              <w:rPr>
                <w:spacing w:val="-2"/>
                <w:sz w:val="21"/>
              </w:rPr>
              <w:t>非开胸手术）</w:t>
            </w:r>
          </w:p>
        </w:tc>
        <w:tc>
          <w:tcPr>
            <w:tcW w:w="7057" w:type="dxa"/>
          </w:tcPr>
          <w:p>
            <w:pPr>
              <w:pStyle w:val="TableParagraph"/>
              <w:spacing w:line="273" w:lineRule="auto"/>
              <w:ind w:left="213" w:right="197"/>
              <w:rPr>
                <w:sz w:val="21"/>
              </w:rPr>
            </w:pPr>
            <w:r>
              <w:rPr>
                <w:spacing w:val="-7"/>
                <w:sz w:val="21"/>
              </w:rPr>
              <w:t>冠状动脉介入手术是指为了治疗明显的冠状动脉狭窄性疾病，首次实际实</w:t>
            </w:r>
            <w:r>
              <w:rPr>
                <w:spacing w:val="-11"/>
                <w:sz w:val="21"/>
              </w:rPr>
              <w:t>施了冠状动脉球囊扩张成形术、冠状动脉支架植入术或激光冠状动脉成形</w:t>
            </w:r>
          </w:p>
          <w:p>
            <w:pPr>
              <w:pStyle w:val="TableParagraph"/>
              <w:spacing w:before="16"/>
              <w:ind w:left="213"/>
              <w:rPr>
                <w:sz w:val="21"/>
              </w:rPr>
            </w:pPr>
            <w:r>
              <w:rPr>
                <w:sz w:val="21"/>
              </w:rPr>
              <w:t>术。</w:t>
            </w:r>
          </w:p>
        </w:tc>
      </w:tr>
      <w:tr>
        <w:trPr>
          <w:trHeight w:val="1842" w:hRule="atLeast"/>
        </w:trPr>
        <w:tc>
          <w:tcPr>
            <w:tcW w:w="489" w:type="dxa"/>
          </w:tcPr>
          <w:p>
            <w:pPr>
              <w:pStyle w:val="TableParagraph"/>
              <w:spacing w:before="38"/>
              <w:ind w:left="180" w:right="111"/>
              <w:jc w:val="center"/>
              <w:rPr>
                <w:rFonts w:ascii="Times New Roman"/>
                <w:sz w:val="21"/>
              </w:rPr>
            </w:pPr>
            <w:r>
              <w:rPr>
                <w:rFonts w:ascii="Times New Roman"/>
                <w:sz w:val="21"/>
              </w:rPr>
              <w:t>4.</w:t>
            </w:r>
          </w:p>
        </w:tc>
        <w:tc>
          <w:tcPr>
            <w:tcW w:w="2760" w:type="dxa"/>
          </w:tcPr>
          <w:p>
            <w:pPr>
              <w:pStyle w:val="TableParagraph"/>
              <w:spacing w:line="266" w:lineRule="exact"/>
              <w:ind w:left="131"/>
              <w:rPr>
                <w:sz w:val="21"/>
              </w:rPr>
            </w:pPr>
            <w:r>
              <w:rPr>
                <w:sz w:val="21"/>
              </w:rPr>
              <w:t>轻微脑中风</w:t>
            </w:r>
          </w:p>
        </w:tc>
        <w:tc>
          <w:tcPr>
            <w:tcW w:w="7057" w:type="dxa"/>
          </w:tcPr>
          <w:p>
            <w:pPr>
              <w:pStyle w:val="TableParagraph"/>
              <w:spacing w:line="261" w:lineRule="auto"/>
              <w:ind w:left="213" w:right="196"/>
              <w:jc w:val="both"/>
              <w:rPr>
                <w:sz w:val="21"/>
              </w:rPr>
            </w:pPr>
            <w:r>
              <w:rPr>
                <w:spacing w:val="-6"/>
                <w:sz w:val="21"/>
              </w:rPr>
              <w:t>指被保险人实际发生了脑血管的突发病变出现神经系统功能障碍表现，头</w:t>
            </w:r>
            <w:r>
              <w:rPr>
                <w:spacing w:val="-5"/>
                <w:w w:val="100"/>
                <w:sz w:val="21"/>
              </w:rPr>
              <w:t>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3"/>
                <w:w w:val="100"/>
                <w:sz w:val="21"/>
              </w:rPr>
              <w:t>）等影像学检查证实存在对应病</w:t>
            </w:r>
            <w:r>
              <w:rPr>
                <w:spacing w:val="-14"/>
                <w:sz w:val="21"/>
              </w:rPr>
              <w:t>灶，确诊为脑出血、脑栓塞或脑梗塞，在确诊 </w:t>
            </w:r>
            <w:r>
              <w:rPr>
                <w:rFonts w:ascii="Times New Roman" w:eastAsia="Times New Roman"/>
                <w:sz w:val="21"/>
              </w:rPr>
              <w:t>180 </w:t>
            </w:r>
            <w:r>
              <w:rPr>
                <w:spacing w:val="-3"/>
                <w:sz w:val="21"/>
              </w:rPr>
              <w:t>天后遗留神经系统功能</w:t>
            </w:r>
            <w:r>
              <w:rPr>
                <w:sz w:val="21"/>
              </w:rPr>
              <w:t>障碍。后遗的神经系统功能障碍程度虽未达到本附加合同所指重大疾病</w:t>
            </w:r>
          </w:p>
          <w:p>
            <w:pPr>
              <w:pStyle w:val="TableParagraph"/>
              <w:spacing w:before="27"/>
              <w:ind w:left="213"/>
              <w:jc w:val="both"/>
              <w:rPr>
                <w:sz w:val="21"/>
              </w:rPr>
            </w:pPr>
            <w:r>
              <w:rPr>
                <w:sz w:val="21"/>
              </w:rPr>
              <w:t>“脑中风后遗症”的给付标准，但仍遗留下列一种或一种以上障碍：</w:t>
            </w:r>
          </w:p>
          <w:p>
            <w:pPr>
              <w:pStyle w:val="TableParagraph"/>
              <w:spacing w:line="271" w:lineRule="exact" w:before="37"/>
              <w:ind w:left="213"/>
              <w:jc w:val="both"/>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2 </w:t>
            </w:r>
            <w:r>
              <w:rPr>
                <w:sz w:val="21"/>
              </w:rPr>
              <w:t>级或 </w:t>
            </w:r>
            <w:r>
              <w:rPr>
                <w:rFonts w:ascii="Times New Roman" w:eastAsia="Times New Roman"/>
                <w:sz w:val="21"/>
              </w:rPr>
              <w:t>2 </w:t>
            </w:r>
            <w:r>
              <w:rPr>
                <w:sz w:val="21"/>
              </w:rPr>
              <w:t>级以下；</w:t>
            </w:r>
          </w:p>
        </w:tc>
      </w:tr>
    </w:tbl>
    <w:p>
      <w:pPr>
        <w:spacing w:after="0" w:line="271" w:lineRule="exact"/>
        <w:jc w:val="both"/>
        <w:rPr>
          <w:sz w:val="21"/>
        </w:rPr>
        <w:sectPr>
          <w:pgSz w:w="11910" w:h="16160"/>
          <w:pgMar w:header="0" w:footer="631" w:top="142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708"/>
        <w:gridCol w:w="7136"/>
      </w:tblGrid>
      <w:tr>
        <w:trPr>
          <w:trHeight w:val="576" w:hRule="atLeast"/>
        </w:trPr>
        <w:tc>
          <w:tcPr>
            <w:tcW w:w="542" w:type="dxa"/>
          </w:tcPr>
          <w:p>
            <w:pPr>
              <w:pStyle w:val="TableParagraph"/>
              <w:rPr>
                <w:rFonts w:ascii="Times New Roman"/>
                <w:sz w:val="20"/>
              </w:rPr>
            </w:pPr>
          </w:p>
        </w:tc>
        <w:tc>
          <w:tcPr>
            <w:tcW w:w="2708" w:type="dxa"/>
          </w:tcPr>
          <w:p>
            <w:pPr>
              <w:pStyle w:val="TableParagraph"/>
              <w:rPr>
                <w:rFonts w:ascii="Times New Roman"/>
                <w:sz w:val="20"/>
              </w:rPr>
            </w:pPr>
          </w:p>
        </w:tc>
        <w:tc>
          <w:tcPr>
            <w:tcW w:w="7136" w:type="dxa"/>
          </w:tcPr>
          <w:p>
            <w:pPr>
              <w:pStyle w:val="TableParagraph"/>
              <w:spacing w:line="234" w:lineRule="exact"/>
              <w:ind w:left="212"/>
              <w:rPr>
                <w:sz w:val="21"/>
              </w:rPr>
            </w:pPr>
            <w:r>
              <w:rPr>
                <w:sz w:val="21"/>
              </w:rPr>
              <w:t>（</w:t>
            </w:r>
            <w:r>
              <w:rPr>
                <w:rFonts w:ascii="Times New Roman" w:eastAsia="Times New Roman"/>
                <w:sz w:val="21"/>
              </w:rPr>
              <w:t>2</w:t>
            </w:r>
            <w:r>
              <w:rPr>
                <w:sz w:val="21"/>
              </w:rPr>
              <w:t>）自主生活能力部分丧失，无法独立完成六项基本日常生活活动中的</w:t>
            </w:r>
          </w:p>
          <w:p>
            <w:pPr>
              <w:pStyle w:val="TableParagraph"/>
              <w:spacing w:before="21"/>
              <w:ind w:left="212"/>
              <w:rPr>
                <w:sz w:val="21"/>
              </w:rPr>
            </w:pPr>
            <w:r>
              <w:rPr>
                <w:sz w:val="21"/>
              </w:rPr>
              <w:t>两项或两项以上。</w:t>
            </w:r>
          </w:p>
        </w:tc>
      </w:tr>
      <w:tr>
        <w:trPr>
          <w:trHeight w:val="624" w:hRule="atLeast"/>
        </w:trPr>
        <w:tc>
          <w:tcPr>
            <w:tcW w:w="542" w:type="dxa"/>
          </w:tcPr>
          <w:p>
            <w:pPr>
              <w:pStyle w:val="TableParagraph"/>
              <w:spacing w:before="38"/>
              <w:ind w:left="200"/>
              <w:rPr>
                <w:rFonts w:ascii="Times New Roman"/>
                <w:sz w:val="21"/>
              </w:rPr>
            </w:pPr>
            <w:r>
              <w:rPr>
                <w:rFonts w:ascii="Times New Roman"/>
                <w:sz w:val="21"/>
              </w:rPr>
              <w:t>5.</w:t>
            </w:r>
          </w:p>
        </w:tc>
        <w:tc>
          <w:tcPr>
            <w:tcW w:w="2708" w:type="dxa"/>
          </w:tcPr>
          <w:p>
            <w:pPr>
              <w:pStyle w:val="TableParagraph"/>
              <w:spacing w:line="266" w:lineRule="exact"/>
              <w:ind w:left="78"/>
              <w:rPr>
                <w:sz w:val="21"/>
              </w:rPr>
            </w:pPr>
            <w:r>
              <w:rPr>
                <w:sz w:val="21"/>
              </w:rPr>
              <w:t>心脏瓣膜介入手术（非开胸</w:t>
            </w:r>
          </w:p>
          <w:p>
            <w:pPr>
              <w:pStyle w:val="TableParagraph"/>
              <w:spacing w:before="37"/>
              <w:ind w:left="78"/>
              <w:rPr>
                <w:sz w:val="21"/>
              </w:rPr>
            </w:pPr>
            <w:r>
              <w:rPr>
                <w:sz w:val="21"/>
              </w:rPr>
              <w:t>手术）</w:t>
            </w:r>
          </w:p>
        </w:tc>
        <w:tc>
          <w:tcPr>
            <w:tcW w:w="7136" w:type="dxa"/>
          </w:tcPr>
          <w:p>
            <w:pPr>
              <w:pStyle w:val="TableParagraph"/>
              <w:spacing w:line="266" w:lineRule="exact"/>
              <w:ind w:left="212"/>
              <w:rPr>
                <w:sz w:val="21"/>
              </w:rPr>
            </w:pPr>
            <w:r>
              <w:rPr>
                <w:sz w:val="21"/>
              </w:rPr>
              <w:t>为了治疗心脏瓣膜疾病，被保险人实际接受了非开胸的经胸壁打孔内镜手</w:t>
            </w:r>
          </w:p>
          <w:p>
            <w:pPr>
              <w:pStyle w:val="TableParagraph"/>
              <w:spacing w:before="37"/>
              <w:ind w:left="212"/>
              <w:rPr>
                <w:sz w:val="21"/>
              </w:rPr>
            </w:pPr>
            <w:r>
              <w:rPr>
                <w:sz w:val="21"/>
              </w:rPr>
              <w:t>术或经皮经导管介入手术进行的心脏瓣膜置换或修复手术。</w:t>
            </w:r>
          </w:p>
        </w:tc>
      </w:tr>
      <w:tr>
        <w:trPr>
          <w:trHeight w:val="1567" w:hRule="atLeast"/>
        </w:trPr>
        <w:tc>
          <w:tcPr>
            <w:tcW w:w="542" w:type="dxa"/>
          </w:tcPr>
          <w:p>
            <w:pPr>
              <w:pStyle w:val="TableParagraph"/>
              <w:spacing w:before="38"/>
              <w:ind w:left="200"/>
              <w:rPr>
                <w:rFonts w:ascii="Times New Roman"/>
                <w:sz w:val="21"/>
              </w:rPr>
            </w:pPr>
            <w:r>
              <w:rPr>
                <w:rFonts w:ascii="Times New Roman"/>
                <w:sz w:val="21"/>
              </w:rPr>
              <w:t>6.</w:t>
            </w:r>
          </w:p>
        </w:tc>
        <w:tc>
          <w:tcPr>
            <w:tcW w:w="2708" w:type="dxa"/>
          </w:tcPr>
          <w:p>
            <w:pPr>
              <w:pStyle w:val="TableParagraph"/>
              <w:spacing w:line="273" w:lineRule="auto"/>
              <w:ind w:left="78" w:right="210"/>
              <w:rPr>
                <w:sz w:val="21"/>
              </w:rPr>
            </w:pPr>
            <w:r>
              <w:rPr>
                <w:spacing w:val="-12"/>
                <w:sz w:val="21"/>
              </w:rPr>
              <w:t>脑垂体瘤、脑囊肿、脑动脉</w:t>
            </w:r>
            <w:r>
              <w:rPr>
                <w:spacing w:val="-6"/>
                <w:sz w:val="21"/>
              </w:rPr>
              <w:t>瘤、脑血管瘤</w:t>
            </w:r>
          </w:p>
        </w:tc>
        <w:tc>
          <w:tcPr>
            <w:tcW w:w="7136" w:type="dxa"/>
          </w:tcPr>
          <w:p>
            <w:pPr>
              <w:pStyle w:val="TableParagraph"/>
              <w:spacing w:line="256" w:lineRule="auto"/>
              <w:ind w:left="212" w:right="276"/>
              <w:rPr>
                <w:sz w:val="21"/>
              </w:rPr>
            </w:pPr>
            <w:r>
              <w:rPr>
                <w:spacing w:val="-3"/>
                <w:w w:val="100"/>
                <w:sz w:val="21"/>
              </w:rPr>
              <w:t>指被保险人经头颅断层扫描（</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3"/>
                <w:w w:val="100"/>
                <w:sz w:val="21"/>
              </w:rPr>
              <w:t>）或其他影像学</w:t>
            </w:r>
            <w:r>
              <w:rPr>
                <w:spacing w:val="-3"/>
                <w:sz w:val="21"/>
              </w:rPr>
              <w:t>检查被确诊为下列病变，并实际接受了手术或放射治疗。</w:t>
            </w:r>
          </w:p>
          <w:p>
            <w:pPr>
              <w:pStyle w:val="TableParagraph"/>
              <w:spacing w:before="31"/>
              <w:ind w:left="212"/>
              <w:rPr>
                <w:sz w:val="21"/>
              </w:rPr>
            </w:pPr>
            <w:r>
              <w:rPr>
                <w:sz w:val="21"/>
              </w:rPr>
              <w:t>（</w:t>
            </w:r>
            <w:r>
              <w:rPr>
                <w:rFonts w:ascii="Times New Roman" w:eastAsia="Times New Roman"/>
                <w:sz w:val="21"/>
              </w:rPr>
              <w:t>1</w:t>
            </w:r>
            <w:r>
              <w:rPr>
                <w:sz w:val="21"/>
              </w:rPr>
              <w:t>）脑垂体瘤；</w:t>
            </w:r>
          </w:p>
          <w:p>
            <w:pPr>
              <w:pStyle w:val="TableParagraph"/>
              <w:spacing w:before="21"/>
              <w:ind w:left="212"/>
              <w:rPr>
                <w:sz w:val="21"/>
              </w:rPr>
            </w:pPr>
            <w:r>
              <w:rPr>
                <w:sz w:val="21"/>
              </w:rPr>
              <w:t>（</w:t>
            </w:r>
            <w:r>
              <w:rPr>
                <w:rFonts w:ascii="Times New Roman" w:eastAsia="Times New Roman"/>
                <w:sz w:val="21"/>
              </w:rPr>
              <w:t>2</w:t>
            </w:r>
            <w:r>
              <w:rPr>
                <w:sz w:val="21"/>
              </w:rPr>
              <w:t>）脑囊肿；</w:t>
            </w:r>
          </w:p>
          <w:p>
            <w:pPr>
              <w:pStyle w:val="TableParagraph"/>
              <w:spacing w:before="21"/>
              <w:ind w:left="212"/>
              <w:rPr>
                <w:sz w:val="21"/>
              </w:rPr>
            </w:pPr>
            <w:r>
              <w:rPr>
                <w:sz w:val="21"/>
              </w:rPr>
              <w:t>（</w:t>
            </w:r>
            <w:r>
              <w:rPr>
                <w:rFonts w:ascii="Times New Roman" w:eastAsia="Times New Roman"/>
                <w:sz w:val="21"/>
              </w:rPr>
              <w:t>3</w:t>
            </w:r>
            <w:r>
              <w:rPr>
                <w:sz w:val="21"/>
              </w:rPr>
              <w:t>）脑动脉瘤、脑血管瘤。</w:t>
            </w:r>
          </w:p>
        </w:tc>
      </w:tr>
      <w:tr>
        <w:trPr>
          <w:trHeight w:val="2176" w:hRule="atLeast"/>
        </w:trPr>
        <w:tc>
          <w:tcPr>
            <w:tcW w:w="542" w:type="dxa"/>
          </w:tcPr>
          <w:p>
            <w:pPr>
              <w:pStyle w:val="TableParagraph"/>
              <w:spacing w:before="30"/>
              <w:ind w:left="200"/>
              <w:rPr>
                <w:rFonts w:ascii="Times New Roman"/>
                <w:sz w:val="21"/>
              </w:rPr>
            </w:pPr>
            <w:r>
              <w:rPr>
                <w:rFonts w:ascii="Times New Roman"/>
                <w:sz w:val="21"/>
              </w:rPr>
              <w:t>7.</w:t>
            </w:r>
          </w:p>
        </w:tc>
        <w:tc>
          <w:tcPr>
            <w:tcW w:w="2708" w:type="dxa"/>
          </w:tcPr>
          <w:p>
            <w:pPr>
              <w:pStyle w:val="TableParagraph"/>
              <w:spacing w:line="258" w:lineRule="exact"/>
              <w:ind w:left="78"/>
              <w:rPr>
                <w:sz w:val="21"/>
              </w:rPr>
            </w:pPr>
            <w:r>
              <w:rPr>
                <w:sz w:val="21"/>
              </w:rPr>
              <w:t>重症头部外伤</w:t>
            </w:r>
          </w:p>
        </w:tc>
        <w:tc>
          <w:tcPr>
            <w:tcW w:w="7136" w:type="dxa"/>
          </w:tcPr>
          <w:p>
            <w:pPr>
              <w:pStyle w:val="TableParagraph"/>
              <w:spacing w:line="258" w:lineRule="exact"/>
              <w:ind w:left="212"/>
              <w:rPr>
                <w:sz w:val="21"/>
              </w:rPr>
            </w:pPr>
            <w:r>
              <w:rPr>
                <w:sz w:val="21"/>
              </w:rPr>
              <w:t>指因头部遭受机械性外力伤害，引起脑重要部位损伤，并且由头颅断层扫</w:t>
            </w:r>
          </w:p>
          <w:p>
            <w:pPr>
              <w:pStyle w:val="TableParagraph"/>
              <w:spacing w:line="264" w:lineRule="auto" w:before="37"/>
              <w:ind w:left="212" w:right="276"/>
              <w:jc w:val="both"/>
              <w:rPr>
                <w:sz w:val="21"/>
              </w:rPr>
            </w:pPr>
            <w:r>
              <w:rPr>
                <w:w w:val="100"/>
                <w:sz w:val="21"/>
              </w:rPr>
              <w:t>描</w:t>
            </w:r>
            <w:r>
              <w:rPr>
                <w:spacing w:val="-3"/>
                <w:w w:val="100"/>
                <w:sz w:val="21"/>
              </w:rPr>
              <w:t>（</w:t>
            </w:r>
            <w:r>
              <w:rPr>
                <w:rFonts w:ascii="Times New Roman" w:hAnsi="Times New Roman" w:eastAsia="Times New Roman"/>
                <w:w w:val="100"/>
                <w:sz w:val="21"/>
              </w:rPr>
              <w:t>CT</w:t>
            </w:r>
            <w:r>
              <w:rPr>
                <w:spacing w:val="-108"/>
                <w:w w:val="100"/>
                <w:sz w:val="21"/>
              </w:rPr>
              <w:t>）</w:t>
            </w:r>
            <w:r>
              <w:rPr>
                <w:spacing w:val="-3"/>
                <w:w w:val="100"/>
                <w:sz w:val="21"/>
              </w:rPr>
              <w:t>、核磁共振检查</w:t>
            </w:r>
            <w:r>
              <w:rPr>
                <w:w w:val="100"/>
                <w:sz w:val="21"/>
              </w:rPr>
              <w:t>（</w:t>
            </w:r>
            <w:r>
              <w:rPr>
                <w:rFonts w:ascii="Times New Roman" w:hAnsi="Times New Roman" w:eastAsia="Times New Roman"/>
                <w:w w:val="100"/>
                <w:sz w:val="21"/>
              </w:rPr>
              <w:t>MR</w:t>
            </w:r>
            <w:r>
              <w:rPr>
                <w:rFonts w:ascii="Times New Roman" w:hAnsi="Times New Roman" w:eastAsia="Times New Roman"/>
                <w:spacing w:val="-3"/>
                <w:w w:val="100"/>
                <w:sz w:val="21"/>
              </w:rPr>
              <w:t>I</w:t>
            </w:r>
            <w:r>
              <w:rPr>
                <w:w w:val="100"/>
                <w:sz w:val="21"/>
              </w:rPr>
              <w:t>）</w:t>
            </w:r>
            <w:r>
              <w:rPr>
                <w:spacing w:val="-3"/>
                <w:w w:val="100"/>
                <w:sz w:val="21"/>
              </w:rPr>
              <w:t>或正电子发射断层扫描（</w:t>
            </w:r>
            <w:r>
              <w:rPr>
                <w:rFonts w:ascii="Times New Roman" w:hAnsi="Times New Roman" w:eastAsia="Times New Roman"/>
                <w:w w:val="100"/>
                <w:sz w:val="21"/>
              </w:rPr>
              <w:t>PE</w:t>
            </w:r>
            <w:r>
              <w:rPr>
                <w:rFonts w:ascii="Times New Roman" w:hAnsi="Times New Roman" w:eastAsia="Times New Roman"/>
                <w:spacing w:val="-2"/>
                <w:w w:val="100"/>
                <w:sz w:val="21"/>
              </w:rPr>
              <w:t>T</w:t>
            </w:r>
            <w:r>
              <w:rPr>
                <w:w w:val="100"/>
                <w:sz w:val="21"/>
              </w:rPr>
              <w:t>）</w:t>
            </w:r>
            <w:r>
              <w:rPr>
                <w:spacing w:val="-2"/>
                <w:w w:val="100"/>
                <w:sz w:val="21"/>
              </w:rPr>
              <w:t>等影像</w:t>
            </w:r>
            <w:r>
              <w:rPr>
                <w:spacing w:val="-10"/>
                <w:sz w:val="21"/>
              </w:rPr>
              <w:t>学检查证实。头部外伤导致神经系统功能障碍，虽然未达到本附加合同所</w:t>
            </w:r>
            <w:r>
              <w:rPr>
                <w:spacing w:val="-5"/>
                <w:sz w:val="21"/>
              </w:rPr>
              <w:t>指重大疾病“严重脑损伤”的给付标准，但是符合以下条件之一：</w:t>
            </w:r>
          </w:p>
          <w:p>
            <w:pPr>
              <w:pStyle w:val="TableParagraph"/>
              <w:spacing w:before="16"/>
              <w:ind w:left="212"/>
              <w:rPr>
                <w:sz w:val="21"/>
              </w:rPr>
            </w:pPr>
            <w:r>
              <w:rPr>
                <w:w w:val="100"/>
                <w:sz w:val="21"/>
              </w:rPr>
              <w:t>（</w:t>
            </w:r>
            <w:r>
              <w:rPr>
                <w:rFonts w:ascii="Times New Roman" w:eastAsia="Times New Roman"/>
                <w:w w:val="100"/>
                <w:sz w:val="21"/>
              </w:rPr>
              <w:t>1</w:t>
            </w:r>
            <w:r>
              <w:rPr>
                <w:spacing w:val="-94"/>
                <w:w w:val="100"/>
                <w:sz w:val="21"/>
              </w:rPr>
              <w:t>）</w:t>
            </w:r>
            <w:r>
              <w:rPr>
                <w:spacing w:val="-8"/>
                <w:w w:val="100"/>
                <w:sz w:val="21"/>
              </w:rPr>
              <w:t>被保险人接受了全麻下颅骨切开颅内血肿清除术</w:t>
            </w:r>
            <w:r>
              <w:rPr>
                <w:w w:val="100"/>
                <w:sz w:val="21"/>
              </w:rPr>
              <w:t>（</w:t>
            </w:r>
            <w:r>
              <w:rPr>
                <w:spacing w:val="-3"/>
                <w:w w:val="100"/>
                <w:sz w:val="21"/>
              </w:rPr>
              <w:t>颅骨钻孔术除外</w:t>
            </w:r>
            <w:r>
              <w:rPr>
                <w:w w:val="100"/>
                <w:sz w:val="21"/>
              </w:rPr>
              <w:t>）</w:t>
            </w:r>
          </w:p>
          <w:p>
            <w:pPr>
              <w:pStyle w:val="TableParagraph"/>
              <w:spacing w:line="256" w:lineRule="auto" w:before="21"/>
              <w:ind w:left="212" w:right="279"/>
              <w:jc w:val="both"/>
              <w:rPr>
                <w:sz w:val="21"/>
              </w:rPr>
            </w:pPr>
            <w:r>
              <w:rPr>
                <w:spacing w:val="-16"/>
                <w:sz w:val="21"/>
              </w:rPr>
              <w:t>（</w:t>
            </w:r>
            <w:r>
              <w:rPr>
                <w:rFonts w:ascii="Times New Roman" w:eastAsia="Times New Roman"/>
                <w:spacing w:val="-16"/>
                <w:sz w:val="21"/>
              </w:rPr>
              <w:t>2</w:t>
            </w:r>
            <w:r>
              <w:rPr>
                <w:spacing w:val="-16"/>
                <w:sz w:val="21"/>
              </w:rPr>
              <w:t>）</w:t>
            </w:r>
            <w:r>
              <w:rPr>
                <w:spacing w:val="-14"/>
                <w:sz w:val="21"/>
              </w:rPr>
              <w:t>在外伤 </w:t>
            </w:r>
            <w:r>
              <w:rPr>
                <w:rFonts w:ascii="Times New Roman" w:eastAsia="Times New Roman"/>
                <w:sz w:val="21"/>
              </w:rPr>
              <w:t>180 </w:t>
            </w:r>
            <w:r>
              <w:rPr>
                <w:spacing w:val="-6"/>
                <w:sz w:val="21"/>
              </w:rPr>
              <w:t>天后仍然遗留一肢或一肢以上肢体肌力 </w:t>
            </w:r>
            <w:r>
              <w:rPr>
                <w:rFonts w:ascii="Times New Roman" w:eastAsia="Times New Roman"/>
                <w:sz w:val="21"/>
              </w:rPr>
              <w:t>II </w:t>
            </w:r>
            <w:r>
              <w:rPr>
                <w:spacing w:val="-16"/>
                <w:sz w:val="21"/>
              </w:rPr>
              <w:t>级或 </w:t>
            </w:r>
            <w:r>
              <w:rPr>
                <w:rFonts w:ascii="Times New Roman" w:eastAsia="Times New Roman"/>
                <w:sz w:val="21"/>
              </w:rPr>
              <w:t>II </w:t>
            </w:r>
            <w:r>
              <w:rPr>
                <w:sz w:val="21"/>
              </w:rPr>
              <w:t>级以下</w:t>
            </w:r>
            <w:r>
              <w:rPr>
                <w:spacing w:val="-3"/>
                <w:sz w:val="21"/>
              </w:rPr>
              <w:t>的运动功能障碍。</w:t>
            </w:r>
          </w:p>
        </w:tc>
      </w:tr>
      <w:tr>
        <w:trPr>
          <w:trHeight w:val="631" w:hRule="atLeast"/>
        </w:trPr>
        <w:tc>
          <w:tcPr>
            <w:tcW w:w="542" w:type="dxa"/>
          </w:tcPr>
          <w:p>
            <w:pPr>
              <w:pStyle w:val="TableParagraph"/>
              <w:spacing w:before="38"/>
              <w:ind w:left="200"/>
              <w:rPr>
                <w:rFonts w:ascii="Times New Roman"/>
                <w:sz w:val="21"/>
              </w:rPr>
            </w:pPr>
            <w:r>
              <w:rPr>
                <w:rFonts w:ascii="Times New Roman"/>
                <w:sz w:val="21"/>
              </w:rPr>
              <w:t>8.</w:t>
            </w:r>
          </w:p>
        </w:tc>
        <w:tc>
          <w:tcPr>
            <w:tcW w:w="2708" w:type="dxa"/>
          </w:tcPr>
          <w:p>
            <w:pPr>
              <w:pStyle w:val="TableParagraph"/>
              <w:spacing w:line="266" w:lineRule="exact"/>
              <w:ind w:left="78"/>
              <w:rPr>
                <w:sz w:val="21"/>
              </w:rPr>
            </w:pPr>
            <w:r>
              <w:rPr>
                <w:sz w:val="21"/>
              </w:rPr>
              <w:t>特定面积Ⅲ度烧伤</w:t>
            </w:r>
          </w:p>
        </w:tc>
        <w:tc>
          <w:tcPr>
            <w:tcW w:w="7136" w:type="dxa"/>
          </w:tcPr>
          <w:p>
            <w:pPr>
              <w:pStyle w:val="TableParagraph"/>
              <w:spacing w:line="256" w:lineRule="auto"/>
              <w:ind w:left="212" w:right="382"/>
              <w:rPr>
                <w:sz w:val="21"/>
              </w:rPr>
            </w:pPr>
            <w:r>
              <w:rPr>
                <w:spacing w:val="-10"/>
                <w:sz w:val="21"/>
              </w:rPr>
              <w:t>指烧伤程度为Ⅲ度，且Ⅲ度烧伤面积为全身体表面积的 </w:t>
            </w:r>
            <w:r>
              <w:rPr>
                <w:rFonts w:ascii="Times New Roman" w:hAnsi="Times New Roman" w:eastAsia="Times New Roman"/>
                <w:sz w:val="21"/>
              </w:rPr>
              <w:t>10</w:t>
            </w:r>
            <w:r>
              <w:rPr>
                <w:spacing w:val="-14"/>
                <w:sz w:val="21"/>
              </w:rPr>
              <w:t>％或 </w:t>
            </w:r>
            <w:r>
              <w:rPr>
                <w:rFonts w:ascii="Times New Roman" w:hAnsi="Times New Roman" w:eastAsia="Times New Roman"/>
                <w:sz w:val="21"/>
              </w:rPr>
              <w:t>10%</w:t>
            </w:r>
            <w:r>
              <w:rPr>
                <w:sz w:val="21"/>
              </w:rPr>
              <w:t>以上</w:t>
            </w:r>
            <w:r>
              <w:rPr>
                <w:spacing w:val="-7"/>
                <w:sz w:val="21"/>
              </w:rPr>
              <w:t>但尚未达到 </w:t>
            </w:r>
            <w:r>
              <w:rPr>
                <w:rFonts w:ascii="Times New Roman" w:hAnsi="Times New Roman" w:eastAsia="Times New Roman"/>
                <w:sz w:val="21"/>
              </w:rPr>
              <w:t>20%</w:t>
            </w:r>
            <w:r>
              <w:rPr>
                <w:spacing w:val="-3"/>
                <w:sz w:val="21"/>
              </w:rPr>
              <w:t>。体表面积根据《中国新九分法》计算。</w:t>
            </w:r>
          </w:p>
        </w:tc>
      </w:tr>
      <w:tr>
        <w:trPr>
          <w:trHeight w:val="616" w:hRule="atLeast"/>
        </w:trPr>
        <w:tc>
          <w:tcPr>
            <w:tcW w:w="542" w:type="dxa"/>
          </w:tcPr>
          <w:p>
            <w:pPr>
              <w:pStyle w:val="TableParagraph"/>
              <w:spacing w:before="30"/>
              <w:ind w:left="200"/>
              <w:rPr>
                <w:rFonts w:ascii="Times New Roman"/>
                <w:sz w:val="21"/>
              </w:rPr>
            </w:pPr>
            <w:r>
              <w:rPr>
                <w:rFonts w:ascii="Times New Roman"/>
                <w:sz w:val="21"/>
              </w:rPr>
              <w:t>9.</w:t>
            </w:r>
          </w:p>
        </w:tc>
        <w:tc>
          <w:tcPr>
            <w:tcW w:w="2708" w:type="dxa"/>
          </w:tcPr>
          <w:p>
            <w:pPr>
              <w:pStyle w:val="TableParagraph"/>
              <w:spacing w:line="258" w:lineRule="exact"/>
              <w:ind w:left="78"/>
              <w:rPr>
                <w:sz w:val="21"/>
              </w:rPr>
            </w:pPr>
            <w:r>
              <w:rPr>
                <w:sz w:val="21"/>
              </w:rPr>
              <w:t>主动脉介入手术</w:t>
            </w:r>
          </w:p>
        </w:tc>
        <w:tc>
          <w:tcPr>
            <w:tcW w:w="7136" w:type="dxa"/>
          </w:tcPr>
          <w:p>
            <w:pPr>
              <w:pStyle w:val="TableParagraph"/>
              <w:spacing w:line="258" w:lineRule="exact"/>
              <w:ind w:left="212"/>
              <w:rPr>
                <w:sz w:val="21"/>
              </w:rPr>
            </w:pPr>
            <w:r>
              <w:rPr>
                <w:sz w:val="21"/>
              </w:rPr>
              <w:t>指为治疗主动脉疾病实际实施了经皮经导管进行的动脉内手术。主动脉指</w:t>
            </w:r>
          </w:p>
          <w:p>
            <w:pPr>
              <w:pStyle w:val="TableParagraph"/>
              <w:spacing w:before="37"/>
              <w:ind w:left="212"/>
              <w:rPr>
                <w:b/>
                <w:sz w:val="21"/>
              </w:rPr>
            </w:pPr>
            <w:r>
              <w:rPr>
                <w:sz w:val="21"/>
              </w:rPr>
              <w:t>胸主动脉和腹主动脉，但</w:t>
            </w:r>
            <w:r>
              <w:rPr>
                <w:b/>
                <w:sz w:val="21"/>
              </w:rPr>
              <w:t>不包括胸主动脉和腹主动脉的分支血管。</w:t>
            </w:r>
          </w:p>
        </w:tc>
      </w:tr>
      <w:tr>
        <w:trPr>
          <w:trHeight w:val="2138" w:hRule="atLeast"/>
        </w:trPr>
        <w:tc>
          <w:tcPr>
            <w:tcW w:w="542" w:type="dxa"/>
          </w:tcPr>
          <w:p>
            <w:pPr>
              <w:pStyle w:val="TableParagraph"/>
              <w:spacing w:before="38"/>
              <w:ind w:left="200"/>
              <w:rPr>
                <w:rFonts w:ascii="Times New Roman"/>
                <w:sz w:val="21"/>
              </w:rPr>
            </w:pPr>
            <w:r>
              <w:rPr>
                <w:rFonts w:ascii="Times New Roman"/>
                <w:sz w:val="21"/>
              </w:rPr>
              <w:t>10.</w:t>
            </w:r>
          </w:p>
        </w:tc>
        <w:tc>
          <w:tcPr>
            <w:tcW w:w="2708" w:type="dxa"/>
          </w:tcPr>
          <w:p>
            <w:pPr>
              <w:pStyle w:val="TableParagraph"/>
              <w:spacing w:line="282" w:lineRule="exact"/>
              <w:ind w:left="78"/>
              <w:rPr>
                <w:b/>
                <w:sz w:val="21"/>
              </w:rPr>
            </w:pPr>
            <w:r>
              <w:rPr>
                <w:sz w:val="21"/>
              </w:rPr>
              <w:t>视力受损 </w:t>
            </w:r>
            <w:r>
              <w:rPr>
                <w:rFonts w:ascii="Times New Roman" w:eastAsia="Times New Roman"/>
                <w:sz w:val="21"/>
              </w:rPr>
              <w:t>-  </w:t>
            </w:r>
            <w:r>
              <w:rPr>
                <w:b/>
                <w:sz w:val="21"/>
              </w:rPr>
              <w:t>三岁始理赔</w:t>
            </w:r>
          </w:p>
        </w:tc>
        <w:tc>
          <w:tcPr>
            <w:tcW w:w="7136" w:type="dxa"/>
          </w:tcPr>
          <w:p>
            <w:pPr>
              <w:pStyle w:val="TableParagraph"/>
              <w:spacing w:line="273" w:lineRule="auto"/>
              <w:ind w:left="212" w:right="197"/>
              <w:rPr>
                <w:sz w:val="21"/>
              </w:rPr>
            </w:pPr>
            <w:r>
              <w:rPr>
                <w:spacing w:val="-7"/>
                <w:sz w:val="21"/>
              </w:rPr>
              <w:t>是指因疾病或意外伤害导致双眼视力永久不可逆性丧失，虽然未达到本附</w:t>
            </w:r>
            <w:r>
              <w:rPr>
                <w:spacing w:val="-5"/>
                <w:sz w:val="21"/>
              </w:rPr>
              <w:t>加合同所指重大疾病“双目失明”的给付标准，但须满足下列全部条件：</w:t>
            </w:r>
          </w:p>
          <w:p>
            <w:pPr>
              <w:pStyle w:val="TableParagraph"/>
              <w:spacing w:line="256" w:lineRule="auto" w:before="17"/>
              <w:ind w:left="212" w:right="279"/>
              <w:rPr>
                <w:sz w:val="21"/>
              </w:rPr>
            </w:pPr>
            <w:r>
              <w:rPr>
                <w:spacing w:val="-10"/>
                <w:sz w:val="21"/>
              </w:rPr>
              <w:t>（</w:t>
            </w:r>
            <w:r>
              <w:rPr>
                <w:rFonts w:ascii="Times New Roman" w:eastAsia="Times New Roman"/>
                <w:spacing w:val="-10"/>
                <w:sz w:val="21"/>
              </w:rPr>
              <w:t>1</w:t>
            </w:r>
            <w:r>
              <w:rPr>
                <w:spacing w:val="-10"/>
                <w:sz w:val="21"/>
              </w:rPr>
              <w:t>）</w:t>
            </w:r>
            <w:r>
              <w:rPr>
                <w:spacing w:val="-5"/>
                <w:sz w:val="21"/>
              </w:rPr>
              <w:t>双眼中较好眼矫正视力低于 </w:t>
            </w:r>
            <w:r>
              <w:rPr>
                <w:rFonts w:ascii="Times New Roman" w:eastAsia="Times New Roman"/>
                <w:spacing w:val="-8"/>
                <w:sz w:val="21"/>
              </w:rPr>
              <w:t>0.1</w:t>
            </w:r>
            <w:r>
              <w:rPr>
                <w:spacing w:val="-8"/>
                <w:sz w:val="21"/>
              </w:rPr>
              <w:t>（</w:t>
            </w:r>
            <w:r>
              <w:rPr>
                <w:spacing w:val="-6"/>
                <w:sz w:val="21"/>
              </w:rPr>
              <w:t>采用国际标准视力表，如果使用其</w:t>
            </w:r>
            <w:r>
              <w:rPr>
                <w:spacing w:val="-4"/>
                <w:w w:val="100"/>
                <w:sz w:val="21"/>
              </w:rPr>
              <w:t>他视力表应进行换算</w:t>
            </w:r>
            <w:r>
              <w:rPr>
                <w:spacing w:val="-106"/>
                <w:w w:val="100"/>
                <w:sz w:val="21"/>
              </w:rPr>
              <w:t>）</w:t>
            </w:r>
            <w:r>
              <w:rPr>
                <w:w w:val="100"/>
                <w:sz w:val="21"/>
              </w:rPr>
              <w:t>；</w:t>
            </w:r>
          </w:p>
          <w:p>
            <w:pPr>
              <w:pStyle w:val="TableParagraph"/>
              <w:spacing w:before="22"/>
              <w:ind w:left="212"/>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6"/>
              <w:ind w:left="212" w:right="276"/>
              <w:rPr>
                <w:sz w:val="21"/>
              </w:rPr>
            </w:pPr>
            <w:r>
              <w:rPr>
                <w:spacing w:val="-8"/>
                <w:sz w:val="21"/>
              </w:rPr>
              <w:t>被保险人申请理赔时年龄必须在三周岁以上，并且提供理赔当时的视力丧</w:t>
            </w:r>
            <w:r>
              <w:rPr>
                <w:spacing w:val="-5"/>
                <w:sz w:val="21"/>
              </w:rPr>
              <w:t>失诊断及检查证据。</w:t>
            </w:r>
          </w:p>
        </w:tc>
      </w:tr>
    </w:tbl>
    <w:p>
      <w:pPr>
        <w:pStyle w:val="BodyText"/>
        <w:spacing w:before="3"/>
        <w:rPr>
          <w:sz w:val="24"/>
        </w:rPr>
      </w:pPr>
    </w:p>
    <w:p>
      <w:pPr>
        <w:pStyle w:val="Heading2"/>
        <w:tabs>
          <w:tab w:pos="1397" w:val="left" w:leader="none"/>
        </w:tabs>
        <w:spacing w:before="36"/>
        <w:ind w:left="317"/>
      </w:pPr>
      <w:bookmarkStart w:name="_bookmark23" w:id="24"/>
      <w:bookmarkEnd w:id="24"/>
      <w:r>
        <w:rPr>
          <w:b w:val="0"/>
        </w:rPr>
      </w:r>
      <w:r>
        <w:rPr/>
        <w:t>第十八条</w:t>
        <w:tab/>
        <w:t>高发癌症种类及定义</w:t>
      </w:r>
    </w:p>
    <w:p>
      <w:pPr>
        <w:pStyle w:val="BodyText"/>
        <w:spacing w:line="273" w:lineRule="auto" w:before="36"/>
        <w:ind w:left="317" w:right="380" w:firstLine="420"/>
      </w:pPr>
      <w:r>
        <w:rPr/>
        <w:t>本附加合同所保障的高发癌症，是指被保险人经专科医生明确诊断初次发生下列疾病或初次达到下列疾病状态。</w:t>
      </w:r>
    </w:p>
    <w:p>
      <w:pPr>
        <w:pStyle w:val="BodyText"/>
        <w:spacing w:before="9"/>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1763"/>
        <w:gridCol w:w="8052"/>
      </w:tblGrid>
      <w:tr>
        <w:trPr>
          <w:trHeight w:val="890" w:hRule="atLeast"/>
        </w:trPr>
        <w:tc>
          <w:tcPr>
            <w:tcW w:w="492" w:type="dxa"/>
          </w:tcPr>
          <w:p>
            <w:pPr>
              <w:pStyle w:val="TableParagraph"/>
              <w:spacing w:line="234" w:lineRule="exact"/>
              <w:ind w:left="180" w:right="114"/>
              <w:jc w:val="center"/>
              <w:rPr>
                <w:rFonts w:ascii="Times New Roman"/>
                <w:sz w:val="21"/>
              </w:rPr>
            </w:pPr>
            <w:r>
              <w:rPr>
                <w:rFonts w:ascii="Times New Roman"/>
                <w:sz w:val="21"/>
              </w:rPr>
              <w:t>1.</w:t>
            </w:r>
          </w:p>
        </w:tc>
        <w:tc>
          <w:tcPr>
            <w:tcW w:w="1763" w:type="dxa"/>
          </w:tcPr>
          <w:p>
            <w:pPr>
              <w:pStyle w:val="TableParagraph"/>
              <w:spacing w:line="220" w:lineRule="exact"/>
              <w:ind w:left="133"/>
              <w:rPr>
                <w:sz w:val="21"/>
              </w:rPr>
            </w:pPr>
            <w:r>
              <w:rPr>
                <w:sz w:val="21"/>
              </w:rPr>
              <w:t>肺癌</w:t>
            </w:r>
          </w:p>
        </w:tc>
        <w:tc>
          <w:tcPr>
            <w:tcW w:w="8052" w:type="dxa"/>
          </w:tcPr>
          <w:p>
            <w:pPr>
              <w:pStyle w:val="TableParagraph"/>
              <w:spacing w:line="220" w:lineRule="exact"/>
              <w:ind w:left="1207"/>
              <w:rPr>
                <w:sz w:val="21"/>
              </w:rPr>
            </w:pPr>
            <w:r>
              <w:rPr>
                <w:sz w:val="21"/>
              </w:rPr>
              <w:t>指属于本附加合同第十六条恶性肿瘤定义的范畴内，但仅限于原发于肺的</w:t>
            </w:r>
          </w:p>
          <w:p>
            <w:pPr>
              <w:pStyle w:val="TableParagraph"/>
              <w:spacing w:before="37"/>
              <w:ind w:left="1207"/>
              <w:rPr>
                <w:sz w:val="21"/>
              </w:rPr>
            </w:pPr>
            <w:r>
              <w:rPr>
                <w:sz w:val="21"/>
              </w:rPr>
              <w:t>恶性肿瘤。</w:t>
            </w:r>
          </w:p>
          <w:p>
            <w:pPr>
              <w:pStyle w:val="TableParagraph"/>
              <w:spacing w:before="37"/>
              <w:ind w:left="1207"/>
              <w:rPr>
                <w:b/>
                <w:sz w:val="21"/>
              </w:rPr>
            </w:pPr>
            <w:r>
              <w:rPr>
                <w:b/>
                <w:sz w:val="21"/>
              </w:rPr>
              <w:t>原发于其他器官组织而浸润、转移至肺的恶性肿瘤不在保障范围内。</w:t>
            </w:r>
          </w:p>
        </w:tc>
      </w:tr>
      <w:tr>
        <w:trPr>
          <w:trHeight w:val="935" w:hRule="atLeast"/>
        </w:trPr>
        <w:tc>
          <w:tcPr>
            <w:tcW w:w="492" w:type="dxa"/>
          </w:tcPr>
          <w:p>
            <w:pPr>
              <w:pStyle w:val="TableParagraph"/>
              <w:spacing w:before="38"/>
              <w:ind w:left="180" w:right="114"/>
              <w:jc w:val="center"/>
              <w:rPr>
                <w:rFonts w:ascii="Times New Roman"/>
                <w:sz w:val="21"/>
              </w:rPr>
            </w:pPr>
            <w:r>
              <w:rPr>
                <w:rFonts w:ascii="Times New Roman"/>
                <w:sz w:val="21"/>
              </w:rPr>
              <w:t>2.</w:t>
            </w:r>
          </w:p>
        </w:tc>
        <w:tc>
          <w:tcPr>
            <w:tcW w:w="1763" w:type="dxa"/>
          </w:tcPr>
          <w:p>
            <w:pPr>
              <w:pStyle w:val="TableParagraph"/>
              <w:spacing w:line="266" w:lineRule="exact"/>
              <w:ind w:left="133"/>
              <w:rPr>
                <w:sz w:val="21"/>
              </w:rPr>
            </w:pPr>
            <w:r>
              <w:rPr>
                <w:sz w:val="21"/>
              </w:rPr>
              <w:t>胃癌</w:t>
            </w:r>
          </w:p>
        </w:tc>
        <w:tc>
          <w:tcPr>
            <w:tcW w:w="8052" w:type="dxa"/>
          </w:tcPr>
          <w:p>
            <w:pPr>
              <w:pStyle w:val="TableParagraph"/>
              <w:spacing w:line="273" w:lineRule="auto"/>
              <w:ind w:left="1207" w:right="197"/>
              <w:rPr>
                <w:sz w:val="21"/>
              </w:rPr>
            </w:pPr>
            <w:r>
              <w:rPr>
                <w:spacing w:val="-7"/>
                <w:sz w:val="21"/>
              </w:rPr>
              <w:t>指属于本附加合同第十六条恶性肿瘤定义的范畴内，但仅限于原发于胃的</w:t>
            </w:r>
            <w:r>
              <w:rPr>
                <w:spacing w:val="-4"/>
                <w:sz w:val="21"/>
              </w:rPr>
              <w:t>恶性肿瘤。</w:t>
            </w:r>
          </w:p>
          <w:p>
            <w:pPr>
              <w:pStyle w:val="TableParagraph"/>
              <w:spacing w:before="16"/>
              <w:ind w:left="1207"/>
              <w:rPr>
                <w:b/>
                <w:sz w:val="21"/>
              </w:rPr>
            </w:pPr>
            <w:r>
              <w:rPr>
                <w:b/>
                <w:sz w:val="21"/>
              </w:rPr>
              <w:t>原发于其他器官组织而浸润、转移至胃的恶性肿瘤不在保障范围内。</w:t>
            </w:r>
          </w:p>
        </w:tc>
      </w:tr>
      <w:tr>
        <w:trPr>
          <w:trHeight w:val="957" w:hRule="atLeast"/>
        </w:trPr>
        <w:tc>
          <w:tcPr>
            <w:tcW w:w="492" w:type="dxa"/>
          </w:tcPr>
          <w:p>
            <w:pPr>
              <w:pStyle w:val="TableParagraph"/>
              <w:spacing w:before="38"/>
              <w:ind w:left="13"/>
              <w:jc w:val="center"/>
              <w:rPr>
                <w:rFonts w:ascii="Times New Roman"/>
                <w:sz w:val="21"/>
              </w:rPr>
            </w:pPr>
            <w:r>
              <w:rPr>
                <w:rFonts w:ascii="Times New Roman"/>
                <w:w w:val="100"/>
                <w:sz w:val="21"/>
              </w:rPr>
              <w:t>3</w:t>
            </w:r>
          </w:p>
        </w:tc>
        <w:tc>
          <w:tcPr>
            <w:tcW w:w="1763" w:type="dxa"/>
          </w:tcPr>
          <w:p>
            <w:pPr>
              <w:pStyle w:val="TableParagraph"/>
              <w:spacing w:line="266" w:lineRule="exact"/>
              <w:ind w:left="133"/>
              <w:rPr>
                <w:sz w:val="21"/>
              </w:rPr>
            </w:pPr>
            <w:r>
              <w:rPr>
                <w:sz w:val="21"/>
              </w:rPr>
              <w:t>肝癌</w:t>
            </w:r>
          </w:p>
        </w:tc>
        <w:tc>
          <w:tcPr>
            <w:tcW w:w="8052" w:type="dxa"/>
          </w:tcPr>
          <w:p>
            <w:pPr>
              <w:pStyle w:val="TableParagraph"/>
              <w:spacing w:line="273" w:lineRule="auto"/>
              <w:ind w:left="1207" w:right="197"/>
              <w:rPr>
                <w:sz w:val="21"/>
              </w:rPr>
            </w:pPr>
            <w:r>
              <w:rPr>
                <w:spacing w:val="-7"/>
                <w:sz w:val="21"/>
              </w:rPr>
              <w:t>指属于本附加合同第十六条恶性肿瘤定义的范畴内，但仅限于原发于肝的</w:t>
            </w:r>
            <w:r>
              <w:rPr>
                <w:spacing w:val="-4"/>
                <w:sz w:val="21"/>
              </w:rPr>
              <w:t>恶性肿瘤。</w:t>
            </w:r>
          </w:p>
          <w:p>
            <w:pPr>
              <w:pStyle w:val="TableParagraph"/>
              <w:spacing w:line="255" w:lineRule="exact" w:before="84"/>
              <w:ind w:left="1207"/>
              <w:rPr>
                <w:b/>
                <w:sz w:val="21"/>
              </w:rPr>
            </w:pPr>
            <w:r>
              <w:rPr>
                <w:b/>
                <w:sz w:val="21"/>
              </w:rPr>
              <w:t>原发于其他器官组织而浸润、转移至肝的恶性肿瘤不在保障范围内。</w:t>
            </w:r>
          </w:p>
        </w:tc>
      </w:tr>
    </w:tbl>
    <w:p>
      <w:pPr>
        <w:pStyle w:val="BodyText"/>
        <w:rPr>
          <w:sz w:val="20"/>
        </w:rPr>
      </w:pPr>
    </w:p>
    <w:p>
      <w:pPr>
        <w:pStyle w:val="Heading2"/>
        <w:tabs>
          <w:tab w:pos="1397" w:val="left" w:leader="none"/>
        </w:tabs>
        <w:spacing w:before="133"/>
        <w:ind w:left="317"/>
      </w:pPr>
      <w:bookmarkStart w:name="_bookmark24" w:id="25"/>
      <w:bookmarkEnd w:id="25"/>
      <w:r>
        <w:rPr>
          <w:b w:val="0"/>
        </w:rPr>
      </w:r>
      <w:r>
        <w:rPr/>
        <w:t>第十九条</w:t>
        <w:tab/>
        <w:t>女性特定疾病种类</w:t>
      </w:r>
      <w:r>
        <w:rPr>
          <w:spacing w:val="-3"/>
        </w:rPr>
        <w:t>及</w:t>
      </w:r>
      <w:r>
        <w:rPr/>
        <w:t>定义</w:t>
      </w:r>
    </w:p>
    <w:p>
      <w:pPr>
        <w:pStyle w:val="BodyText"/>
        <w:spacing w:line="273" w:lineRule="auto" w:before="37"/>
        <w:ind w:left="317" w:right="380" w:firstLine="420"/>
      </w:pPr>
      <w:r>
        <w:rPr/>
        <w:t>本附加合同所保障的女性特定疾病，是指被保险人经专科医生明确诊断初次发生下列疾病或初次达到下列疾病状态。</w:t>
      </w:r>
    </w:p>
    <w:p>
      <w:pPr>
        <w:spacing w:after="0" w:line="273" w:lineRule="auto"/>
        <w:sectPr>
          <w:pgSz w:w="11910" w:h="16160"/>
          <w:pgMar w:header="0" w:footer="631" w:top="142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1869"/>
        <w:gridCol w:w="7949"/>
      </w:tblGrid>
      <w:tr>
        <w:trPr>
          <w:trHeight w:val="1202" w:hRule="atLeast"/>
        </w:trPr>
        <w:tc>
          <w:tcPr>
            <w:tcW w:w="490" w:type="dxa"/>
          </w:tcPr>
          <w:p>
            <w:pPr>
              <w:pStyle w:val="TableParagraph"/>
              <w:spacing w:line="234" w:lineRule="exact"/>
              <w:ind w:left="180" w:right="112"/>
              <w:jc w:val="center"/>
              <w:rPr>
                <w:rFonts w:ascii="Times New Roman"/>
                <w:sz w:val="21"/>
              </w:rPr>
            </w:pPr>
            <w:r>
              <w:rPr>
                <w:rFonts w:ascii="Times New Roman"/>
                <w:sz w:val="21"/>
              </w:rPr>
              <w:t>1.</w:t>
            </w:r>
          </w:p>
        </w:tc>
        <w:tc>
          <w:tcPr>
            <w:tcW w:w="1869" w:type="dxa"/>
          </w:tcPr>
          <w:p>
            <w:pPr>
              <w:pStyle w:val="TableParagraph"/>
              <w:spacing w:line="220" w:lineRule="exact"/>
              <w:ind w:left="130"/>
              <w:rPr>
                <w:sz w:val="21"/>
              </w:rPr>
            </w:pPr>
            <w:r>
              <w:rPr>
                <w:sz w:val="21"/>
              </w:rPr>
              <w:t>子宫癌</w:t>
            </w:r>
          </w:p>
        </w:tc>
        <w:tc>
          <w:tcPr>
            <w:tcW w:w="7949" w:type="dxa"/>
          </w:tcPr>
          <w:p>
            <w:pPr>
              <w:pStyle w:val="TableParagraph"/>
              <w:spacing w:line="220" w:lineRule="exact"/>
              <w:ind w:left="1103"/>
              <w:rPr>
                <w:sz w:val="21"/>
              </w:rPr>
            </w:pPr>
            <w:r>
              <w:rPr>
                <w:sz w:val="21"/>
              </w:rPr>
              <w:t>指属于本附加合同第十六条恶性肿瘤定义的范畴内，但仅限于原发于女性</w:t>
            </w:r>
          </w:p>
          <w:p>
            <w:pPr>
              <w:pStyle w:val="TableParagraph"/>
              <w:spacing w:before="37"/>
              <w:ind w:left="1103"/>
              <w:rPr>
                <w:sz w:val="21"/>
              </w:rPr>
            </w:pPr>
            <w:r>
              <w:rPr>
                <w:sz w:val="21"/>
              </w:rPr>
              <w:t>子宫的恶性肿瘤。</w:t>
            </w:r>
          </w:p>
          <w:p>
            <w:pPr>
              <w:pStyle w:val="TableParagraph"/>
              <w:spacing w:line="310" w:lineRule="atLeast" w:before="1"/>
              <w:ind w:left="1103" w:right="206"/>
              <w:rPr>
                <w:b/>
                <w:sz w:val="21"/>
              </w:rPr>
            </w:pPr>
            <w:r>
              <w:rPr>
                <w:b/>
                <w:sz w:val="21"/>
              </w:rPr>
              <w:t>原发于其他器官组织而浸润、转移至女性子宫的恶性肿瘤不在保障范围内。</w:t>
            </w:r>
          </w:p>
        </w:tc>
      </w:tr>
      <w:tr>
        <w:trPr>
          <w:trHeight w:val="1202" w:hRule="atLeast"/>
        </w:trPr>
        <w:tc>
          <w:tcPr>
            <w:tcW w:w="490" w:type="dxa"/>
          </w:tcPr>
          <w:p>
            <w:pPr>
              <w:pStyle w:val="TableParagraph"/>
              <w:spacing w:before="38"/>
              <w:ind w:left="180" w:right="112"/>
              <w:jc w:val="center"/>
              <w:rPr>
                <w:rFonts w:ascii="Times New Roman"/>
                <w:sz w:val="21"/>
              </w:rPr>
            </w:pPr>
            <w:r>
              <w:rPr>
                <w:rFonts w:ascii="Times New Roman"/>
                <w:sz w:val="21"/>
              </w:rPr>
              <w:t>2.</w:t>
            </w:r>
          </w:p>
        </w:tc>
        <w:tc>
          <w:tcPr>
            <w:tcW w:w="1869" w:type="dxa"/>
          </w:tcPr>
          <w:p>
            <w:pPr>
              <w:pStyle w:val="TableParagraph"/>
              <w:spacing w:line="266" w:lineRule="exact"/>
              <w:ind w:left="130"/>
              <w:rPr>
                <w:sz w:val="21"/>
              </w:rPr>
            </w:pPr>
            <w:r>
              <w:rPr>
                <w:sz w:val="21"/>
              </w:rPr>
              <w:t>乳腺癌</w:t>
            </w:r>
          </w:p>
        </w:tc>
        <w:tc>
          <w:tcPr>
            <w:tcW w:w="7949" w:type="dxa"/>
          </w:tcPr>
          <w:p>
            <w:pPr>
              <w:pStyle w:val="TableParagraph"/>
              <w:spacing w:line="273" w:lineRule="auto"/>
              <w:ind w:left="1103" w:right="198"/>
              <w:rPr>
                <w:sz w:val="21"/>
              </w:rPr>
            </w:pPr>
            <w:r>
              <w:rPr>
                <w:spacing w:val="-7"/>
                <w:sz w:val="21"/>
              </w:rPr>
              <w:t>指属于本附加合同第十六条恶性肿瘤定义的范畴内，但仅限于原发于女性</w:t>
            </w:r>
            <w:r>
              <w:rPr>
                <w:spacing w:val="-5"/>
                <w:sz w:val="21"/>
              </w:rPr>
              <w:t>乳腺的恶性肿瘤。</w:t>
            </w:r>
          </w:p>
          <w:p>
            <w:pPr>
              <w:pStyle w:val="TableParagraph"/>
              <w:spacing w:line="312" w:lineRule="exact" w:before="12"/>
              <w:ind w:left="1103" w:right="206"/>
              <w:rPr>
                <w:b/>
                <w:sz w:val="21"/>
              </w:rPr>
            </w:pPr>
            <w:r>
              <w:rPr>
                <w:b/>
                <w:sz w:val="21"/>
              </w:rPr>
              <w:t>原发于其他器官组织而浸润、转移至女性乳腺的恶性肿瘤不在保障范围内。</w:t>
            </w:r>
          </w:p>
        </w:tc>
      </w:tr>
    </w:tbl>
    <w:p>
      <w:pPr>
        <w:pStyle w:val="BodyText"/>
        <w:rPr>
          <w:sz w:val="24"/>
        </w:rPr>
      </w:pPr>
    </w:p>
    <w:p>
      <w:pPr>
        <w:pStyle w:val="Heading2"/>
        <w:tabs>
          <w:tab w:pos="1397" w:val="left" w:leader="none"/>
        </w:tabs>
        <w:spacing w:before="37"/>
        <w:ind w:left="317"/>
      </w:pPr>
      <w:bookmarkStart w:name="_bookmark25" w:id="26"/>
      <w:bookmarkEnd w:id="26"/>
      <w:r>
        <w:rPr>
          <w:b w:val="0"/>
        </w:rPr>
      </w:r>
      <w:r>
        <w:rPr/>
        <w:t>第二十条</w:t>
        <w:tab/>
        <w:t>少儿特定疾病种类</w:t>
      </w:r>
      <w:r>
        <w:rPr>
          <w:spacing w:val="-3"/>
        </w:rPr>
        <w:t>及</w:t>
      </w:r>
      <w:r>
        <w:rPr/>
        <w:t>定义</w:t>
      </w:r>
    </w:p>
    <w:p>
      <w:pPr>
        <w:pStyle w:val="BodyText"/>
        <w:spacing w:line="273" w:lineRule="auto" w:before="37"/>
        <w:ind w:left="317" w:right="300" w:firstLine="420"/>
      </w:pPr>
      <w:r>
        <w:rPr/>
        <w:t>本附加合同所保障的少儿特定疾病，是指被保险人经专科医生明确诊断初次发生下列疾病或初次达到下列疾病状态。</w:t>
      </w:r>
    </w:p>
    <w:p>
      <w:pPr>
        <w:pStyle w:val="BodyText"/>
        <w:spacing w:before="10"/>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2761"/>
        <w:gridCol w:w="7058"/>
      </w:tblGrid>
      <w:tr>
        <w:trPr>
          <w:trHeight w:val="2770" w:hRule="atLeast"/>
        </w:trPr>
        <w:tc>
          <w:tcPr>
            <w:tcW w:w="490" w:type="dxa"/>
          </w:tcPr>
          <w:p>
            <w:pPr>
              <w:pStyle w:val="TableParagraph"/>
              <w:spacing w:line="234" w:lineRule="exact"/>
              <w:ind w:left="180" w:right="112"/>
              <w:jc w:val="center"/>
              <w:rPr>
                <w:rFonts w:ascii="Times New Roman"/>
                <w:sz w:val="21"/>
              </w:rPr>
            </w:pPr>
            <w:r>
              <w:rPr>
                <w:rFonts w:ascii="Times New Roman"/>
                <w:sz w:val="21"/>
              </w:rPr>
              <w:t>1.</w:t>
            </w:r>
          </w:p>
        </w:tc>
        <w:tc>
          <w:tcPr>
            <w:tcW w:w="2761" w:type="dxa"/>
          </w:tcPr>
          <w:p>
            <w:pPr>
              <w:pStyle w:val="TableParagraph"/>
              <w:spacing w:line="220" w:lineRule="exact"/>
              <w:ind w:left="130"/>
              <w:rPr>
                <w:sz w:val="21"/>
              </w:rPr>
            </w:pPr>
            <w:r>
              <w:rPr>
                <w:sz w:val="21"/>
              </w:rPr>
              <w:t>白血病</w:t>
            </w:r>
          </w:p>
        </w:tc>
        <w:tc>
          <w:tcPr>
            <w:tcW w:w="7058" w:type="dxa"/>
          </w:tcPr>
          <w:p>
            <w:pPr>
              <w:pStyle w:val="TableParagraph"/>
              <w:spacing w:line="220" w:lineRule="exact"/>
              <w:ind w:left="211"/>
              <w:rPr>
                <w:sz w:val="21"/>
              </w:rPr>
            </w:pPr>
            <w:r>
              <w:rPr>
                <w:sz w:val="21"/>
              </w:rPr>
              <w:t>指属于本附加合同第十六条恶性肿瘤定义的范畴内，是一种造血系统的恶</w:t>
            </w:r>
          </w:p>
          <w:p>
            <w:pPr>
              <w:pStyle w:val="TableParagraph"/>
              <w:spacing w:line="273" w:lineRule="auto" w:before="37"/>
              <w:ind w:left="211" w:right="199"/>
              <w:jc w:val="both"/>
              <w:rPr>
                <w:sz w:val="21"/>
              </w:rPr>
            </w:pPr>
            <w:r>
              <w:rPr>
                <w:spacing w:val="-10"/>
                <w:sz w:val="21"/>
              </w:rPr>
              <w:t>性肿瘤，其主要表现为白血病细胞在骨髓或其他造血组织中进行性、失控</w:t>
            </w:r>
            <w:r>
              <w:rPr>
                <w:spacing w:val="-11"/>
                <w:sz w:val="21"/>
              </w:rPr>
              <w:t>制的异常增生，并浸润至其他组织与器官，使正常血细胞生成减少，周围</w:t>
            </w:r>
            <w:r>
              <w:rPr>
                <w:spacing w:val="-12"/>
                <w:sz w:val="21"/>
              </w:rPr>
              <w:t>白细胞有质和量的变化，产生相应临床表现。被保险人所患白血病必须根</w:t>
            </w:r>
            <w:r>
              <w:rPr>
                <w:spacing w:val="-8"/>
                <w:sz w:val="21"/>
              </w:rPr>
              <w:t>据骨髓的活组织检查和周围血象由专科</w:t>
            </w:r>
            <w:r>
              <w:rPr>
                <w:sz w:val="21"/>
              </w:rPr>
              <w:t>（</w:t>
            </w:r>
            <w:r>
              <w:rPr>
                <w:spacing w:val="-7"/>
                <w:sz w:val="21"/>
              </w:rPr>
              <w:t>儿科、血液科或肿瘤科</w:t>
            </w:r>
            <w:r>
              <w:rPr>
                <w:spacing w:val="-27"/>
                <w:sz w:val="21"/>
              </w:rPr>
              <w:t>）</w:t>
            </w:r>
            <w:r>
              <w:rPr>
                <w:spacing w:val="-2"/>
                <w:sz w:val="21"/>
              </w:rPr>
              <w:t>医生确</w:t>
            </w:r>
            <w:r>
              <w:rPr>
                <w:spacing w:val="-3"/>
                <w:sz w:val="21"/>
              </w:rPr>
              <w:t>诊，并且至少已经接受了下列一项治疗：</w:t>
            </w:r>
          </w:p>
          <w:p>
            <w:pPr>
              <w:pStyle w:val="TableParagraph"/>
              <w:spacing w:before="7"/>
              <w:ind w:left="211"/>
              <w:jc w:val="both"/>
              <w:rPr>
                <w:sz w:val="21"/>
              </w:rPr>
            </w:pPr>
            <w:r>
              <w:rPr>
                <w:sz w:val="21"/>
              </w:rPr>
              <w:t>（</w:t>
            </w:r>
            <w:r>
              <w:rPr>
                <w:rFonts w:ascii="Times New Roman" w:eastAsia="Times New Roman"/>
                <w:sz w:val="21"/>
              </w:rPr>
              <w:t>1</w:t>
            </w:r>
            <w:r>
              <w:rPr>
                <w:sz w:val="21"/>
              </w:rPr>
              <w:t>）化学治疗；</w:t>
            </w:r>
          </w:p>
          <w:p>
            <w:pPr>
              <w:pStyle w:val="TableParagraph"/>
              <w:spacing w:before="20"/>
              <w:ind w:left="211"/>
              <w:jc w:val="both"/>
              <w:rPr>
                <w:sz w:val="21"/>
              </w:rPr>
            </w:pPr>
            <w:r>
              <w:rPr>
                <w:sz w:val="21"/>
              </w:rPr>
              <w:t>（</w:t>
            </w:r>
            <w:r>
              <w:rPr>
                <w:rFonts w:ascii="Times New Roman" w:eastAsia="Times New Roman"/>
                <w:sz w:val="21"/>
              </w:rPr>
              <w:t>2</w:t>
            </w:r>
            <w:r>
              <w:rPr>
                <w:sz w:val="21"/>
              </w:rPr>
              <w:t>）骨髓移植。</w:t>
            </w:r>
          </w:p>
          <w:p>
            <w:pPr>
              <w:pStyle w:val="TableParagraph"/>
              <w:spacing w:before="20"/>
              <w:ind w:left="211"/>
              <w:jc w:val="both"/>
              <w:rPr>
                <w:b/>
                <w:sz w:val="21"/>
              </w:rPr>
            </w:pP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期程度的慢性淋巴细胞白血病不在保障范围内</w:t>
            </w:r>
          </w:p>
        </w:tc>
      </w:tr>
      <w:tr>
        <w:trPr>
          <w:trHeight w:val="2068" w:hRule="atLeast"/>
        </w:trPr>
        <w:tc>
          <w:tcPr>
            <w:tcW w:w="490" w:type="dxa"/>
          </w:tcPr>
          <w:p>
            <w:pPr>
              <w:pStyle w:val="TableParagraph"/>
              <w:spacing w:before="30"/>
              <w:ind w:left="180" w:right="112"/>
              <w:jc w:val="center"/>
              <w:rPr>
                <w:rFonts w:ascii="Times New Roman"/>
                <w:sz w:val="21"/>
              </w:rPr>
            </w:pPr>
            <w:r>
              <w:rPr>
                <w:rFonts w:ascii="Times New Roman"/>
                <w:sz w:val="21"/>
              </w:rPr>
              <w:t>2.</w:t>
            </w:r>
          </w:p>
        </w:tc>
        <w:tc>
          <w:tcPr>
            <w:tcW w:w="2761" w:type="dxa"/>
          </w:tcPr>
          <w:p>
            <w:pPr>
              <w:pStyle w:val="TableParagraph"/>
              <w:spacing w:line="258" w:lineRule="exact"/>
              <w:ind w:left="130"/>
              <w:rPr>
                <w:sz w:val="21"/>
              </w:rPr>
            </w:pPr>
            <w:r>
              <w:rPr>
                <w:sz w:val="21"/>
              </w:rPr>
              <w:t>脑炎后遗症或脑膜炎后遗</w:t>
            </w:r>
          </w:p>
          <w:p>
            <w:pPr>
              <w:pStyle w:val="TableParagraph"/>
              <w:spacing w:before="37"/>
              <w:ind w:left="130"/>
              <w:rPr>
                <w:sz w:val="21"/>
              </w:rPr>
            </w:pPr>
            <w:r>
              <w:rPr>
                <w:w w:val="100"/>
                <w:sz w:val="21"/>
              </w:rPr>
              <w:t>症</w:t>
            </w:r>
          </w:p>
        </w:tc>
        <w:tc>
          <w:tcPr>
            <w:tcW w:w="7058" w:type="dxa"/>
          </w:tcPr>
          <w:p>
            <w:pPr>
              <w:pStyle w:val="TableParagraph"/>
              <w:spacing w:line="273" w:lineRule="auto" w:before="45"/>
              <w:ind w:left="211" w:right="200"/>
              <w:rPr>
                <w:sz w:val="21"/>
              </w:rPr>
            </w:pPr>
            <w:r>
              <w:rPr>
                <w:spacing w:val="-7"/>
                <w:sz w:val="21"/>
              </w:rPr>
              <w:t>指因患脑炎或脑膜炎导致的神经系统永久性的功能障碍。神经系统永久性</w:t>
            </w:r>
            <w:r>
              <w:rPr>
                <w:spacing w:val="-8"/>
                <w:sz w:val="21"/>
              </w:rPr>
              <w:t>的功能障碍，指疾病确诊 </w:t>
            </w:r>
            <w:r>
              <w:rPr>
                <w:rFonts w:ascii="Times New Roman" w:eastAsia="Times New Roman"/>
                <w:sz w:val="21"/>
              </w:rPr>
              <w:t>180 </w:t>
            </w:r>
            <w:r>
              <w:rPr>
                <w:spacing w:val="-3"/>
                <w:sz w:val="21"/>
              </w:rPr>
              <w:t>天后，仍遗留下列一种或一种以上障碍：</w:t>
            </w:r>
          </w:p>
          <w:p>
            <w:pPr>
              <w:pStyle w:val="TableParagraph"/>
              <w:spacing w:before="50"/>
              <w:ind w:left="211"/>
              <w:rPr>
                <w:sz w:val="21"/>
              </w:rPr>
            </w:pPr>
            <w:r>
              <w:rPr>
                <w:sz w:val="21"/>
              </w:rPr>
              <w:t>（</w:t>
            </w:r>
            <w:r>
              <w:rPr>
                <w:rFonts w:ascii="Times New Roman" w:eastAsia="Times New Roman"/>
                <w:sz w:val="21"/>
              </w:rPr>
              <w:t>1</w:t>
            </w:r>
            <w:r>
              <w:rPr>
                <w:sz w:val="21"/>
              </w:rPr>
              <w:t>）一肢或一肢以上肢体机能完全丧失；</w:t>
            </w:r>
          </w:p>
          <w:p>
            <w:pPr>
              <w:pStyle w:val="TableParagraph"/>
              <w:spacing w:before="83"/>
              <w:ind w:left="211"/>
              <w:rPr>
                <w:sz w:val="21"/>
              </w:rPr>
            </w:pPr>
            <w:r>
              <w:rPr>
                <w:sz w:val="21"/>
              </w:rPr>
              <w:t>（</w:t>
            </w:r>
            <w:r>
              <w:rPr>
                <w:rFonts w:ascii="Times New Roman" w:eastAsia="Times New Roman"/>
                <w:sz w:val="21"/>
              </w:rPr>
              <w:t>2</w:t>
            </w:r>
            <w:r>
              <w:rPr>
                <w:sz w:val="21"/>
              </w:rPr>
              <w:t>）语言能力或咀嚼吞咽能力完全丧失；</w:t>
            </w:r>
          </w:p>
          <w:p>
            <w:pPr>
              <w:pStyle w:val="TableParagraph"/>
              <w:spacing w:line="290" w:lineRule="atLeast" w:before="83"/>
              <w:ind w:left="211" w:right="22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bl>
    <w:p>
      <w:pPr>
        <w:pStyle w:val="BodyText"/>
        <w:rPr>
          <w:sz w:val="20"/>
        </w:rPr>
      </w:pPr>
    </w:p>
    <w:p>
      <w:pPr>
        <w:pStyle w:val="BodyText"/>
        <w:rPr>
          <w:sz w:val="20"/>
        </w:rPr>
      </w:pPr>
    </w:p>
    <w:p>
      <w:pPr>
        <w:pStyle w:val="BodyText"/>
        <w:rPr>
          <w:sz w:val="20"/>
        </w:rPr>
      </w:pPr>
    </w:p>
    <w:p>
      <w:pPr>
        <w:pStyle w:val="BodyText"/>
        <w:spacing w:before="12"/>
        <w:rPr>
          <w:sz w:val="18"/>
        </w:rPr>
      </w:pPr>
    </w:p>
    <w:p>
      <w:pPr>
        <w:pStyle w:val="Heading2"/>
        <w:ind w:left="0" w:right="29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631" w:top="1420" w:bottom="900" w:left="7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Courier New">
    <w:altName w:val="Courier New"/>
    <w:charset w:val="0"/>
    <w:family w:val="modern"/>
    <w:pitch w:val="fixed"/>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78.929993pt;margin-top:761.429871pt;width:245.45pt;height:13.7pt;mso-position-horizontal-relative:page;mso-position-vertical-relative:page;z-index:-35200" type="#_x0000_t202" filled="false" stroked="false">
          <v:textbox inset="0,0,0,0">
            <w:txbxContent>
              <w:p>
                <w:pPr>
                  <w:pStyle w:val="BodyText"/>
                  <w:spacing w:line="254" w:lineRule="exact"/>
                  <w:ind w:left="20"/>
                </w:pPr>
                <w:r>
                  <w:rPr/>
                  <w:t>太平附加吉福康爱</w:t>
                </w:r>
                <w:r>
                  <w:rPr>
                    <w:rFonts w:ascii="Times New Roman" w:eastAsia="Times New Roman"/>
                  </w:rPr>
                  <w:t>B</w:t>
                </w:r>
                <w:r>
                  <w:rPr/>
                  <w:t>款重大疾病保险，第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17</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76.289993pt;margin-top:761.429871pt;width:250.7pt;height:13.7pt;mso-position-horizontal-relative:page;mso-position-vertical-relative:page;z-index:-35176" type="#_x0000_t202" filled="false" stroked="false">
          <v:textbox inset="0,0,0,0">
            <w:txbxContent>
              <w:p>
                <w:pPr>
                  <w:pStyle w:val="BodyText"/>
                  <w:spacing w:line="254" w:lineRule="exact"/>
                  <w:ind w:left="20"/>
                </w:pPr>
                <w:r>
                  <w:rPr/>
                  <w:t>太平附加吉福康爱</w:t>
                </w:r>
                <w:r>
                  <w:rPr>
                    <w:rFonts w:ascii="Times New Roman" w:eastAsia="Times New Roman"/>
                  </w:rPr>
                  <w:t>B</w:t>
                </w:r>
                <w:r>
                  <w:rPr/>
                  <w:t>款重大疾病保险，第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17</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5"/>
      <w:numFmt w:val="decimal"/>
      <w:lvlText w:val="%1."/>
      <w:lvlJc w:val="left"/>
      <w:pPr>
        <w:ind w:left="53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800" w:hanging="421"/>
      </w:pPr>
      <w:rPr>
        <w:rFonts w:hint="default"/>
      </w:rPr>
    </w:lvl>
    <w:lvl w:ilvl="2">
      <w:start w:val="0"/>
      <w:numFmt w:val="bullet"/>
      <w:lvlText w:val="•"/>
      <w:lvlJc w:val="left"/>
      <w:pPr>
        <w:ind w:left="3240" w:hanging="421"/>
      </w:pPr>
      <w:rPr>
        <w:rFonts w:hint="default"/>
      </w:rPr>
    </w:lvl>
    <w:lvl w:ilvl="3">
      <w:start w:val="0"/>
      <w:numFmt w:val="bullet"/>
      <w:lvlText w:val="•"/>
      <w:lvlJc w:val="left"/>
      <w:pPr>
        <w:ind w:left="3204" w:hanging="421"/>
      </w:pPr>
      <w:rPr>
        <w:rFonts w:hint="default"/>
      </w:rPr>
    </w:lvl>
    <w:lvl w:ilvl="4">
      <w:start w:val="0"/>
      <w:numFmt w:val="bullet"/>
      <w:lvlText w:val="•"/>
      <w:lvlJc w:val="left"/>
      <w:pPr>
        <w:ind w:left="3168" w:hanging="421"/>
      </w:pPr>
      <w:rPr>
        <w:rFonts w:hint="default"/>
      </w:rPr>
    </w:lvl>
    <w:lvl w:ilvl="5">
      <w:start w:val="0"/>
      <w:numFmt w:val="bullet"/>
      <w:lvlText w:val="•"/>
      <w:lvlJc w:val="left"/>
      <w:pPr>
        <w:ind w:left="3133" w:hanging="421"/>
      </w:pPr>
      <w:rPr>
        <w:rFonts w:hint="default"/>
      </w:rPr>
    </w:lvl>
    <w:lvl w:ilvl="6">
      <w:start w:val="0"/>
      <w:numFmt w:val="bullet"/>
      <w:lvlText w:val="•"/>
      <w:lvlJc w:val="left"/>
      <w:pPr>
        <w:ind w:left="3097" w:hanging="421"/>
      </w:pPr>
      <w:rPr>
        <w:rFonts w:hint="default"/>
      </w:rPr>
    </w:lvl>
    <w:lvl w:ilvl="7">
      <w:start w:val="0"/>
      <w:numFmt w:val="bullet"/>
      <w:lvlText w:val="•"/>
      <w:lvlJc w:val="left"/>
      <w:pPr>
        <w:ind w:left="3061" w:hanging="421"/>
      </w:pPr>
      <w:rPr>
        <w:rFonts w:hint="default"/>
      </w:rPr>
    </w:lvl>
    <w:lvl w:ilvl="8">
      <w:start w:val="0"/>
      <w:numFmt w:val="bullet"/>
      <w:lvlText w:val="•"/>
      <w:lvlJc w:val="left"/>
      <w:pPr>
        <w:ind w:left="3026" w:hanging="421"/>
      </w:pPr>
      <w:rPr>
        <w:rFonts w:hint="default"/>
      </w:rPr>
    </w:lvl>
  </w:abstractNum>
  <w:abstractNum w:abstractNumId="5">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9"/>
      </w:pPr>
      <w:rPr>
        <w:rFonts w:hint="default"/>
      </w:rPr>
    </w:lvl>
    <w:lvl w:ilvl="2">
      <w:start w:val="0"/>
      <w:numFmt w:val="bullet"/>
      <w:lvlText w:val="•"/>
      <w:lvlJc w:val="left"/>
      <w:pPr>
        <w:ind w:left="2133" w:hanging="269"/>
      </w:pPr>
      <w:rPr>
        <w:rFonts w:hint="default"/>
      </w:rPr>
    </w:lvl>
    <w:lvl w:ilvl="3">
      <w:start w:val="0"/>
      <w:numFmt w:val="bullet"/>
      <w:lvlText w:val="•"/>
      <w:lvlJc w:val="left"/>
      <w:pPr>
        <w:ind w:left="3139" w:hanging="269"/>
      </w:pPr>
      <w:rPr>
        <w:rFonts w:hint="default"/>
      </w:rPr>
    </w:lvl>
    <w:lvl w:ilvl="4">
      <w:start w:val="0"/>
      <w:numFmt w:val="bullet"/>
      <w:lvlText w:val="•"/>
      <w:lvlJc w:val="left"/>
      <w:pPr>
        <w:ind w:left="4146" w:hanging="269"/>
      </w:pPr>
      <w:rPr>
        <w:rFonts w:hint="default"/>
      </w:rPr>
    </w:lvl>
    <w:lvl w:ilvl="5">
      <w:start w:val="0"/>
      <w:numFmt w:val="bullet"/>
      <w:lvlText w:val="•"/>
      <w:lvlJc w:val="left"/>
      <w:pPr>
        <w:ind w:left="5153" w:hanging="269"/>
      </w:pPr>
      <w:rPr>
        <w:rFonts w:hint="default"/>
      </w:rPr>
    </w:lvl>
    <w:lvl w:ilvl="6">
      <w:start w:val="0"/>
      <w:numFmt w:val="bullet"/>
      <w:lvlText w:val="•"/>
      <w:lvlJc w:val="left"/>
      <w:pPr>
        <w:ind w:left="6159" w:hanging="269"/>
      </w:pPr>
      <w:rPr>
        <w:rFonts w:hint="default"/>
      </w:rPr>
    </w:lvl>
    <w:lvl w:ilvl="7">
      <w:start w:val="0"/>
      <w:numFmt w:val="bullet"/>
      <w:lvlText w:val="•"/>
      <w:lvlJc w:val="left"/>
      <w:pPr>
        <w:ind w:left="7166" w:hanging="269"/>
      </w:pPr>
      <w:rPr>
        <w:rFonts w:hint="default"/>
      </w:rPr>
    </w:lvl>
    <w:lvl w:ilvl="8">
      <w:start w:val="0"/>
      <w:numFmt w:val="bullet"/>
      <w:lvlText w:val="•"/>
      <w:lvlJc w:val="left"/>
      <w:pPr>
        <w:ind w:left="8173"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7"/>
      </w:pPr>
      <w:rPr>
        <w:rFonts w:hint="default"/>
      </w:rPr>
    </w:lvl>
    <w:lvl w:ilvl="2">
      <w:start w:val="0"/>
      <w:numFmt w:val="bullet"/>
      <w:lvlText w:val="•"/>
      <w:lvlJc w:val="left"/>
      <w:pPr>
        <w:ind w:left="2145" w:hanging="267"/>
      </w:pPr>
      <w:rPr>
        <w:rFonts w:hint="default"/>
      </w:rPr>
    </w:lvl>
    <w:lvl w:ilvl="3">
      <w:start w:val="0"/>
      <w:numFmt w:val="bullet"/>
      <w:lvlText w:val="•"/>
      <w:lvlJc w:val="left"/>
      <w:pPr>
        <w:ind w:left="3157" w:hanging="267"/>
      </w:pPr>
      <w:rPr>
        <w:rFonts w:hint="default"/>
      </w:rPr>
    </w:lvl>
    <w:lvl w:ilvl="4">
      <w:start w:val="0"/>
      <w:numFmt w:val="bullet"/>
      <w:lvlText w:val="•"/>
      <w:lvlJc w:val="left"/>
      <w:pPr>
        <w:ind w:left="4170" w:hanging="267"/>
      </w:pPr>
      <w:rPr>
        <w:rFonts w:hint="default"/>
      </w:rPr>
    </w:lvl>
    <w:lvl w:ilvl="5">
      <w:start w:val="0"/>
      <w:numFmt w:val="bullet"/>
      <w:lvlText w:val="•"/>
      <w:lvlJc w:val="left"/>
      <w:pPr>
        <w:ind w:left="5183" w:hanging="267"/>
      </w:pPr>
      <w:rPr>
        <w:rFonts w:hint="default"/>
      </w:rPr>
    </w:lvl>
    <w:lvl w:ilvl="6">
      <w:start w:val="0"/>
      <w:numFmt w:val="bullet"/>
      <w:lvlText w:val="•"/>
      <w:lvlJc w:val="left"/>
      <w:pPr>
        <w:ind w:left="6195" w:hanging="267"/>
      </w:pPr>
      <w:rPr>
        <w:rFonts w:hint="default"/>
      </w:rPr>
    </w:lvl>
    <w:lvl w:ilvl="7">
      <w:start w:val="0"/>
      <w:numFmt w:val="bullet"/>
      <w:lvlText w:val="•"/>
      <w:lvlJc w:val="left"/>
      <w:pPr>
        <w:ind w:left="7208" w:hanging="267"/>
      </w:pPr>
      <w:rPr>
        <w:rFonts w:hint="default"/>
      </w:rPr>
    </w:lvl>
    <w:lvl w:ilvl="8">
      <w:start w:val="0"/>
      <w:numFmt w:val="bullet"/>
      <w:lvlText w:val="•"/>
      <w:lvlJc w:val="left"/>
      <w:pPr>
        <w:ind w:left="822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02" w:hanging="420"/>
      </w:pPr>
      <w:rPr>
        <w:rFonts w:hint="default"/>
      </w:rPr>
    </w:lvl>
    <w:lvl w:ilvl="2">
      <w:start w:val="0"/>
      <w:numFmt w:val="bullet"/>
      <w:lvlText w:val="•"/>
      <w:lvlJc w:val="left"/>
      <w:pPr>
        <w:ind w:left="3705" w:hanging="420"/>
      </w:pPr>
      <w:rPr>
        <w:rFonts w:hint="default"/>
      </w:rPr>
    </w:lvl>
    <w:lvl w:ilvl="3">
      <w:start w:val="0"/>
      <w:numFmt w:val="bullet"/>
      <w:lvlText w:val="•"/>
      <w:lvlJc w:val="left"/>
      <w:pPr>
        <w:ind w:left="4607" w:hanging="420"/>
      </w:pPr>
      <w:rPr>
        <w:rFonts w:hint="default"/>
      </w:rPr>
    </w:lvl>
    <w:lvl w:ilvl="4">
      <w:start w:val="0"/>
      <w:numFmt w:val="bullet"/>
      <w:lvlText w:val="•"/>
      <w:lvlJc w:val="left"/>
      <w:pPr>
        <w:ind w:left="5510" w:hanging="420"/>
      </w:pPr>
      <w:rPr>
        <w:rFonts w:hint="default"/>
      </w:rPr>
    </w:lvl>
    <w:lvl w:ilvl="5">
      <w:start w:val="0"/>
      <w:numFmt w:val="bullet"/>
      <w:lvlText w:val="•"/>
      <w:lvlJc w:val="left"/>
      <w:pPr>
        <w:ind w:left="6413" w:hanging="420"/>
      </w:pPr>
      <w:rPr>
        <w:rFonts w:hint="default"/>
      </w:rPr>
    </w:lvl>
    <w:lvl w:ilvl="6">
      <w:start w:val="0"/>
      <w:numFmt w:val="bullet"/>
      <w:lvlText w:val="•"/>
      <w:lvlJc w:val="left"/>
      <w:pPr>
        <w:ind w:left="7315" w:hanging="420"/>
      </w:pPr>
      <w:rPr>
        <w:rFonts w:hint="default"/>
      </w:rPr>
    </w:lvl>
    <w:lvl w:ilvl="7">
      <w:start w:val="0"/>
      <w:numFmt w:val="bullet"/>
      <w:lvlText w:val="•"/>
      <w:lvlJc w:val="left"/>
      <w:pPr>
        <w:ind w:left="8218" w:hanging="420"/>
      </w:pPr>
      <w:rPr>
        <w:rFonts w:hint="default"/>
      </w:rPr>
    </w:lvl>
    <w:lvl w:ilvl="8">
      <w:start w:val="0"/>
      <w:numFmt w:val="bullet"/>
      <w:lvlText w:val="•"/>
      <w:lvlJc w:val="left"/>
      <w:pPr>
        <w:ind w:left="9121"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9"/>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802"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wugm11</dc:creator>
  <dcterms:created xsi:type="dcterms:W3CDTF">2018-10-20T07:47:38Z</dcterms:created>
  <dcterms:modified xsi:type="dcterms:W3CDTF">2018-10-20T07:47:38Z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Creator">
    <vt:lpwstr>Microsoft® Word 2010</vt:lpwstr>
  </property>
  <property fmtid="{D5CDD505-2E9C-101B-9397-08002B2CF9AE}" pid="4" name="LastSaved">
    <vt:filetime>2018-10-19T00:00:00Z</vt:filetime>
  </property>
</Properties>
</file>