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6"/>
        <w:ind w:right="115"/>
        <w:jc w:val="right"/>
      </w:pPr>
      <w:r>
        <w:rPr/>
        <w:drawing>
          <wp:anchor distT="0" distB="0" distL="0" distR="0" allowOverlap="1" layoutInCell="1" locked="0" behindDoc="0" simplePos="0" relativeHeight="1048">
            <wp:simplePos x="0" y="0"/>
            <wp:positionH relativeFrom="page">
              <wp:posOffset>5962650</wp:posOffset>
            </wp:positionH>
            <wp:positionV relativeFrom="paragraph">
              <wp:posOffset>256713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泰康人寿〔2009〕疾病保险 113 号</w:t>
      </w:r>
    </w:p>
    <w:p>
      <w:pPr>
        <w:pStyle w:val="BodyText"/>
        <w:rPr>
          <w:sz w:val="20"/>
        </w:rPr>
      </w:pPr>
    </w:p>
    <w:p>
      <w:pPr>
        <w:pStyle w:val="BodyText"/>
        <w:spacing w:before="11"/>
        <w:rPr>
          <w:sz w:val="22"/>
        </w:rPr>
      </w:pPr>
    </w:p>
    <w:p>
      <w:pPr>
        <w:spacing w:after="0"/>
        <w:rPr>
          <w:sz w:val="22"/>
        </w:rPr>
        <w:sectPr>
          <w:type w:val="continuous"/>
          <w:pgSz w:w="11910" w:h="16840"/>
          <w:pgMar w:top="260" w:bottom="280" w:left="880" w:right="260"/>
        </w:sectPr>
      </w:pPr>
    </w:p>
    <w:p>
      <w:pPr>
        <w:pStyle w:val="Heading1"/>
        <w:spacing w:line="220" w:lineRule="auto"/>
        <w:ind w:left="4192" w:hanging="1683"/>
      </w:pPr>
      <w:r>
        <w:rPr/>
        <w:t>泰康附加世纪长乐重大疾病保险条款阅  读  指 引</w:t>
      </w:r>
    </w:p>
    <w:p>
      <w:pPr>
        <w:pStyle w:val="BodyText"/>
        <w:rPr>
          <w:rFonts w:ascii="微软雅黑"/>
          <w:b/>
          <w:sz w:val="20"/>
        </w:rPr>
      </w:pPr>
      <w:r>
        <w:rPr/>
        <w:br w:type="column"/>
      </w:r>
      <w:r>
        <w:rPr>
          <w:rFonts w:ascii="微软雅黑"/>
          <w:b/>
          <w:sz w:val="20"/>
        </w:rPr>
      </w:r>
    </w:p>
    <w:p>
      <w:pPr>
        <w:pStyle w:val="BodyText"/>
        <w:spacing w:before="10"/>
        <w:rPr>
          <w:rFonts w:ascii="微软雅黑"/>
          <w:b/>
          <w:sz w:val="23"/>
        </w:rPr>
      </w:pPr>
    </w:p>
    <w:p>
      <w:pPr>
        <w:pStyle w:val="BodyText"/>
        <w:ind w:left="364"/>
      </w:pPr>
      <w:r>
        <w:rPr/>
        <w:t>请扫描以查询验证条款</w:t>
      </w:r>
    </w:p>
    <w:p>
      <w:pPr>
        <w:spacing w:after="0"/>
        <w:sectPr>
          <w:type w:val="continuous"/>
          <w:pgSz w:w="11910" w:h="16840"/>
          <w:pgMar w:top="260" w:bottom="280" w:left="880" w:right="260"/>
          <w:cols w:num="2" w:equalWidth="0">
            <w:col w:w="7634" w:space="40"/>
            <w:col w:w="3096"/>
          </w:cols>
        </w:sectPr>
      </w:pPr>
    </w:p>
    <w:p>
      <w:pPr>
        <w:pStyle w:val="BodyText"/>
        <w:spacing w:before="5"/>
        <w:rPr>
          <w:sz w:val="13"/>
        </w:rPr>
      </w:pPr>
    </w:p>
    <w:p>
      <w:pPr>
        <w:pStyle w:val="BodyText"/>
        <w:spacing w:before="36"/>
        <w:ind w:left="1811" w:right="2367"/>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1"/>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tabs>
          <w:tab w:pos="1229" w:val="left" w:leader="none"/>
        </w:tabs>
        <w:spacing w:before="33"/>
        <w:ind w:left="219" w:right="0" w:firstLine="0"/>
        <w:jc w:val="left"/>
        <w:rPr>
          <w:b/>
          <w:sz w:val="21"/>
        </w:rPr>
      </w:pPr>
      <w:r>
        <w:rPr/>
        <w:pict>
          <v:group style="position:absolute;margin-left:49.200001pt;margin-top:1.797663pt;width:496.8pt;height:568.050pt;mso-position-horizontal-relative:page;mso-position-vertical-relative:paragraph;z-index:-29632" coordorigin="984,36" coordsize="9936,11361">
            <v:rect style="position:absolute;left:984;top:35;width:10;height:10" filled="true" fillcolor="#000000" stroked="false">
              <v:fill type="solid"/>
            </v:rect>
            <v:line style="position:absolute" from="994,41" to="10910,41" stroked="true" strokeweight=".48001pt" strokecolor="#000000">
              <v:stroke dashstyle="solid"/>
            </v:line>
            <v:rect style="position:absolute;left:10910;top:35;width:10;height:10" filled="true" fillcolor="#000000" stroked="false">
              <v:fill type="solid"/>
            </v:rect>
            <v:line style="position:absolute" from="989,46" to="989,11397" stroked="true" strokeweight=".48pt" strokecolor="#000000">
              <v:stroke dashstyle="solid"/>
            </v:line>
            <v:line style="position:absolute" from="10915,46" to="10915,11397" stroked="true" strokeweight=".47998pt" strokecolor="#000000">
              <v:stroke dashstyle="solid"/>
            </v:line>
            <w10:wrap type="none"/>
          </v:group>
        </w:pict>
      </w:r>
      <w:r>
        <w:rPr>
          <w:rFonts w:ascii="Arial" w:hAnsi="Arial" w:eastAsia="Arial"/>
          <w:b/>
          <w:w w:val="105"/>
          <w:position w:val="-11"/>
          <w:sz w:val="52"/>
        </w:rPr>
        <w:t></w:t>
        <w:tab/>
      </w:r>
      <w:r>
        <w:rPr>
          <w:b/>
          <w:spacing w:val="-1"/>
          <w:sz w:val="21"/>
        </w:rPr>
        <w:t>您拥有的重要权益</w:t>
      </w:r>
    </w:p>
    <w:p>
      <w:pPr>
        <w:pStyle w:val="ListParagraph"/>
        <w:numPr>
          <w:ilvl w:val="0"/>
          <w:numId w:val="1"/>
        </w:numPr>
        <w:tabs>
          <w:tab w:pos="1249" w:val="left" w:leader="none"/>
          <w:tab w:pos="1250" w:val="left" w:leader="none"/>
        </w:tabs>
        <w:spacing w:line="240" w:lineRule="auto" w:before="25" w:after="0"/>
        <w:ind w:left="1249" w:right="0" w:hanging="399"/>
        <w:jc w:val="left"/>
        <w:rPr>
          <w:sz w:val="21"/>
        </w:rPr>
      </w:pPr>
      <w:r>
        <w:rPr>
          <w:spacing w:val="-6"/>
          <w:sz w:val="21"/>
        </w:rPr>
        <w:t>签收本附加合同之日起 </w:t>
      </w:r>
      <w:r>
        <w:rPr>
          <w:sz w:val="21"/>
        </w:rPr>
        <w:t>10</w:t>
      </w:r>
      <w:r>
        <w:rPr>
          <w:spacing w:val="-18"/>
          <w:sz w:val="21"/>
        </w:rPr>
        <w:t> 日</w:t>
      </w:r>
      <w:r>
        <w:rPr>
          <w:sz w:val="21"/>
        </w:rPr>
        <w:t>（</w:t>
      </w:r>
      <w:r>
        <w:rPr>
          <w:spacing w:val="-3"/>
          <w:sz w:val="21"/>
        </w:rPr>
        <w:t>即犹豫期</w:t>
      </w:r>
      <w:r>
        <w:rPr>
          <w:sz w:val="21"/>
        </w:rPr>
        <w:t>）</w:t>
      </w:r>
      <w:r>
        <w:rPr>
          <w:spacing w:val="-3"/>
          <w:sz w:val="21"/>
        </w:rPr>
        <w:t>内您若要求退保，我们向您无息退还保险费</w:t>
      </w:r>
      <w:r>
        <w:rPr>
          <w:sz w:val="21"/>
        </w:rPr>
        <w:t>.1.4</w:t>
      </w:r>
    </w:p>
    <w:p>
      <w:pPr>
        <w:pStyle w:val="ListParagraph"/>
        <w:numPr>
          <w:ilvl w:val="0"/>
          <w:numId w:val="1"/>
        </w:numPr>
        <w:tabs>
          <w:tab w:pos="1249" w:val="left" w:leader="none"/>
          <w:tab w:pos="1250" w:val="left" w:leader="none"/>
          <w:tab w:pos="9547" w:val="right" w:leader="dot"/>
        </w:tabs>
        <w:spacing w:line="240" w:lineRule="auto" w:before="21" w:after="0"/>
        <w:ind w:left="1249" w:right="0" w:hanging="399"/>
        <w:jc w:val="left"/>
        <w:rPr>
          <w:sz w:val="21"/>
        </w:rPr>
      </w:pPr>
      <w:r>
        <w:rPr>
          <w:spacing w:val="-3"/>
          <w:sz w:val="21"/>
        </w:rPr>
        <w:t>本</w:t>
      </w:r>
      <w:r>
        <w:rPr>
          <w:sz w:val="21"/>
        </w:rPr>
        <w:t>附</w:t>
      </w:r>
      <w:r>
        <w:rPr>
          <w:spacing w:val="-3"/>
          <w:sz w:val="21"/>
        </w:rPr>
        <w:t>加</w:t>
      </w:r>
      <w:r>
        <w:rPr>
          <w:sz w:val="21"/>
        </w:rPr>
        <w:t>合</w:t>
      </w:r>
      <w:r>
        <w:rPr>
          <w:spacing w:val="-3"/>
          <w:sz w:val="21"/>
        </w:rPr>
        <w:t>同提</w:t>
      </w:r>
      <w:r>
        <w:rPr>
          <w:sz w:val="21"/>
        </w:rPr>
        <w:t>供的</w:t>
      </w:r>
      <w:r>
        <w:rPr>
          <w:spacing w:val="-3"/>
          <w:sz w:val="21"/>
        </w:rPr>
        <w:t>保</w:t>
      </w:r>
      <w:r>
        <w:rPr>
          <w:sz w:val="21"/>
        </w:rPr>
        <w:t>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中列明</w:t>
        <w:tab/>
        <w:t>2.3</w:t>
      </w:r>
    </w:p>
    <w:p>
      <w:pPr>
        <w:pStyle w:val="ListParagraph"/>
        <w:numPr>
          <w:ilvl w:val="0"/>
          <w:numId w:val="1"/>
        </w:numPr>
        <w:tabs>
          <w:tab w:pos="1249" w:val="left" w:leader="none"/>
          <w:tab w:pos="1250" w:val="left" w:leader="none"/>
          <w:tab w:pos="9545" w:val="right" w:leader="dot"/>
        </w:tabs>
        <w:spacing w:line="240" w:lineRule="auto" w:before="21" w:after="0"/>
        <w:ind w:left="1249" w:right="0" w:hanging="399"/>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tabs>
          <w:tab w:pos="1229" w:val="left" w:leader="none"/>
        </w:tabs>
        <w:spacing w:before="21"/>
        <w:ind w:left="219"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249" w:val="left" w:leader="none"/>
          <w:tab w:pos="1250" w:val="left" w:leader="none"/>
          <w:tab w:pos="9545" w:val="right" w:leader="dot"/>
        </w:tabs>
        <w:spacing w:line="240" w:lineRule="auto" w:before="25" w:after="0"/>
        <w:ind w:left="1249" w:right="0" w:hanging="399"/>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2.4</w:t>
      </w:r>
    </w:p>
    <w:p>
      <w:pPr>
        <w:pStyle w:val="ListParagraph"/>
        <w:numPr>
          <w:ilvl w:val="0"/>
          <w:numId w:val="1"/>
        </w:numPr>
        <w:tabs>
          <w:tab w:pos="1249" w:val="left" w:leader="none"/>
          <w:tab w:pos="1250" w:val="left" w:leader="none"/>
          <w:tab w:pos="9545" w:val="right" w:leader="dot"/>
        </w:tabs>
        <w:spacing w:line="240" w:lineRule="auto" w:before="22" w:after="0"/>
        <w:ind w:left="1249" w:right="0" w:hanging="399"/>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后请</w:t>
      </w:r>
      <w:r>
        <w:rPr>
          <w:spacing w:val="-3"/>
          <w:sz w:val="21"/>
        </w:rPr>
        <w:t>您</w:t>
      </w:r>
      <w:r>
        <w:rPr>
          <w:sz w:val="21"/>
        </w:rPr>
        <w:t>及</w:t>
      </w:r>
      <w:r>
        <w:rPr>
          <w:spacing w:val="-3"/>
          <w:sz w:val="21"/>
        </w:rPr>
        <w:t>时</w:t>
      </w:r>
      <w:r>
        <w:rPr>
          <w:sz w:val="21"/>
        </w:rPr>
        <w:t>通</w:t>
      </w:r>
      <w:r>
        <w:rPr>
          <w:spacing w:val="-3"/>
          <w:sz w:val="21"/>
        </w:rPr>
        <w:t>知</w:t>
      </w:r>
      <w:r>
        <w:rPr>
          <w:sz w:val="21"/>
        </w:rPr>
        <w:t>我们</w:t>
        <w:tab/>
        <w:t>3.2</w:t>
      </w:r>
    </w:p>
    <w:p>
      <w:pPr>
        <w:pStyle w:val="ListParagraph"/>
        <w:numPr>
          <w:ilvl w:val="0"/>
          <w:numId w:val="1"/>
        </w:numPr>
        <w:tabs>
          <w:tab w:pos="1249" w:val="left" w:leader="none"/>
          <w:tab w:pos="1250" w:val="left" w:leader="none"/>
          <w:tab w:pos="9545" w:val="right" w:leader="dot"/>
        </w:tabs>
        <w:spacing w:line="240" w:lineRule="auto" w:before="23" w:after="0"/>
        <w:ind w:left="1249" w:right="0" w:hanging="399"/>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49" w:val="left" w:leader="none"/>
          <w:tab w:pos="1250" w:val="left" w:leader="none"/>
          <w:tab w:pos="9547" w:val="right" w:leader="dot"/>
        </w:tabs>
        <w:spacing w:line="240" w:lineRule="auto" w:before="22" w:after="0"/>
        <w:ind w:left="1249" w:right="0" w:hanging="399"/>
        <w:jc w:val="left"/>
        <w:rPr>
          <w:sz w:val="21"/>
        </w:rPr>
      </w:pPr>
      <w:r>
        <w:rPr>
          <w:spacing w:val="-3"/>
          <w:sz w:val="21"/>
        </w:rPr>
        <w:t>主</w:t>
      </w:r>
      <w:r>
        <w:rPr>
          <w:sz w:val="21"/>
        </w:rPr>
        <w:t>合同</w:t>
      </w:r>
      <w:r>
        <w:rPr>
          <w:spacing w:val="-3"/>
          <w:sz w:val="21"/>
        </w:rPr>
        <w:t>中</w:t>
      </w:r>
      <w:r>
        <w:rPr>
          <w:sz w:val="21"/>
        </w:rPr>
        <w:t>的</w:t>
      </w:r>
      <w:r>
        <w:rPr>
          <w:spacing w:val="-3"/>
          <w:sz w:val="21"/>
        </w:rPr>
        <w:t>部</w:t>
      </w:r>
      <w:r>
        <w:rPr>
          <w:sz w:val="21"/>
        </w:rPr>
        <w:t>分</w:t>
      </w:r>
      <w:r>
        <w:rPr>
          <w:spacing w:val="-3"/>
          <w:sz w:val="21"/>
        </w:rPr>
        <w:t>条款</w:t>
      </w:r>
      <w:r>
        <w:rPr>
          <w:sz w:val="21"/>
        </w:rPr>
        <w:t>适用</w:t>
      </w:r>
      <w:r>
        <w:rPr>
          <w:spacing w:val="-3"/>
          <w:sz w:val="21"/>
        </w:rPr>
        <w:t>于</w:t>
      </w:r>
      <w:r>
        <w:rPr>
          <w:sz w:val="21"/>
        </w:rPr>
        <w:t>本</w:t>
      </w:r>
      <w:r>
        <w:rPr>
          <w:spacing w:val="-3"/>
          <w:sz w:val="21"/>
        </w:rPr>
        <w:t>附</w:t>
      </w:r>
      <w:r>
        <w:rPr>
          <w:sz w:val="21"/>
        </w:rPr>
        <w:t>加</w:t>
      </w:r>
      <w:r>
        <w:rPr>
          <w:spacing w:val="-3"/>
          <w:sz w:val="21"/>
        </w:rPr>
        <w:t>合</w:t>
      </w:r>
      <w:r>
        <w:rPr>
          <w:sz w:val="21"/>
        </w:rPr>
        <w:t>同</w:t>
      </w:r>
      <w:r>
        <w:rPr>
          <w:spacing w:val="-3"/>
          <w:sz w:val="21"/>
        </w:rPr>
        <w:t>，</w:t>
      </w:r>
      <w:r>
        <w:rPr>
          <w:sz w:val="21"/>
        </w:rPr>
        <w:t>请</w:t>
      </w:r>
      <w:r>
        <w:rPr>
          <w:spacing w:val="-3"/>
          <w:sz w:val="21"/>
        </w:rPr>
        <w:t>您</w:t>
      </w:r>
      <w:r>
        <w:rPr>
          <w:sz w:val="21"/>
        </w:rPr>
        <w:t>仔细</w:t>
      </w:r>
      <w:r>
        <w:rPr>
          <w:spacing w:val="-3"/>
          <w:sz w:val="21"/>
        </w:rPr>
        <w:t>阅</w:t>
      </w:r>
      <w:r>
        <w:rPr>
          <w:sz w:val="21"/>
        </w:rPr>
        <w:t>读</w:t>
        <w:tab/>
        <w:t>8.2</w:t>
      </w:r>
    </w:p>
    <w:p>
      <w:pPr>
        <w:pStyle w:val="ListParagraph"/>
        <w:numPr>
          <w:ilvl w:val="0"/>
          <w:numId w:val="1"/>
        </w:numPr>
        <w:tabs>
          <w:tab w:pos="1249" w:val="left" w:leader="none"/>
          <w:tab w:pos="1250" w:val="left" w:leader="none"/>
          <w:tab w:pos="9338" w:val="right" w:leader="dot"/>
        </w:tabs>
        <w:spacing w:line="240" w:lineRule="auto" w:before="22" w:after="0"/>
        <w:ind w:left="1249" w:right="0" w:hanging="399"/>
        <w:jc w:val="left"/>
        <w:rPr>
          <w:sz w:val="21"/>
        </w:rPr>
      </w:pPr>
      <w:r>
        <w:rPr>
          <w:spacing w:val="-3"/>
          <w:sz w:val="21"/>
        </w:rPr>
        <w:t>本</w:t>
      </w:r>
      <w:r>
        <w:rPr>
          <w:sz w:val="21"/>
        </w:rPr>
        <w:t>附加</w:t>
      </w:r>
      <w:r>
        <w:rPr>
          <w:spacing w:val="-3"/>
          <w:sz w:val="21"/>
        </w:rPr>
        <w:t>合</w:t>
      </w:r>
      <w:r>
        <w:rPr>
          <w:sz w:val="21"/>
        </w:rPr>
        <w:t>同</w:t>
      </w:r>
      <w:r>
        <w:rPr>
          <w:spacing w:val="-3"/>
          <w:sz w:val="21"/>
        </w:rPr>
        <w:t>对</w:t>
      </w:r>
      <w:r>
        <w:rPr>
          <w:sz w:val="21"/>
        </w:rPr>
        <w:t>重</w:t>
      </w:r>
      <w:r>
        <w:rPr>
          <w:spacing w:val="-3"/>
          <w:sz w:val="21"/>
        </w:rPr>
        <w:t>大疾</w:t>
      </w:r>
      <w:r>
        <w:rPr>
          <w:sz w:val="21"/>
        </w:rPr>
        <w:t>病进</w:t>
      </w:r>
      <w:r>
        <w:rPr>
          <w:spacing w:val="-3"/>
          <w:sz w:val="21"/>
        </w:rPr>
        <w:t>行</w:t>
      </w:r>
      <w:r>
        <w:rPr>
          <w:sz w:val="21"/>
        </w:rPr>
        <w:t>了</w:t>
      </w:r>
      <w:r>
        <w:rPr>
          <w:spacing w:val="-3"/>
          <w:sz w:val="21"/>
        </w:rPr>
        <w:t>明</w:t>
      </w:r>
      <w:r>
        <w:rPr>
          <w:sz w:val="21"/>
        </w:rPr>
        <w:t>确</w:t>
      </w:r>
      <w:r>
        <w:rPr>
          <w:spacing w:val="-3"/>
          <w:sz w:val="21"/>
        </w:rPr>
        <w:t>定</w:t>
      </w:r>
      <w:r>
        <w:rPr>
          <w:sz w:val="21"/>
        </w:rPr>
        <w:t>义</w:t>
      </w:r>
      <w:r>
        <w:rPr>
          <w:spacing w:val="-3"/>
          <w:sz w:val="21"/>
        </w:rPr>
        <w:t>，</w:t>
      </w:r>
      <w:r>
        <w:rPr>
          <w:sz w:val="21"/>
        </w:rPr>
        <w:t>请</w:t>
      </w:r>
      <w:r>
        <w:rPr>
          <w:spacing w:val="-3"/>
          <w:sz w:val="21"/>
        </w:rPr>
        <w:t>您</w:t>
      </w:r>
      <w:r>
        <w:rPr>
          <w:sz w:val="21"/>
        </w:rPr>
        <w:t>仔细</w:t>
      </w:r>
      <w:r>
        <w:rPr>
          <w:spacing w:val="-3"/>
          <w:sz w:val="21"/>
        </w:rPr>
        <w:t>阅</w:t>
      </w:r>
      <w:r>
        <w:rPr>
          <w:sz w:val="21"/>
        </w:rPr>
        <w:t>读</w:t>
        <w:tab/>
        <w:t>9</w:t>
      </w:r>
    </w:p>
    <w:p>
      <w:pPr>
        <w:pStyle w:val="ListParagraph"/>
        <w:numPr>
          <w:ilvl w:val="0"/>
          <w:numId w:val="1"/>
        </w:numPr>
        <w:tabs>
          <w:tab w:pos="1249" w:val="left" w:leader="none"/>
          <w:tab w:pos="1250" w:val="left" w:leader="none"/>
          <w:tab w:pos="9441" w:val="right" w:leader="dot"/>
        </w:tabs>
        <w:spacing w:line="240" w:lineRule="auto" w:before="22" w:after="0"/>
        <w:ind w:left="1249" w:right="0" w:hanging="399"/>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29" w:val="left" w:leader="none"/>
        </w:tabs>
        <w:spacing w:before="22"/>
        <w:ind w:left="219"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29" w:val="left" w:leader="none"/>
        </w:tabs>
        <w:spacing w:before="25"/>
        <w:ind w:left="219" w:right="0" w:firstLine="0"/>
        <w:jc w:val="left"/>
        <w:rPr>
          <w:b/>
          <w:sz w:val="21"/>
        </w:rPr>
      </w:pPr>
      <w:r>
        <w:rPr>
          <w:rFonts w:ascii="Arial" w:hAnsi="Arial" w:eastAsia="Arial"/>
          <w:b/>
          <w:w w:val="110"/>
          <w:position w:val="-11"/>
          <w:sz w:val="52"/>
        </w:rPr>
        <w:t></w:t>
        <w:tab/>
      </w:r>
      <w:r>
        <w:rPr>
          <w:b/>
          <w:sz w:val="21"/>
        </w:rPr>
        <w:t>条款目录</w:t>
      </w:r>
    </w:p>
    <w:p>
      <w:pPr>
        <w:pStyle w:val="BodyText"/>
        <w:spacing w:before="10"/>
        <w:rPr>
          <w:b/>
          <w:sz w:val="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2"/>
        <w:gridCol w:w="2942"/>
        <w:gridCol w:w="4292"/>
      </w:tblGrid>
      <w:tr>
        <w:trPr>
          <w:trHeight w:val="5673" w:hRule="atLeast"/>
        </w:trPr>
        <w:tc>
          <w:tcPr>
            <w:tcW w:w="2692" w:type="dxa"/>
            <w:tcBorders>
              <w:bottom w:val="single" w:sz="4" w:space="0" w:color="000000"/>
            </w:tcBorders>
          </w:tcPr>
          <w:p>
            <w:pPr>
              <w:pStyle w:val="TableParagraph"/>
              <w:numPr>
                <w:ilvl w:val="0"/>
                <w:numId w:val="2"/>
              </w:numPr>
              <w:tabs>
                <w:tab w:pos="536" w:val="left" w:leader="none"/>
              </w:tabs>
              <w:spacing w:line="211" w:lineRule="exact" w:before="0" w:after="0"/>
              <w:ind w:left="535" w:right="0" w:hanging="317"/>
              <w:jc w:val="left"/>
              <w:rPr>
                <w:b/>
                <w:sz w:val="21"/>
              </w:rPr>
            </w:pPr>
            <w:r>
              <w:rPr>
                <w:b/>
                <w:sz w:val="21"/>
              </w:rPr>
              <w:t>您与我们订立的合同</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合同构成</w:t>
            </w:r>
          </w:p>
          <w:p>
            <w:pPr>
              <w:pStyle w:val="TableParagraph"/>
              <w:numPr>
                <w:ilvl w:val="1"/>
                <w:numId w:val="2"/>
              </w:numPr>
              <w:tabs>
                <w:tab w:pos="745" w:val="left" w:leader="none"/>
              </w:tabs>
              <w:spacing w:line="240" w:lineRule="auto" w:before="37" w:after="0"/>
              <w:ind w:left="744" w:right="0" w:hanging="420"/>
              <w:jc w:val="left"/>
              <w:rPr>
                <w:sz w:val="21"/>
              </w:rPr>
            </w:pPr>
            <w:r>
              <w:rPr>
                <w:spacing w:val="-3"/>
                <w:sz w:val="21"/>
              </w:rPr>
              <w:t>合同成立及生效</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投保年龄</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犹豫期</w:t>
            </w:r>
          </w:p>
          <w:p>
            <w:pPr>
              <w:pStyle w:val="TableParagraph"/>
              <w:numPr>
                <w:ilvl w:val="0"/>
                <w:numId w:val="2"/>
              </w:numPr>
              <w:tabs>
                <w:tab w:pos="536" w:val="left" w:leader="none"/>
              </w:tabs>
              <w:spacing w:line="240" w:lineRule="auto" w:before="36" w:after="0"/>
              <w:ind w:left="535" w:right="0" w:hanging="317"/>
              <w:jc w:val="left"/>
              <w:rPr>
                <w:b/>
                <w:sz w:val="21"/>
              </w:rPr>
            </w:pPr>
            <w:r>
              <w:rPr>
                <w:b/>
                <w:sz w:val="21"/>
              </w:rPr>
              <w:t>我们提供的保障</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保险金额</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保险期间</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保险责任</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责任免除</w:t>
            </w:r>
          </w:p>
          <w:p>
            <w:pPr>
              <w:pStyle w:val="TableParagraph"/>
              <w:numPr>
                <w:ilvl w:val="0"/>
                <w:numId w:val="2"/>
              </w:numPr>
              <w:tabs>
                <w:tab w:pos="536" w:val="left" w:leader="none"/>
              </w:tabs>
              <w:spacing w:line="240" w:lineRule="auto" w:before="36" w:after="0"/>
              <w:ind w:left="535" w:right="0" w:hanging="317"/>
              <w:jc w:val="left"/>
              <w:rPr>
                <w:b/>
                <w:sz w:val="21"/>
              </w:rPr>
            </w:pPr>
            <w:r>
              <w:rPr>
                <w:b/>
                <w:spacing w:val="-1"/>
                <w:sz w:val="21"/>
              </w:rPr>
              <w:t>保险金的申请</w:t>
            </w:r>
          </w:p>
          <w:p>
            <w:pPr>
              <w:pStyle w:val="TableParagraph"/>
              <w:numPr>
                <w:ilvl w:val="1"/>
                <w:numId w:val="2"/>
              </w:numPr>
              <w:tabs>
                <w:tab w:pos="745" w:val="left" w:leader="none"/>
              </w:tabs>
              <w:spacing w:line="240" w:lineRule="auto" w:before="36" w:after="0"/>
              <w:ind w:left="744" w:right="0" w:hanging="420"/>
              <w:jc w:val="left"/>
              <w:rPr>
                <w:sz w:val="21"/>
              </w:rPr>
            </w:pPr>
            <w:r>
              <w:rPr>
                <w:spacing w:val="-2"/>
                <w:sz w:val="21"/>
              </w:rPr>
              <w:t>受益人</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保险事故通知</w:t>
            </w:r>
          </w:p>
          <w:p>
            <w:pPr>
              <w:pStyle w:val="TableParagraph"/>
              <w:numPr>
                <w:ilvl w:val="1"/>
                <w:numId w:val="2"/>
              </w:numPr>
              <w:tabs>
                <w:tab w:pos="745" w:val="left" w:leader="none"/>
              </w:tabs>
              <w:spacing w:line="240" w:lineRule="auto" w:before="36" w:after="0"/>
              <w:ind w:left="744" w:right="0" w:hanging="420"/>
              <w:jc w:val="left"/>
              <w:rPr>
                <w:sz w:val="21"/>
              </w:rPr>
            </w:pPr>
            <w:r>
              <w:rPr>
                <w:spacing w:val="-3"/>
                <w:sz w:val="21"/>
              </w:rPr>
              <w:t>保险金申请</w:t>
            </w:r>
          </w:p>
          <w:p>
            <w:pPr>
              <w:pStyle w:val="TableParagraph"/>
              <w:numPr>
                <w:ilvl w:val="1"/>
                <w:numId w:val="2"/>
              </w:numPr>
              <w:tabs>
                <w:tab w:pos="747" w:val="left" w:leader="none"/>
              </w:tabs>
              <w:spacing w:line="240" w:lineRule="auto" w:before="36" w:after="0"/>
              <w:ind w:left="746" w:right="0" w:hanging="422"/>
              <w:jc w:val="left"/>
              <w:rPr>
                <w:sz w:val="21"/>
              </w:rPr>
            </w:pPr>
            <w:r>
              <w:rPr>
                <w:spacing w:val="-3"/>
                <w:sz w:val="21"/>
              </w:rPr>
              <w:t>保险金给付</w:t>
            </w:r>
          </w:p>
          <w:p>
            <w:pPr>
              <w:pStyle w:val="TableParagraph"/>
              <w:numPr>
                <w:ilvl w:val="1"/>
                <w:numId w:val="2"/>
              </w:numPr>
              <w:tabs>
                <w:tab w:pos="745" w:val="left" w:leader="none"/>
              </w:tabs>
              <w:spacing w:line="240" w:lineRule="auto" w:before="37" w:after="0"/>
              <w:ind w:left="744" w:right="0" w:hanging="420"/>
              <w:jc w:val="left"/>
              <w:rPr>
                <w:sz w:val="21"/>
              </w:rPr>
            </w:pPr>
            <w:r>
              <w:rPr>
                <w:spacing w:val="-2"/>
                <w:sz w:val="21"/>
              </w:rPr>
              <w:t>诉讼时效</w:t>
            </w:r>
          </w:p>
          <w:p>
            <w:pPr>
              <w:pStyle w:val="TableParagraph"/>
              <w:numPr>
                <w:ilvl w:val="0"/>
                <w:numId w:val="2"/>
              </w:numPr>
              <w:tabs>
                <w:tab w:pos="536" w:val="left" w:leader="none"/>
              </w:tabs>
              <w:spacing w:line="240" w:lineRule="auto" w:before="37" w:after="0"/>
              <w:ind w:left="535" w:right="0" w:hanging="317"/>
              <w:jc w:val="left"/>
              <w:rPr>
                <w:b/>
                <w:sz w:val="21"/>
              </w:rPr>
            </w:pPr>
            <w:r>
              <w:rPr>
                <w:b/>
                <w:sz w:val="21"/>
              </w:rPr>
              <w:t>保险费的交纳</w:t>
            </w:r>
          </w:p>
          <w:p>
            <w:pPr>
              <w:pStyle w:val="TableParagraph"/>
              <w:numPr>
                <w:ilvl w:val="1"/>
                <w:numId w:val="2"/>
              </w:numPr>
              <w:tabs>
                <w:tab w:pos="747" w:val="left" w:leader="none"/>
              </w:tabs>
              <w:spacing w:line="240" w:lineRule="auto" w:before="37" w:after="0"/>
              <w:ind w:left="746" w:right="0" w:hanging="422"/>
              <w:jc w:val="left"/>
              <w:rPr>
                <w:sz w:val="21"/>
              </w:rPr>
            </w:pPr>
            <w:r>
              <w:rPr>
                <w:spacing w:val="-3"/>
                <w:sz w:val="21"/>
              </w:rPr>
              <w:t>保险费的交纳</w:t>
            </w:r>
          </w:p>
        </w:tc>
        <w:tc>
          <w:tcPr>
            <w:tcW w:w="2942" w:type="dxa"/>
            <w:tcBorders>
              <w:bottom w:val="single" w:sz="4" w:space="0" w:color="000000"/>
            </w:tcBorders>
          </w:tcPr>
          <w:p>
            <w:pPr>
              <w:pStyle w:val="TableParagraph"/>
              <w:spacing w:line="211" w:lineRule="exact" w:before="0"/>
              <w:ind w:left="361"/>
              <w:rPr>
                <w:sz w:val="21"/>
              </w:rPr>
            </w:pPr>
            <w:r>
              <w:rPr>
                <w:sz w:val="21"/>
              </w:rPr>
              <w:t>4.2 宽限期</w:t>
            </w:r>
          </w:p>
          <w:p>
            <w:pPr>
              <w:pStyle w:val="TableParagraph"/>
              <w:numPr>
                <w:ilvl w:val="0"/>
                <w:numId w:val="3"/>
              </w:numPr>
              <w:tabs>
                <w:tab w:pos="573" w:val="left" w:leader="none"/>
              </w:tabs>
              <w:spacing w:line="240" w:lineRule="auto" w:before="37" w:after="0"/>
              <w:ind w:left="573" w:right="0" w:hanging="318"/>
              <w:jc w:val="left"/>
              <w:rPr>
                <w:b/>
                <w:sz w:val="21"/>
              </w:rPr>
            </w:pPr>
            <w:r>
              <w:rPr>
                <w:b/>
                <w:sz w:val="21"/>
              </w:rPr>
              <w:t>现金价值权益</w:t>
            </w:r>
          </w:p>
          <w:p>
            <w:pPr>
              <w:pStyle w:val="TableParagraph"/>
              <w:numPr>
                <w:ilvl w:val="1"/>
                <w:numId w:val="3"/>
              </w:numPr>
              <w:tabs>
                <w:tab w:pos="782" w:val="left" w:leader="none"/>
              </w:tabs>
              <w:spacing w:line="240" w:lineRule="auto" w:before="37" w:after="0"/>
              <w:ind w:left="781" w:right="0" w:hanging="420"/>
              <w:jc w:val="left"/>
              <w:rPr>
                <w:sz w:val="21"/>
              </w:rPr>
            </w:pPr>
            <w:r>
              <w:rPr>
                <w:spacing w:val="-2"/>
                <w:sz w:val="21"/>
              </w:rPr>
              <w:t>现金价值</w:t>
            </w:r>
          </w:p>
          <w:p>
            <w:pPr>
              <w:pStyle w:val="TableParagraph"/>
              <w:numPr>
                <w:ilvl w:val="0"/>
                <w:numId w:val="3"/>
              </w:numPr>
              <w:tabs>
                <w:tab w:pos="573" w:val="left" w:leader="none"/>
              </w:tabs>
              <w:spacing w:line="240" w:lineRule="auto" w:before="37" w:after="0"/>
              <w:ind w:left="573" w:right="0" w:hanging="318"/>
              <w:jc w:val="left"/>
              <w:rPr>
                <w:b/>
                <w:sz w:val="21"/>
              </w:rPr>
            </w:pPr>
            <w:r>
              <w:rPr>
                <w:b/>
                <w:sz w:val="21"/>
              </w:rPr>
              <w:t>合同效力的中止及恢复</w:t>
            </w:r>
          </w:p>
          <w:p>
            <w:pPr>
              <w:pStyle w:val="TableParagraph"/>
              <w:numPr>
                <w:ilvl w:val="1"/>
                <w:numId w:val="3"/>
              </w:numPr>
              <w:tabs>
                <w:tab w:pos="782" w:val="left" w:leader="none"/>
              </w:tabs>
              <w:spacing w:line="240" w:lineRule="auto" w:before="36" w:after="0"/>
              <w:ind w:left="781" w:right="0" w:hanging="420"/>
              <w:jc w:val="left"/>
              <w:rPr>
                <w:sz w:val="21"/>
              </w:rPr>
            </w:pPr>
            <w:r>
              <w:rPr>
                <w:spacing w:val="-2"/>
                <w:sz w:val="21"/>
              </w:rPr>
              <w:t>效力中止</w:t>
            </w:r>
          </w:p>
          <w:p>
            <w:pPr>
              <w:pStyle w:val="TableParagraph"/>
              <w:numPr>
                <w:ilvl w:val="1"/>
                <w:numId w:val="3"/>
              </w:numPr>
              <w:tabs>
                <w:tab w:pos="782" w:val="left" w:leader="none"/>
              </w:tabs>
              <w:spacing w:line="240" w:lineRule="auto" w:before="36" w:after="0"/>
              <w:ind w:left="781" w:right="0" w:hanging="420"/>
              <w:jc w:val="left"/>
              <w:rPr>
                <w:sz w:val="21"/>
              </w:rPr>
            </w:pPr>
            <w:r>
              <w:rPr>
                <w:spacing w:val="-2"/>
                <w:sz w:val="21"/>
              </w:rPr>
              <w:t>效力恢复</w:t>
            </w:r>
          </w:p>
          <w:p>
            <w:pPr>
              <w:pStyle w:val="TableParagraph"/>
              <w:numPr>
                <w:ilvl w:val="0"/>
                <w:numId w:val="3"/>
              </w:numPr>
              <w:tabs>
                <w:tab w:pos="573" w:val="left" w:leader="none"/>
              </w:tabs>
              <w:spacing w:line="240" w:lineRule="auto" w:before="36" w:after="0"/>
              <w:ind w:left="573" w:right="0" w:hanging="318"/>
              <w:jc w:val="left"/>
              <w:rPr>
                <w:b/>
                <w:sz w:val="21"/>
              </w:rPr>
            </w:pPr>
            <w:r>
              <w:rPr>
                <w:b/>
                <w:sz w:val="21"/>
              </w:rPr>
              <w:t>合同解除</w:t>
            </w:r>
          </w:p>
          <w:p>
            <w:pPr>
              <w:pStyle w:val="TableParagraph"/>
              <w:numPr>
                <w:ilvl w:val="1"/>
                <w:numId w:val="3"/>
              </w:numPr>
              <w:tabs>
                <w:tab w:pos="782" w:val="left" w:leader="none"/>
              </w:tabs>
              <w:spacing w:line="273" w:lineRule="auto" w:before="36" w:after="0"/>
              <w:ind w:left="781" w:right="268" w:hanging="420"/>
              <w:jc w:val="left"/>
              <w:rPr>
                <w:sz w:val="21"/>
              </w:rPr>
            </w:pPr>
            <w:r>
              <w:rPr>
                <w:spacing w:val="-3"/>
                <w:sz w:val="21"/>
              </w:rPr>
              <w:t>您解除合同的手续及风险</w:t>
            </w:r>
          </w:p>
          <w:p>
            <w:pPr>
              <w:pStyle w:val="TableParagraph"/>
              <w:numPr>
                <w:ilvl w:val="0"/>
                <w:numId w:val="3"/>
              </w:numPr>
              <w:tabs>
                <w:tab w:pos="573" w:val="left" w:leader="none"/>
              </w:tabs>
              <w:spacing w:line="240" w:lineRule="auto" w:before="7" w:after="0"/>
              <w:ind w:left="573" w:right="0" w:hanging="318"/>
              <w:jc w:val="left"/>
              <w:rPr>
                <w:b/>
                <w:sz w:val="21"/>
              </w:rPr>
            </w:pPr>
            <w:r>
              <w:rPr>
                <w:b/>
                <w:sz w:val="21"/>
              </w:rPr>
              <w:t>其它需要关注的事项</w:t>
            </w:r>
          </w:p>
          <w:p>
            <w:pPr>
              <w:pStyle w:val="TableParagraph"/>
              <w:numPr>
                <w:ilvl w:val="1"/>
                <w:numId w:val="3"/>
              </w:numPr>
              <w:tabs>
                <w:tab w:pos="782" w:val="left" w:leader="none"/>
              </w:tabs>
              <w:spacing w:line="240" w:lineRule="auto" w:before="37" w:after="0"/>
              <w:ind w:left="781" w:right="0" w:hanging="420"/>
              <w:jc w:val="left"/>
              <w:rPr>
                <w:sz w:val="21"/>
              </w:rPr>
            </w:pPr>
            <w:r>
              <w:rPr>
                <w:spacing w:val="-2"/>
                <w:sz w:val="21"/>
              </w:rPr>
              <w:t>效力终止</w:t>
            </w:r>
          </w:p>
          <w:p>
            <w:pPr>
              <w:pStyle w:val="TableParagraph"/>
              <w:numPr>
                <w:ilvl w:val="1"/>
                <w:numId w:val="3"/>
              </w:numPr>
              <w:tabs>
                <w:tab w:pos="782" w:val="left" w:leader="none"/>
              </w:tabs>
              <w:spacing w:line="240" w:lineRule="auto" w:before="37" w:after="0"/>
              <w:ind w:left="781" w:right="0" w:hanging="420"/>
              <w:jc w:val="left"/>
              <w:rPr>
                <w:sz w:val="21"/>
              </w:rPr>
            </w:pPr>
            <w:r>
              <w:rPr>
                <w:spacing w:val="-3"/>
                <w:sz w:val="21"/>
              </w:rPr>
              <w:t>适用主合同条款</w:t>
            </w:r>
          </w:p>
          <w:p>
            <w:pPr>
              <w:pStyle w:val="TableParagraph"/>
              <w:numPr>
                <w:ilvl w:val="0"/>
                <w:numId w:val="3"/>
              </w:numPr>
              <w:tabs>
                <w:tab w:pos="573" w:val="left" w:leader="none"/>
              </w:tabs>
              <w:spacing w:line="240" w:lineRule="auto" w:before="37" w:after="0"/>
              <w:ind w:left="573" w:right="0" w:hanging="318"/>
              <w:jc w:val="left"/>
              <w:rPr>
                <w:b/>
                <w:sz w:val="21"/>
              </w:rPr>
            </w:pPr>
            <w:r>
              <w:rPr>
                <w:b/>
                <w:sz w:val="21"/>
              </w:rPr>
              <w:t>重大疾病定义</w:t>
            </w:r>
          </w:p>
          <w:p>
            <w:pPr>
              <w:pStyle w:val="TableParagraph"/>
              <w:numPr>
                <w:ilvl w:val="0"/>
                <w:numId w:val="3"/>
              </w:numPr>
              <w:tabs>
                <w:tab w:pos="679" w:val="left" w:leader="none"/>
              </w:tabs>
              <w:spacing w:line="240" w:lineRule="auto" w:before="37" w:after="0"/>
              <w:ind w:left="678" w:right="0" w:hanging="423"/>
              <w:jc w:val="left"/>
              <w:rPr>
                <w:b/>
                <w:sz w:val="21"/>
              </w:rPr>
            </w:pPr>
            <w:r>
              <w:rPr>
                <w:b/>
                <w:sz w:val="21"/>
              </w:rPr>
              <w:t>释义</w:t>
            </w:r>
          </w:p>
          <w:p>
            <w:pPr>
              <w:pStyle w:val="TableParagraph"/>
              <w:numPr>
                <w:ilvl w:val="1"/>
                <w:numId w:val="3"/>
              </w:numPr>
              <w:tabs>
                <w:tab w:pos="888" w:val="left" w:leader="none"/>
              </w:tabs>
              <w:spacing w:line="240" w:lineRule="auto" w:before="37" w:after="0"/>
              <w:ind w:left="887" w:right="0" w:hanging="526"/>
              <w:jc w:val="left"/>
              <w:rPr>
                <w:sz w:val="21"/>
              </w:rPr>
            </w:pPr>
            <w:r>
              <w:rPr>
                <w:spacing w:val="-2"/>
                <w:sz w:val="21"/>
              </w:rPr>
              <w:t>保单年度</w:t>
            </w:r>
          </w:p>
          <w:p>
            <w:pPr>
              <w:pStyle w:val="TableParagraph"/>
              <w:numPr>
                <w:ilvl w:val="1"/>
                <w:numId w:val="3"/>
              </w:numPr>
              <w:tabs>
                <w:tab w:pos="888" w:val="left" w:leader="none"/>
              </w:tabs>
              <w:spacing w:line="240" w:lineRule="auto" w:before="38" w:after="0"/>
              <w:ind w:left="887" w:right="0" w:hanging="526"/>
              <w:jc w:val="left"/>
              <w:rPr>
                <w:sz w:val="21"/>
              </w:rPr>
            </w:pPr>
            <w:r>
              <w:rPr>
                <w:spacing w:val="-3"/>
                <w:sz w:val="21"/>
              </w:rPr>
              <w:t>保险费约定交纳日</w:t>
            </w:r>
          </w:p>
          <w:p>
            <w:pPr>
              <w:pStyle w:val="TableParagraph"/>
              <w:numPr>
                <w:ilvl w:val="1"/>
                <w:numId w:val="3"/>
              </w:numPr>
              <w:tabs>
                <w:tab w:pos="888" w:val="left" w:leader="none"/>
              </w:tabs>
              <w:spacing w:line="240" w:lineRule="auto" w:before="37" w:after="0"/>
              <w:ind w:left="887" w:right="0" w:hanging="526"/>
              <w:jc w:val="left"/>
              <w:rPr>
                <w:sz w:val="21"/>
              </w:rPr>
            </w:pPr>
            <w:r>
              <w:rPr>
                <w:sz w:val="21"/>
              </w:rPr>
              <w:t>周岁</w:t>
            </w:r>
          </w:p>
        </w:tc>
        <w:tc>
          <w:tcPr>
            <w:tcW w:w="4292" w:type="dxa"/>
            <w:tcBorders>
              <w:bottom w:val="single" w:sz="4" w:space="0" w:color="000000"/>
            </w:tcBorders>
          </w:tcPr>
          <w:p>
            <w:pPr>
              <w:pStyle w:val="TableParagraph"/>
              <w:numPr>
                <w:ilvl w:val="1"/>
                <w:numId w:val="4"/>
              </w:numPr>
              <w:tabs>
                <w:tab w:pos="783" w:val="left" w:leader="none"/>
              </w:tabs>
              <w:spacing w:line="211" w:lineRule="exact" w:before="0" w:after="0"/>
              <w:ind w:left="782" w:right="0" w:hanging="525"/>
              <w:jc w:val="left"/>
              <w:rPr>
                <w:sz w:val="21"/>
              </w:rPr>
            </w:pPr>
            <w:r>
              <w:rPr>
                <w:spacing w:val="-3"/>
                <w:sz w:val="21"/>
              </w:rPr>
              <w:t>有效身份证件</w:t>
            </w:r>
          </w:p>
          <w:p>
            <w:pPr>
              <w:pStyle w:val="TableParagraph"/>
              <w:numPr>
                <w:ilvl w:val="1"/>
                <w:numId w:val="4"/>
              </w:numPr>
              <w:tabs>
                <w:tab w:pos="783" w:val="left" w:leader="none"/>
              </w:tabs>
              <w:spacing w:line="240" w:lineRule="auto" w:before="37" w:after="0"/>
              <w:ind w:left="782" w:right="0" w:hanging="525"/>
              <w:jc w:val="left"/>
              <w:rPr>
                <w:sz w:val="21"/>
              </w:rPr>
            </w:pPr>
            <w:r>
              <w:rPr>
                <w:sz w:val="21"/>
              </w:rPr>
              <w:t>医院</w:t>
            </w:r>
          </w:p>
          <w:p>
            <w:pPr>
              <w:pStyle w:val="TableParagraph"/>
              <w:numPr>
                <w:ilvl w:val="1"/>
                <w:numId w:val="4"/>
              </w:numPr>
              <w:tabs>
                <w:tab w:pos="783" w:val="left" w:leader="none"/>
              </w:tabs>
              <w:spacing w:line="240" w:lineRule="auto" w:before="37" w:after="0"/>
              <w:ind w:left="782" w:right="0" w:hanging="525"/>
              <w:jc w:val="left"/>
              <w:rPr>
                <w:sz w:val="21"/>
              </w:rPr>
            </w:pPr>
            <w:r>
              <w:rPr>
                <w:sz w:val="21"/>
              </w:rPr>
              <w:t>毒品</w:t>
            </w:r>
          </w:p>
          <w:p>
            <w:pPr>
              <w:pStyle w:val="TableParagraph"/>
              <w:numPr>
                <w:ilvl w:val="1"/>
                <w:numId w:val="4"/>
              </w:numPr>
              <w:tabs>
                <w:tab w:pos="783" w:val="left" w:leader="none"/>
              </w:tabs>
              <w:spacing w:line="240" w:lineRule="auto" w:before="37" w:after="0"/>
              <w:ind w:left="782" w:right="0" w:hanging="525"/>
              <w:jc w:val="left"/>
              <w:rPr>
                <w:sz w:val="21"/>
              </w:rPr>
            </w:pPr>
            <w:r>
              <w:rPr>
                <w:spacing w:val="-2"/>
                <w:sz w:val="21"/>
              </w:rPr>
              <w:t>酒后驾驶</w:t>
            </w:r>
          </w:p>
          <w:p>
            <w:pPr>
              <w:pStyle w:val="TableParagraph"/>
              <w:numPr>
                <w:ilvl w:val="1"/>
                <w:numId w:val="4"/>
              </w:numPr>
              <w:tabs>
                <w:tab w:pos="783" w:val="left" w:leader="none"/>
              </w:tabs>
              <w:spacing w:line="240" w:lineRule="auto" w:before="36" w:after="0"/>
              <w:ind w:left="782" w:right="0" w:hanging="525"/>
              <w:jc w:val="left"/>
              <w:rPr>
                <w:sz w:val="21"/>
              </w:rPr>
            </w:pPr>
            <w:r>
              <w:rPr>
                <w:spacing w:val="-3"/>
                <w:sz w:val="21"/>
              </w:rPr>
              <w:t>无合法有效驾驶证驾驶</w:t>
            </w:r>
          </w:p>
          <w:p>
            <w:pPr>
              <w:pStyle w:val="TableParagraph"/>
              <w:numPr>
                <w:ilvl w:val="1"/>
                <w:numId w:val="4"/>
              </w:numPr>
              <w:tabs>
                <w:tab w:pos="783" w:val="left" w:leader="none"/>
              </w:tabs>
              <w:spacing w:line="240" w:lineRule="auto" w:before="36" w:after="0"/>
              <w:ind w:left="782" w:right="0" w:hanging="525"/>
              <w:jc w:val="left"/>
              <w:rPr>
                <w:sz w:val="21"/>
              </w:rPr>
            </w:pPr>
            <w:r>
              <w:rPr>
                <w:spacing w:val="-3"/>
                <w:sz w:val="21"/>
              </w:rPr>
              <w:t>无有效行驶证</w:t>
            </w:r>
          </w:p>
          <w:p>
            <w:pPr>
              <w:pStyle w:val="TableParagraph"/>
              <w:numPr>
                <w:ilvl w:val="1"/>
                <w:numId w:val="4"/>
              </w:numPr>
              <w:tabs>
                <w:tab w:pos="889" w:val="left" w:leader="none"/>
              </w:tabs>
              <w:spacing w:line="240" w:lineRule="auto" w:before="36" w:after="0"/>
              <w:ind w:left="888" w:right="0" w:hanging="631"/>
              <w:jc w:val="left"/>
              <w:rPr>
                <w:sz w:val="21"/>
              </w:rPr>
            </w:pPr>
            <w:r>
              <w:rPr>
                <w:spacing w:val="-2"/>
                <w:sz w:val="21"/>
              </w:rPr>
              <w:t>机动车</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感染艾滋病病毒或患艾滋病</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遗传性疾病</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先天性畸形、变形或染色体异常</w:t>
            </w:r>
          </w:p>
          <w:p>
            <w:pPr>
              <w:pStyle w:val="TableParagraph"/>
              <w:numPr>
                <w:ilvl w:val="1"/>
                <w:numId w:val="4"/>
              </w:numPr>
              <w:tabs>
                <w:tab w:pos="889" w:val="left" w:leader="none"/>
              </w:tabs>
              <w:spacing w:line="240" w:lineRule="auto" w:before="36" w:after="0"/>
              <w:ind w:left="888" w:right="0" w:hanging="631"/>
              <w:jc w:val="left"/>
              <w:rPr>
                <w:sz w:val="21"/>
              </w:rPr>
            </w:pPr>
            <w:r>
              <w:rPr>
                <w:spacing w:val="-2"/>
                <w:sz w:val="21"/>
              </w:rPr>
              <w:t>现金价值</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专科医生</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肢体机能完全丧失</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语言能力或咀嚼吞咽能力完全丧失</w:t>
            </w:r>
          </w:p>
          <w:p>
            <w:pPr>
              <w:pStyle w:val="TableParagraph"/>
              <w:numPr>
                <w:ilvl w:val="1"/>
                <w:numId w:val="4"/>
              </w:numPr>
              <w:tabs>
                <w:tab w:pos="889" w:val="left" w:leader="none"/>
              </w:tabs>
              <w:spacing w:line="240" w:lineRule="auto" w:before="36" w:after="0"/>
              <w:ind w:left="888" w:right="0" w:hanging="631"/>
              <w:jc w:val="left"/>
              <w:rPr>
                <w:sz w:val="21"/>
              </w:rPr>
            </w:pPr>
            <w:r>
              <w:rPr>
                <w:spacing w:val="-3"/>
                <w:sz w:val="21"/>
              </w:rPr>
              <w:t>六项基本日常生活活动</w:t>
            </w:r>
          </w:p>
          <w:p>
            <w:pPr>
              <w:pStyle w:val="TableParagraph"/>
              <w:numPr>
                <w:ilvl w:val="1"/>
                <w:numId w:val="4"/>
              </w:numPr>
              <w:tabs>
                <w:tab w:pos="889" w:val="left" w:leader="none"/>
              </w:tabs>
              <w:spacing w:line="240" w:lineRule="auto" w:before="37" w:after="0"/>
              <w:ind w:left="888" w:right="0" w:hanging="631"/>
              <w:jc w:val="left"/>
              <w:rPr>
                <w:sz w:val="21"/>
              </w:rPr>
            </w:pPr>
            <w:r>
              <w:rPr>
                <w:spacing w:val="-3"/>
                <w:sz w:val="21"/>
              </w:rPr>
              <w:t>意外伤害</w:t>
            </w:r>
          </w:p>
          <w:p>
            <w:pPr>
              <w:pStyle w:val="TableParagraph"/>
              <w:numPr>
                <w:ilvl w:val="1"/>
                <w:numId w:val="4"/>
              </w:numPr>
              <w:tabs>
                <w:tab w:pos="889" w:val="left" w:leader="none"/>
              </w:tabs>
              <w:spacing w:line="240" w:lineRule="auto" w:before="37" w:after="0"/>
              <w:ind w:left="888" w:right="0" w:hanging="631"/>
              <w:jc w:val="left"/>
              <w:rPr>
                <w:sz w:val="21"/>
              </w:rPr>
            </w:pPr>
            <w:r>
              <w:rPr>
                <w:spacing w:val="-3"/>
                <w:sz w:val="21"/>
              </w:rPr>
              <w:t>永久不可逆</w:t>
            </w:r>
          </w:p>
        </w:tc>
      </w:tr>
    </w:tbl>
    <w:p>
      <w:pPr>
        <w:spacing w:after="0" w:line="240" w:lineRule="auto"/>
        <w:jc w:val="left"/>
        <w:rPr>
          <w:sz w:val="21"/>
        </w:rPr>
        <w:sectPr>
          <w:type w:val="continuous"/>
          <w:pgSz w:w="11910" w:h="16840"/>
          <w:pgMar w:top="260" w:bottom="280" w:left="880" w:right="260"/>
        </w:sectPr>
      </w:pPr>
    </w:p>
    <w:p>
      <w:pPr>
        <w:pStyle w:val="Heading1"/>
        <w:spacing w:line="478" w:lineRule="exact"/>
        <w:ind w:left="3110"/>
      </w:pPr>
      <w:r>
        <w:rPr/>
        <w:t>泰康人寿保险股份有限公司</w:t>
      </w:r>
    </w:p>
    <w:p>
      <w:pPr>
        <w:spacing w:before="71"/>
        <w:ind w:left="2469" w:right="0" w:firstLine="0"/>
        <w:jc w:val="left"/>
        <w:rPr>
          <w:rFonts w:ascii="微软雅黑" w:eastAsia="微软雅黑" w:hint="eastAsia"/>
          <w:b/>
          <w:sz w:val="32"/>
        </w:rPr>
      </w:pPr>
      <w:r>
        <w:rPr>
          <w:rFonts w:ascii="微软雅黑" w:eastAsia="微软雅黑" w:hint="eastAsia"/>
          <w:b/>
          <w:sz w:val="32"/>
        </w:rPr>
        <w:t>泰康附加世纪长乐重大疾病保险条款</w:t>
      </w:r>
    </w:p>
    <w:p>
      <w:pPr>
        <w:pStyle w:val="BodyText"/>
        <w:spacing w:before="107"/>
        <w:ind w:left="2800"/>
      </w:pPr>
      <w:r>
        <w:rPr/>
        <w:t>（2009 年 8 月向中国保险监督管理委员会备案）</w:t>
      </w:r>
    </w:p>
    <w:p>
      <w:pPr>
        <w:pStyle w:val="BodyText"/>
        <w:spacing w:before="8"/>
        <w:rPr>
          <w:sz w:val="26"/>
        </w:rPr>
      </w:pPr>
    </w:p>
    <w:p>
      <w:pPr>
        <w:pStyle w:val="BodyText"/>
        <w:spacing w:line="273" w:lineRule="auto" w:before="1"/>
        <w:ind w:left="212" w:right="180"/>
      </w:pPr>
      <w:r>
        <w:rPr>
          <w:spacing w:val="-6"/>
        </w:rPr>
        <w:t>在本条款中，“您”指投保人，“我们”、“本公司”均指在保险单上签章的泰康人寿保险股份有限公司</w:t>
      </w:r>
      <w:r>
        <w:rPr>
          <w:spacing w:val="-6"/>
          <w:w w:val="100"/>
        </w:rPr>
        <w:t>的分公司，“本附加合同”指您与我们之间订立的“泰康附加世纪长乐重大疾病保险合同”</w:t>
      </w:r>
      <w:r>
        <w:rPr>
          <w:spacing w:val="-19"/>
          <w:w w:val="100"/>
        </w:rPr>
        <w:t>，“被保险人”</w:t>
      </w:r>
      <w:r>
        <w:rPr>
          <w:spacing w:val="-8"/>
        </w:rPr>
        <w:t>指本附加合同的被保险人，投保人、被保险人的姓名在保险单上载明。</w:t>
      </w:r>
    </w:p>
    <w:p>
      <w:pPr>
        <w:pStyle w:val="BodyText"/>
        <w:rPr>
          <w:sz w:val="20"/>
        </w:rPr>
      </w:pPr>
    </w:p>
    <w:p>
      <w:pPr>
        <w:pStyle w:val="BodyText"/>
        <w:spacing w:before="10"/>
        <w:rPr>
          <w:sz w:val="20"/>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66" w:hRule="atLeast"/>
        </w:trPr>
        <w:tc>
          <w:tcPr>
            <w:tcW w:w="664" w:type="dxa"/>
            <w:tcBorders>
              <w:bottom w:val="single" w:sz="8" w:space="0" w:color="000000"/>
            </w:tcBorders>
          </w:tcPr>
          <w:p>
            <w:pPr>
              <w:pStyle w:val="TableParagraph"/>
              <w:spacing w:line="240" w:lineRule="exact" w:before="0"/>
              <w:ind w:left="107"/>
              <w:rPr>
                <w:b/>
                <w:sz w:val="24"/>
              </w:rPr>
            </w:pPr>
            <w:r>
              <w:rPr>
                <w:b/>
                <w:sz w:val="24"/>
              </w:rPr>
              <w:t>1.</w:t>
            </w:r>
          </w:p>
        </w:tc>
        <w:tc>
          <w:tcPr>
            <w:tcW w:w="9262" w:type="dxa"/>
            <w:gridSpan w:val="2"/>
            <w:tcBorders>
              <w:bottom w:val="single" w:sz="8" w:space="0" w:color="000000"/>
            </w:tcBorders>
          </w:tcPr>
          <w:p>
            <w:pPr>
              <w:pStyle w:val="TableParagraph"/>
              <w:spacing w:line="240" w:lineRule="exact" w:before="0"/>
              <w:ind w:left="238"/>
              <w:rPr>
                <w:b/>
                <w:sz w:val="24"/>
              </w:rPr>
            </w:pPr>
            <w:r>
              <w:rPr>
                <w:b/>
                <w:w w:val="95"/>
                <w:sz w:val="24"/>
              </w:rPr>
              <w:t>您与我们订立的合同</w:t>
            </w:r>
          </w:p>
        </w:tc>
      </w:tr>
      <w:tr>
        <w:trPr>
          <w:trHeight w:val="2383"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1.1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合同构成</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03"/>
              <w:jc w:val="both"/>
              <w:rPr>
                <w:sz w:val="21"/>
              </w:rPr>
            </w:pPr>
            <w:r>
              <w:rPr>
                <w:spacing w:val="-6"/>
                <w:sz w:val="21"/>
              </w:rPr>
              <w:t>本附加合同由“泰康世纪长乐 </w:t>
            </w:r>
            <w:r>
              <w:rPr>
                <w:sz w:val="21"/>
              </w:rPr>
              <w:t>B</w:t>
            </w:r>
            <w:r>
              <w:rPr>
                <w:spacing w:val="-16"/>
                <w:sz w:val="21"/>
              </w:rPr>
              <w:t> 款终身寿险</w:t>
            </w:r>
            <w:r>
              <w:rPr>
                <w:sz w:val="21"/>
              </w:rPr>
              <w:t>（</w:t>
            </w:r>
            <w:r>
              <w:rPr>
                <w:spacing w:val="-2"/>
                <w:sz w:val="21"/>
              </w:rPr>
              <w:t>分红型</w:t>
            </w:r>
            <w:r>
              <w:rPr>
                <w:spacing w:val="-46"/>
                <w:sz w:val="21"/>
              </w:rPr>
              <w:t>）</w:t>
            </w:r>
            <w:r>
              <w:rPr>
                <w:spacing w:val="-8"/>
                <w:sz w:val="21"/>
              </w:rPr>
              <w:t>保险合同”</w:t>
            </w:r>
            <w:r>
              <w:rPr>
                <w:spacing w:val="-24"/>
                <w:sz w:val="21"/>
              </w:rPr>
              <w:t>（</w:t>
            </w:r>
            <w:r>
              <w:rPr>
                <w:spacing w:val="-10"/>
                <w:sz w:val="21"/>
              </w:rPr>
              <w:t>以下简称“主</w:t>
            </w:r>
            <w:r>
              <w:rPr>
                <w:spacing w:val="-43"/>
                <w:w w:val="100"/>
                <w:sz w:val="21"/>
              </w:rPr>
              <w:t>合同”</w:t>
            </w:r>
            <w:r>
              <w:rPr>
                <w:w w:val="100"/>
                <w:sz w:val="21"/>
              </w:rPr>
              <w:t>）</w:t>
            </w:r>
            <w:r>
              <w:rPr>
                <w:spacing w:val="-3"/>
                <w:w w:val="100"/>
                <w:sz w:val="21"/>
              </w:rPr>
              <w:t>的投保人申请，经我们同意，附加于主合同。</w:t>
            </w:r>
          </w:p>
          <w:p>
            <w:pPr>
              <w:pStyle w:val="TableParagraph"/>
              <w:spacing w:line="273" w:lineRule="auto" w:before="89"/>
              <w:ind w:right="132"/>
              <w:jc w:val="both"/>
              <w:rPr>
                <w:sz w:val="21"/>
              </w:rPr>
            </w:pPr>
            <w:r>
              <w:rPr>
                <w:sz w:val="21"/>
              </w:rPr>
              <w:t>本附加合同是您与我们约定保险权利义务关系的协议，包括本保险条款、保险单或其他保险凭证、投保单、与本附加合同有关的投保文件、合法有效的声明、批注、批单及其他您与我们共同认可的书面协议。</w:t>
            </w:r>
          </w:p>
          <w:p>
            <w:pPr>
              <w:pStyle w:val="TableParagraph"/>
              <w:spacing w:before="86"/>
              <w:jc w:val="both"/>
              <w:rPr>
                <w:sz w:val="21"/>
              </w:rPr>
            </w:pPr>
            <w:r>
              <w:rPr>
                <w:sz w:val="21"/>
              </w:rPr>
              <w:t>本附加合同为非分红保险合同，不参与主合同的红利分配。</w:t>
            </w:r>
          </w:p>
        </w:tc>
      </w:tr>
      <w:tr>
        <w:trPr>
          <w:trHeight w:val="1573" w:hRule="atLeast"/>
        </w:trPr>
        <w:tc>
          <w:tcPr>
            <w:tcW w:w="664" w:type="dxa"/>
          </w:tcPr>
          <w:p>
            <w:pPr>
              <w:pStyle w:val="TableParagraph"/>
              <w:spacing w:before="110"/>
              <w:ind w:left="107"/>
              <w:rPr>
                <w:b/>
                <w:sz w:val="21"/>
              </w:rPr>
            </w:pPr>
            <w:r>
              <w:rPr>
                <w:b/>
                <w:sz w:val="21"/>
              </w:rPr>
              <w:t>1.2</w:t>
            </w:r>
          </w:p>
        </w:tc>
        <w:tc>
          <w:tcPr>
            <w:tcW w:w="1638" w:type="dxa"/>
          </w:tcPr>
          <w:p>
            <w:pPr>
              <w:pStyle w:val="TableParagraph"/>
              <w:spacing w:line="271" w:lineRule="auto" w:before="110"/>
              <w:ind w:left="238" w:right="131"/>
              <w:rPr>
                <w:b/>
                <w:sz w:val="21"/>
              </w:rPr>
            </w:pPr>
            <w:r>
              <w:rPr>
                <w:b/>
                <w:sz w:val="21"/>
              </w:rPr>
              <w:t>合同成立及生效</w:t>
            </w:r>
          </w:p>
        </w:tc>
        <w:tc>
          <w:tcPr>
            <w:tcW w:w="7624" w:type="dxa"/>
          </w:tcPr>
          <w:p>
            <w:pPr>
              <w:pStyle w:val="TableParagraph"/>
              <w:spacing w:line="271" w:lineRule="auto" w:before="110"/>
              <w:ind w:right="132"/>
              <w:rPr>
                <w:sz w:val="21"/>
              </w:rPr>
            </w:pPr>
            <w:r>
              <w:rPr>
                <w:sz w:val="21"/>
              </w:rPr>
              <w:t>除另有约定外，本附加合同须与主合同同时投保，本附加合同的成立日及生效日与主合同相同，并在保险单上载明。</w:t>
            </w:r>
          </w:p>
          <w:p>
            <w:pPr>
              <w:pStyle w:val="TableParagraph"/>
              <w:spacing w:line="273" w:lineRule="auto" w:before="89"/>
              <w:ind w:right="101"/>
              <w:rPr>
                <w:sz w:val="21"/>
              </w:rPr>
            </w:pPr>
            <w:r>
              <w:rPr>
                <w:b/>
                <w:sz w:val="21"/>
              </w:rPr>
              <w:t>保单年度</w:t>
            </w:r>
            <w:r>
              <w:rPr>
                <w:spacing w:val="-16"/>
                <w:sz w:val="21"/>
              </w:rPr>
              <w:t>(见 </w:t>
            </w:r>
            <w:r>
              <w:rPr>
                <w:sz w:val="21"/>
              </w:rPr>
              <w:t>10.1</w:t>
            </w:r>
            <w:r>
              <w:rPr>
                <w:spacing w:val="-44"/>
                <w:sz w:val="21"/>
              </w:rPr>
              <w:t>)、</w:t>
            </w:r>
            <w:r>
              <w:rPr>
                <w:b/>
                <w:sz w:val="21"/>
              </w:rPr>
              <w:t>保险费约定交纳日</w:t>
            </w:r>
            <w:r>
              <w:rPr>
                <w:spacing w:val="-16"/>
                <w:sz w:val="21"/>
              </w:rPr>
              <w:t>(见 </w:t>
            </w:r>
            <w:r>
              <w:rPr>
                <w:sz w:val="21"/>
              </w:rPr>
              <w:t>10.2</w:t>
            </w:r>
            <w:r>
              <w:rPr>
                <w:spacing w:val="-3"/>
                <w:sz w:val="21"/>
              </w:rPr>
              <w:t>)均依据本附加合同的生效日为基础进行计算。</w:t>
            </w:r>
          </w:p>
        </w:tc>
      </w:tr>
      <w:tr>
        <w:trPr>
          <w:trHeight w:val="560" w:hRule="atLeast"/>
        </w:trPr>
        <w:tc>
          <w:tcPr>
            <w:tcW w:w="664" w:type="dxa"/>
          </w:tcPr>
          <w:p>
            <w:pPr>
              <w:pStyle w:val="TableParagraph"/>
              <w:ind w:left="107"/>
              <w:rPr>
                <w:b/>
                <w:sz w:val="21"/>
              </w:rPr>
            </w:pPr>
            <w:r>
              <w:rPr>
                <w:b/>
                <w:sz w:val="21"/>
              </w:rPr>
              <w:t>1.3</w:t>
            </w:r>
          </w:p>
        </w:tc>
        <w:tc>
          <w:tcPr>
            <w:tcW w:w="1638" w:type="dxa"/>
          </w:tcPr>
          <w:p>
            <w:pPr>
              <w:pStyle w:val="TableParagraph"/>
              <w:ind w:left="238"/>
              <w:rPr>
                <w:b/>
                <w:sz w:val="21"/>
              </w:rPr>
            </w:pPr>
            <w:r>
              <w:rPr>
                <w:b/>
                <w:sz w:val="21"/>
              </w:rPr>
              <w:t>投保年龄</w:t>
            </w:r>
          </w:p>
        </w:tc>
        <w:tc>
          <w:tcPr>
            <w:tcW w:w="7624" w:type="dxa"/>
          </w:tcPr>
          <w:p>
            <w:pPr>
              <w:pStyle w:val="TableParagraph"/>
              <w:rPr>
                <w:sz w:val="21"/>
              </w:rPr>
            </w:pPr>
            <w:r>
              <w:rPr>
                <w:sz w:val="21"/>
              </w:rPr>
              <w:t>投保年龄指您投保时被保险人的年龄，以</w:t>
            </w:r>
            <w:r>
              <w:rPr>
                <w:b/>
                <w:sz w:val="21"/>
              </w:rPr>
              <w:t>周岁</w:t>
            </w:r>
            <w:r>
              <w:rPr>
                <w:sz w:val="21"/>
              </w:rPr>
              <w:t>(见 10.3)计算。</w:t>
            </w:r>
          </w:p>
        </w:tc>
      </w:tr>
      <w:tr>
        <w:trPr>
          <w:trHeight w:val="2545" w:hRule="atLeast"/>
        </w:trPr>
        <w:tc>
          <w:tcPr>
            <w:tcW w:w="664" w:type="dxa"/>
          </w:tcPr>
          <w:p>
            <w:pPr>
              <w:pStyle w:val="TableParagraph"/>
              <w:spacing w:before="110"/>
              <w:ind w:left="107"/>
              <w:rPr>
                <w:b/>
                <w:sz w:val="21"/>
              </w:rPr>
            </w:pPr>
            <w:r>
              <w:rPr>
                <w:b/>
                <w:sz w:val="21"/>
              </w:rPr>
              <w:t>1.4</w:t>
            </w:r>
          </w:p>
        </w:tc>
        <w:tc>
          <w:tcPr>
            <w:tcW w:w="1638" w:type="dxa"/>
          </w:tcPr>
          <w:p>
            <w:pPr>
              <w:pStyle w:val="TableParagraph"/>
              <w:spacing w:before="110"/>
              <w:ind w:left="238"/>
              <w:rPr>
                <w:b/>
                <w:sz w:val="21"/>
              </w:rPr>
            </w:pPr>
            <w:r>
              <w:rPr>
                <w:b/>
                <w:sz w:val="21"/>
              </w:rPr>
              <w:t>犹豫期</w:t>
            </w:r>
          </w:p>
        </w:tc>
        <w:tc>
          <w:tcPr>
            <w:tcW w:w="7624" w:type="dxa"/>
          </w:tcPr>
          <w:p>
            <w:pPr>
              <w:pStyle w:val="TableParagraph"/>
              <w:spacing w:line="273" w:lineRule="auto" w:before="110"/>
              <w:ind w:right="103"/>
              <w:jc w:val="both"/>
              <w:rPr>
                <w:sz w:val="21"/>
              </w:rPr>
            </w:pPr>
            <w:r>
              <w:rPr>
                <w:spacing w:val="-7"/>
                <w:sz w:val="21"/>
              </w:rPr>
              <w:t>自您签收本附加合同之日起，有 </w:t>
            </w:r>
            <w:r>
              <w:rPr>
                <w:sz w:val="21"/>
              </w:rPr>
              <w:t>10</w:t>
            </w:r>
            <w:r>
              <w:rPr>
                <w:spacing w:val="-11"/>
                <w:sz w:val="21"/>
              </w:rPr>
              <w:t> 日的犹豫期。在此期间，请您认真审视本附加</w:t>
            </w:r>
            <w:r>
              <w:rPr>
                <w:spacing w:val="-6"/>
                <w:sz w:val="21"/>
              </w:rPr>
              <w:t>合同，如果您认为本附加合同与您的需求不相符，您可以在此期间提出解除本附</w:t>
            </w:r>
            <w:r>
              <w:rPr>
                <w:spacing w:val="-3"/>
                <w:sz w:val="21"/>
              </w:rPr>
              <w:t>加合同，我们将向您无息退还保险费。</w:t>
            </w:r>
          </w:p>
          <w:p>
            <w:pPr>
              <w:pStyle w:val="TableParagraph"/>
              <w:spacing w:line="271" w:lineRule="auto" w:before="86"/>
              <w:ind w:right="79"/>
              <w:jc w:val="both"/>
              <w:rPr>
                <w:rFonts w:ascii="黑体" w:eastAsia="黑体" w:hint="eastAsia"/>
                <w:sz w:val="21"/>
              </w:rPr>
            </w:pPr>
            <w:r>
              <w:rPr>
                <w:spacing w:val="-3"/>
                <w:sz w:val="21"/>
              </w:rPr>
              <w:t>解除本附加合同时，您须填写解除合同申请书，并提供本附加合同、您的</w:t>
            </w:r>
            <w:r>
              <w:rPr>
                <w:b/>
                <w:sz w:val="21"/>
              </w:rPr>
              <w:t>有效身份证件</w:t>
            </w:r>
            <w:r>
              <w:rPr>
                <w:spacing w:val="-9"/>
                <w:sz w:val="21"/>
              </w:rPr>
              <w:t>(见 </w:t>
            </w:r>
            <w:r>
              <w:rPr>
                <w:sz w:val="21"/>
              </w:rPr>
              <w:t>10.4</w:t>
            </w:r>
            <w:r>
              <w:rPr>
                <w:spacing w:val="-3"/>
                <w:sz w:val="21"/>
              </w:rPr>
              <w:t>)及您所交保险费的发票。</w:t>
            </w:r>
            <w:r>
              <w:rPr>
                <w:rFonts w:ascii="黑体" w:eastAsia="黑体" w:hint="eastAsia"/>
                <w:spacing w:val="-3"/>
                <w:sz w:val="21"/>
              </w:rPr>
              <w:t>自我们收到您的解除合同申请书时起， 本附加合同即被解除，对于本附加合同解除前发</w:t>
            </w:r>
            <w:r>
              <w:rPr>
                <w:rFonts w:ascii="黑体" w:eastAsia="黑体" w:hint="eastAsia"/>
                <w:sz w:val="21"/>
              </w:rPr>
              <w:t>Th</w:t>
            </w:r>
            <w:r>
              <w:rPr>
                <w:rFonts w:ascii="黑体" w:eastAsia="黑体" w:hint="eastAsia"/>
                <w:spacing w:val="-3"/>
                <w:sz w:val="21"/>
              </w:rPr>
              <w:t>的保险事故，我们不承担给付保险金的责任。</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2.</w:t>
            </w:r>
          </w:p>
        </w:tc>
        <w:tc>
          <w:tcPr>
            <w:tcW w:w="9262" w:type="dxa"/>
            <w:gridSpan w:val="2"/>
            <w:tcBorders>
              <w:bottom w:val="single" w:sz="8" w:space="0" w:color="000000"/>
            </w:tcBorders>
          </w:tcPr>
          <w:p>
            <w:pPr>
              <w:pStyle w:val="TableParagraph"/>
              <w:spacing w:before="136"/>
              <w:ind w:left="238"/>
              <w:rPr>
                <w:b/>
                <w:sz w:val="24"/>
              </w:rPr>
            </w:pPr>
            <w:r>
              <w:rPr>
                <w:b/>
                <w:w w:val="95"/>
                <w:sz w:val="24"/>
              </w:rPr>
              <w:t>我们提供的保障</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2.1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保险金额</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本附加合同的保险金额与主合同的保险金额相同，并在保险单上载明。</w:t>
            </w:r>
          </w:p>
        </w:tc>
      </w:tr>
      <w:tr>
        <w:trPr>
          <w:trHeight w:val="560" w:hRule="atLeast"/>
        </w:trPr>
        <w:tc>
          <w:tcPr>
            <w:tcW w:w="664" w:type="dxa"/>
          </w:tcPr>
          <w:p>
            <w:pPr>
              <w:pStyle w:val="TableParagraph"/>
              <w:spacing w:before="110"/>
              <w:ind w:left="107"/>
              <w:rPr>
                <w:b/>
                <w:sz w:val="21"/>
              </w:rPr>
            </w:pPr>
            <w:r>
              <w:rPr>
                <w:b/>
                <w:sz w:val="21"/>
              </w:rPr>
              <w:t>2.2</w:t>
            </w:r>
          </w:p>
        </w:tc>
        <w:tc>
          <w:tcPr>
            <w:tcW w:w="1638" w:type="dxa"/>
          </w:tcPr>
          <w:p>
            <w:pPr>
              <w:pStyle w:val="TableParagraph"/>
              <w:spacing w:before="110"/>
              <w:ind w:left="238"/>
              <w:rPr>
                <w:b/>
                <w:sz w:val="21"/>
              </w:rPr>
            </w:pPr>
            <w:r>
              <w:rPr>
                <w:b/>
                <w:sz w:val="21"/>
              </w:rPr>
              <w:t>保险期间</w:t>
            </w:r>
          </w:p>
        </w:tc>
        <w:tc>
          <w:tcPr>
            <w:tcW w:w="7624" w:type="dxa"/>
          </w:tcPr>
          <w:p>
            <w:pPr>
              <w:pStyle w:val="TableParagraph"/>
              <w:spacing w:before="110"/>
              <w:rPr>
                <w:sz w:val="21"/>
              </w:rPr>
            </w:pPr>
            <w:r>
              <w:rPr>
                <w:sz w:val="21"/>
              </w:rPr>
              <w:t>本附加合同的保险期间与主合同的保险期间相同，并在保险单上载明。</w:t>
            </w:r>
          </w:p>
        </w:tc>
      </w:tr>
      <w:tr>
        <w:trPr>
          <w:trHeight w:val="560" w:hRule="atLeast"/>
        </w:trPr>
        <w:tc>
          <w:tcPr>
            <w:tcW w:w="664" w:type="dxa"/>
          </w:tcPr>
          <w:p>
            <w:pPr>
              <w:pStyle w:val="TableParagraph"/>
              <w:ind w:left="107"/>
              <w:rPr>
                <w:b/>
                <w:sz w:val="21"/>
              </w:rPr>
            </w:pPr>
            <w:r>
              <w:rPr>
                <w:b/>
                <w:sz w:val="21"/>
              </w:rPr>
              <w:t>2.3</w:t>
            </w:r>
          </w:p>
        </w:tc>
        <w:tc>
          <w:tcPr>
            <w:tcW w:w="1638" w:type="dxa"/>
          </w:tcPr>
          <w:p>
            <w:pPr>
              <w:pStyle w:val="TableParagraph"/>
              <w:ind w:left="238"/>
              <w:rPr>
                <w:b/>
                <w:sz w:val="21"/>
              </w:rPr>
            </w:pPr>
            <w:r>
              <w:rPr>
                <w:b/>
                <w:sz w:val="21"/>
              </w:rPr>
              <w:t>保险责任</w:t>
            </w:r>
          </w:p>
        </w:tc>
        <w:tc>
          <w:tcPr>
            <w:tcW w:w="7624" w:type="dxa"/>
          </w:tcPr>
          <w:p>
            <w:pPr>
              <w:pStyle w:val="TableParagraph"/>
              <w:rPr>
                <w:sz w:val="21"/>
              </w:rPr>
            </w:pPr>
            <w:r>
              <w:rPr>
                <w:sz w:val="21"/>
              </w:rPr>
              <w:t>在本附加合同保险期间内，我们承担下列保险责任：</w:t>
            </w:r>
          </w:p>
        </w:tc>
      </w:tr>
      <w:tr>
        <w:trPr>
          <w:trHeight w:val="1318"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71" w:lineRule="auto" w:before="110"/>
              <w:ind w:right="101"/>
              <w:jc w:val="both"/>
              <w:rPr>
                <w:sz w:val="21"/>
              </w:rPr>
            </w:pPr>
            <w:r>
              <w:rPr>
                <w:spacing w:val="-5"/>
                <w:sz w:val="21"/>
              </w:rPr>
              <w:t>被保险人于本附加合同生效</w:t>
            </w:r>
            <w:r>
              <w:rPr>
                <w:spacing w:val="-3"/>
                <w:sz w:val="21"/>
              </w:rPr>
              <w:t>（</w:t>
            </w:r>
            <w:r>
              <w:rPr>
                <w:spacing w:val="-7"/>
                <w:sz w:val="21"/>
              </w:rPr>
              <w:t>若曾复效，则自本附加合同最后复效</w:t>
            </w:r>
            <w:r>
              <w:rPr>
                <w:spacing w:val="-27"/>
                <w:sz w:val="21"/>
              </w:rPr>
              <w:t>）</w:t>
            </w:r>
            <w:r>
              <w:rPr>
                <w:spacing w:val="-11"/>
                <w:sz w:val="21"/>
              </w:rPr>
              <w:t>之日起 </w:t>
            </w:r>
            <w:r>
              <w:rPr>
                <w:sz w:val="21"/>
              </w:rPr>
              <w:t>90</w:t>
            </w:r>
            <w:r>
              <w:rPr>
                <w:spacing w:val="-19"/>
                <w:sz w:val="21"/>
              </w:rPr>
              <w:t> 日</w:t>
            </w:r>
            <w:r>
              <w:rPr>
                <w:spacing w:val="-11"/>
                <w:sz w:val="21"/>
              </w:rPr>
              <w:t>内经</w:t>
            </w:r>
            <w:r>
              <w:rPr>
                <w:b/>
                <w:spacing w:val="-4"/>
                <w:sz w:val="21"/>
              </w:rPr>
              <w:t>医院</w:t>
            </w:r>
            <w:r>
              <w:rPr>
                <w:sz w:val="21"/>
              </w:rPr>
              <w:t>（</w:t>
            </w:r>
            <w:r>
              <w:rPr>
                <w:spacing w:val="-12"/>
                <w:sz w:val="21"/>
              </w:rPr>
              <w:t>见 </w:t>
            </w:r>
            <w:r>
              <w:rPr>
                <w:spacing w:val="-3"/>
                <w:sz w:val="21"/>
              </w:rPr>
              <w:t>10.5）</w:t>
            </w:r>
            <w:r>
              <w:rPr>
                <w:spacing w:val="-4"/>
                <w:sz w:val="21"/>
              </w:rPr>
              <w:t>初次确诊罹患本附加合同所定义的重大疾病</w:t>
            </w:r>
            <w:r>
              <w:rPr>
                <w:sz w:val="21"/>
              </w:rPr>
              <w:t>（</w:t>
            </w:r>
            <w:r>
              <w:rPr>
                <w:spacing w:val="-3"/>
                <w:sz w:val="21"/>
              </w:rPr>
              <w:t>无论一种或多</w:t>
            </w:r>
            <w:r>
              <w:rPr>
                <w:spacing w:val="-1"/>
                <w:sz w:val="21"/>
              </w:rPr>
              <w:t>种），</w:t>
            </w:r>
            <w:r>
              <w:rPr>
                <w:spacing w:val="-2"/>
                <w:sz w:val="21"/>
              </w:rPr>
              <w:t>我们按您已交纳的本附加合同的保险费数额向重大疾病保险金受益人给付</w:t>
            </w:r>
          </w:p>
          <w:p>
            <w:pPr>
              <w:pStyle w:val="TableParagraph"/>
              <w:spacing w:line="255" w:lineRule="exact" w:before="9"/>
              <w:jc w:val="both"/>
              <w:rPr>
                <w:sz w:val="21"/>
              </w:rPr>
            </w:pPr>
            <w:r>
              <w:rPr>
                <w:sz w:val="21"/>
              </w:rPr>
              <w:t>重大疾病保险金，本附加合同终止。</w:t>
            </w:r>
          </w:p>
        </w:tc>
      </w:tr>
    </w:tbl>
    <w:p>
      <w:pPr>
        <w:spacing w:after="0" w:line="255" w:lineRule="exact"/>
        <w:jc w:val="both"/>
        <w:rPr>
          <w:sz w:val="21"/>
        </w:rPr>
        <w:sectPr>
          <w:pgSz w:w="11910" w:h="16840"/>
          <w:pgMar w:top="11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3739"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pacing w:val="-5"/>
                <w:sz w:val="21"/>
              </w:rPr>
              <w:t>被保险人于本附加合同生效</w:t>
            </w:r>
            <w:r>
              <w:rPr>
                <w:spacing w:val="-3"/>
                <w:sz w:val="21"/>
              </w:rPr>
              <w:t>（</w:t>
            </w:r>
            <w:r>
              <w:rPr>
                <w:spacing w:val="-7"/>
                <w:sz w:val="21"/>
              </w:rPr>
              <w:t>若曾复效，则自本附加合同最后复效</w:t>
            </w:r>
            <w:r>
              <w:rPr>
                <w:spacing w:val="-26"/>
                <w:sz w:val="21"/>
              </w:rPr>
              <w:t>）</w:t>
            </w:r>
            <w:r>
              <w:rPr>
                <w:spacing w:val="-11"/>
                <w:sz w:val="21"/>
              </w:rPr>
              <w:t>之日起 </w:t>
            </w:r>
            <w:r>
              <w:rPr>
                <w:sz w:val="21"/>
              </w:rPr>
              <w:t>90</w:t>
            </w:r>
            <w:r>
              <w:rPr>
                <w:spacing w:val="-18"/>
                <w:sz w:val="21"/>
              </w:rPr>
              <w:t> 日</w:t>
            </w:r>
          </w:p>
          <w:p>
            <w:pPr>
              <w:pStyle w:val="TableParagraph"/>
              <w:spacing w:line="273" w:lineRule="auto" w:before="37"/>
              <w:ind w:right="101"/>
              <w:jc w:val="both"/>
              <w:rPr>
                <w:sz w:val="21"/>
              </w:rPr>
            </w:pPr>
            <w:r>
              <w:rPr>
                <w:spacing w:val="-5"/>
                <w:sz w:val="21"/>
              </w:rPr>
              <w:t>后经医院初次确诊罹患本附加合同所定义的重大疾病</w:t>
            </w:r>
            <w:r>
              <w:rPr>
                <w:spacing w:val="-3"/>
                <w:sz w:val="21"/>
              </w:rPr>
              <w:t>（无论一种或多种</w:t>
            </w:r>
            <w:r>
              <w:rPr>
                <w:spacing w:val="-72"/>
                <w:sz w:val="21"/>
              </w:rPr>
              <w:t>）</w:t>
            </w:r>
            <w:r>
              <w:rPr>
                <w:spacing w:val="-20"/>
                <w:sz w:val="21"/>
              </w:rPr>
              <w:t>，我们按</w:t>
            </w:r>
            <w:r>
              <w:rPr>
                <w:spacing w:val="-15"/>
                <w:sz w:val="21"/>
              </w:rPr>
              <w:t>保险金额向重大疾病保险金受益人给付重大疾病保险金，主合同和本附加合同同</w:t>
            </w:r>
            <w:r>
              <w:rPr>
                <w:spacing w:val="-9"/>
                <w:sz w:val="21"/>
              </w:rPr>
              <w:t>时终止。</w:t>
            </w:r>
          </w:p>
          <w:p>
            <w:pPr>
              <w:pStyle w:val="TableParagraph"/>
              <w:spacing w:line="271" w:lineRule="auto" w:before="87"/>
              <w:ind w:right="103"/>
              <w:jc w:val="both"/>
              <w:rPr>
                <w:sz w:val="21"/>
              </w:rPr>
            </w:pPr>
            <w:r>
              <w:rPr>
                <w:spacing w:val="-1"/>
                <w:sz w:val="21"/>
              </w:rPr>
              <w:t>被保险人的重大疾病初次确诊日在本附加合同生效</w:t>
            </w:r>
            <w:r>
              <w:rPr>
                <w:sz w:val="21"/>
              </w:rPr>
              <w:t>（</w:t>
            </w:r>
            <w:r>
              <w:rPr>
                <w:spacing w:val="-1"/>
                <w:sz w:val="21"/>
              </w:rPr>
              <w:t>若曾复效，则自本附加合同</w:t>
            </w:r>
            <w:r>
              <w:rPr>
                <w:spacing w:val="-3"/>
                <w:sz w:val="21"/>
              </w:rPr>
              <w:t>最后复效</w:t>
            </w:r>
            <w:r>
              <w:rPr>
                <w:spacing w:val="-36"/>
                <w:sz w:val="21"/>
              </w:rPr>
              <w:t>）</w:t>
            </w:r>
            <w:r>
              <w:rPr>
                <w:spacing w:val="-11"/>
                <w:sz w:val="21"/>
              </w:rPr>
              <w:t>之日起 </w:t>
            </w:r>
            <w:r>
              <w:rPr>
                <w:sz w:val="21"/>
              </w:rPr>
              <w:t>90</w:t>
            </w:r>
            <w:r>
              <w:rPr>
                <w:spacing w:val="-11"/>
                <w:sz w:val="21"/>
              </w:rPr>
              <w:t> 日后，对于本附加合同项下的重大疾病保险金和主合同项下</w:t>
            </w:r>
            <w:r>
              <w:rPr>
                <w:spacing w:val="-6"/>
                <w:sz w:val="21"/>
              </w:rPr>
              <w:t>的身故保险金，我们只给付其中的一项。</w:t>
            </w:r>
          </w:p>
          <w:p>
            <w:pPr>
              <w:pStyle w:val="TableParagraph"/>
              <w:spacing w:before="89"/>
              <w:rPr>
                <w:rFonts w:ascii="黑体" w:hAnsi="黑体" w:eastAsia="黑体" w:hint="eastAsia"/>
                <w:sz w:val="21"/>
              </w:rPr>
            </w:pPr>
            <w:r>
              <w:rPr>
                <w:rFonts w:ascii="黑体" w:hAnsi="黑体" w:eastAsia="黑体" w:hint="eastAsia"/>
                <w:sz w:val="21"/>
              </w:rPr>
              <w:t>本附加合同定义的重大疾病载明于本附加合同“9.重大疾病定义”。</w:t>
            </w:r>
          </w:p>
          <w:p>
            <w:pPr>
              <w:pStyle w:val="TableParagraph"/>
              <w:spacing w:line="271" w:lineRule="auto" w:before="116"/>
              <w:ind w:right="132"/>
              <w:jc w:val="both"/>
              <w:rPr>
                <w:sz w:val="21"/>
              </w:rPr>
            </w:pPr>
            <w:r>
              <w:rPr>
                <w:spacing w:val="-3"/>
                <w:sz w:val="21"/>
              </w:rPr>
              <w:t>如果主合同项下有借款或其他未还款项，则我们在给付重大疾病保险金时必须依</w:t>
            </w:r>
            <w:r>
              <w:rPr>
                <w:spacing w:val="-11"/>
                <w:sz w:val="21"/>
              </w:rPr>
              <w:t>主合同 </w:t>
            </w:r>
            <w:r>
              <w:rPr>
                <w:sz w:val="21"/>
              </w:rPr>
              <w:t>9.4</w:t>
            </w:r>
            <w:r>
              <w:rPr>
                <w:spacing w:val="-8"/>
                <w:sz w:val="21"/>
              </w:rPr>
              <w:t> 的有关规定从本附加合同项下的重大疾病保险金中扣除主合同项下的</w:t>
            </w:r>
            <w:r>
              <w:rPr>
                <w:spacing w:val="-5"/>
                <w:sz w:val="21"/>
              </w:rPr>
              <w:t>所有欠款及应付利息。</w:t>
            </w:r>
          </w:p>
        </w:tc>
      </w:tr>
      <w:tr>
        <w:trPr>
          <w:trHeight w:val="6369" w:hRule="atLeast"/>
        </w:trPr>
        <w:tc>
          <w:tcPr>
            <w:tcW w:w="664" w:type="dxa"/>
          </w:tcPr>
          <w:p>
            <w:pPr>
              <w:pStyle w:val="TableParagraph"/>
              <w:ind w:left="107"/>
              <w:rPr>
                <w:b/>
                <w:sz w:val="21"/>
              </w:rPr>
            </w:pPr>
            <w:r>
              <w:rPr>
                <w:b/>
                <w:sz w:val="21"/>
              </w:rPr>
              <w:t>2.4</w:t>
            </w:r>
          </w:p>
        </w:tc>
        <w:tc>
          <w:tcPr>
            <w:tcW w:w="1638" w:type="dxa"/>
          </w:tcPr>
          <w:p>
            <w:pPr>
              <w:pStyle w:val="TableParagraph"/>
              <w:ind w:left="238"/>
              <w:rPr>
                <w:b/>
                <w:sz w:val="21"/>
              </w:rPr>
            </w:pPr>
            <w:r>
              <w:rPr>
                <w:b/>
                <w:sz w:val="21"/>
              </w:rPr>
              <w:t>责任免除</w:t>
            </w:r>
          </w:p>
        </w:tc>
        <w:tc>
          <w:tcPr>
            <w:tcW w:w="7624" w:type="dxa"/>
          </w:tcPr>
          <w:p>
            <w:pPr>
              <w:pStyle w:val="TableParagraph"/>
              <w:spacing w:line="273" w:lineRule="auto"/>
              <w:ind w:right="132"/>
              <w:rPr>
                <w:rFonts w:ascii="黑体" w:eastAsia="黑体" w:hint="eastAsia"/>
                <w:sz w:val="21"/>
              </w:rPr>
            </w:pPr>
            <w:r>
              <w:rPr>
                <w:rFonts w:ascii="黑体" w:eastAsia="黑体" w:hint="eastAsia"/>
                <w:sz w:val="21"/>
              </w:rPr>
              <w:t>因下列情形之一导致被保险人发Th本附加合同定义的重大疾病的，我们不承担给付保险金的责任：</w:t>
            </w:r>
          </w:p>
          <w:p>
            <w:pPr>
              <w:pStyle w:val="TableParagraph"/>
              <w:numPr>
                <w:ilvl w:val="0"/>
                <w:numId w:val="5"/>
              </w:numPr>
              <w:tabs>
                <w:tab w:pos="866" w:val="left" w:leader="none"/>
                <w:tab w:pos="867" w:val="left" w:leader="none"/>
              </w:tabs>
              <w:spacing w:line="240" w:lineRule="auto" w:before="86" w:after="0"/>
              <w:ind w:left="867" w:right="0" w:hanging="735"/>
              <w:jc w:val="left"/>
              <w:rPr>
                <w:rFonts w:ascii="黑体" w:eastAsia="黑体" w:hint="eastAsia"/>
                <w:sz w:val="21"/>
              </w:rPr>
            </w:pPr>
            <w:r>
              <w:rPr>
                <w:rFonts w:ascii="黑体" w:eastAsia="黑体" w:hint="eastAsia"/>
                <w:spacing w:val="-3"/>
                <w:sz w:val="21"/>
              </w:rPr>
              <w:t>投保人对被保险人的故意杀害、故意伤害；</w:t>
            </w:r>
          </w:p>
          <w:p>
            <w:pPr>
              <w:pStyle w:val="TableParagraph"/>
              <w:numPr>
                <w:ilvl w:val="0"/>
                <w:numId w:val="5"/>
              </w:numPr>
              <w:tabs>
                <w:tab w:pos="866" w:val="left" w:leader="none"/>
                <w:tab w:pos="867" w:val="left" w:leader="none"/>
              </w:tabs>
              <w:spacing w:line="240" w:lineRule="auto" w:before="113" w:after="0"/>
              <w:ind w:left="867" w:right="0" w:hanging="735"/>
              <w:jc w:val="left"/>
              <w:rPr>
                <w:rFonts w:ascii="黑体" w:eastAsia="黑体" w:hint="eastAsia"/>
                <w:sz w:val="21"/>
              </w:rPr>
            </w:pPr>
            <w:r>
              <w:rPr>
                <w:rFonts w:ascii="黑体" w:eastAsia="黑体" w:hint="eastAsia"/>
                <w:spacing w:val="-3"/>
                <w:sz w:val="21"/>
              </w:rPr>
              <w:t>被保险人故意自伤、故意犯罪或抗拒依法采取的刑事强制措施；</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spacing w:val="-14"/>
                <w:sz w:val="21"/>
              </w:rPr>
              <w:t>(见 </w:t>
            </w:r>
            <w:r>
              <w:rPr>
                <w:rFonts w:ascii="黑体" w:eastAsia="黑体" w:hint="eastAsia"/>
                <w:sz w:val="21"/>
              </w:rPr>
              <w:t>10.6)；</w:t>
            </w:r>
          </w:p>
          <w:p>
            <w:pPr>
              <w:pStyle w:val="TableParagraph"/>
              <w:numPr>
                <w:ilvl w:val="0"/>
                <w:numId w:val="5"/>
              </w:numPr>
              <w:tabs>
                <w:tab w:pos="866" w:val="left" w:leader="none"/>
                <w:tab w:pos="867" w:val="left" w:leader="none"/>
              </w:tabs>
              <w:spacing w:line="273" w:lineRule="auto" w:before="114" w:after="0"/>
              <w:ind w:left="867" w:right="122" w:hanging="735"/>
              <w:jc w:val="left"/>
              <w:rPr>
                <w:rFonts w:ascii="黑体" w:eastAsia="黑体" w:hint="eastAsia"/>
                <w:sz w:val="21"/>
              </w:rPr>
            </w:pPr>
            <w:r>
              <w:rPr>
                <w:rFonts w:ascii="黑体" w:eastAsia="黑体" w:hint="eastAsia"/>
                <w:spacing w:val="-2"/>
                <w:sz w:val="21"/>
              </w:rPr>
              <w:t>被保险人</w:t>
            </w:r>
            <w:r>
              <w:rPr>
                <w:rFonts w:ascii="黑体" w:eastAsia="黑体" w:hint="eastAsia"/>
                <w:b/>
                <w:sz w:val="21"/>
              </w:rPr>
              <w:t>酒后驾驶</w:t>
            </w:r>
            <w:r>
              <w:rPr>
                <w:rFonts w:ascii="黑体" w:eastAsia="黑体" w:hint="eastAsia"/>
                <w:spacing w:val="-16"/>
                <w:sz w:val="21"/>
              </w:rPr>
              <w:t>(见 </w:t>
            </w:r>
            <w:r>
              <w:rPr>
                <w:rFonts w:ascii="黑体" w:eastAsia="黑体" w:hint="eastAsia"/>
                <w:sz w:val="21"/>
              </w:rPr>
              <w:t>10.7)</w:t>
            </w:r>
            <w:r>
              <w:rPr>
                <w:rFonts w:ascii="黑体" w:eastAsia="黑体" w:hint="eastAsia"/>
                <w:spacing w:val="-3"/>
                <w:sz w:val="21"/>
              </w:rPr>
              <w:t>、</w:t>
            </w:r>
            <w:r>
              <w:rPr>
                <w:rFonts w:ascii="黑体" w:eastAsia="黑体" w:hint="eastAsia"/>
                <w:b/>
                <w:spacing w:val="-1"/>
                <w:sz w:val="21"/>
              </w:rPr>
              <w:t>无合法有效驾驶证驾驶</w:t>
            </w:r>
            <w:r>
              <w:rPr>
                <w:rFonts w:ascii="黑体" w:eastAsia="黑体" w:hint="eastAsia"/>
                <w:spacing w:val="-16"/>
                <w:sz w:val="21"/>
              </w:rPr>
              <w:t>(见 </w:t>
            </w:r>
            <w:r>
              <w:rPr>
                <w:rFonts w:ascii="黑体" w:eastAsia="黑体" w:hint="eastAsia"/>
                <w:sz w:val="21"/>
              </w:rPr>
              <w:t>10.8</w:t>
            </w:r>
            <w:r>
              <w:rPr>
                <w:rFonts w:ascii="黑体" w:eastAsia="黑体" w:hint="eastAsia"/>
                <w:spacing w:val="-1"/>
                <w:sz w:val="21"/>
              </w:rPr>
              <w:t>)，或驾驶</w:t>
            </w:r>
            <w:r>
              <w:rPr>
                <w:rFonts w:ascii="黑体" w:eastAsia="黑体" w:hint="eastAsia"/>
                <w:b/>
                <w:spacing w:val="-1"/>
                <w:sz w:val="21"/>
              </w:rPr>
              <w:t>无有效行驶证</w:t>
            </w:r>
            <w:r>
              <w:rPr>
                <w:rFonts w:ascii="黑体" w:eastAsia="黑体" w:hint="eastAsia"/>
                <w:spacing w:val="-18"/>
                <w:sz w:val="21"/>
              </w:rPr>
              <w:t>(见 </w:t>
            </w:r>
            <w:r>
              <w:rPr>
                <w:rFonts w:ascii="黑体" w:eastAsia="黑体" w:hint="eastAsia"/>
                <w:sz w:val="21"/>
              </w:rPr>
              <w:t>10.9)</w:t>
            </w:r>
            <w:r>
              <w:rPr>
                <w:rFonts w:ascii="黑体" w:eastAsia="黑体" w:hint="eastAsia"/>
                <w:spacing w:val="-3"/>
                <w:sz w:val="21"/>
              </w:rPr>
              <w:t>的</w:t>
            </w:r>
            <w:r>
              <w:rPr>
                <w:rFonts w:ascii="黑体" w:eastAsia="黑体" w:hint="eastAsia"/>
                <w:b/>
                <w:sz w:val="21"/>
              </w:rPr>
              <w:t>机动车</w:t>
            </w:r>
            <w:r>
              <w:rPr>
                <w:rFonts w:ascii="黑体" w:eastAsia="黑体" w:hint="eastAsia"/>
                <w:spacing w:val="-17"/>
                <w:sz w:val="21"/>
              </w:rPr>
              <w:t>(见 </w:t>
            </w:r>
            <w:r>
              <w:rPr>
                <w:rFonts w:ascii="黑体" w:eastAsia="黑体" w:hint="eastAsia"/>
                <w:sz w:val="21"/>
              </w:rPr>
              <w:t>10.10)；</w:t>
            </w:r>
          </w:p>
          <w:p>
            <w:pPr>
              <w:pStyle w:val="TableParagraph"/>
              <w:numPr>
                <w:ilvl w:val="0"/>
                <w:numId w:val="5"/>
              </w:numPr>
              <w:tabs>
                <w:tab w:pos="866" w:val="left" w:leader="none"/>
                <w:tab w:pos="867" w:val="left" w:leader="none"/>
              </w:tabs>
              <w:spacing w:line="240" w:lineRule="auto" w:before="87" w:after="0"/>
              <w:ind w:left="867" w:right="0" w:hanging="735"/>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spacing w:val="-16"/>
                <w:sz w:val="21"/>
              </w:rPr>
              <w:t>(见 </w:t>
            </w:r>
            <w:r>
              <w:rPr>
                <w:rFonts w:ascii="黑体" w:eastAsia="黑体" w:hint="eastAsia"/>
                <w:sz w:val="21"/>
              </w:rPr>
              <w:t>10.11)；</w:t>
            </w:r>
          </w:p>
          <w:p>
            <w:pPr>
              <w:pStyle w:val="TableParagraph"/>
              <w:numPr>
                <w:ilvl w:val="0"/>
                <w:numId w:val="5"/>
              </w:numPr>
              <w:tabs>
                <w:tab w:pos="866" w:val="left" w:leader="none"/>
                <w:tab w:pos="867" w:val="left" w:leader="none"/>
              </w:tabs>
              <w:spacing w:line="240" w:lineRule="auto" w:before="114" w:after="0"/>
              <w:ind w:left="867" w:right="0" w:hanging="735"/>
              <w:jc w:val="left"/>
              <w:rPr>
                <w:rFonts w:ascii="黑体" w:eastAsia="黑体" w:hint="eastAsia"/>
                <w:sz w:val="21"/>
              </w:rPr>
            </w:pPr>
            <w:r>
              <w:rPr>
                <w:rFonts w:ascii="黑体" w:eastAsia="黑体" w:hint="eastAsia"/>
                <w:spacing w:val="-3"/>
                <w:sz w:val="21"/>
              </w:rPr>
              <w:t>战争、军事冲突、暴乱或武装叛乱；</w:t>
            </w:r>
          </w:p>
          <w:p>
            <w:pPr>
              <w:pStyle w:val="TableParagraph"/>
              <w:numPr>
                <w:ilvl w:val="0"/>
                <w:numId w:val="5"/>
              </w:numPr>
              <w:tabs>
                <w:tab w:pos="866" w:val="left" w:leader="none"/>
                <w:tab w:pos="867" w:val="left" w:leader="none"/>
              </w:tabs>
              <w:spacing w:line="240" w:lineRule="auto" w:before="116" w:after="0"/>
              <w:ind w:left="867" w:right="0" w:hanging="735"/>
              <w:jc w:val="left"/>
              <w:rPr>
                <w:rFonts w:ascii="黑体" w:eastAsia="黑体" w:hint="eastAsia"/>
                <w:sz w:val="21"/>
              </w:rPr>
            </w:pPr>
            <w:r>
              <w:rPr>
                <w:rFonts w:ascii="黑体" w:eastAsia="黑体" w:hint="eastAsia"/>
                <w:spacing w:val="-3"/>
                <w:sz w:val="21"/>
              </w:rPr>
              <w:t>核爆炸、核辐射或核污染；</w:t>
            </w:r>
          </w:p>
          <w:p>
            <w:pPr>
              <w:pStyle w:val="TableParagraph"/>
              <w:numPr>
                <w:ilvl w:val="0"/>
                <w:numId w:val="5"/>
              </w:numPr>
              <w:tabs>
                <w:tab w:pos="866" w:val="left" w:leader="none"/>
                <w:tab w:pos="867" w:val="left" w:leader="none"/>
              </w:tabs>
              <w:spacing w:line="273" w:lineRule="auto" w:before="113" w:after="0"/>
              <w:ind w:left="867" w:right="132" w:hanging="735"/>
              <w:jc w:val="left"/>
              <w:rPr>
                <w:rFonts w:ascii="黑体" w:eastAsia="黑体" w:hint="eastAsia"/>
                <w:sz w:val="21"/>
              </w:rPr>
            </w:pPr>
            <w:r>
              <w:rPr>
                <w:rFonts w:ascii="黑体" w:eastAsia="黑体" w:hint="eastAsia"/>
                <w:b/>
                <w:sz w:val="21"/>
              </w:rPr>
              <w:t>遗传性疾病</w:t>
            </w:r>
            <w:r>
              <w:rPr>
                <w:rFonts w:ascii="黑体" w:eastAsia="黑体" w:hint="eastAsia"/>
                <w:spacing w:val="-18"/>
                <w:sz w:val="21"/>
              </w:rPr>
              <w:t>(见 </w:t>
            </w:r>
            <w:r>
              <w:rPr>
                <w:rFonts w:ascii="黑体" w:eastAsia="黑体" w:hint="eastAsia"/>
                <w:spacing w:val="-6"/>
                <w:sz w:val="21"/>
              </w:rPr>
              <w:t>10.12)，</w:t>
            </w:r>
            <w:r>
              <w:rPr>
                <w:rFonts w:ascii="黑体" w:eastAsia="黑体" w:hint="eastAsia"/>
                <w:b/>
                <w:spacing w:val="-5"/>
                <w:sz w:val="21"/>
              </w:rPr>
              <w:t>先天性畸形、变形或染色体异常</w:t>
            </w:r>
            <w:r>
              <w:rPr>
                <w:rFonts w:ascii="黑体" w:eastAsia="黑体" w:hint="eastAsia"/>
                <w:spacing w:val="-17"/>
                <w:sz w:val="21"/>
              </w:rPr>
              <w:t>(见 </w:t>
            </w:r>
            <w:r>
              <w:rPr>
                <w:rFonts w:ascii="黑体" w:eastAsia="黑体" w:hint="eastAsia"/>
                <w:sz w:val="21"/>
              </w:rPr>
              <w:t>10.13</w:t>
            </w:r>
            <w:r>
              <w:rPr>
                <w:rFonts w:ascii="黑体" w:eastAsia="黑体" w:hint="eastAsia"/>
                <w:spacing w:val="-14"/>
                <w:sz w:val="21"/>
              </w:rPr>
              <w:t>) ，但</w:t>
            </w:r>
            <w:r>
              <w:rPr>
                <w:rFonts w:ascii="黑体" w:eastAsia="黑体" w:hint="eastAsia"/>
                <w:spacing w:val="-3"/>
                <w:sz w:val="21"/>
              </w:rPr>
              <w:t>本附加合同有特别约定的除外。</w:t>
            </w:r>
          </w:p>
          <w:p>
            <w:pPr>
              <w:pStyle w:val="TableParagraph"/>
              <w:spacing w:line="271" w:lineRule="auto" w:before="86"/>
              <w:ind w:right="30"/>
              <w:rPr>
                <w:rFonts w:ascii="黑体" w:eastAsia="黑体" w:hint="eastAsia"/>
                <w:sz w:val="21"/>
              </w:rPr>
            </w:pPr>
            <w:r>
              <w:rPr>
                <w:rFonts w:ascii="黑体" w:eastAsia="黑体" w:hint="eastAsia"/>
                <w:sz w:val="21"/>
              </w:rPr>
              <w:t>因上述第（1）项情形导致被保险人发Th本附加合同定义的重大疾病的，本附加合同终止，我们向重大疾病保险金受益人给付本附加合同终止时的</w:t>
            </w:r>
            <w:r>
              <w:rPr>
                <w:rFonts w:ascii="黑体" w:eastAsia="黑体" w:hint="eastAsia"/>
                <w:b/>
                <w:sz w:val="21"/>
              </w:rPr>
              <w:t>现金价值</w:t>
            </w:r>
            <w:r>
              <w:rPr>
                <w:rFonts w:ascii="黑体" w:eastAsia="黑体" w:hint="eastAsia"/>
                <w:sz w:val="21"/>
              </w:rPr>
              <w:t>(见</w:t>
            </w:r>
          </w:p>
          <w:p>
            <w:pPr>
              <w:pStyle w:val="TableParagraph"/>
              <w:spacing w:before="9"/>
              <w:rPr>
                <w:rFonts w:ascii="黑体" w:eastAsia="黑体" w:hint="eastAsia"/>
                <w:sz w:val="21"/>
              </w:rPr>
            </w:pPr>
            <w:r>
              <w:rPr>
                <w:rFonts w:ascii="黑体" w:eastAsia="黑体" w:hint="eastAsia"/>
                <w:sz w:val="21"/>
              </w:rPr>
              <w:t>10.14)。</w:t>
            </w:r>
          </w:p>
          <w:p>
            <w:pPr>
              <w:pStyle w:val="TableParagraph"/>
              <w:spacing w:line="273" w:lineRule="auto" w:before="116"/>
              <w:ind w:right="132"/>
              <w:rPr>
                <w:rFonts w:ascii="黑体" w:eastAsia="黑体" w:hint="eastAsia"/>
                <w:sz w:val="21"/>
              </w:rPr>
            </w:pPr>
            <w:r>
              <w:rPr>
                <w:rFonts w:ascii="黑体" w:eastAsia="黑体" w:hint="eastAsia"/>
                <w:sz w:val="21"/>
              </w:rPr>
              <w:t>因上述其他情形导致被保险人发Th本附加合同定义的重大疾病的，本附加合同终止，我们向您退还本附加合同终止时的现金价值。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3.</w:t>
            </w:r>
          </w:p>
        </w:tc>
        <w:tc>
          <w:tcPr>
            <w:tcW w:w="1638" w:type="dxa"/>
            <w:tcBorders>
              <w:bottom w:val="single" w:sz="8" w:space="0" w:color="000000"/>
            </w:tcBorders>
          </w:tcPr>
          <w:p>
            <w:pPr>
              <w:pStyle w:val="TableParagraph"/>
              <w:spacing w:before="135"/>
              <w:ind w:left="238"/>
              <w:rPr>
                <w:b/>
                <w:sz w:val="24"/>
              </w:rPr>
            </w:pPr>
            <w:r>
              <w:rPr>
                <w:b/>
                <w:w w:val="95"/>
                <w:sz w:val="24"/>
              </w:rPr>
              <w:t>保险金的申</w:t>
            </w:r>
          </w:p>
        </w:tc>
        <w:tc>
          <w:tcPr>
            <w:tcW w:w="7624" w:type="dxa"/>
            <w:tcBorders>
              <w:bottom w:val="single" w:sz="8" w:space="0" w:color="000000"/>
            </w:tcBorders>
          </w:tcPr>
          <w:p>
            <w:pPr>
              <w:pStyle w:val="TableParagraph"/>
              <w:spacing w:before="135"/>
              <w:ind w:left="-195"/>
              <w:rPr>
                <w:b/>
                <w:sz w:val="24"/>
              </w:rPr>
            </w:pPr>
            <w:r>
              <w:rPr>
                <w:b/>
                <w:w w:val="99"/>
                <w:sz w:val="24"/>
              </w:rPr>
              <w:t>请</w:t>
            </w:r>
          </w:p>
        </w:tc>
      </w:tr>
      <w:tr>
        <w:trPr>
          <w:trHeight w:val="66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3.1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受益人</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除另有指定外，重大疾病保险金的受益人为被保险人本人。</w:t>
            </w:r>
          </w:p>
        </w:tc>
      </w:tr>
      <w:tr>
        <w:trPr>
          <w:trHeight w:val="1807" w:hRule="atLeast"/>
        </w:trPr>
        <w:tc>
          <w:tcPr>
            <w:tcW w:w="664" w:type="dxa"/>
          </w:tcPr>
          <w:p>
            <w:pPr>
              <w:pStyle w:val="TableParagraph"/>
              <w:spacing w:before="110"/>
              <w:ind w:left="107"/>
              <w:rPr>
                <w:b/>
                <w:sz w:val="21"/>
              </w:rPr>
            </w:pPr>
            <w:r>
              <w:rPr>
                <w:b/>
                <w:sz w:val="21"/>
              </w:rPr>
              <w:t>3.2</w:t>
            </w:r>
          </w:p>
        </w:tc>
        <w:tc>
          <w:tcPr>
            <w:tcW w:w="1638" w:type="dxa"/>
          </w:tcPr>
          <w:p>
            <w:pPr>
              <w:pStyle w:val="TableParagraph"/>
              <w:spacing w:before="110"/>
              <w:ind w:left="238"/>
              <w:rPr>
                <w:b/>
                <w:sz w:val="21"/>
              </w:rPr>
            </w:pPr>
            <w:r>
              <w:rPr>
                <w:b/>
                <w:sz w:val="21"/>
              </w:rPr>
              <w:t>保险事故通知</w:t>
            </w:r>
          </w:p>
        </w:tc>
        <w:tc>
          <w:tcPr>
            <w:tcW w:w="7624" w:type="dxa"/>
          </w:tcPr>
          <w:p>
            <w:pPr>
              <w:pStyle w:val="TableParagraph"/>
              <w:spacing w:line="273" w:lineRule="auto" w:before="110"/>
              <w:ind w:right="103"/>
              <w:jc w:val="both"/>
              <w:rPr>
                <w:rFonts w:ascii="黑体" w:eastAsia="黑体" w:hint="eastAsia"/>
                <w:sz w:val="21"/>
              </w:rPr>
            </w:pPr>
            <w:r>
              <w:rPr>
                <w:rFonts w:ascii="黑体" w:eastAsia="黑体" w:hint="eastAsia"/>
                <w:spacing w:val="-3"/>
                <w:sz w:val="21"/>
              </w:rPr>
              <w:t>您或受益人知道保险事故发</w:t>
            </w:r>
            <w:r>
              <w:rPr>
                <w:rFonts w:ascii="黑体" w:eastAsia="黑体" w:hint="eastAsia"/>
                <w:sz w:val="21"/>
              </w:rPr>
              <w:t>Th</w:t>
            </w:r>
            <w:r>
              <w:rPr>
                <w:rFonts w:ascii="黑体" w:eastAsia="黑体" w:hint="eastAsia"/>
                <w:spacing w:val="-10"/>
                <w:sz w:val="21"/>
              </w:rPr>
              <w:t>后应当在 </w:t>
            </w:r>
            <w:r>
              <w:rPr>
                <w:rFonts w:ascii="黑体" w:eastAsia="黑体" w:hint="eastAsia"/>
                <w:sz w:val="21"/>
              </w:rPr>
              <w:t>10</w:t>
            </w:r>
            <w:r>
              <w:rPr>
                <w:rFonts w:ascii="黑体" w:eastAsia="黑体" w:hint="eastAsia"/>
                <w:spacing w:val="-13"/>
                <w:sz w:val="21"/>
              </w:rPr>
              <w:t> 日内通知我们。故意或者因重大过失未</w:t>
            </w:r>
            <w:r>
              <w:rPr>
                <w:rFonts w:ascii="黑体" w:eastAsia="黑体" w:hint="eastAsia"/>
                <w:spacing w:val="-6"/>
                <w:sz w:val="21"/>
              </w:rPr>
              <w:t>及时通知，致使保险事故的性质、原因、损失程度等难以确定的，我们对无法确</w:t>
            </w:r>
            <w:r>
              <w:rPr>
                <w:rFonts w:ascii="黑体" w:eastAsia="黑体" w:hint="eastAsia"/>
                <w:spacing w:val="-4"/>
                <w:sz w:val="21"/>
              </w:rPr>
              <w:t>定的部分，不承担给付保险金的责任，但我们通过其他途径已经及时知道或者应</w:t>
            </w:r>
            <w:r>
              <w:rPr>
                <w:rFonts w:ascii="黑体" w:eastAsia="黑体" w:hint="eastAsia"/>
                <w:spacing w:val="-3"/>
                <w:sz w:val="21"/>
              </w:rPr>
              <w:t>当及时知道保险事故发</w:t>
            </w:r>
            <w:r>
              <w:rPr>
                <w:rFonts w:ascii="黑体" w:eastAsia="黑体" w:hint="eastAsia"/>
                <w:sz w:val="21"/>
              </w:rPr>
              <w:t>Th</w:t>
            </w:r>
            <w:r>
              <w:rPr>
                <w:rFonts w:ascii="黑体" w:eastAsia="黑体" w:hint="eastAsia"/>
                <w:spacing w:val="-3"/>
                <w:sz w:val="21"/>
              </w:rPr>
              <w:t>或者虽未及时通知但不影响我们确定保险事故的性质、原因、损失程度的除外。</w:t>
            </w:r>
          </w:p>
        </w:tc>
      </w:tr>
      <w:tr>
        <w:trPr>
          <w:trHeight w:val="1088" w:hRule="atLeast"/>
        </w:trPr>
        <w:tc>
          <w:tcPr>
            <w:tcW w:w="664" w:type="dxa"/>
          </w:tcPr>
          <w:p>
            <w:pPr>
              <w:pStyle w:val="TableParagraph"/>
              <w:spacing w:before="110"/>
              <w:ind w:left="107"/>
              <w:rPr>
                <w:b/>
                <w:sz w:val="21"/>
              </w:rPr>
            </w:pPr>
            <w:r>
              <w:rPr>
                <w:b/>
                <w:sz w:val="21"/>
              </w:rPr>
              <w:t>3.3</w:t>
            </w:r>
          </w:p>
        </w:tc>
        <w:tc>
          <w:tcPr>
            <w:tcW w:w="1638" w:type="dxa"/>
          </w:tcPr>
          <w:p>
            <w:pPr>
              <w:pStyle w:val="TableParagraph"/>
              <w:spacing w:before="110"/>
              <w:ind w:left="238"/>
              <w:rPr>
                <w:b/>
                <w:sz w:val="21"/>
              </w:rPr>
            </w:pPr>
            <w:r>
              <w:rPr>
                <w:b/>
                <w:sz w:val="21"/>
              </w:rPr>
              <w:t>保险金申请</w:t>
            </w:r>
          </w:p>
        </w:tc>
        <w:tc>
          <w:tcPr>
            <w:tcW w:w="7624" w:type="dxa"/>
          </w:tcPr>
          <w:p>
            <w:pPr>
              <w:pStyle w:val="TableParagraph"/>
              <w:spacing w:line="273" w:lineRule="auto" w:before="110"/>
              <w:ind w:right="132"/>
              <w:rPr>
                <w:sz w:val="21"/>
              </w:rPr>
            </w:pPr>
            <w:r>
              <w:rPr>
                <w:sz w:val="21"/>
              </w:rPr>
              <w:t>在申请保险金时，重大疾病保险金受益人作为申请人须填写领取保险金申请书， 并须提供下列证明和资料的原件：</w:t>
            </w:r>
          </w:p>
          <w:p>
            <w:pPr>
              <w:pStyle w:val="TableParagraph"/>
              <w:tabs>
                <w:tab w:pos="869" w:val="left" w:leader="none"/>
              </w:tabs>
              <w:spacing w:line="255" w:lineRule="exact" w:before="86"/>
              <w:rPr>
                <w:sz w:val="21"/>
              </w:rPr>
            </w:pPr>
            <w:r>
              <w:rPr>
                <w:sz w:val="21"/>
              </w:rPr>
              <w:t>（1）</w:t>
              <w:tab/>
            </w:r>
            <w:r>
              <w:rPr>
                <w:spacing w:val="-3"/>
                <w:sz w:val="21"/>
              </w:rPr>
              <w:t>本附加合同；</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2406"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6"/>
              </w:numPr>
              <w:tabs>
                <w:tab w:pos="869" w:val="left" w:leader="none"/>
                <w:tab w:pos="870" w:val="left" w:leader="none"/>
              </w:tabs>
              <w:spacing w:line="211" w:lineRule="exact" w:before="0" w:after="0"/>
              <w:ind w:left="852" w:right="0" w:hanging="720"/>
              <w:jc w:val="left"/>
              <w:rPr>
                <w:sz w:val="21"/>
              </w:rPr>
            </w:pPr>
            <w:r>
              <w:rPr>
                <w:spacing w:val="-3"/>
                <w:sz w:val="21"/>
              </w:rPr>
              <w:t>重大疾病保险金受益人的有效身份证件；</w:t>
            </w:r>
          </w:p>
          <w:p>
            <w:pPr>
              <w:pStyle w:val="TableParagraph"/>
              <w:numPr>
                <w:ilvl w:val="0"/>
                <w:numId w:val="6"/>
              </w:numPr>
              <w:tabs>
                <w:tab w:pos="858" w:val="left" w:leader="none"/>
              </w:tabs>
              <w:spacing w:line="271" w:lineRule="auto" w:before="116" w:after="0"/>
              <w:ind w:left="852" w:right="101" w:hanging="720"/>
              <w:jc w:val="both"/>
              <w:rPr>
                <w:sz w:val="21"/>
              </w:rPr>
            </w:pPr>
            <w:r>
              <w:rPr>
                <w:spacing w:val="-3"/>
                <w:sz w:val="21"/>
              </w:rPr>
              <w:t>由医院</w:t>
            </w:r>
            <w:r>
              <w:rPr>
                <w:b/>
                <w:sz w:val="21"/>
              </w:rPr>
              <w:t>专科医生</w:t>
            </w:r>
            <w:r>
              <w:rPr>
                <w:spacing w:val="-12"/>
                <w:sz w:val="21"/>
              </w:rPr>
              <w:t>(见 </w:t>
            </w:r>
            <w:r>
              <w:rPr>
                <w:sz w:val="21"/>
              </w:rPr>
              <w:t>10.15</w:t>
            </w:r>
            <w:r>
              <w:rPr>
                <w:spacing w:val="-4"/>
                <w:sz w:val="21"/>
              </w:rPr>
              <w:t>)出具的被保险人的疾病诊断证明书，以及由医</w:t>
            </w:r>
            <w:r>
              <w:rPr>
                <w:spacing w:val="-6"/>
                <w:sz w:val="21"/>
              </w:rPr>
              <w:t>院出具的与该疾病诊断证明书相关的病理显微镜检查、血液检验及其他科</w:t>
            </w:r>
            <w:r>
              <w:rPr>
                <w:spacing w:val="-4"/>
                <w:sz w:val="21"/>
              </w:rPr>
              <w:t>学方法检验报告；</w:t>
            </w:r>
          </w:p>
          <w:p>
            <w:pPr>
              <w:pStyle w:val="TableParagraph"/>
              <w:numPr>
                <w:ilvl w:val="0"/>
                <w:numId w:val="6"/>
              </w:numPr>
              <w:tabs>
                <w:tab w:pos="869" w:val="left" w:leader="none"/>
                <w:tab w:pos="870" w:val="left" w:leader="none"/>
              </w:tabs>
              <w:spacing w:line="240" w:lineRule="auto" w:before="88" w:after="0"/>
              <w:ind w:left="852" w:right="0" w:hanging="720"/>
              <w:jc w:val="left"/>
              <w:rPr>
                <w:sz w:val="21"/>
              </w:rPr>
            </w:pPr>
            <w:r>
              <w:rPr>
                <w:spacing w:val="-3"/>
                <w:sz w:val="21"/>
              </w:rPr>
              <w:t>所能提供的与确认保险事故的性质、原因等有关的其他证明和资料。</w:t>
            </w:r>
          </w:p>
          <w:p>
            <w:pPr>
              <w:pStyle w:val="TableParagraph"/>
              <w:spacing w:line="271" w:lineRule="auto" w:before="115"/>
              <w:ind w:right="132"/>
              <w:rPr>
                <w:sz w:val="21"/>
              </w:rPr>
            </w:pPr>
            <w:r>
              <w:rPr>
                <w:sz w:val="21"/>
              </w:rPr>
              <w:t>以上证明和资料不完整的，我们将及时一次性通知受益人补充提供有关的证明和资料。</w:t>
            </w:r>
          </w:p>
        </w:tc>
      </w:tr>
      <w:tr>
        <w:trPr>
          <w:trHeight w:val="4533"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73" w:lineRule="auto" w:before="26"/>
              <w:ind w:right="132"/>
              <w:jc w:val="both"/>
              <w:rPr>
                <w:sz w:val="21"/>
              </w:rPr>
            </w:pPr>
            <w:r>
              <w:rPr>
                <w:sz w:val="21"/>
              </w:rPr>
              <w:t>委托他人领取保险金时，受托人还必须提供本人的有效身份证件及委托人亲笔签名的授权委托书。</w:t>
            </w:r>
          </w:p>
          <w:p>
            <w:pPr>
              <w:pStyle w:val="TableParagraph"/>
              <w:spacing w:line="271" w:lineRule="auto" w:before="86"/>
              <w:ind w:right="132"/>
              <w:jc w:val="both"/>
              <w:rPr>
                <w:sz w:val="21"/>
              </w:rPr>
            </w:pPr>
            <w:r>
              <w:rPr>
                <w:sz w:val="21"/>
              </w:rPr>
              <w:t>保险金作为被保险人遗产时，继承人还必须提供可证明其合法继承权的相关权利文件。</w:t>
            </w:r>
          </w:p>
          <w:p>
            <w:pPr>
              <w:pStyle w:val="TableParagraph"/>
              <w:spacing w:line="273" w:lineRule="auto" w:before="88"/>
              <w:ind w:right="132"/>
              <w:jc w:val="both"/>
              <w:rPr>
                <w:sz w:val="21"/>
              </w:rPr>
            </w:pPr>
            <w:r>
              <w:rPr>
                <w:sz w:val="21"/>
              </w:rPr>
              <w:t>受益人或继承人为未成年人或无民事行为能力人时，由其合法监护人代其申请领取保险金，其合法监护人还必须提供受益人或继承人为未成年人或无民事行为能力人的证明和监护人具有合法监护权的证明。</w:t>
            </w:r>
          </w:p>
          <w:p>
            <w:pPr>
              <w:pStyle w:val="TableParagraph"/>
              <w:spacing w:line="271" w:lineRule="auto" w:before="86"/>
              <w:ind w:right="132"/>
              <w:jc w:val="both"/>
              <w:rPr>
                <w:sz w:val="21"/>
              </w:rPr>
            </w:pPr>
            <w:r>
              <w:rPr>
                <w:sz w:val="21"/>
              </w:rPr>
              <w:t>如果重大疾病保险金受益人已向我们书面申领重大疾病保险金，但在实际领取重大疾病保险金前被保险人身故，重大疾病保险金将作为被保险人的遗产，由我们向被保险人的合法继承人给付。</w:t>
            </w:r>
          </w:p>
          <w:p>
            <w:pPr>
              <w:pStyle w:val="TableParagraph"/>
              <w:spacing w:line="273" w:lineRule="auto" w:before="88"/>
              <w:ind w:right="132"/>
              <w:jc w:val="both"/>
              <w:rPr>
                <w:sz w:val="21"/>
              </w:rPr>
            </w:pPr>
            <w:r>
              <w:rPr>
                <w:sz w:val="21"/>
              </w:rPr>
              <w:t>如果重大疾病保险金受益人在提出申领重大疾病保险金书面申请之前被保险人身故，我们仅依主合同承担向身故保险金受益人给付身故保险金的责任，而不再承担本附加合同约定的保险责任。</w:t>
            </w:r>
          </w:p>
        </w:tc>
      </w:tr>
      <w:tr>
        <w:trPr>
          <w:trHeight w:val="3914" w:hRule="atLeast"/>
        </w:trPr>
        <w:tc>
          <w:tcPr>
            <w:tcW w:w="664" w:type="dxa"/>
          </w:tcPr>
          <w:p>
            <w:pPr>
              <w:pStyle w:val="TableParagraph"/>
              <w:ind w:left="107"/>
              <w:rPr>
                <w:b/>
                <w:sz w:val="21"/>
              </w:rPr>
            </w:pPr>
            <w:r>
              <w:rPr>
                <w:b/>
                <w:sz w:val="21"/>
              </w:rPr>
              <w:t>3.4</w:t>
            </w:r>
          </w:p>
        </w:tc>
        <w:tc>
          <w:tcPr>
            <w:tcW w:w="1638" w:type="dxa"/>
          </w:tcPr>
          <w:p>
            <w:pPr>
              <w:pStyle w:val="TableParagraph"/>
              <w:ind w:left="238"/>
              <w:rPr>
                <w:b/>
                <w:sz w:val="21"/>
              </w:rPr>
            </w:pPr>
            <w:r>
              <w:rPr>
                <w:b/>
                <w:sz w:val="21"/>
              </w:rPr>
              <w:t>保险金给付</w:t>
            </w:r>
          </w:p>
        </w:tc>
        <w:tc>
          <w:tcPr>
            <w:tcW w:w="7624" w:type="dxa"/>
          </w:tcPr>
          <w:p>
            <w:pPr>
              <w:pStyle w:val="TableParagraph"/>
              <w:rPr>
                <w:sz w:val="21"/>
              </w:rPr>
            </w:pPr>
            <w:r>
              <w:rPr>
                <w:sz w:val="21"/>
              </w:rPr>
              <w:t>我们在收到领取保险金申请书及本附加合同约定的证明和资料后，将在 5 日内作</w:t>
            </w:r>
          </w:p>
          <w:p>
            <w:pPr>
              <w:pStyle w:val="TableParagraph"/>
              <w:spacing w:before="34"/>
              <w:rPr>
                <w:sz w:val="21"/>
              </w:rPr>
            </w:pPr>
            <w:r>
              <w:rPr>
                <w:spacing w:val="-10"/>
                <w:sz w:val="21"/>
              </w:rPr>
              <w:t>出核定；情形复杂的，在 </w:t>
            </w:r>
            <w:r>
              <w:rPr>
                <w:sz w:val="21"/>
              </w:rPr>
              <w:t>30</w:t>
            </w:r>
            <w:r>
              <w:rPr>
                <w:spacing w:val="-9"/>
                <w:sz w:val="21"/>
              </w:rPr>
              <w:t> 日内作出核定。对属于保险责任的，我们在与受益人</w:t>
            </w:r>
          </w:p>
          <w:p>
            <w:pPr>
              <w:pStyle w:val="TableParagraph"/>
              <w:spacing w:before="37"/>
              <w:rPr>
                <w:sz w:val="21"/>
              </w:rPr>
            </w:pPr>
            <w:r>
              <w:rPr>
                <w:sz w:val="21"/>
              </w:rPr>
              <w:t>达成给付保险金的协议后 10 日内，履行给付保险金义务。</w:t>
            </w:r>
          </w:p>
          <w:p>
            <w:pPr>
              <w:pStyle w:val="TableParagraph"/>
              <w:spacing w:line="273" w:lineRule="auto" w:before="117"/>
              <w:ind w:right="132"/>
              <w:jc w:val="both"/>
              <w:rPr>
                <w:sz w:val="21"/>
              </w:rPr>
            </w:pPr>
            <w:r>
              <w:rPr>
                <w:sz w:val="21"/>
              </w:rPr>
              <w:t>我们未及时履行前款规定义务的，对属于保险责任的，除支付保险金外，应当赔偿受益人因此受到的利息损失。利息按照我们确定的利率按单利计算，且我们确定的利率不低于中国人民银行公布的金融机构人民币活期存款基准利率。</w:t>
            </w:r>
          </w:p>
          <w:p>
            <w:pPr>
              <w:pStyle w:val="TableParagraph"/>
              <w:spacing w:line="271" w:lineRule="auto" w:before="87"/>
              <w:ind w:right="132"/>
              <w:jc w:val="both"/>
              <w:rPr>
                <w:sz w:val="21"/>
              </w:rPr>
            </w:pPr>
            <w:r>
              <w:rPr>
                <w:spacing w:val="-5"/>
                <w:sz w:val="21"/>
              </w:rPr>
              <w:t>对不属于保险责任的，我们自作出核定之日起 </w:t>
            </w:r>
            <w:r>
              <w:rPr>
                <w:sz w:val="21"/>
              </w:rPr>
              <w:t>3</w:t>
            </w:r>
            <w:r>
              <w:rPr>
                <w:spacing w:val="-7"/>
                <w:sz w:val="21"/>
              </w:rPr>
              <w:t> 日内向受益人发出拒绝给付保险</w:t>
            </w:r>
            <w:r>
              <w:rPr>
                <w:spacing w:val="-5"/>
                <w:sz w:val="21"/>
              </w:rPr>
              <w:t>金通知书并说明理由。</w:t>
            </w:r>
          </w:p>
          <w:p>
            <w:pPr>
              <w:pStyle w:val="TableParagraph"/>
              <w:spacing w:line="273" w:lineRule="auto" w:before="89"/>
              <w:ind w:right="101"/>
              <w:jc w:val="both"/>
              <w:rPr>
                <w:sz w:val="21"/>
              </w:rPr>
            </w:pPr>
            <w:r>
              <w:rPr>
                <w:spacing w:val="-5"/>
                <w:sz w:val="21"/>
              </w:rPr>
              <w:t>我们在收到领取保险金申请书及有关证明和资料之日起 </w:t>
            </w:r>
            <w:r>
              <w:rPr>
                <w:sz w:val="21"/>
              </w:rPr>
              <w:t>60</w:t>
            </w:r>
            <w:r>
              <w:rPr>
                <w:spacing w:val="-14"/>
                <w:sz w:val="21"/>
              </w:rPr>
              <w:t> 日内，对给付保险金的</w:t>
            </w:r>
            <w:r>
              <w:rPr>
                <w:spacing w:val="-7"/>
                <w:sz w:val="21"/>
              </w:rPr>
              <w:t>数额不能确定的，根据已有证明和资料可以确定的数额先予支付；我们最终确定</w:t>
            </w:r>
            <w:r>
              <w:rPr>
                <w:spacing w:val="-5"/>
                <w:sz w:val="21"/>
              </w:rPr>
              <w:t>给付保险金的数额后，将支付相应的差额。</w:t>
            </w:r>
          </w:p>
        </w:tc>
      </w:tr>
      <w:tr>
        <w:trPr>
          <w:trHeight w:val="907" w:hRule="atLeast"/>
        </w:trPr>
        <w:tc>
          <w:tcPr>
            <w:tcW w:w="664" w:type="dxa"/>
          </w:tcPr>
          <w:p>
            <w:pPr>
              <w:pStyle w:val="TableParagraph"/>
              <w:ind w:left="107"/>
              <w:rPr>
                <w:b/>
                <w:sz w:val="21"/>
              </w:rPr>
            </w:pPr>
            <w:r>
              <w:rPr>
                <w:b/>
                <w:sz w:val="21"/>
              </w:rPr>
              <w:t>3.5</w:t>
            </w:r>
          </w:p>
        </w:tc>
        <w:tc>
          <w:tcPr>
            <w:tcW w:w="1638" w:type="dxa"/>
          </w:tcPr>
          <w:p>
            <w:pPr>
              <w:pStyle w:val="TableParagraph"/>
              <w:ind w:left="238"/>
              <w:rPr>
                <w:b/>
                <w:sz w:val="21"/>
              </w:rPr>
            </w:pPr>
            <w:r>
              <w:rPr>
                <w:b/>
                <w:sz w:val="21"/>
              </w:rPr>
              <w:t>诉讼时效</w:t>
            </w:r>
          </w:p>
        </w:tc>
        <w:tc>
          <w:tcPr>
            <w:tcW w:w="7624" w:type="dxa"/>
          </w:tcPr>
          <w:p>
            <w:pPr>
              <w:pStyle w:val="TableParagraph"/>
              <w:spacing w:line="271" w:lineRule="auto"/>
              <w:ind w:right="132"/>
              <w:rPr>
                <w:sz w:val="21"/>
              </w:rPr>
            </w:pPr>
            <w:r>
              <w:rPr>
                <w:spacing w:val="-5"/>
                <w:sz w:val="21"/>
              </w:rPr>
              <w:t>受益人向我们申请给付保险金的诉讼时效期间为 </w:t>
            </w:r>
            <w:r>
              <w:rPr>
                <w:sz w:val="21"/>
              </w:rPr>
              <w:t>2</w:t>
            </w:r>
            <w:r>
              <w:rPr>
                <w:spacing w:val="-7"/>
                <w:sz w:val="21"/>
              </w:rPr>
              <w:t> 年，自其知道或者应当知道保</w:t>
            </w:r>
            <w:r>
              <w:rPr>
                <w:spacing w:val="-5"/>
                <w:sz w:val="21"/>
              </w:rPr>
              <w:t>险事故发生之日起计算。</w:t>
            </w:r>
          </w:p>
        </w:tc>
      </w:tr>
      <w:tr>
        <w:trPr>
          <w:trHeight w:val="575" w:hRule="atLeast"/>
        </w:trPr>
        <w:tc>
          <w:tcPr>
            <w:tcW w:w="664" w:type="dxa"/>
            <w:tcBorders>
              <w:bottom w:val="single" w:sz="8" w:space="0" w:color="000000"/>
            </w:tcBorders>
          </w:tcPr>
          <w:p>
            <w:pPr>
              <w:pStyle w:val="TableParagraph"/>
              <w:spacing w:before="137"/>
              <w:ind w:left="107"/>
              <w:rPr>
                <w:b/>
                <w:sz w:val="24"/>
              </w:rPr>
            </w:pPr>
            <w:r>
              <w:rPr>
                <w:b/>
                <w:sz w:val="24"/>
              </w:rPr>
              <w:t>4.</w:t>
            </w:r>
          </w:p>
        </w:tc>
        <w:tc>
          <w:tcPr>
            <w:tcW w:w="1638" w:type="dxa"/>
            <w:tcBorders>
              <w:bottom w:val="single" w:sz="8" w:space="0" w:color="000000"/>
            </w:tcBorders>
          </w:tcPr>
          <w:p>
            <w:pPr>
              <w:pStyle w:val="TableParagraph"/>
              <w:spacing w:before="137"/>
              <w:ind w:left="238"/>
              <w:rPr>
                <w:b/>
                <w:sz w:val="24"/>
              </w:rPr>
            </w:pPr>
            <w:r>
              <w:rPr>
                <w:b/>
                <w:w w:val="95"/>
                <w:sz w:val="24"/>
              </w:rPr>
              <w:t>保险费的交</w:t>
            </w:r>
          </w:p>
        </w:tc>
        <w:tc>
          <w:tcPr>
            <w:tcW w:w="7624" w:type="dxa"/>
            <w:tcBorders>
              <w:bottom w:val="single" w:sz="8" w:space="0" w:color="000000"/>
            </w:tcBorders>
          </w:tcPr>
          <w:p>
            <w:pPr>
              <w:pStyle w:val="TableParagraph"/>
              <w:spacing w:before="137"/>
              <w:ind w:left="-195"/>
              <w:rPr>
                <w:b/>
                <w:sz w:val="24"/>
              </w:rPr>
            </w:pPr>
            <w:r>
              <w:rPr>
                <w:b/>
                <w:w w:val="99"/>
                <w:sz w:val="24"/>
              </w:rPr>
              <w:t>纳</w:t>
            </w:r>
          </w:p>
        </w:tc>
      </w:tr>
      <w:tr>
        <w:trPr>
          <w:trHeight w:val="1368"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4.1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保险费的交纳</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pacing w:val="-6"/>
                <w:sz w:val="21"/>
              </w:rPr>
              <w:t>本附加合同的交费方式和交费期间由您在投保时与我们约定，并在保险单上载明。</w:t>
            </w:r>
          </w:p>
          <w:p>
            <w:pPr>
              <w:pStyle w:val="TableParagraph"/>
              <w:spacing w:line="271" w:lineRule="auto" w:before="116"/>
              <w:ind w:right="132"/>
              <w:rPr>
                <w:sz w:val="21"/>
              </w:rPr>
            </w:pPr>
            <w:r>
              <w:rPr>
                <w:sz w:val="21"/>
              </w:rPr>
              <w:t>分期支付保险费的，在交纳首期保险费后，您应当在每个保险费约定交纳日交纳其余各期的保险费。</w:t>
            </w:r>
          </w:p>
        </w:tc>
      </w:tr>
      <w:tr>
        <w:trPr>
          <w:trHeight w:val="386" w:hRule="atLeast"/>
        </w:trPr>
        <w:tc>
          <w:tcPr>
            <w:tcW w:w="664" w:type="dxa"/>
          </w:tcPr>
          <w:p>
            <w:pPr>
              <w:pStyle w:val="TableParagraph"/>
              <w:spacing w:line="255" w:lineRule="exact"/>
              <w:ind w:left="107"/>
              <w:rPr>
                <w:b/>
                <w:sz w:val="21"/>
              </w:rPr>
            </w:pPr>
            <w:r>
              <w:rPr>
                <w:b/>
                <w:sz w:val="21"/>
              </w:rPr>
              <w:t>4.2</w:t>
            </w:r>
          </w:p>
        </w:tc>
        <w:tc>
          <w:tcPr>
            <w:tcW w:w="1638" w:type="dxa"/>
          </w:tcPr>
          <w:p>
            <w:pPr>
              <w:pStyle w:val="TableParagraph"/>
              <w:spacing w:line="255" w:lineRule="exact"/>
              <w:ind w:left="238"/>
              <w:rPr>
                <w:b/>
                <w:sz w:val="21"/>
              </w:rPr>
            </w:pPr>
            <w:r>
              <w:rPr>
                <w:b/>
                <w:sz w:val="21"/>
              </w:rPr>
              <w:t>宽限期</w:t>
            </w:r>
          </w:p>
        </w:tc>
        <w:tc>
          <w:tcPr>
            <w:tcW w:w="7624" w:type="dxa"/>
          </w:tcPr>
          <w:p>
            <w:pPr>
              <w:pStyle w:val="TableParagraph"/>
              <w:spacing w:line="255" w:lineRule="exact"/>
              <w:rPr>
                <w:sz w:val="21"/>
              </w:rPr>
            </w:pPr>
            <w:r>
              <w:rPr>
                <w:spacing w:val="-7"/>
                <w:sz w:val="21"/>
              </w:rPr>
              <w:t>如果您到期未交纳保险费，自保险费约定交纳日的次日零时起 </w:t>
            </w:r>
            <w:r>
              <w:rPr>
                <w:sz w:val="21"/>
              </w:rPr>
              <w:t>60</w:t>
            </w:r>
            <w:r>
              <w:rPr>
                <w:spacing w:val="-11"/>
                <w:sz w:val="21"/>
              </w:rPr>
              <w:t> 日为宽限期。宽</w:t>
            </w:r>
          </w:p>
        </w:tc>
      </w:tr>
    </w:tbl>
    <w:p>
      <w:pPr>
        <w:spacing w:after="0" w:line="255" w:lineRule="exact"/>
        <w:rPr>
          <w:sz w:val="21"/>
        </w:rPr>
        <w:sectPr>
          <w:pgSz w:w="11910" w:h="16840"/>
          <w:pgMar w:top="124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1437"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spacing w:line="211" w:lineRule="exact" w:before="0"/>
              <w:rPr>
                <w:sz w:val="21"/>
              </w:rPr>
            </w:pPr>
            <w:r>
              <w:rPr>
                <w:sz w:val="21"/>
              </w:rPr>
              <w:t>限期内发生的保险事故，我们仍承担保险责任，但在给付保险金时会扣除您欠交</w:t>
            </w:r>
          </w:p>
          <w:p>
            <w:pPr>
              <w:pStyle w:val="TableParagraph"/>
              <w:spacing w:before="37"/>
              <w:rPr>
                <w:sz w:val="21"/>
              </w:rPr>
            </w:pPr>
            <w:r>
              <w:rPr>
                <w:sz w:val="21"/>
              </w:rPr>
              <w:t>的保险费。</w:t>
            </w:r>
          </w:p>
          <w:p>
            <w:pPr>
              <w:pStyle w:val="TableParagraph"/>
              <w:spacing w:line="273" w:lineRule="auto" w:before="116"/>
              <w:ind w:right="132"/>
              <w:rPr>
                <w:sz w:val="21"/>
              </w:rPr>
            </w:pPr>
            <w:r>
              <w:rPr>
                <w:sz w:val="21"/>
              </w:rPr>
              <w:t>如果您在宽限期内未交纳保险费，则本附加合同自宽限期满的次日零时起效力中止，但本附加合同另有约定的除外。</w:t>
            </w:r>
          </w:p>
        </w:tc>
      </w:tr>
      <w:tr>
        <w:trPr>
          <w:trHeight w:val="575" w:hRule="atLeast"/>
        </w:trPr>
        <w:tc>
          <w:tcPr>
            <w:tcW w:w="664" w:type="dxa"/>
            <w:tcBorders>
              <w:bottom w:val="single" w:sz="8" w:space="0" w:color="000000"/>
            </w:tcBorders>
          </w:tcPr>
          <w:p>
            <w:pPr>
              <w:pStyle w:val="TableParagraph"/>
              <w:spacing w:before="136"/>
              <w:ind w:left="107"/>
              <w:rPr>
                <w:b/>
                <w:sz w:val="24"/>
              </w:rPr>
            </w:pPr>
            <w:r>
              <w:rPr>
                <w:b/>
                <w:sz w:val="24"/>
              </w:rPr>
              <w:t>5.</w:t>
            </w:r>
          </w:p>
        </w:tc>
        <w:tc>
          <w:tcPr>
            <w:tcW w:w="1638" w:type="dxa"/>
            <w:tcBorders>
              <w:bottom w:val="single" w:sz="8" w:space="0" w:color="000000"/>
            </w:tcBorders>
          </w:tcPr>
          <w:p>
            <w:pPr>
              <w:pStyle w:val="TableParagraph"/>
              <w:spacing w:before="136"/>
              <w:ind w:left="238"/>
              <w:rPr>
                <w:b/>
                <w:sz w:val="24"/>
              </w:rPr>
            </w:pPr>
            <w:r>
              <w:rPr>
                <w:b/>
                <w:w w:val="95"/>
                <w:sz w:val="24"/>
              </w:rPr>
              <w:t>现金价值权</w:t>
            </w:r>
          </w:p>
        </w:tc>
        <w:tc>
          <w:tcPr>
            <w:tcW w:w="7624" w:type="dxa"/>
            <w:tcBorders>
              <w:bottom w:val="single" w:sz="8" w:space="0" w:color="000000"/>
            </w:tcBorders>
          </w:tcPr>
          <w:p>
            <w:pPr>
              <w:pStyle w:val="TableParagraph"/>
              <w:spacing w:before="136"/>
              <w:ind w:left="-195"/>
              <w:rPr>
                <w:b/>
                <w:sz w:val="24"/>
              </w:rPr>
            </w:pPr>
            <w:r>
              <w:rPr>
                <w:b/>
                <w:w w:val="99"/>
                <w:sz w:val="24"/>
              </w:rPr>
              <w:t>益</w:t>
            </w:r>
          </w:p>
        </w:tc>
      </w:tr>
      <w:tr>
        <w:trPr>
          <w:trHeight w:val="702"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5.1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现金价值</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本附加合同的现金价值在保险单上载明。</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6.</w:t>
            </w:r>
          </w:p>
        </w:tc>
        <w:tc>
          <w:tcPr>
            <w:tcW w:w="9262" w:type="dxa"/>
            <w:gridSpan w:val="2"/>
            <w:tcBorders>
              <w:bottom w:val="single" w:sz="8" w:space="0" w:color="000000"/>
            </w:tcBorders>
          </w:tcPr>
          <w:p>
            <w:pPr>
              <w:pStyle w:val="TableParagraph"/>
              <w:spacing w:before="135"/>
              <w:ind w:left="238"/>
              <w:rPr>
                <w:b/>
                <w:sz w:val="24"/>
              </w:rPr>
            </w:pPr>
            <w:r>
              <w:rPr>
                <w:b/>
                <w:w w:val="95"/>
                <w:sz w:val="24"/>
              </w:rPr>
              <w:t>合同效力的中止及恢复</w:t>
            </w:r>
          </w:p>
        </w:tc>
      </w:tr>
      <w:tr>
        <w:trPr>
          <w:trHeight w:val="667"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6.1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效力中止</w:t>
            </w:r>
          </w:p>
        </w:tc>
        <w:tc>
          <w:tcPr>
            <w:tcW w:w="7624" w:type="dxa"/>
            <w:tcBorders>
              <w:top w:val="single" w:sz="8" w:space="0" w:color="000000"/>
            </w:tcBorders>
          </w:tcPr>
          <w:p>
            <w:pPr>
              <w:pStyle w:val="TableParagraph"/>
              <w:spacing w:before="8"/>
              <w:ind w:left="0"/>
              <w:rPr>
                <w:sz w:val="16"/>
              </w:rPr>
            </w:pPr>
          </w:p>
          <w:p>
            <w:pPr>
              <w:pStyle w:val="TableParagraph"/>
              <w:spacing w:before="0"/>
              <w:rPr>
                <w:rFonts w:ascii="黑体" w:eastAsia="黑体" w:hint="eastAsia"/>
                <w:sz w:val="21"/>
              </w:rPr>
            </w:pPr>
            <w:r>
              <w:rPr>
                <w:rFonts w:ascii="黑体" w:eastAsia="黑体" w:hint="eastAsia"/>
                <w:sz w:val="21"/>
              </w:rPr>
              <w:t>在本附加合同效力中止期间，我们不承担保险责任。</w:t>
            </w:r>
          </w:p>
        </w:tc>
      </w:tr>
      <w:tr>
        <w:trPr>
          <w:trHeight w:val="1921" w:hRule="atLeast"/>
        </w:trPr>
        <w:tc>
          <w:tcPr>
            <w:tcW w:w="664" w:type="dxa"/>
          </w:tcPr>
          <w:p>
            <w:pPr>
              <w:pStyle w:val="TableParagraph"/>
              <w:ind w:left="107"/>
              <w:rPr>
                <w:b/>
                <w:sz w:val="21"/>
              </w:rPr>
            </w:pPr>
            <w:r>
              <w:rPr>
                <w:b/>
                <w:sz w:val="21"/>
              </w:rPr>
              <w:t>6.2</w:t>
            </w:r>
          </w:p>
        </w:tc>
        <w:tc>
          <w:tcPr>
            <w:tcW w:w="1638" w:type="dxa"/>
          </w:tcPr>
          <w:p>
            <w:pPr>
              <w:pStyle w:val="TableParagraph"/>
              <w:ind w:left="238"/>
              <w:rPr>
                <w:b/>
                <w:sz w:val="21"/>
              </w:rPr>
            </w:pPr>
            <w:r>
              <w:rPr>
                <w:b/>
                <w:sz w:val="21"/>
              </w:rPr>
              <w:t>效力恢复</w:t>
            </w:r>
          </w:p>
        </w:tc>
        <w:tc>
          <w:tcPr>
            <w:tcW w:w="7624" w:type="dxa"/>
          </w:tcPr>
          <w:p>
            <w:pPr>
              <w:pStyle w:val="TableParagraph"/>
              <w:spacing w:line="271" w:lineRule="auto"/>
              <w:ind w:right="132"/>
              <w:jc w:val="both"/>
              <w:rPr>
                <w:sz w:val="21"/>
              </w:rPr>
            </w:pPr>
            <w:r>
              <w:rPr>
                <w:spacing w:val="-6"/>
                <w:sz w:val="21"/>
              </w:rPr>
              <w:t>本附加合同效力中止之日起 </w:t>
            </w:r>
            <w:r>
              <w:rPr>
                <w:sz w:val="21"/>
              </w:rPr>
              <w:t>2</w:t>
            </w:r>
            <w:r>
              <w:rPr>
                <w:spacing w:val="-8"/>
                <w:sz w:val="21"/>
              </w:rPr>
              <w:t> 年内，您可以申请恢复合同效力。经您与我们协商</w:t>
            </w:r>
            <w:r>
              <w:rPr>
                <w:spacing w:val="-5"/>
                <w:sz w:val="21"/>
              </w:rPr>
              <w:t>并达成协议，在您补交保险费之日起，本附加合同效力恢复。</w:t>
            </w:r>
          </w:p>
          <w:p>
            <w:pPr>
              <w:pStyle w:val="TableParagraph"/>
              <w:spacing w:line="273" w:lineRule="auto" w:before="88"/>
              <w:ind w:right="132"/>
              <w:jc w:val="both"/>
              <w:rPr>
                <w:sz w:val="21"/>
              </w:rPr>
            </w:pPr>
            <w:r>
              <w:rPr>
                <w:spacing w:val="-6"/>
                <w:sz w:val="21"/>
              </w:rPr>
              <w:t>自本附加合同效力中止之日起满 </w:t>
            </w:r>
            <w:r>
              <w:rPr>
                <w:sz w:val="21"/>
              </w:rPr>
              <w:t>2</w:t>
            </w:r>
            <w:r>
              <w:rPr>
                <w:spacing w:val="-7"/>
                <w:sz w:val="21"/>
              </w:rPr>
              <w:t> 年您和我们未达成协议的，我们有权解除本附</w:t>
            </w:r>
            <w:r>
              <w:rPr>
                <w:spacing w:val="-5"/>
                <w:sz w:val="21"/>
              </w:rPr>
              <w:t>加合同，本附加合同自解除之日起终止。我们解除合同的，我们向您退还本附加</w:t>
            </w:r>
            <w:r>
              <w:rPr>
                <w:spacing w:val="-4"/>
                <w:sz w:val="21"/>
              </w:rPr>
              <w:t>合同中止时的现金价值。</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7.</w:t>
            </w:r>
          </w:p>
        </w:tc>
        <w:tc>
          <w:tcPr>
            <w:tcW w:w="1638" w:type="dxa"/>
            <w:tcBorders>
              <w:bottom w:val="single" w:sz="8" w:space="0" w:color="000000"/>
            </w:tcBorders>
          </w:tcPr>
          <w:p>
            <w:pPr>
              <w:pStyle w:val="TableParagraph"/>
              <w:spacing w:before="135"/>
              <w:ind w:left="238"/>
              <w:rPr>
                <w:b/>
                <w:sz w:val="24"/>
              </w:rPr>
            </w:pPr>
            <w:r>
              <w:rPr>
                <w:b/>
                <w:sz w:val="24"/>
              </w:rPr>
              <w:t>合同解除</w:t>
            </w:r>
          </w:p>
        </w:tc>
        <w:tc>
          <w:tcPr>
            <w:tcW w:w="7624" w:type="dxa"/>
            <w:tcBorders>
              <w:bottom w:val="single" w:sz="8" w:space="0" w:color="000000"/>
            </w:tcBorders>
          </w:tcPr>
          <w:p>
            <w:pPr>
              <w:pStyle w:val="TableParagraph"/>
              <w:spacing w:before="0"/>
              <w:ind w:left="0"/>
              <w:rPr>
                <w:rFonts w:ascii="Times New Roman"/>
                <w:sz w:val="20"/>
              </w:rPr>
            </w:pPr>
          </w:p>
        </w:tc>
      </w:tr>
      <w:tr>
        <w:trPr>
          <w:trHeight w:val="288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7.1</w:t>
            </w:r>
          </w:p>
        </w:tc>
        <w:tc>
          <w:tcPr>
            <w:tcW w:w="1638" w:type="dxa"/>
            <w:tcBorders>
              <w:top w:val="single" w:sz="8" w:space="0" w:color="000000"/>
            </w:tcBorders>
          </w:tcPr>
          <w:p>
            <w:pPr>
              <w:pStyle w:val="TableParagraph"/>
              <w:spacing w:before="8"/>
              <w:ind w:left="0"/>
              <w:rPr>
                <w:sz w:val="16"/>
              </w:rPr>
            </w:pPr>
          </w:p>
          <w:p>
            <w:pPr>
              <w:pStyle w:val="TableParagraph"/>
              <w:spacing w:line="271" w:lineRule="auto" w:before="0"/>
              <w:ind w:left="238" w:right="129"/>
              <w:rPr>
                <w:b/>
                <w:sz w:val="21"/>
              </w:rPr>
            </w:pPr>
            <w:r>
              <w:rPr>
                <w:b/>
                <w:sz w:val="21"/>
              </w:rPr>
              <w:t>您解除合同的手续及风险</w:t>
            </w:r>
          </w:p>
        </w:tc>
        <w:tc>
          <w:tcPr>
            <w:tcW w:w="7624" w:type="dxa"/>
            <w:tcBorders>
              <w:top w:val="single" w:sz="8" w:space="0" w:color="000000"/>
            </w:tcBorders>
          </w:tcPr>
          <w:p>
            <w:pPr>
              <w:pStyle w:val="TableParagraph"/>
              <w:spacing w:before="8"/>
              <w:ind w:left="0"/>
              <w:rPr>
                <w:sz w:val="16"/>
              </w:rPr>
            </w:pPr>
          </w:p>
          <w:p>
            <w:pPr>
              <w:pStyle w:val="TableParagraph"/>
              <w:spacing w:line="271" w:lineRule="auto" w:before="0"/>
              <w:ind w:right="132"/>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7"/>
              </w:numPr>
              <w:tabs>
                <w:tab w:pos="866" w:val="left" w:leader="none"/>
                <w:tab w:pos="867" w:val="left" w:leader="none"/>
              </w:tabs>
              <w:spacing w:line="240" w:lineRule="auto" w:before="89" w:after="0"/>
              <w:ind w:left="867" w:right="0" w:hanging="735"/>
              <w:jc w:val="left"/>
              <w:rPr>
                <w:sz w:val="21"/>
              </w:rPr>
            </w:pPr>
            <w:r>
              <w:rPr>
                <w:spacing w:val="-2"/>
                <w:sz w:val="21"/>
              </w:rPr>
              <w:t>本附加合同；</w:t>
            </w:r>
          </w:p>
          <w:p>
            <w:pPr>
              <w:pStyle w:val="TableParagraph"/>
              <w:numPr>
                <w:ilvl w:val="0"/>
                <w:numId w:val="7"/>
              </w:numPr>
              <w:tabs>
                <w:tab w:pos="866" w:val="left" w:leader="none"/>
                <w:tab w:pos="867" w:val="left" w:leader="none"/>
              </w:tabs>
              <w:spacing w:line="240" w:lineRule="auto" w:before="116" w:after="0"/>
              <w:ind w:left="867" w:right="0" w:hanging="735"/>
              <w:jc w:val="left"/>
              <w:rPr>
                <w:sz w:val="21"/>
              </w:rPr>
            </w:pPr>
            <w:r>
              <w:rPr>
                <w:spacing w:val="-3"/>
                <w:sz w:val="21"/>
              </w:rPr>
              <w:t>您的有效身份证件。</w:t>
            </w:r>
          </w:p>
          <w:p>
            <w:pPr>
              <w:pStyle w:val="TableParagraph"/>
              <w:spacing w:line="273" w:lineRule="auto" w:before="114"/>
              <w:ind w:right="132"/>
              <w:rPr>
                <w:sz w:val="21"/>
              </w:rPr>
            </w:pPr>
            <w:r>
              <w:rPr>
                <w:sz w:val="21"/>
              </w:rPr>
              <w:t>自我们收到解除合同申请书时起，本附加合同终止，我们自收到解除合同申请书之日起 30 日内向您退还本附加合同终止时的现金价值。</w:t>
            </w:r>
          </w:p>
          <w:p>
            <w:pPr>
              <w:pStyle w:val="TableParagraph"/>
              <w:spacing w:before="87"/>
              <w:rPr>
                <w:sz w:val="21"/>
              </w:rPr>
            </w:pPr>
            <w:r>
              <w:rPr>
                <w:sz w:val="21"/>
              </w:rPr>
              <w:t>您在犹豫期后解除合同会遭受一定损失。</w:t>
            </w:r>
          </w:p>
        </w:tc>
      </w:tr>
      <w:tr>
        <w:trPr>
          <w:trHeight w:val="573" w:hRule="atLeast"/>
        </w:trPr>
        <w:tc>
          <w:tcPr>
            <w:tcW w:w="664" w:type="dxa"/>
            <w:tcBorders>
              <w:bottom w:val="single" w:sz="8" w:space="0" w:color="000000"/>
            </w:tcBorders>
          </w:tcPr>
          <w:p>
            <w:pPr>
              <w:pStyle w:val="TableParagraph"/>
              <w:spacing w:before="135"/>
              <w:ind w:left="107"/>
              <w:rPr>
                <w:b/>
                <w:sz w:val="24"/>
              </w:rPr>
            </w:pPr>
            <w:r>
              <w:rPr>
                <w:b/>
                <w:sz w:val="24"/>
              </w:rPr>
              <w:t>8.</w:t>
            </w:r>
          </w:p>
        </w:tc>
        <w:tc>
          <w:tcPr>
            <w:tcW w:w="9262" w:type="dxa"/>
            <w:gridSpan w:val="2"/>
            <w:tcBorders>
              <w:bottom w:val="single" w:sz="8" w:space="0" w:color="000000"/>
            </w:tcBorders>
          </w:tcPr>
          <w:p>
            <w:pPr>
              <w:pStyle w:val="TableParagraph"/>
              <w:spacing w:before="135"/>
              <w:ind w:left="238"/>
              <w:rPr>
                <w:b/>
                <w:sz w:val="24"/>
              </w:rPr>
            </w:pPr>
            <w:r>
              <w:rPr>
                <w:b/>
                <w:w w:val="95"/>
                <w:sz w:val="24"/>
              </w:rPr>
              <w:t>其它需要关注的事项</w:t>
            </w:r>
          </w:p>
        </w:tc>
      </w:tr>
      <w:tr>
        <w:trPr>
          <w:trHeight w:val="1446" w:hRule="atLeast"/>
        </w:trPr>
        <w:tc>
          <w:tcPr>
            <w:tcW w:w="664" w:type="dxa"/>
            <w:tcBorders>
              <w:top w:val="single" w:sz="8" w:space="0" w:color="000000"/>
            </w:tcBorders>
          </w:tcPr>
          <w:p>
            <w:pPr>
              <w:pStyle w:val="TableParagraph"/>
              <w:spacing w:before="8"/>
              <w:ind w:left="0"/>
              <w:rPr>
                <w:sz w:val="16"/>
              </w:rPr>
            </w:pPr>
          </w:p>
          <w:p>
            <w:pPr>
              <w:pStyle w:val="TableParagraph"/>
              <w:spacing w:before="0"/>
              <w:ind w:left="107"/>
              <w:rPr>
                <w:b/>
                <w:sz w:val="21"/>
              </w:rPr>
            </w:pPr>
            <w:r>
              <w:rPr>
                <w:b/>
                <w:sz w:val="21"/>
              </w:rPr>
              <w:t>8.1</w:t>
            </w:r>
          </w:p>
        </w:tc>
        <w:tc>
          <w:tcPr>
            <w:tcW w:w="1638" w:type="dxa"/>
            <w:tcBorders>
              <w:top w:val="single" w:sz="8" w:space="0" w:color="000000"/>
            </w:tcBorders>
          </w:tcPr>
          <w:p>
            <w:pPr>
              <w:pStyle w:val="TableParagraph"/>
              <w:spacing w:before="8"/>
              <w:ind w:left="0"/>
              <w:rPr>
                <w:sz w:val="16"/>
              </w:rPr>
            </w:pPr>
          </w:p>
          <w:p>
            <w:pPr>
              <w:pStyle w:val="TableParagraph"/>
              <w:spacing w:before="0"/>
              <w:ind w:left="238"/>
              <w:rPr>
                <w:b/>
                <w:sz w:val="21"/>
              </w:rPr>
            </w:pPr>
            <w:r>
              <w:rPr>
                <w:b/>
                <w:sz w:val="21"/>
              </w:rPr>
              <w:t>效力终止</w:t>
            </w:r>
          </w:p>
        </w:tc>
        <w:tc>
          <w:tcPr>
            <w:tcW w:w="7624" w:type="dxa"/>
            <w:tcBorders>
              <w:top w:val="single" w:sz="8" w:space="0" w:color="000000"/>
            </w:tcBorders>
          </w:tcPr>
          <w:p>
            <w:pPr>
              <w:pStyle w:val="TableParagraph"/>
              <w:spacing w:before="8"/>
              <w:ind w:left="0"/>
              <w:rPr>
                <w:sz w:val="16"/>
              </w:rPr>
            </w:pPr>
          </w:p>
          <w:p>
            <w:pPr>
              <w:pStyle w:val="TableParagraph"/>
              <w:spacing w:before="0"/>
              <w:rPr>
                <w:sz w:val="21"/>
              </w:rPr>
            </w:pPr>
            <w:r>
              <w:rPr>
                <w:sz w:val="21"/>
              </w:rPr>
              <w:t>发生下列情况之一时，本附加合同效力终止：</w:t>
            </w:r>
          </w:p>
          <w:p>
            <w:pPr>
              <w:pStyle w:val="TableParagraph"/>
              <w:numPr>
                <w:ilvl w:val="0"/>
                <w:numId w:val="8"/>
              </w:numPr>
              <w:tabs>
                <w:tab w:pos="869" w:val="left" w:leader="none"/>
                <w:tab w:pos="870" w:val="left" w:leader="none"/>
              </w:tabs>
              <w:spacing w:line="240" w:lineRule="auto" w:before="114" w:after="0"/>
              <w:ind w:left="869" w:right="0" w:hanging="737"/>
              <w:jc w:val="left"/>
              <w:rPr>
                <w:sz w:val="21"/>
              </w:rPr>
            </w:pPr>
            <w:r>
              <w:rPr>
                <w:spacing w:val="-3"/>
                <w:sz w:val="21"/>
              </w:rPr>
              <w:t>主合同效力终止；</w:t>
            </w:r>
          </w:p>
          <w:p>
            <w:pPr>
              <w:pStyle w:val="TableParagraph"/>
              <w:numPr>
                <w:ilvl w:val="0"/>
                <w:numId w:val="8"/>
              </w:numPr>
              <w:tabs>
                <w:tab w:pos="869" w:val="left" w:leader="none"/>
                <w:tab w:pos="870" w:val="left" w:leader="none"/>
              </w:tabs>
              <w:spacing w:line="240" w:lineRule="auto" w:before="116" w:after="0"/>
              <w:ind w:left="869" w:right="0" w:hanging="737"/>
              <w:jc w:val="left"/>
              <w:rPr>
                <w:sz w:val="21"/>
              </w:rPr>
            </w:pPr>
            <w:r>
              <w:rPr>
                <w:spacing w:val="-3"/>
                <w:sz w:val="21"/>
              </w:rPr>
              <w:t>本附加合同约定的合同效力终止情况。</w:t>
            </w:r>
          </w:p>
        </w:tc>
      </w:tr>
      <w:tr>
        <w:trPr>
          <w:trHeight w:val="2725" w:hRule="atLeast"/>
        </w:trPr>
        <w:tc>
          <w:tcPr>
            <w:tcW w:w="664" w:type="dxa"/>
          </w:tcPr>
          <w:p>
            <w:pPr>
              <w:pStyle w:val="TableParagraph"/>
              <w:spacing w:before="110"/>
              <w:ind w:left="107"/>
              <w:rPr>
                <w:b/>
                <w:sz w:val="21"/>
              </w:rPr>
            </w:pPr>
            <w:r>
              <w:rPr>
                <w:b/>
                <w:sz w:val="21"/>
              </w:rPr>
              <w:t>8.2</w:t>
            </w:r>
          </w:p>
        </w:tc>
        <w:tc>
          <w:tcPr>
            <w:tcW w:w="1638" w:type="dxa"/>
          </w:tcPr>
          <w:p>
            <w:pPr>
              <w:pStyle w:val="TableParagraph"/>
              <w:spacing w:line="273" w:lineRule="auto" w:before="110"/>
              <w:ind w:left="238" w:right="129"/>
              <w:rPr>
                <w:b/>
                <w:sz w:val="21"/>
              </w:rPr>
            </w:pPr>
            <w:r>
              <w:rPr>
                <w:b/>
                <w:sz w:val="21"/>
              </w:rPr>
              <w:t>适用主合同条款</w:t>
            </w:r>
          </w:p>
        </w:tc>
        <w:tc>
          <w:tcPr>
            <w:tcW w:w="7624" w:type="dxa"/>
          </w:tcPr>
          <w:p>
            <w:pPr>
              <w:pStyle w:val="TableParagraph"/>
              <w:spacing w:before="110"/>
              <w:rPr>
                <w:sz w:val="21"/>
              </w:rPr>
            </w:pPr>
            <w:r>
              <w:rPr>
                <w:sz w:val="21"/>
              </w:rPr>
              <w:t>主合同订立的下列各项条款适用于本附加合同：</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3"/>
                <w:sz w:val="21"/>
              </w:rPr>
              <w:t>明确说明与如实告知；</w:t>
            </w:r>
          </w:p>
          <w:p>
            <w:pPr>
              <w:pStyle w:val="TableParagraph"/>
              <w:numPr>
                <w:ilvl w:val="0"/>
                <w:numId w:val="9"/>
              </w:numPr>
              <w:tabs>
                <w:tab w:pos="866" w:val="left" w:leader="none"/>
                <w:tab w:pos="867" w:val="left" w:leader="none"/>
              </w:tabs>
              <w:spacing w:line="240" w:lineRule="auto" w:before="113" w:after="0"/>
              <w:ind w:left="867" w:right="0" w:hanging="735"/>
              <w:jc w:val="left"/>
              <w:rPr>
                <w:sz w:val="21"/>
              </w:rPr>
            </w:pPr>
            <w:r>
              <w:rPr>
                <w:spacing w:val="-3"/>
                <w:sz w:val="21"/>
              </w:rPr>
              <w:t>我们合同解除权的限制；</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2"/>
                <w:sz w:val="21"/>
              </w:rPr>
              <w:t>年龄性别错误；</w:t>
            </w:r>
          </w:p>
          <w:p>
            <w:pPr>
              <w:pStyle w:val="TableParagraph"/>
              <w:numPr>
                <w:ilvl w:val="0"/>
                <w:numId w:val="9"/>
              </w:numPr>
              <w:tabs>
                <w:tab w:pos="866" w:val="left" w:leader="none"/>
                <w:tab w:pos="867" w:val="left" w:leader="none"/>
              </w:tabs>
              <w:spacing w:line="240" w:lineRule="auto" w:before="114" w:after="0"/>
              <w:ind w:left="867" w:right="0" w:hanging="735"/>
              <w:jc w:val="left"/>
              <w:rPr>
                <w:sz w:val="21"/>
              </w:rPr>
            </w:pPr>
            <w:r>
              <w:rPr>
                <w:spacing w:val="-1"/>
                <w:sz w:val="21"/>
              </w:rPr>
              <w:t>未还款项；</w:t>
            </w:r>
          </w:p>
          <w:p>
            <w:pPr>
              <w:pStyle w:val="TableParagraph"/>
              <w:numPr>
                <w:ilvl w:val="0"/>
                <w:numId w:val="9"/>
              </w:numPr>
              <w:tabs>
                <w:tab w:pos="866" w:val="left" w:leader="none"/>
                <w:tab w:pos="867" w:val="left" w:leader="none"/>
              </w:tabs>
              <w:spacing w:line="240" w:lineRule="auto" w:before="116" w:after="0"/>
              <w:ind w:left="867" w:right="0" w:hanging="735"/>
              <w:jc w:val="left"/>
              <w:rPr>
                <w:sz w:val="21"/>
              </w:rPr>
            </w:pPr>
            <w:r>
              <w:rPr>
                <w:spacing w:val="-2"/>
                <w:sz w:val="21"/>
              </w:rPr>
              <w:t>合同内容变更；</w:t>
            </w:r>
          </w:p>
          <w:p>
            <w:pPr>
              <w:pStyle w:val="TableParagraph"/>
              <w:numPr>
                <w:ilvl w:val="0"/>
                <w:numId w:val="9"/>
              </w:numPr>
              <w:tabs>
                <w:tab w:pos="866" w:val="left" w:leader="none"/>
                <w:tab w:pos="867" w:val="left" w:leader="none"/>
              </w:tabs>
              <w:spacing w:line="255" w:lineRule="exact" w:before="113" w:after="0"/>
              <w:ind w:left="867" w:right="0" w:hanging="735"/>
              <w:jc w:val="left"/>
              <w:rPr>
                <w:sz w:val="21"/>
              </w:rPr>
            </w:pPr>
            <w:r>
              <w:rPr>
                <w:spacing w:val="-2"/>
                <w:sz w:val="21"/>
              </w:rPr>
              <w:t>联系方式变更；</w:t>
            </w:r>
          </w:p>
        </w:tc>
      </w:tr>
    </w:tbl>
    <w:p>
      <w:pPr>
        <w:spacing w:after="0" w:line="255" w:lineRule="exact"/>
        <w:jc w:val="left"/>
        <w:rPr>
          <w:sz w:val="21"/>
        </w:rPr>
        <w:sectPr>
          <w:pgSz w:w="11910" w:h="16840"/>
          <w:pgMar w:top="1160" w:bottom="280" w:left="920" w:right="8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8"/>
        <w:gridCol w:w="7624"/>
      </w:tblGrid>
      <w:tr>
        <w:trPr>
          <w:trHeight w:val="812" w:hRule="atLeast"/>
        </w:trPr>
        <w:tc>
          <w:tcPr>
            <w:tcW w:w="664" w:type="dxa"/>
          </w:tcPr>
          <w:p>
            <w:pPr>
              <w:pStyle w:val="TableParagraph"/>
              <w:spacing w:before="0"/>
              <w:ind w:left="0"/>
              <w:rPr>
                <w:rFonts w:ascii="Times New Roman"/>
                <w:sz w:val="20"/>
              </w:rPr>
            </w:pPr>
          </w:p>
        </w:tc>
        <w:tc>
          <w:tcPr>
            <w:tcW w:w="1638" w:type="dxa"/>
          </w:tcPr>
          <w:p>
            <w:pPr>
              <w:pStyle w:val="TableParagraph"/>
              <w:spacing w:before="0"/>
              <w:ind w:left="0"/>
              <w:rPr>
                <w:rFonts w:ascii="Times New Roman"/>
                <w:sz w:val="20"/>
              </w:rPr>
            </w:pPr>
          </w:p>
        </w:tc>
        <w:tc>
          <w:tcPr>
            <w:tcW w:w="7624" w:type="dxa"/>
          </w:tcPr>
          <w:p>
            <w:pPr>
              <w:pStyle w:val="TableParagraph"/>
              <w:numPr>
                <w:ilvl w:val="0"/>
                <w:numId w:val="10"/>
              </w:numPr>
              <w:tabs>
                <w:tab w:pos="866" w:val="left" w:leader="none"/>
                <w:tab w:pos="867" w:val="left" w:leader="none"/>
              </w:tabs>
              <w:spacing w:line="211" w:lineRule="exact" w:before="0" w:after="0"/>
              <w:ind w:left="867" w:right="0" w:hanging="735"/>
              <w:jc w:val="left"/>
              <w:rPr>
                <w:sz w:val="21"/>
              </w:rPr>
            </w:pPr>
            <w:r>
              <w:rPr>
                <w:spacing w:val="-2"/>
                <w:sz w:val="21"/>
              </w:rPr>
              <w:t>争议处理；</w:t>
            </w:r>
          </w:p>
          <w:p>
            <w:pPr>
              <w:pStyle w:val="TableParagraph"/>
              <w:numPr>
                <w:ilvl w:val="0"/>
                <w:numId w:val="10"/>
              </w:numPr>
              <w:tabs>
                <w:tab w:pos="866" w:val="left" w:leader="none"/>
                <w:tab w:pos="867" w:val="left" w:leader="none"/>
              </w:tabs>
              <w:spacing w:line="240" w:lineRule="auto" w:before="116" w:after="0"/>
              <w:ind w:left="867" w:right="0" w:hanging="735"/>
              <w:jc w:val="left"/>
              <w:rPr>
                <w:sz w:val="21"/>
              </w:rPr>
            </w:pPr>
            <w:r>
              <w:rPr>
                <w:spacing w:val="-3"/>
                <w:sz w:val="21"/>
              </w:rPr>
              <w:t>保险事故鉴定。</w:t>
            </w:r>
          </w:p>
        </w:tc>
      </w:tr>
      <w:tr>
        <w:trPr>
          <w:trHeight w:val="576" w:hRule="atLeast"/>
        </w:trPr>
        <w:tc>
          <w:tcPr>
            <w:tcW w:w="664" w:type="dxa"/>
            <w:tcBorders>
              <w:bottom w:val="single" w:sz="8" w:space="0" w:color="000000"/>
            </w:tcBorders>
          </w:tcPr>
          <w:p>
            <w:pPr>
              <w:pStyle w:val="TableParagraph"/>
              <w:spacing w:before="135"/>
              <w:ind w:left="107"/>
              <w:rPr>
                <w:b/>
                <w:sz w:val="24"/>
              </w:rPr>
            </w:pPr>
            <w:r>
              <w:rPr>
                <w:b/>
                <w:sz w:val="24"/>
              </w:rPr>
              <w:t>9.</w:t>
            </w:r>
          </w:p>
        </w:tc>
        <w:tc>
          <w:tcPr>
            <w:tcW w:w="1638" w:type="dxa"/>
            <w:tcBorders>
              <w:bottom w:val="single" w:sz="8" w:space="0" w:color="000000"/>
            </w:tcBorders>
          </w:tcPr>
          <w:p>
            <w:pPr>
              <w:pStyle w:val="TableParagraph"/>
              <w:spacing w:before="135"/>
              <w:ind w:left="238"/>
              <w:rPr>
                <w:b/>
                <w:sz w:val="24"/>
              </w:rPr>
            </w:pPr>
            <w:r>
              <w:rPr>
                <w:b/>
                <w:w w:val="95"/>
                <w:sz w:val="24"/>
              </w:rPr>
              <w:t>重大疾病定</w:t>
            </w:r>
          </w:p>
        </w:tc>
        <w:tc>
          <w:tcPr>
            <w:tcW w:w="7624" w:type="dxa"/>
            <w:tcBorders>
              <w:bottom w:val="single" w:sz="8" w:space="0" w:color="000000"/>
            </w:tcBorders>
          </w:tcPr>
          <w:p>
            <w:pPr>
              <w:pStyle w:val="TableParagraph"/>
              <w:spacing w:before="135"/>
              <w:ind w:left="-195"/>
              <w:rPr>
                <w:b/>
                <w:sz w:val="24"/>
              </w:rPr>
            </w:pPr>
            <w:r>
              <w:rPr>
                <w:b/>
                <w:w w:val="99"/>
                <w:sz w:val="24"/>
              </w:rPr>
              <w:t>义</w:t>
            </w:r>
          </w:p>
        </w:tc>
      </w:tr>
      <w:tr>
        <w:trPr>
          <w:trHeight w:val="1601" w:hRule="atLeast"/>
        </w:trPr>
        <w:tc>
          <w:tcPr>
            <w:tcW w:w="664" w:type="dxa"/>
            <w:tcBorders>
              <w:top w:val="single" w:sz="8" w:space="0" w:color="000000"/>
            </w:tcBorders>
          </w:tcPr>
          <w:p>
            <w:pPr>
              <w:pStyle w:val="TableParagraph"/>
              <w:spacing w:before="0"/>
              <w:ind w:left="0"/>
              <w:rPr>
                <w:rFonts w:ascii="Times New Roman"/>
                <w:sz w:val="20"/>
              </w:rPr>
            </w:pPr>
          </w:p>
        </w:tc>
        <w:tc>
          <w:tcPr>
            <w:tcW w:w="1638" w:type="dxa"/>
            <w:tcBorders>
              <w:top w:val="single" w:sz="8" w:space="0" w:color="000000"/>
            </w:tcBorders>
          </w:tcPr>
          <w:p>
            <w:pPr>
              <w:pStyle w:val="TableParagraph"/>
              <w:spacing w:before="0"/>
              <w:ind w:left="0"/>
              <w:rPr>
                <w:rFonts w:ascii="Times New Roman"/>
                <w:sz w:val="20"/>
              </w:rPr>
            </w:pPr>
          </w:p>
        </w:tc>
        <w:tc>
          <w:tcPr>
            <w:tcW w:w="7624" w:type="dxa"/>
            <w:tcBorders>
              <w:top w:val="single" w:sz="8" w:space="0" w:color="000000"/>
            </w:tcBorders>
          </w:tcPr>
          <w:p>
            <w:pPr>
              <w:pStyle w:val="TableParagraph"/>
              <w:spacing w:before="5"/>
              <w:ind w:left="0"/>
              <w:rPr>
                <w:sz w:val="16"/>
              </w:rPr>
            </w:pPr>
          </w:p>
          <w:p>
            <w:pPr>
              <w:pStyle w:val="TableParagraph"/>
              <w:spacing w:line="273" w:lineRule="auto" w:before="0"/>
              <w:ind w:right="103"/>
              <w:jc w:val="both"/>
              <w:rPr>
                <w:sz w:val="21"/>
              </w:rPr>
            </w:pPr>
            <w:r>
              <w:rPr>
                <w:spacing w:val="-6"/>
                <w:sz w:val="21"/>
              </w:rPr>
              <w:t>本附加合同所定义的重大疾病共有 </w:t>
            </w:r>
            <w:r>
              <w:rPr>
                <w:sz w:val="21"/>
              </w:rPr>
              <w:t>32</w:t>
            </w:r>
            <w:r>
              <w:rPr>
                <w:spacing w:val="-16"/>
                <w:sz w:val="21"/>
              </w:rPr>
              <w:t> 种，其中第 </w:t>
            </w:r>
            <w:r>
              <w:rPr>
                <w:sz w:val="21"/>
              </w:rPr>
              <w:t>1</w:t>
            </w:r>
            <w:r>
              <w:rPr>
                <w:spacing w:val="-33"/>
                <w:sz w:val="21"/>
              </w:rPr>
              <w:t> 至 </w:t>
            </w:r>
            <w:r>
              <w:rPr>
                <w:sz w:val="21"/>
              </w:rPr>
              <w:t>25</w:t>
            </w:r>
            <w:r>
              <w:rPr>
                <w:spacing w:val="-8"/>
                <w:sz w:val="21"/>
              </w:rPr>
              <w:t> 种重大疾病为中国保险行业协会颁布的《重大疾病保险的疾病定义使用规范</w:t>
            </w:r>
            <w:r>
              <w:rPr>
                <w:spacing w:val="-130"/>
                <w:sz w:val="21"/>
              </w:rPr>
              <w:t>》</w:t>
            </w:r>
            <w:r>
              <w:rPr>
                <w:spacing w:val="-3"/>
                <w:sz w:val="21"/>
              </w:rPr>
              <w:t>（</w:t>
            </w:r>
            <w:r>
              <w:rPr>
                <w:spacing w:val="-5"/>
                <w:sz w:val="21"/>
              </w:rPr>
              <w:t>以下简称“规范”</w:t>
            </w:r>
            <w:r>
              <w:rPr>
                <w:spacing w:val="-15"/>
                <w:sz w:val="21"/>
              </w:rPr>
              <w:t>）</w:t>
            </w:r>
            <w:r>
              <w:rPr>
                <w:sz w:val="21"/>
              </w:rPr>
              <w:t>规定</w:t>
            </w:r>
            <w:r>
              <w:rPr>
                <w:spacing w:val="-5"/>
                <w:sz w:val="21"/>
              </w:rPr>
              <w:t>的疾病，且疾病名称和疾病定义与“规范”一致，第 </w:t>
            </w:r>
            <w:r>
              <w:rPr>
                <w:sz w:val="21"/>
              </w:rPr>
              <w:t>26</w:t>
            </w:r>
            <w:r>
              <w:rPr>
                <w:spacing w:val="-32"/>
                <w:sz w:val="21"/>
              </w:rPr>
              <w:t> 至 </w:t>
            </w:r>
            <w:r>
              <w:rPr>
                <w:sz w:val="21"/>
              </w:rPr>
              <w:t>32</w:t>
            </w:r>
            <w:r>
              <w:rPr>
                <w:spacing w:val="-8"/>
                <w:sz w:val="21"/>
              </w:rPr>
              <w:t> 种重大疾病为“规</w:t>
            </w:r>
            <w:r>
              <w:rPr>
                <w:spacing w:val="-5"/>
                <w:sz w:val="21"/>
              </w:rPr>
              <w:t>范”规定范围之外的疾病。</w:t>
            </w:r>
          </w:p>
        </w:tc>
      </w:tr>
      <w:tr>
        <w:trPr>
          <w:trHeight w:val="4227" w:hRule="atLeast"/>
        </w:trPr>
        <w:tc>
          <w:tcPr>
            <w:tcW w:w="664" w:type="dxa"/>
          </w:tcPr>
          <w:p>
            <w:pPr>
              <w:pStyle w:val="TableParagraph"/>
              <w:ind w:left="107"/>
              <w:rPr>
                <w:b/>
                <w:sz w:val="21"/>
              </w:rPr>
            </w:pPr>
            <w:r>
              <w:rPr>
                <w:b/>
                <w:sz w:val="21"/>
              </w:rPr>
              <w:t>9.1</w:t>
            </w:r>
          </w:p>
        </w:tc>
        <w:tc>
          <w:tcPr>
            <w:tcW w:w="1638" w:type="dxa"/>
          </w:tcPr>
          <w:p>
            <w:pPr>
              <w:pStyle w:val="TableParagraph"/>
              <w:ind w:left="238"/>
              <w:rPr>
                <w:b/>
                <w:sz w:val="21"/>
              </w:rPr>
            </w:pPr>
            <w:r>
              <w:rPr>
                <w:b/>
                <w:sz w:val="21"/>
              </w:rPr>
              <w:t>恶性肿瘤</w:t>
            </w:r>
          </w:p>
        </w:tc>
        <w:tc>
          <w:tcPr>
            <w:tcW w:w="7624" w:type="dxa"/>
          </w:tcPr>
          <w:p>
            <w:pPr>
              <w:pStyle w:val="TableParagraph"/>
              <w:spacing w:line="271" w:lineRule="auto"/>
              <w:ind w:right="-15"/>
              <w:rPr>
                <w:sz w:val="21"/>
              </w:rPr>
            </w:pPr>
            <w:r>
              <w:rPr>
                <w:spacing w:val="-3"/>
                <w:sz w:val="21"/>
              </w:rPr>
              <w:t>指恶性细胞不受控制的进行性增长和扩散，浸润和破坏周围正常组织，可以经血</w:t>
            </w:r>
            <w:r>
              <w:rPr>
                <w:spacing w:val="-10"/>
                <w:sz w:val="21"/>
              </w:rPr>
              <w:t>管、淋巴管和体腔扩散转移到身体其它部位的疾病。经病理学检查结果明确诊断， </w:t>
            </w:r>
            <w:r>
              <w:rPr>
                <w:spacing w:val="-7"/>
                <w:sz w:val="21"/>
              </w:rPr>
              <w:t>临床诊断属于世界卫生组织《疾病和有关健康问题的国际统计分类</w:t>
            </w:r>
            <w:r>
              <w:rPr>
                <w:spacing w:val="-130"/>
                <w:sz w:val="21"/>
              </w:rPr>
              <w:t>》</w:t>
            </w:r>
            <w:r>
              <w:rPr>
                <w:spacing w:val="-4"/>
                <w:sz w:val="21"/>
              </w:rPr>
              <w:t>（ICD-10）</w:t>
            </w:r>
            <w:r>
              <w:rPr>
                <w:spacing w:val="-24"/>
                <w:sz w:val="21"/>
              </w:rPr>
              <w:t>的</w:t>
            </w:r>
            <w:r>
              <w:rPr>
                <w:spacing w:val="-2"/>
                <w:sz w:val="21"/>
              </w:rPr>
              <w:t>恶性肿瘤范畴。</w:t>
            </w:r>
          </w:p>
          <w:p>
            <w:pPr>
              <w:pStyle w:val="TableParagraph"/>
              <w:spacing w:before="89"/>
              <w:rPr>
                <w:rFonts w:ascii="黑体" w:eastAsia="黑体" w:hint="eastAsia"/>
                <w:sz w:val="21"/>
              </w:rPr>
            </w:pPr>
            <w:r>
              <w:rPr>
                <w:rFonts w:ascii="黑体" w:eastAsia="黑体" w:hint="eastAsia"/>
                <w:sz w:val="21"/>
              </w:rPr>
              <w:t>下列疾病不在保障范围内：</w:t>
            </w:r>
          </w:p>
          <w:p>
            <w:pPr>
              <w:pStyle w:val="TableParagraph"/>
              <w:numPr>
                <w:ilvl w:val="0"/>
                <w:numId w:val="11"/>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3"/>
                <w:sz w:val="21"/>
              </w:rPr>
              <w:t>原位癌；</w:t>
            </w:r>
          </w:p>
          <w:p>
            <w:pPr>
              <w:pStyle w:val="TableParagraph"/>
              <w:numPr>
                <w:ilvl w:val="0"/>
                <w:numId w:val="11"/>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14"/>
                <w:sz w:val="21"/>
              </w:rPr>
              <w:t>相当于 </w:t>
            </w:r>
            <w:r>
              <w:rPr>
                <w:rFonts w:ascii="黑体" w:eastAsia="黑体" w:hint="eastAsia"/>
                <w:sz w:val="21"/>
              </w:rPr>
              <w:t>Binet</w:t>
            </w:r>
            <w:r>
              <w:rPr>
                <w:rFonts w:ascii="黑体" w:eastAsia="黑体" w:hint="eastAsia"/>
                <w:spacing w:val="-18"/>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TableParagraph"/>
              <w:numPr>
                <w:ilvl w:val="0"/>
                <w:numId w:val="11"/>
              </w:numPr>
              <w:tabs>
                <w:tab w:pos="869" w:val="left" w:leader="none"/>
                <w:tab w:pos="870" w:val="left" w:leader="none"/>
              </w:tabs>
              <w:spacing w:line="240" w:lineRule="auto" w:before="116" w:after="0"/>
              <w:ind w:left="869" w:right="0" w:hanging="737"/>
              <w:jc w:val="left"/>
              <w:rPr>
                <w:rFonts w:ascii="黑体" w:eastAsia="黑体" w:hint="eastAsia"/>
                <w:sz w:val="21"/>
              </w:rPr>
            </w:pPr>
            <w:r>
              <w:rPr>
                <w:rFonts w:ascii="黑体" w:eastAsia="黑体" w:hint="eastAsia"/>
                <w:spacing w:val="-15"/>
                <w:sz w:val="21"/>
              </w:rPr>
              <w:t>相当于 </w:t>
            </w:r>
            <w:r>
              <w:rPr>
                <w:rFonts w:ascii="黑体" w:eastAsia="黑体" w:hint="eastAsia"/>
                <w:sz w:val="21"/>
              </w:rPr>
              <w:t>Ann</w:t>
            </w:r>
            <w:r>
              <w:rPr>
                <w:rFonts w:ascii="黑体" w:eastAsia="黑体" w:hint="eastAsia"/>
                <w:spacing w:val="5"/>
                <w:sz w:val="21"/>
              </w:rPr>
              <w:t> </w:t>
            </w:r>
            <w:r>
              <w:rPr>
                <w:rFonts w:ascii="黑体" w:eastAsia="黑体" w:hint="eastAsia"/>
                <w:sz w:val="21"/>
              </w:rPr>
              <w:t>Arbor</w:t>
            </w:r>
            <w:r>
              <w:rPr>
                <w:rFonts w:ascii="黑体" w:eastAsia="黑体" w:hint="eastAsia"/>
                <w:spacing w:val="-19"/>
                <w:sz w:val="21"/>
              </w:rPr>
              <w:t> 分期方案 </w:t>
            </w:r>
            <w:r>
              <w:rPr>
                <w:rFonts w:ascii="黑体" w:eastAsia="黑体" w:hint="eastAsia"/>
                <w:sz w:val="21"/>
              </w:rPr>
              <w:t>I</w:t>
            </w:r>
            <w:r>
              <w:rPr>
                <w:rFonts w:ascii="黑体" w:eastAsia="黑体" w:hint="eastAsia"/>
                <w:spacing w:val="-8"/>
                <w:sz w:val="21"/>
              </w:rPr>
              <w:t> 期程度的何杰金氏病；</w:t>
            </w:r>
          </w:p>
          <w:p>
            <w:pPr>
              <w:pStyle w:val="TableParagraph"/>
              <w:numPr>
                <w:ilvl w:val="0"/>
                <w:numId w:val="11"/>
              </w:numPr>
              <w:tabs>
                <w:tab w:pos="869" w:val="left" w:leader="none"/>
                <w:tab w:pos="870" w:val="left" w:leader="none"/>
              </w:tabs>
              <w:spacing w:line="240" w:lineRule="auto" w:before="113" w:after="0"/>
              <w:ind w:left="869" w:right="0" w:hanging="737"/>
              <w:jc w:val="left"/>
              <w:rPr>
                <w:rFonts w:ascii="黑体" w:eastAsia="黑体" w:hint="eastAsia"/>
                <w:sz w:val="21"/>
              </w:rPr>
            </w:pPr>
            <w:r>
              <w:rPr>
                <w:rFonts w:ascii="黑体" w:eastAsia="黑体" w:hint="eastAsia"/>
                <w:spacing w:val="-3"/>
                <w:w w:val="100"/>
                <w:sz w:val="21"/>
              </w:rPr>
              <w:t>皮肤癌</w:t>
            </w:r>
            <w:r>
              <w:rPr>
                <w:rFonts w:ascii="黑体" w:eastAsia="黑体" w:hint="eastAsia"/>
                <w:w w:val="100"/>
                <w:sz w:val="21"/>
              </w:rPr>
              <w:t>（</w:t>
            </w:r>
            <w:r>
              <w:rPr>
                <w:rFonts w:ascii="黑体" w:eastAsia="黑体" w:hint="eastAsia"/>
                <w:spacing w:val="-3"/>
                <w:w w:val="100"/>
                <w:sz w:val="21"/>
              </w:rPr>
              <w:t>不包括恶性黑色素瘤及已发</w:t>
            </w:r>
            <w:r>
              <w:rPr>
                <w:rFonts w:ascii="黑体" w:eastAsia="黑体" w:hint="eastAsia"/>
                <w:w w:val="100"/>
                <w:sz w:val="21"/>
              </w:rPr>
              <w:t>T</w:t>
            </w:r>
            <w:r>
              <w:rPr>
                <w:rFonts w:ascii="黑体" w:eastAsia="黑体" w:hint="eastAsia"/>
                <w:spacing w:val="-3"/>
                <w:w w:val="100"/>
                <w:sz w:val="21"/>
              </w:rPr>
              <w:t>h转移的皮肤癌</w:t>
            </w:r>
            <w:r>
              <w:rPr>
                <w:rFonts w:ascii="黑体" w:eastAsia="黑体" w:hint="eastAsia"/>
                <w:spacing w:val="-108"/>
                <w:w w:val="100"/>
                <w:sz w:val="21"/>
              </w:rPr>
              <w:t>）</w:t>
            </w:r>
            <w:r>
              <w:rPr>
                <w:rFonts w:ascii="黑体" w:eastAsia="黑体" w:hint="eastAsia"/>
                <w:w w:val="100"/>
                <w:sz w:val="21"/>
              </w:rPr>
              <w:t>；</w:t>
            </w:r>
          </w:p>
          <w:p>
            <w:pPr>
              <w:pStyle w:val="TableParagraph"/>
              <w:numPr>
                <w:ilvl w:val="0"/>
                <w:numId w:val="11"/>
              </w:numPr>
              <w:tabs>
                <w:tab w:pos="869" w:val="left" w:leader="none"/>
                <w:tab w:pos="870" w:val="left" w:leader="none"/>
              </w:tabs>
              <w:spacing w:line="240" w:lineRule="auto" w:before="115" w:after="0"/>
              <w:ind w:left="869" w:right="0" w:hanging="737"/>
              <w:jc w:val="left"/>
              <w:rPr>
                <w:rFonts w:ascii="黑体" w:eastAsia="黑体" w:hint="eastAsia"/>
                <w:sz w:val="21"/>
              </w:rPr>
            </w:pPr>
            <w:r>
              <w:rPr>
                <w:rFonts w:ascii="黑体" w:eastAsia="黑体" w:hint="eastAsia"/>
                <w:position w:val="1"/>
                <w:sz w:val="21"/>
              </w:rPr>
              <w:t>TNM</w:t>
            </w:r>
            <w:r>
              <w:rPr>
                <w:rFonts w:ascii="黑体" w:eastAsia="黑体" w:hint="eastAsia"/>
                <w:spacing w:val="-20"/>
                <w:position w:val="1"/>
                <w:sz w:val="21"/>
              </w:rPr>
              <w:t> 分期为 </w:t>
            </w:r>
            <w:r>
              <w:rPr>
                <w:rFonts w:ascii="黑体" w:eastAsia="黑体" w:hint="eastAsia"/>
                <w:position w:val="1"/>
                <w:sz w:val="21"/>
              </w:rPr>
              <w:t>T</w:t>
            </w:r>
            <w:r>
              <w:rPr>
                <w:rFonts w:ascii="黑体" w:eastAsia="黑体" w:hint="eastAsia"/>
                <w:sz w:val="11"/>
              </w:rPr>
              <w:t>1</w:t>
            </w:r>
            <w:r>
              <w:rPr>
                <w:rFonts w:ascii="黑体" w:eastAsia="黑体" w:hint="eastAsia"/>
                <w:position w:val="1"/>
                <w:sz w:val="21"/>
              </w:rPr>
              <w:t>N</w:t>
            </w:r>
            <w:r>
              <w:rPr>
                <w:rFonts w:ascii="黑体" w:eastAsia="黑体" w:hint="eastAsia"/>
                <w:sz w:val="11"/>
              </w:rPr>
              <w:t>0</w:t>
            </w:r>
            <w:r>
              <w:rPr>
                <w:rFonts w:ascii="黑体" w:eastAsia="黑体" w:hint="eastAsia"/>
                <w:position w:val="1"/>
                <w:sz w:val="21"/>
              </w:rPr>
              <w:t>M</w:t>
            </w:r>
            <w:r>
              <w:rPr>
                <w:rFonts w:ascii="黑体" w:eastAsia="黑体" w:hint="eastAsia"/>
                <w:sz w:val="11"/>
              </w:rPr>
              <w:t>0</w:t>
            </w:r>
            <w:r>
              <w:rPr>
                <w:rFonts w:ascii="黑体" w:eastAsia="黑体" w:hint="eastAsia"/>
                <w:spacing w:val="-28"/>
                <w:sz w:val="11"/>
              </w:rPr>
              <w:t> </w:t>
            </w:r>
            <w:r>
              <w:rPr>
                <w:rFonts w:ascii="黑体" w:eastAsia="黑体" w:hint="eastAsia"/>
                <w:spacing w:val="-3"/>
                <w:position w:val="1"/>
                <w:sz w:val="21"/>
              </w:rPr>
              <w:t>期或更轻分期的前列腺癌；</w:t>
            </w:r>
          </w:p>
          <w:p>
            <w:pPr>
              <w:pStyle w:val="TableParagraph"/>
              <w:numPr>
                <w:ilvl w:val="0"/>
                <w:numId w:val="11"/>
              </w:numPr>
              <w:tabs>
                <w:tab w:pos="869" w:val="left" w:leader="none"/>
                <w:tab w:pos="870" w:val="left" w:leader="none"/>
              </w:tabs>
              <w:spacing w:line="240" w:lineRule="auto" w:before="114" w:after="0"/>
              <w:ind w:left="869" w:right="0" w:hanging="737"/>
              <w:jc w:val="left"/>
              <w:rPr>
                <w:rFonts w:ascii="黑体" w:eastAsia="黑体" w:hint="eastAsia"/>
                <w:sz w:val="21"/>
              </w:rPr>
            </w:pPr>
            <w:r>
              <w:rPr>
                <w:rFonts w:ascii="黑体" w:eastAsia="黑体" w:hint="eastAsia"/>
                <w:spacing w:val="-3"/>
                <w:sz w:val="21"/>
              </w:rPr>
              <w:t>感染艾滋病病毒或患艾滋病期间所患恶性肿瘤。</w:t>
            </w:r>
          </w:p>
        </w:tc>
      </w:tr>
      <w:tr>
        <w:trPr>
          <w:trHeight w:val="2744" w:hRule="atLeast"/>
        </w:trPr>
        <w:tc>
          <w:tcPr>
            <w:tcW w:w="664" w:type="dxa"/>
          </w:tcPr>
          <w:p>
            <w:pPr>
              <w:pStyle w:val="TableParagraph"/>
              <w:ind w:left="107"/>
              <w:rPr>
                <w:b/>
                <w:sz w:val="21"/>
              </w:rPr>
            </w:pPr>
            <w:r>
              <w:rPr>
                <w:b/>
                <w:sz w:val="21"/>
              </w:rPr>
              <w:t>9.2</w:t>
            </w:r>
          </w:p>
        </w:tc>
        <w:tc>
          <w:tcPr>
            <w:tcW w:w="1638" w:type="dxa"/>
          </w:tcPr>
          <w:p>
            <w:pPr>
              <w:pStyle w:val="TableParagraph"/>
              <w:ind w:left="238"/>
              <w:rPr>
                <w:b/>
                <w:sz w:val="21"/>
              </w:rPr>
            </w:pPr>
            <w:r>
              <w:rPr>
                <w:b/>
                <w:sz w:val="21"/>
              </w:rPr>
              <w:t>急性心肌梗塞</w:t>
            </w:r>
          </w:p>
        </w:tc>
        <w:tc>
          <w:tcPr>
            <w:tcW w:w="7624" w:type="dxa"/>
          </w:tcPr>
          <w:p>
            <w:pPr>
              <w:pStyle w:val="TableParagraph"/>
              <w:spacing w:line="271" w:lineRule="auto"/>
              <w:ind w:right="132"/>
              <w:rPr>
                <w:sz w:val="21"/>
              </w:rPr>
            </w:pPr>
            <w:r>
              <w:rPr>
                <w:sz w:val="21"/>
              </w:rPr>
              <w:t>指因冠状动脉阻塞导致的相应区域供血不足造成部分心肌坏死。须满足下列至少三项条件：</w:t>
            </w:r>
          </w:p>
          <w:p>
            <w:pPr>
              <w:pStyle w:val="TableParagraph"/>
              <w:numPr>
                <w:ilvl w:val="0"/>
                <w:numId w:val="12"/>
              </w:numPr>
              <w:tabs>
                <w:tab w:pos="869" w:val="left" w:leader="none"/>
                <w:tab w:pos="870" w:val="left" w:leader="none"/>
              </w:tabs>
              <w:spacing w:line="240" w:lineRule="auto" w:before="89" w:after="0"/>
              <w:ind w:left="852" w:right="0" w:hanging="720"/>
              <w:jc w:val="left"/>
              <w:rPr>
                <w:sz w:val="21"/>
              </w:rPr>
            </w:pPr>
            <w:r>
              <w:rPr>
                <w:spacing w:val="-3"/>
                <w:sz w:val="21"/>
              </w:rPr>
              <w:t>典型临床表现，例如急性胸痛等；</w:t>
            </w:r>
          </w:p>
          <w:p>
            <w:pPr>
              <w:pStyle w:val="TableParagraph"/>
              <w:numPr>
                <w:ilvl w:val="0"/>
                <w:numId w:val="12"/>
              </w:numPr>
              <w:tabs>
                <w:tab w:pos="869" w:val="left" w:leader="none"/>
                <w:tab w:pos="870" w:val="left" w:leader="none"/>
              </w:tabs>
              <w:spacing w:line="240" w:lineRule="auto" w:before="116" w:after="0"/>
              <w:ind w:left="852" w:right="0" w:hanging="720"/>
              <w:jc w:val="left"/>
              <w:rPr>
                <w:sz w:val="21"/>
              </w:rPr>
            </w:pPr>
            <w:r>
              <w:rPr>
                <w:spacing w:val="-3"/>
                <w:sz w:val="21"/>
              </w:rPr>
              <w:t>新近的心电图改变提示急性心肌梗塞；</w:t>
            </w:r>
          </w:p>
          <w:p>
            <w:pPr>
              <w:pStyle w:val="TableParagraph"/>
              <w:numPr>
                <w:ilvl w:val="0"/>
                <w:numId w:val="12"/>
              </w:numPr>
              <w:tabs>
                <w:tab w:pos="834" w:val="left" w:leader="none"/>
              </w:tabs>
              <w:spacing w:line="273" w:lineRule="auto" w:before="113" w:after="0"/>
              <w:ind w:left="852" w:right="103" w:hanging="720"/>
              <w:jc w:val="left"/>
              <w:rPr>
                <w:sz w:val="21"/>
              </w:rPr>
            </w:pPr>
            <w:r>
              <w:rPr>
                <w:spacing w:val="-5"/>
                <w:sz w:val="21"/>
              </w:rPr>
              <w:t>心肌酶或肌钙蛋白有诊断意义的升高，或呈符合急性心肌梗塞的动态性变化；</w:t>
            </w:r>
          </w:p>
          <w:p>
            <w:pPr>
              <w:pStyle w:val="TableParagraph"/>
              <w:numPr>
                <w:ilvl w:val="0"/>
                <w:numId w:val="12"/>
              </w:numPr>
              <w:tabs>
                <w:tab w:pos="862" w:val="left" w:leader="none"/>
                <w:tab w:pos="863" w:val="left" w:leader="none"/>
              </w:tabs>
              <w:spacing w:line="240" w:lineRule="auto" w:before="86" w:after="0"/>
              <w:ind w:left="862" w:right="-15" w:hanging="730"/>
              <w:jc w:val="left"/>
              <w:rPr>
                <w:sz w:val="21"/>
              </w:rPr>
            </w:pPr>
            <w:r>
              <w:rPr>
                <w:spacing w:val="-16"/>
                <w:sz w:val="21"/>
              </w:rPr>
              <w:t>发病 </w:t>
            </w:r>
            <w:r>
              <w:rPr>
                <w:sz w:val="21"/>
              </w:rPr>
              <w:t>90</w:t>
            </w:r>
            <w:r>
              <w:rPr>
                <w:spacing w:val="-10"/>
                <w:sz w:val="21"/>
              </w:rPr>
              <w:t> 天后，经检查证实左心室功能降低，如左心室射血分数低于 </w:t>
            </w:r>
            <w:r>
              <w:rPr>
                <w:sz w:val="21"/>
              </w:rPr>
              <w:t>50%。</w:t>
            </w:r>
          </w:p>
        </w:tc>
      </w:tr>
      <w:tr>
        <w:trPr>
          <w:trHeight w:val="2665" w:hRule="atLeast"/>
        </w:trPr>
        <w:tc>
          <w:tcPr>
            <w:tcW w:w="664" w:type="dxa"/>
          </w:tcPr>
          <w:p>
            <w:pPr>
              <w:pStyle w:val="TableParagraph"/>
              <w:spacing w:before="110"/>
              <w:ind w:left="107"/>
              <w:rPr>
                <w:b/>
                <w:sz w:val="21"/>
              </w:rPr>
            </w:pPr>
            <w:r>
              <w:rPr>
                <w:b/>
                <w:sz w:val="21"/>
              </w:rPr>
              <w:t>9.3</w:t>
            </w:r>
          </w:p>
        </w:tc>
        <w:tc>
          <w:tcPr>
            <w:tcW w:w="1638" w:type="dxa"/>
          </w:tcPr>
          <w:p>
            <w:pPr>
              <w:pStyle w:val="TableParagraph"/>
              <w:spacing w:before="110"/>
              <w:ind w:left="238"/>
              <w:rPr>
                <w:b/>
                <w:sz w:val="21"/>
              </w:rPr>
            </w:pPr>
            <w:r>
              <w:rPr>
                <w:b/>
                <w:sz w:val="21"/>
              </w:rPr>
              <w:t>脑中风后遗症</w:t>
            </w:r>
          </w:p>
        </w:tc>
        <w:tc>
          <w:tcPr>
            <w:tcW w:w="7624" w:type="dxa"/>
          </w:tcPr>
          <w:p>
            <w:pPr>
              <w:pStyle w:val="TableParagraph"/>
              <w:spacing w:line="271" w:lineRule="auto" w:before="110"/>
              <w:ind w:right="132"/>
              <w:jc w:val="both"/>
              <w:rPr>
                <w:sz w:val="21"/>
              </w:rPr>
            </w:pPr>
            <w:r>
              <w:rPr>
                <w:spacing w:val="-3"/>
                <w:sz w:val="21"/>
              </w:rPr>
              <w:t>指因脑血管的突发病变引起脑血管出血、栓塞或梗塞，并导致神经系统永久性的</w:t>
            </w:r>
            <w:r>
              <w:rPr>
                <w:spacing w:val="-5"/>
                <w:sz w:val="21"/>
              </w:rPr>
              <w:t>功能障碍。神经系统永久性的功能障碍，指疾病确诊 </w:t>
            </w:r>
            <w:r>
              <w:rPr>
                <w:sz w:val="21"/>
              </w:rPr>
              <w:t>180</w:t>
            </w:r>
            <w:r>
              <w:rPr>
                <w:spacing w:val="-8"/>
                <w:sz w:val="21"/>
              </w:rPr>
              <w:t> 天后，仍遗留下列一种</w:t>
            </w:r>
            <w:r>
              <w:rPr>
                <w:spacing w:val="-5"/>
                <w:sz w:val="21"/>
              </w:rPr>
              <w:t>或一种以上障碍：</w:t>
            </w:r>
          </w:p>
          <w:p>
            <w:pPr>
              <w:pStyle w:val="TableParagraph"/>
              <w:numPr>
                <w:ilvl w:val="0"/>
                <w:numId w:val="13"/>
              </w:numPr>
              <w:tabs>
                <w:tab w:pos="869" w:val="left" w:leader="none"/>
                <w:tab w:pos="870" w:val="left" w:leader="none"/>
              </w:tabs>
              <w:spacing w:line="240" w:lineRule="auto" w:before="89" w:after="0"/>
              <w:ind w:left="852" w:right="0" w:hanging="720"/>
              <w:jc w:val="left"/>
              <w:rPr>
                <w:sz w:val="21"/>
              </w:rPr>
            </w:pPr>
            <w:r>
              <w:rPr>
                <w:spacing w:val="-3"/>
                <w:sz w:val="21"/>
              </w:rPr>
              <w:t>一肢或一肢以上</w:t>
            </w:r>
            <w:r>
              <w:rPr>
                <w:b/>
                <w:sz w:val="21"/>
              </w:rPr>
              <w:t>肢体机能完全丧失</w:t>
            </w:r>
            <w:r>
              <w:rPr>
                <w:spacing w:val="-16"/>
                <w:sz w:val="21"/>
              </w:rPr>
              <w:t>(见 </w:t>
            </w:r>
            <w:r>
              <w:rPr>
                <w:sz w:val="21"/>
              </w:rPr>
              <w:t>10.16)；</w:t>
            </w:r>
          </w:p>
          <w:p>
            <w:pPr>
              <w:pStyle w:val="TableParagraph"/>
              <w:numPr>
                <w:ilvl w:val="0"/>
                <w:numId w:val="13"/>
              </w:numPr>
              <w:tabs>
                <w:tab w:pos="866" w:val="left" w:leader="none"/>
                <w:tab w:pos="867" w:val="left" w:leader="none"/>
              </w:tabs>
              <w:spacing w:line="240" w:lineRule="auto" w:before="116" w:after="0"/>
              <w:ind w:left="867" w:right="0" w:hanging="735"/>
              <w:jc w:val="left"/>
              <w:rPr>
                <w:sz w:val="21"/>
              </w:rPr>
            </w:pPr>
            <w:r>
              <w:rPr>
                <w:b/>
                <w:spacing w:val="-1"/>
                <w:sz w:val="21"/>
              </w:rPr>
              <w:t>语言能力或咀嚼吞咽能力完全丧失</w:t>
            </w:r>
            <w:r>
              <w:rPr>
                <w:spacing w:val="-18"/>
                <w:sz w:val="21"/>
              </w:rPr>
              <w:t>(见 </w:t>
            </w:r>
            <w:r>
              <w:rPr>
                <w:sz w:val="21"/>
              </w:rPr>
              <w:t>10.17)；</w:t>
            </w:r>
          </w:p>
          <w:p>
            <w:pPr>
              <w:pStyle w:val="TableParagraph"/>
              <w:numPr>
                <w:ilvl w:val="0"/>
                <w:numId w:val="13"/>
              </w:numPr>
              <w:tabs>
                <w:tab w:pos="855" w:val="left" w:leader="none"/>
              </w:tabs>
              <w:spacing w:line="273" w:lineRule="auto" w:before="114" w:after="0"/>
              <w:ind w:left="852" w:right="107" w:hanging="720"/>
              <w:jc w:val="left"/>
              <w:rPr>
                <w:sz w:val="21"/>
              </w:rPr>
            </w:pPr>
            <w:r>
              <w:rPr>
                <w:spacing w:val="-5"/>
                <w:sz w:val="21"/>
              </w:rPr>
              <w:t>自主生活能力完全丧失，无法独立完成</w:t>
            </w:r>
            <w:r>
              <w:rPr>
                <w:b/>
                <w:spacing w:val="-2"/>
                <w:sz w:val="21"/>
              </w:rPr>
              <w:t>六项基本日常生活活动</w:t>
            </w:r>
            <w:r>
              <w:rPr>
                <w:spacing w:val="-13"/>
                <w:sz w:val="21"/>
              </w:rPr>
              <w:t>(见 </w:t>
            </w:r>
            <w:r>
              <w:rPr>
                <w:sz w:val="21"/>
              </w:rPr>
              <w:t>10.18) </w:t>
            </w:r>
            <w:r>
              <w:rPr>
                <w:spacing w:val="-3"/>
                <w:sz w:val="21"/>
              </w:rPr>
              <w:t>中的三项或三项以上。</w:t>
            </w:r>
          </w:p>
        </w:tc>
      </w:tr>
      <w:tr>
        <w:trPr>
          <w:trHeight w:val="1711" w:hRule="atLeast"/>
        </w:trPr>
        <w:tc>
          <w:tcPr>
            <w:tcW w:w="664" w:type="dxa"/>
          </w:tcPr>
          <w:p>
            <w:pPr>
              <w:pStyle w:val="TableParagraph"/>
              <w:ind w:left="107"/>
              <w:rPr>
                <w:b/>
                <w:sz w:val="21"/>
              </w:rPr>
            </w:pPr>
            <w:r>
              <w:rPr>
                <w:b/>
                <w:sz w:val="21"/>
              </w:rPr>
              <w:t>9.4</w:t>
            </w:r>
          </w:p>
        </w:tc>
        <w:tc>
          <w:tcPr>
            <w:tcW w:w="1638" w:type="dxa"/>
          </w:tcPr>
          <w:p>
            <w:pPr>
              <w:pStyle w:val="TableParagraph"/>
              <w:spacing w:line="271" w:lineRule="auto"/>
              <w:ind w:left="238" w:right="129"/>
              <w:jc w:val="both"/>
              <w:rPr>
                <w:b/>
                <w:sz w:val="21"/>
              </w:rPr>
            </w:pPr>
            <w:r>
              <w:rPr>
                <w:b/>
                <w:sz w:val="21"/>
              </w:rPr>
              <w:t>重大器官移植术或造血干细胞移植术</w:t>
            </w:r>
          </w:p>
        </w:tc>
        <w:tc>
          <w:tcPr>
            <w:tcW w:w="7624" w:type="dxa"/>
          </w:tcPr>
          <w:p>
            <w:pPr>
              <w:pStyle w:val="TableParagraph"/>
              <w:spacing w:line="271" w:lineRule="auto"/>
              <w:ind w:right="132"/>
              <w:jc w:val="both"/>
              <w:rPr>
                <w:sz w:val="21"/>
              </w:rPr>
            </w:pPr>
            <w:r>
              <w:rPr>
                <w:sz w:val="21"/>
              </w:rPr>
              <w:t>重大器官移植术，指因相应器官功能衰竭，已经实施了肾脏、肝脏、心脏或肺脏的异体移植手术。</w:t>
            </w:r>
          </w:p>
          <w:p>
            <w:pPr>
              <w:pStyle w:val="TableParagraph"/>
              <w:spacing w:line="310" w:lineRule="atLeast" w:before="53"/>
              <w:ind w:right="13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bl>
    <w:p>
      <w:pPr>
        <w:spacing w:after="0" w:line="310" w:lineRule="atLeast"/>
        <w:jc w:val="both"/>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1"/>
      </w:tblGrid>
      <w:tr>
        <w:trPr>
          <w:trHeight w:val="1322" w:hRule="atLeast"/>
        </w:trPr>
        <w:tc>
          <w:tcPr>
            <w:tcW w:w="809" w:type="dxa"/>
          </w:tcPr>
          <w:p>
            <w:pPr>
              <w:pStyle w:val="TableParagraph"/>
              <w:spacing w:line="206" w:lineRule="exact" w:before="0"/>
              <w:ind w:left="200"/>
              <w:rPr>
                <w:b/>
                <w:sz w:val="21"/>
              </w:rPr>
            </w:pPr>
            <w:r>
              <w:rPr>
                <w:b/>
                <w:sz w:val="21"/>
              </w:rPr>
              <w:t>9.5</w:t>
            </w:r>
          </w:p>
        </w:tc>
        <w:tc>
          <w:tcPr>
            <w:tcW w:w="1585" w:type="dxa"/>
          </w:tcPr>
          <w:p>
            <w:pPr>
              <w:pStyle w:val="TableParagraph"/>
              <w:spacing w:line="206" w:lineRule="exact" w:before="0"/>
              <w:ind w:left="185"/>
              <w:rPr>
                <w:b/>
                <w:sz w:val="21"/>
              </w:rPr>
            </w:pPr>
            <w:r>
              <w:rPr>
                <w:b/>
                <w:sz w:val="21"/>
              </w:rPr>
              <w:t>冠状动脉搭桥</w:t>
            </w:r>
          </w:p>
          <w:p>
            <w:pPr>
              <w:pStyle w:val="TableParagraph"/>
              <w:spacing w:line="273" w:lineRule="auto" w:before="37"/>
              <w:ind w:left="185" w:right="129"/>
              <w:jc w:val="both"/>
              <w:rPr>
                <w:b/>
                <w:sz w:val="21"/>
              </w:rPr>
            </w:pPr>
            <w:r>
              <w:rPr>
                <w:b/>
                <w:sz w:val="21"/>
              </w:rPr>
              <w:t>术（或称冠状动脉旁路移植术）</w:t>
            </w:r>
          </w:p>
        </w:tc>
        <w:tc>
          <w:tcPr>
            <w:tcW w:w="7821" w:type="dxa"/>
          </w:tcPr>
          <w:p>
            <w:pPr>
              <w:pStyle w:val="TableParagraph"/>
              <w:spacing w:line="206" w:lineRule="exact" w:before="0"/>
              <w:rPr>
                <w:sz w:val="21"/>
              </w:rPr>
            </w:pPr>
            <w:r>
              <w:rPr>
                <w:sz w:val="21"/>
              </w:rPr>
              <w:t>指为治疗严重的冠心病，实际实施了开胸进行的冠状动脉血管旁路移植的手术。</w:t>
            </w:r>
          </w:p>
          <w:p>
            <w:pPr>
              <w:pStyle w:val="TableParagraph"/>
              <w:spacing w:line="271" w:lineRule="auto" w:before="116"/>
              <w:ind w:right="329"/>
              <w:rPr>
                <w:sz w:val="21"/>
              </w:rPr>
            </w:pPr>
            <w:r>
              <w:rPr>
                <w:rFonts w:ascii="黑体" w:eastAsia="黑体" w:hint="eastAsia"/>
                <w:sz w:val="21"/>
              </w:rPr>
              <w:t>冠状动脉支架植入术、心导管球囊扩张术、激光射频技术及其它非开胸的介入手术、腔镜手术不在保障范围内</w:t>
            </w:r>
            <w:r>
              <w:rPr>
                <w:sz w:val="21"/>
              </w:rPr>
              <w:t>。</w:t>
            </w:r>
          </w:p>
        </w:tc>
      </w:tr>
      <w:tr>
        <w:trPr>
          <w:trHeight w:val="1495" w:hRule="atLeast"/>
        </w:trPr>
        <w:tc>
          <w:tcPr>
            <w:tcW w:w="809" w:type="dxa"/>
          </w:tcPr>
          <w:p>
            <w:pPr>
              <w:pStyle w:val="TableParagraph"/>
              <w:spacing w:before="106"/>
              <w:ind w:left="200"/>
              <w:rPr>
                <w:b/>
                <w:sz w:val="21"/>
              </w:rPr>
            </w:pPr>
            <w:r>
              <w:rPr>
                <w:b/>
                <w:sz w:val="21"/>
              </w:rPr>
              <w:t>9.6</w:t>
            </w:r>
          </w:p>
        </w:tc>
        <w:tc>
          <w:tcPr>
            <w:tcW w:w="1585" w:type="dxa"/>
          </w:tcPr>
          <w:p>
            <w:pPr>
              <w:pStyle w:val="TableParagraph"/>
              <w:spacing w:before="106"/>
              <w:ind w:left="185"/>
              <w:rPr>
                <w:b/>
                <w:sz w:val="21"/>
              </w:rPr>
            </w:pPr>
            <w:r>
              <w:rPr>
                <w:b/>
                <w:sz w:val="21"/>
              </w:rPr>
              <w:t>终末期肾病</w:t>
            </w:r>
          </w:p>
          <w:p>
            <w:pPr>
              <w:pStyle w:val="TableParagraph"/>
              <w:spacing w:line="273" w:lineRule="auto" w:before="34"/>
              <w:ind w:left="185" w:right="129"/>
              <w:jc w:val="both"/>
              <w:rPr>
                <w:b/>
                <w:sz w:val="21"/>
              </w:rPr>
            </w:pPr>
            <w:r>
              <w:rPr>
                <w:b/>
                <w:sz w:val="21"/>
              </w:rPr>
              <w:t>（或称慢性肾功能衰竭尿毒症期）</w:t>
            </w:r>
          </w:p>
        </w:tc>
        <w:tc>
          <w:tcPr>
            <w:tcW w:w="7821" w:type="dxa"/>
          </w:tcPr>
          <w:p>
            <w:pPr>
              <w:pStyle w:val="TableParagraph"/>
              <w:spacing w:line="271" w:lineRule="auto" w:before="106"/>
              <w:ind w:right="304"/>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871" w:hRule="atLeast"/>
        </w:trPr>
        <w:tc>
          <w:tcPr>
            <w:tcW w:w="809" w:type="dxa"/>
          </w:tcPr>
          <w:p>
            <w:pPr>
              <w:pStyle w:val="TableParagraph"/>
              <w:spacing w:before="106"/>
              <w:ind w:left="200"/>
              <w:rPr>
                <w:b/>
                <w:sz w:val="21"/>
              </w:rPr>
            </w:pPr>
            <w:r>
              <w:rPr>
                <w:b/>
                <w:sz w:val="21"/>
              </w:rPr>
              <w:t>9.7</w:t>
            </w:r>
          </w:p>
        </w:tc>
        <w:tc>
          <w:tcPr>
            <w:tcW w:w="1585" w:type="dxa"/>
          </w:tcPr>
          <w:p>
            <w:pPr>
              <w:pStyle w:val="TableParagraph"/>
              <w:spacing w:before="106"/>
              <w:ind w:left="185"/>
              <w:rPr>
                <w:b/>
                <w:sz w:val="21"/>
              </w:rPr>
            </w:pPr>
            <w:r>
              <w:rPr>
                <w:b/>
                <w:sz w:val="21"/>
              </w:rPr>
              <w:t>多个肢体缺失</w:t>
            </w:r>
          </w:p>
        </w:tc>
        <w:tc>
          <w:tcPr>
            <w:tcW w:w="7821" w:type="dxa"/>
          </w:tcPr>
          <w:p>
            <w:pPr>
              <w:pStyle w:val="TableParagraph"/>
              <w:spacing w:before="106"/>
              <w:rPr>
                <w:sz w:val="21"/>
              </w:rPr>
            </w:pPr>
            <w:r>
              <w:rPr>
                <w:sz w:val="21"/>
              </w:rPr>
              <w:t>指因疾病或</w:t>
            </w:r>
            <w:r>
              <w:rPr>
                <w:b/>
                <w:sz w:val="21"/>
              </w:rPr>
              <w:t>意外伤害</w:t>
            </w:r>
            <w:r>
              <w:rPr>
                <w:sz w:val="21"/>
              </w:rPr>
              <w:t>(见 10.19)导致两个或两个以上肢体自腕关节或踝关节近端</w:t>
            </w:r>
          </w:p>
          <w:p>
            <w:pPr>
              <w:pStyle w:val="TableParagraph"/>
              <w:spacing w:before="34"/>
              <w:rPr>
                <w:sz w:val="21"/>
              </w:rPr>
            </w:pPr>
            <w:r>
              <w:rPr>
                <w:sz w:val="21"/>
              </w:rPr>
              <w:t>（靠近躯干端）以上完全性断离。</w:t>
            </w:r>
          </w:p>
        </w:tc>
      </w:tr>
      <w:tr>
        <w:trPr>
          <w:trHeight w:val="2434" w:hRule="atLeast"/>
        </w:trPr>
        <w:tc>
          <w:tcPr>
            <w:tcW w:w="809" w:type="dxa"/>
          </w:tcPr>
          <w:p>
            <w:pPr>
              <w:pStyle w:val="TableParagraph"/>
              <w:spacing w:before="106"/>
              <w:ind w:left="200"/>
              <w:rPr>
                <w:b/>
                <w:sz w:val="21"/>
              </w:rPr>
            </w:pPr>
            <w:r>
              <w:rPr>
                <w:b/>
                <w:sz w:val="21"/>
              </w:rPr>
              <w:t>9.8</w:t>
            </w:r>
          </w:p>
        </w:tc>
        <w:tc>
          <w:tcPr>
            <w:tcW w:w="1585" w:type="dxa"/>
          </w:tcPr>
          <w:p>
            <w:pPr>
              <w:pStyle w:val="TableParagraph"/>
              <w:spacing w:line="273" w:lineRule="auto" w:before="106"/>
              <w:ind w:left="185" w:right="129"/>
              <w:rPr>
                <w:b/>
                <w:sz w:val="21"/>
              </w:rPr>
            </w:pPr>
            <w:r>
              <w:rPr>
                <w:b/>
                <w:sz w:val="21"/>
              </w:rPr>
              <w:t>急性或亚急性重症肝炎</w:t>
            </w:r>
          </w:p>
        </w:tc>
        <w:tc>
          <w:tcPr>
            <w:tcW w:w="7821" w:type="dxa"/>
          </w:tcPr>
          <w:p>
            <w:pPr>
              <w:pStyle w:val="TableParagraph"/>
              <w:spacing w:line="273" w:lineRule="auto" w:before="106"/>
              <w:ind w:right="329"/>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14"/>
              </w:numPr>
              <w:tabs>
                <w:tab w:pos="869" w:val="left" w:leader="none"/>
                <w:tab w:pos="870" w:val="left" w:leader="none"/>
              </w:tabs>
              <w:spacing w:line="240" w:lineRule="auto" w:before="86" w:after="0"/>
              <w:ind w:left="869" w:right="0" w:hanging="737"/>
              <w:jc w:val="left"/>
              <w:rPr>
                <w:sz w:val="21"/>
              </w:rPr>
            </w:pPr>
            <w:r>
              <w:rPr>
                <w:spacing w:val="-3"/>
                <w:sz w:val="21"/>
              </w:rPr>
              <w:t>重度黄疸或黄疸迅速加重；</w:t>
            </w:r>
          </w:p>
          <w:p>
            <w:pPr>
              <w:pStyle w:val="TableParagraph"/>
              <w:numPr>
                <w:ilvl w:val="0"/>
                <w:numId w:val="14"/>
              </w:numPr>
              <w:tabs>
                <w:tab w:pos="869" w:val="left" w:leader="none"/>
                <w:tab w:pos="870" w:val="left" w:leader="none"/>
              </w:tabs>
              <w:spacing w:line="240" w:lineRule="auto" w:before="113" w:after="0"/>
              <w:ind w:left="869" w:right="0" w:hanging="737"/>
              <w:jc w:val="left"/>
              <w:rPr>
                <w:sz w:val="21"/>
              </w:rPr>
            </w:pPr>
            <w:r>
              <w:rPr>
                <w:spacing w:val="-3"/>
                <w:sz w:val="21"/>
              </w:rPr>
              <w:t>肝性脑病；</w:t>
            </w:r>
          </w:p>
          <w:p>
            <w:pPr>
              <w:pStyle w:val="TableParagraph"/>
              <w:numPr>
                <w:ilvl w:val="0"/>
                <w:numId w:val="14"/>
              </w:numPr>
              <w:tabs>
                <w:tab w:pos="869" w:val="left" w:leader="none"/>
                <w:tab w:pos="870" w:val="left" w:leader="none"/>
              </w:tabs>
              <w:spacing w:line="240" w:lineRule="auto" w:before="115" w:after="0"/>
              <w:ind w:left="869" w:right="0" w:hanging="737"/>
              <w:jc w:val="left"/>
              <w:rPr>
                <w:sz w:val="21"/>
              </w:rPr>
            </w:pPr>
            <w:r>
              <w:rPr>
                <w:sz w:val="21"/>
              </w:rPr>
              <w:t>B</w:t>
            </w:r>
            <w:r>
              <w:rPr>
                <w:spacing w:val="-7"/>
                <w:sz w:val="21"/>
              </w:rPr>
              <w:t> 超或其它影像学检查显示肝脏体积急速萎缩；</w:t>
            </w:r>
          </w:p>
          <w:p>
            <w:pPr>
              <w:pStyle w:val="TableParagraph"/>
              <w:numPr>
                <w:ilvl w:val="0"/>
                <w:numId w:val="14"/>
              </w:numPr>
              <w:tabs>
                <w:tab w:pos="869" w:val="left" w:leader="none"/>
                <w:tab w:pos="870" w:val="left" w:leader="none"/>
              </w:tabs>
              <w:spacing w:line="240" w:lineRule="auto" w:before="113" w:after="0"/>
              <w:ind w:left="869" w:right="0" w:hanging="737"/>
              <w:jc w:val="left"/>
              <w:rPr>
                <w:sz w:val="21"/>
              </w:rPr>
            </w:pPr>
            <w:r>
              <w:rPr>
                <w:spacing w:val="-3"/>
                <w:sz w:val="21"/>
              </w:rPr>
              <w:t>肝功能指标进行性恶化。</w:t>
            </w:r>
          </w:p>
        </w:tc>
      </w:tr>
      <w:tr>
        <w:trPr>
          <w:trHeight w:val="2353" w:hRule="atLeast"/>
        </w:trPr>
        <w:tc>
          <w:tcPr>
            <w:tcW w:w="809" w:type="dxa"/>
          </w:tcPr>
          <w:p>
            <w:pPr>
              <w:pStyle w:val="TableParagraph"/>
              <w:spacing w:before="106"/>
              <w:ind w:left="200"/>
              <w:rPr>
                <w:b/>
                <w:sz w:val="21"/>
              </w:rPr>
            </w:pPr>
            <w:r>
              <w:rPr>
                <w:b/>
                <w:sz w:val="21"/>
              </w:rPr>
              <w:t>9.9</w:t>
            </w:r>
          </w:p>
        </w:tc>
        <w:tc>
          <w:tcPr>
            <w:tcW w:w="1585" w:type="dxa"/>
          </w:tcPr>
          <w:p>
            <w:pPr>
              <w:pStyle w:val="TableParagraph"/>
              <w:spacing w:before="106"/>
              <w:ind w:left="185"/>
              <w:rPr>
                <w:b/>
                <w:sz w:val="21"/>
              </w:rPr>
            </w:pPr>
            <w:r>
              <w:rPr>
                <w:b/>
                <w:sz w:val="21"/>
              </w:rPr>
              <w:t>良性脑肿瘤</w:t>
            </w:r>
          </w:p>
        </w:tc>
        <w:tc>
          <w:tcPr>
            <w:tcW w:w="7821" w:type="dxa"/>
          </w:tcPr>
          <w:p>
            <w:pPr>
              <w:pStyle w:val="TableParagraph"/>
              <w:spacing w:line="271" w:lineRule="auto" w:before="106"/>
              <w:ind w:right="197"/>
              <w:jc w:val="both"/>
              <w:rPr>
                <w:sz w:val="21"/>
              </w:rPr>
            </w:pPr>
            <w:r>
              <w:rPr>
                <w:spacing w:val="-9"/>
                <w:sz w:val="21"/>
              </w:rPr>
              <w:t>指脑的良性肿瘤，已经引起颅内压增高，临床表现为视神经乳头水肿、精神症状、</w:t>
            </w:r>
            <w:r>
              <w:rPr>
                <w:spacing w:val="-22"/>
                <w:w w:val="100"/>
                <w:sz w:val="21"/>
              </w:rPr>
              <w:t>癫痫及运动感觉障碍等，并危及生命。须由头颅断层扫描</w:t>
            </w:r>
            <w:r>
              <w:rPr>
                <w:w w:val="100"/>
                <w:sz w:val="21"/>
              </w:rPr>
              <w:t>（</w:t>
            </w:r>
            <w:r>
              <w:rPr>
                <w:spacing w:val="-3"/>
                <w:w w:val="100"/>
                <w:sz w:val="21"/>
              </w:rPr>
              <w:t>C</w:t>
            </w:r>
            <w:r>
              <w:rPr>
                <w:w w:val="100"/>
                <w:sz w:val="21"/>
              </w:rPr>
              <w:t>T</w:t>
            </w:r>
            <w:r>
              <w:rPr>
                <w:spacing w:val="-106"/>
                <w:w w:val="100"/>
                <w:sz w:val="21"/>
              </w:rPr>
              <w:t>）</w:t>
            </w:r>
            <w:r>
              <w:rPr>
                <w:spacing w:val="-32"/>
                <w:w w:val="100"/>
                <w:sz w:val="21"/>
              </w:rPr>
              <w:t>、核磁共振检查</w:t>
            </w:r>
            <w:r>
              <w:rPr>
                <w:w w:val="100"/>
                <w:sz w:val="21"/>
              </w:rPr>
              <w:t>（M</w:t>
            </w:r>
            <w:r>
              <w:rPr>
                <w:spacing w:val="-3"/>
                <w:w w:val="100"/>
                <w:sz w:val="21"/>
              </w:rPr>
              <w:t>RI</w:t>
            </w:r>
            <w:r>
              <w:rPr>
                <w:w w:val="100"/>
                <w:sz w:val="21"/>
              </w:rPr>
              <w:t>）</w:t>
            </w:r>
            <w:r>
              <w:rPr>
                <w:spacing w:val="-3"/>
                <w:sz w:val="21"/>
              </w:rPr>
              <w:t>或正电子发射断层扫描</w:t>
            </w:r>
            <w:r>
              <w:rPr>
                <w:spacing w:val="-1"/>
                <w:sz w:val="21"/>
              </w:rPr>
              <w:t>（PET）</w:t>
            </w:r>
            <w:r>
              <w:rPr>
                <w:spacing w:val="-3"/>
                <w:sz w:val="21"/>
              </w:rPr>
              <w:t>等影像学检查证实，并须满足下列至少一项条件：</w:t>
            </w:r>
          </w:p>
          <w:p>
            <w:pPr>
              <w:pStyle w:val="TableParagraph"/>
              <w:numPr>
                <w:ilvl w:val="0"/>
                <w:numId w:val="15"/>
              </w:numPr>
              <w:tabs>
                <w:tab w:pos="870" w:val="left" w:leader="none"/>
              </w:tabs>
              <w:spacing w:line="240" w:lineRule="auto" w:before="88" w:after="0"/>
              <w:ind w:left="869" w:right="0" w:hanging="737"/>
              <w:jc w:val="both"/>
              <w:rPr>
                <w:sz w:val="21"/>
              </w:rPr>
            </w:pPr>
            <w:r>
              <w:rPr>
                <w:spacing w:val="-3"/>
                <w:sz w:val="21"/>
              </w:rPr>
              <w:t>实际实施了开颅进行的脑肿瘤完全切除或部分切除的手术；</w:t>
            </w:r>
          </w:p>
          <w:p>
            <w:pPr>
              <w:pStyle w:val="TableParagraph"/>
              <w:numPr>
                <w:ilvl w:val="0"/>
                <w:numId w:val="15"/>
              </w:numPr>
              <w:tabs>
                <w:tab w:pos="870" w:val="left" w:leader="none"/>
              </w:tabs>
              <w:spacing w:line="240" w:lineRule="auto" w:before="116" w:after="0"/>
              <w:ind w:left="869" w:right="0" w:hanging="737"/>
              <w:jc w:val="both"/>
              <w:rPr>
                <w:sz w:val="21"/>
              </w:rPr>
            </w:pPr>
            <w:r>
              <w:rPr>
                <w:spacing w:val="-3"/>
                <w:sz w:val="21"/>
              </w:rPr>
              <w:t>实际实施了对脑肿瘤进行的放射治疗。</w:t>
            </w:r>
          </w:p>
          <w:p>
            <w:pPr>
              <w:pStyle w:val="TableParagraph"/>
              <w:spacing w:before="114"/>
              <w:jc w:val="both"/>
              <w:rPr>
                <w:sz w:val="21"/>
              </w:rPr>
            </w:pPr>
            <w:r>
              <w:rPr>
                <w:rFonts w:ascii="黑体" w:eastAsia="黑体" w:hint="eastAsia"/>
                <w:sz w:val="21"/>
              </w:rPr>
              <w:t>脑垂体瘤、脑囊肿、脑血管性疾病不在保障范围内</w:t>
            </w:r>
            <w:r>
              <w:rPr>
                <w:sz w:val="21"/>
              </w:rPr>
              <w:t>。</w:t>
            </w:r>
          </w:p>
        </w:tc>
      </w:tr>
      <w:tr>
        <w:trPr>
          <w:trHeight w:val="2510" w:hRule="atLeast"/>
        </w:trPr>
        <w:tc>
          <w:tcPr>
            <w:tcW w:w="809" w:type="dxa"/>
          </w:tcPr>
          <w:p>
            <w:pPr>
              <w:pStyle w:val="TableParagraph"/>
              <w:spacing w:before="105"/>
              <w:ind w:left="200"/>
              <w:rPr>
                <w:b/>
                <w:sz w:val="21"/>
              </w:rPr>
            </w:pPr>
            <w:r>
              <w:rPr>
                <w:b/>
                <w:sz w:val="21"/>
              </w:rPr>
              <w:t>9.10</w:t>
            </w:r>
          </w:p>
        </w:tc>
        <w:tc>
          <w:tcPr>
            <w:tcW w:w="1585" w:type="dxa"/>
          </w:tcPr>
          <w:p>
            <w:pPr>
              <w:pStyle w:val="TableParagraph"/>
              <w:spacing w:line="273" w:lineRule="auto" w:before="105"/>
              <w:ind w:left="185" w:right="129"/>
              <w:rPr>
                <w:b/>
                <w:sz w:val="21"/>
              </w:rPr>
            </w:pPr>
            <w:r>
              <w:rPr>
                <w:b/>
                <w:sz w:val="21"/>
              </w:rPr>
              <w:t>慢性肝功能衰竭失代偿期</w:t>
            </w:r>
          </w:p>
        </w:tc>
        <w:tc>
          <w:tcPr>
            <w:tcW w:w="7821" w:type="dxa"/>
          </w:tcPr>
          <w:p>
            <w:pPr>
              <w:pStyle w:val="TableParagraph"/>
              <w:spacing w:before="105"/>
              <w:rPr>
                <w:sz w:val="21"/>
              </w:rPr>
            </w:pPr>
            <w:r>
              <w:rPr>
                <w:sz w:val="21"/>
              </w:rPr>
              <w:t>指因慢性肝脏疾病导致肝功能衰竭。须满足下列全部条件：</w:t>
            </w:r>
          </w:p>
          <w:p>
            <w:pPr>
              <w:pStyle w:val="TableParagraph"/>
              <w:numPr>
                <w:ilvl w:val="0"/>
                <w:numId w:val="16"/>
              </w:numPr>
              <w:tabs>
                <w:tab w:pos="869" w:val="left" w:leader="none"/>
                <w:tab w:pos="870" w:val="left" w:leader="none"/>
              </w:tabs>
              <w:spacing w:line="240" w:lineRule="auto" w:before="116" w:after="0"/>
              <w:ind w:left="869" w:right="0" w:hanging="737"/>
              <w:jc w:val="left"/>
              <w:rPr>
                <w:sz w:val="21"/>
              </w:rPr>
            </w:pPr>
            <w:r>
              <w:rPr>
                <w:spacing w:val="-3"/>
                <w:sz w:val="21"/>
              </w:rPr>
              <w:t>持续性黄疸；</w:t>
            </w:r>
          </w:p>
          <w:p>
            <w:pPr>
              <w:pStyle w:val="TableParagraph"/>
              <w:numPr>
                <w:ilvl w:val="0"/>
                <w:numId w:val="16"/>
              </w:numPr>
              <w:tabs>
                <w:tab w:pos="869" w:val="left" w:leader="none"/>
                <w:tab w:pos="870" w:val="left" w:leader="none"/>
              </w:tabs>
              <w:spacing w:line="240" w:lineRule="auto" w:before="114" w:after="0"/>
              <w:ind w:left="869" w:right="0" w:hanging="737"/>
              <w:jc w:val="left"/>
              <w:rPr>
                <w:sz w:val="21"/>
              </w:rPr>
            </w:pPr>
            <w:r>
              <w:rPr>
                <w:spacing w:val="-2"/>
                <w:sz w:val="21"/>
              </w:rPr>
              <w:t>腹水；</w:t>
            </w:r>
          </w:p>
          <w:p>
            <w:pPr>
              <w:pStyle w:val="TableParagraph"/>
              <w:numPr>
                <w:ilvl w:val="0"/>
                <w:numId w:val="16"/>
              </w:numPr>
              <w:tabs>
                <w:tab w:pos="869" w:val="left" w:leader="none"/>
                <w:tab w:pos="870" w:val="left" w:leader="none"/>
              </w:tabs>
              <w:spacing w:line="240" w:lineRule="auto" w:before="116" w:after="0"/>
              <w:ind w:left="869" w:right="0" w:hanging="737"/>
              <w:jc w:val="left"/>
              <w:rPr>
                <w:sz w:val="21"/>
              </w:rPr>
            </w:pPr>
            <w:r>
              <w:rPr>
                <w:spacing w:val="-3"/>
                <w:sz w:val="21"/>
              </w:rPr>
              <w:t>肝性脑病；</w:t>
            </w:r>
          </w:p>
          <w:p>
            <w:pPr>
              <w:pStyle w:val="TableParagraph"/>
              <w:numPr>
                <w:ilvl w:val="0"/>
                <w:numId w:val="16"/>
              </w:numPr>
              <w:tabs>
                <w:tab w:pos="869" w:val="left" w:leader="none"/>
                <w:tab w:pos="870" w:val="left" w:leader="none"/>
              </w:tabs>
              <w:spacing w:line="240" w:lineRule="auto" w:before="113" w:after="0"/>
              <w:ind w:left="869" w:right="0" w:hanging="737"/>
              <w:jc w:val="left"/>
              <w:rPr>
                <w:sz w:val="21"/>
              </w:rPr>
            </w:pPr>
            <w:r>
              <w:rPr>
                <w:spacing w:val="-3"/>
                <w:sz w:val="21"/>
              </w:rPr>
              <w:t>充血性脾肿大伴脾功能亢进或食管胃底静脉曲张。</w:t>
            </w:r>
          </w:p>
          <w:p>
            <w:pPr>
              <w:pStyle w:val="TableParagraph"/>
              <w:spacing w:before="115"/>
              <w:rPr>
                <w:rFonts w:ascii="黑体" w:eastAsia="黑体" w:hint="eastAsia"/>
                <w:sz w:val="21"/>
              </w:rPr>
            </w:pPr>
            <w:r>
              <w:rPr>
                <w:rFonts w:ascii="黑体" w:eastAsia="黑体" w:hint="eastAsia"/>
                <w:sz w:val="21"/>
              </w:rPr>
              <w:t>因酗酒或药物滥用导致的肝功能衰竭不在保障范围内。</w:t>
            </w:r>
          </w:p>
        </w:tc>
      </w:tr>
      <w:tr>
        <w:trPr>
          <w:trHeight w:val="2353" w:hRule="atLeast"/>
        </w:trPr>
        <w:tc>
          <w:tcPr>
            <w:tcW w:w="809" w:type="dxa"/>
          </w:tcPr>
          <w:p>
            <w:pPr>
              <w:pStyle w:val="TableParagraph"/>
              <w:spacing w:before="105"/>
              <w:ind w:left="200"/>
              <w:rPr>
                <w:b/>
                <w:sz w:val="21"/>
              </w:rPr>
            </w:pPr>
            <w:r>
              <w:rPr>
                <w:b/>
                <w:sz w:val="21"/>
              </w:rPr>
              <w:t>9.11</w:t>
            </w:r>
          </w:p>
        </w:tc>
        <w:tc>
          <w:tcPr>
            <w:tcW w:w="1585" w:type="dxa"/>
          </w:tcPr>
          <w:p>
            <w:pPr>
              <w:pStyle w:val="TableParagraph"/>
              <w:spacing w:line="273" w:lineRule="auto" w:before="105"/>
              <w:ind w:left="185" w:right="129"/>
              <w:rPr>
                <w:b/>
                <w:sz w:val="21"/>
              </w:rPr>
            </w:pPr>
            <w:r>
              <w:rPr>
                <w:b/>
                <w:sz w:val="21"/>
              </w:rPr>
              <w:t>脑炎后遗症或脑膜炎后遗症</w:t>
            </w:r>
          </w:p>
        </w:tc>
        <w:tc>
          <w:tcPr>
            <w:tcW w:w="7821" w:type="dxa"/>
          </w:tcPr>
          <w:p>
            <w:pPr>
              <w:pStyle w:val="TableParagraph"/>
              <w:spacing w:line="273" w:lineRule="auto" w:before="105"/>
              <w:ind w:right="329"/>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869" w:val="left" w:leader="none"/>
                <w:tab w:pos="870" w:val="left" w:leader="none"/>
              </w:tabs>
              <w:spacing w:line="240" w:lineRule="auto" w:before="87" w:after="0"/>
              <w:ind w:left="852" w:right="0" w:hanging="720"/>
              <w:jc w:val="left"/>
              <w:rPr>
                <w:sz w:val="21"/>
              </w:rPr>
            </w:pPr>
            <w:r>
              <w:rPr>
                <w:spacing w:val="-3"/>
                <w:sz w:val="21"/>
              </w:rPr>
              <w:t>一肢或一肢以上肢体机能完全丧失；</w:t>
            </w:r>
          </w:p>
          <w:p>
            <w:pPr>
              <w:pStyle w:val="TableParagraph"/>
              <w:numPr>
                <w:ilvl w:val="0"/>
                <w:numId w:val="17"/>
              </w:numPr>
              <w:tabs>
                <w:tab w:pos="869" w:val="left" w:leader="none"/>
                <w:tab w:pos="870" w:val="left" w:leader="none"/>
              </w:tabs>
              <w:spacing w:line="240" w:lineRule="auto" w:before="114" w:after="0"/>
              <w:ind w:left="852" w:right="0" w:hanging="720"/>
              <w:jc w:val="left"/>
              <w:rPr>
                <w:sz w:val="21"/>
              </w:rPr>
            </w:pPr>
            <w:r>
              <w:rPr>
                <w:spacing w:val="-3"/>
                <w:sz w:val="21"/>
              </w:rPr>
              <w:t>语言能力或咀嚼吞咽能力完全丧失；</w:t>
            </w:r>
          </w:p>
          <w:p>
            <w:pPr>
              <w:pStyle w:val="TableParagraph"/>
              <w:numPr>
                <w:ilvl w:val="0"/>
                <w:numId w:val="17"/>
              </w:numPr>
              <w:tabs>
                <w:tab w:pos="834" w:val="left" w:leader="none"/>
              </w:tabs>
              <w:spacing w:line="271" w:lineRule="auto" w:before="116" w:after="0"/>
              <w:ind w:left="852" w:right="300"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698" w:hRule="atLeast"/>
        </w:trPr>
        <w:tc>
          <w:tcPr>
            <w:tcW w:w="809" w:type="dxa"/>
          </w:tcPr>
          <w:p>
            <w:pPr>
              <w:pStyle w:val="TableParagraph"/>
              <w:spacing w:before="106"/>
              <w:ind w:left="200"/>
              <w:rPr>
                <w:b/>
                <w:sz w:val="21"/>
              </w:rPr>
            </w:pPr>
            <w:r>
              <w:rPr>
                <w:b/>
                <w:sz w:val="21"/>
              </w:rPr>
              <w:t>9.12</w:t>
            </w:r>
          </w:p>
        </w:tc>
        <w:tc>
          <w:tcPr>
            <w:tcW w:w="1585" w:type="dxa"/>
          </w:tcPr>
          <w:p>
            <w:pPr>
              <w:pStyle w:val="TableParagraph"/>
              <w:spacing w:before="106"/>
              <w:ind w:left="185"/>
              <w:rPr>
                <w:b/>
                <w:sz w:val="21"/>
              </w:rPr>
            </w:pPr>
            <w:r>
              <w:rPr>
                <w:b/>
                <w:sz w:val="21"/>
              </w:rPr>
              <w:t>深度昏迷</w:t>
            </w:r>
          </w:p>
        </w:tc>
        <w:tc>
          <w:tcPr>
            <w:tcW w:w="7821" w:type="dxa"/>
          </w:tcPr>
          <w:p>
            <w:pPr>
              <w:pStyle w:val="TableParagraph"/>
              <w:spacing w:line="310" w:lineRule="atLeast" w:before="71"/>
              <w:ind w:right="332"/>
              <w:rPr>
                <w:sz w:val="21"/>
              </w:rPr>
            </w:pPr>
            <w:r>
              <w:rPr>
                <w:spacing w:val="-3"/>
                <w:sz w:val="21"/>
              </w:rPr>
              <w:t>指因疾病或意外伤害导致意识丧失,对外界刺激和体内需求均无反应,昏迷程度按照格拉斯哥昏迷分级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w:t>
            </w:r>
          </w:p>
        </w:tc>
      </w:tr>
    </w:tbl>
    <w:p>
      <w:pPr>
        <w:spacing w:after="0" w:line="310" w:lineRule="atLeast"/>
        <w:rPr>
          <w:sz w:val="21"/>
        </w:rPr>
        <w:sectPr>
          <w:pgSz w:w="11910" w:h="16840"/>
          <w:pgMar w:top="142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777" w:hRule="atLeast"/>
        </w:trPr>
        <w:tc>
          <w:tcPr>
            <w:tcW w:w="809" w:type="dxa"/>
          </w:tcPr>
          <w:p>
            <w:pPr>
              <w:pStyle w:val="TableParagraph"/>
              <w:spacing w:before="0"/>
              <w:ind w:left="0"/>
              <w:rPr>
                <w:rFonts w:ascii="Times New Roman"/>
                <w:sz w:val="20"/>
              </w:rPr>
            </w:pPr>
          </w:p>
        </w:tc>
        <w:tc>
          <w:tcPr>
            <w:tcW w:w="1585" w:type="dxa"/>
          </w:tcPr>
          <w:p>
            <w:pPr>
              <w:pStyle w:val="TableParagraph"/>
              <w:spacing w:before="0"/>
              <w:ind w:left="0"/>
              <w:rPr>
                <w:rFonts w:ascii="Times New Roman"/>
                <w:sz w:val="20"/>
              </w:rPr>
            </w:pPr>
          </w:p>
        </w:tc>
        <w:tc>
          <w:tcPr>
            <w:tcW w:w="7824" w:type="dxa"/>
          </w:tcPr>
          <w:p>
            <w:pPr>
              <w:pStyle w:val="TableParagraph"/>
              <w:spacing w:line="211" w:lineRule="exact" w:before="0"/>
              <w:rPr>
                <w:sz w:val="21"/>
              </w:rPr>
            </w:pPr>
            <w:r>
              <w:rPr>
                <w:sz w:val="21"/>
              </w:rPr>
              <w:t>续使用呼吸机及其它生命维持系统 96 小时以上。</w:t>
            </w:r>
          </w:p>
          <w:p>
            <w:pPr>
              <w:pStyle w:val="TableParagraph"/>
              <w:spacing w:before="116"/>
              <w:rPr>
                <w:rFonts w:ascii="黑体" w:eastAsia="黑体" w:hint="eastAsia"/>
                <w:sz w:val="21"/>
              </w:rPr>
            </w:pPr>
            <w:r>
              <w:rPr>
                <w:rFonts w:ascii="黑体" w:eastAsia="黑体" w:hint="eastAsia"/>
                <w:sz w:val="21"/>
              </w:rPr>
              <w:t>因酗酒或药物滥用导致的深度昏迷不在保障范围内。</w:t>
            </w:r>
          </w:p>
        </w:tc>
      </w:tr>
      <w:tr>
        <w:trPr>
          <w:trHeight w:val="1183" w:hRule="atLeast"/>
        </w:trPr>
        <w:tc>
          <w:tcPr>
            <w:tcW w:w="809" w:type="dxa"/>
          </w:tcPr>
          <w:p>
            <w:pPr>
              <w:pStyle w:val="TableParagraph"/>
              <w:ind w:left="200"/>
              <w:rPr>
                <w:b/>
                <w:sz w:val="21"/>
              </w:rPr>
            </w:pPr>
            <w:r>
              <w:rPr>
                <w:b/>
                <w:sz w:val="21"/>
              </w:rPr>
              <w:t>9.13</w:t>
            </w:r>
          </w:p>
        </w:tc>
        <w:tc>
          <w:tcPr>
            <w:tcW w:w="1585" w:type="dxa"/>
          </w:tcPr>
          <w:p>
            <w:pPr>
              <w:pStyle w:val="TableParagraph"/>
              <w:ind w:left="185"/>
              <w:rPr>
                <w:b/>
                <w:sz w:val="21"/>
              </w:rPr>
            </w:pPr>
            <w:r>
              <w:rPr>
                <w:b/>
                <w:sz w:val="21"/>
              </w:rPr>
              <w:t>双耳失聪</w:t>
            </w:r>
          </w:p>
        </w:tc>
        <w:tc>
          <w:tcPr>
            <w:tcW w:w="7824" w:type="dxa"/>
          </w:tcPr>
          <w:p>
            <w:pPr>
              <w:pStyle w:val="TableParagraph"/>
              <w:rPr>
                <w:sz w:val="21"/>
              </w:rPr>
            </w:pPr>
            <w:r>
              <w:rPr>
                <w:sz w:val="21"/>
              </w:rPr>
              <w:t>指因疾病或意外伤害导致双耳听力</w:t>
            </w:r>
            <w:r>
              <w:rPr>
                <w:b/>
                <w:sz w:val="21"/>
              </w:rPr>
              <w:t>永久不可逆</w:t>
            </w:r>
            <w:r>
              <w:rPr>
                <w:sz w:val="21"/>
              </w:rPr>
              <w:t>(见 10.20)性丧失，在 500 赫兹、</w:t>
            </w:r>
          </w:p>
          <w:p>
            <w:pPr>
              <w:pStyle w:val="TableParagraph"/>
              <w:spacing w:line="273" w:lineRule="auto" w:before="34"/>
              <w:ind w:right="284"/>
              <w:rPr>
                <w:sz w:val="21"/>
              </w:rPr>
            </w:pPr>
            <w:r>
              <w:rPr>
                <w:sz w:val="21"/>
              </w:rPr>
              <w:t>1000</w:t>
            </w:r>
            <w:r>
              <w:rPr>
                <w:spacing w:val="-21"/>
                <w:sz w:val="21"/>
              </w:rPr>
              <w:t> 赫兹和 </w:t>
            </w:r>
            <w:r>
              <w:rPr>
                <w:sz w:val="21"/>
              </w:rPr>
              <w:t>2000</w:t>
            </w:r>
            <w:r>
              <w:rPr>
                <w:spacing w:val="-11"/>
                <w:sz w:val="21"/>
              </w:rPr>
              <w:t> 赫兹语音频率下，平均听阈大于 </w:t>
            </w:r>
            <w:r>
              <w:rPr>
                <w:sz w:val="21"/>
              </w:rPr>
              <w:t>90</w:t>
            </w:r>
            <w:r>
              <w:rPr>
                <w:spacing w:val="-9"/>
                <w:sz w:val="21"/>
              </w:rPr>
              <w:t> 分贝，且经纯音听力测试、</w:t>
            </w:r>
            <w:r>
              <w:rPr>
                <w:spacing w:val="-5"/>
                <w:sz w:val="21"/>
              </w:rPr>
              <w:t>声导抗检测或听觉诱发电位检测等证实。</w:t>
            </w:r>
          </w:p>
        </w:tc>
      </w:tr>
      <w:tr>
        <w:trPr>
          <w:trHeight w:val="2355" w:hRule="atLeast"/>
        </w:trPr>
        <w:tc>
          <w:tcPr>
            <w:tcW w:w="809" w:type="dxa"/>
          </w:tcPr>
          <w:p>
            <w:pPr>
              <w:pStyle w:val="TableParagraph"/>
              <w:ind w:left="200"/>
              <w:rPr>
                <w:b/>
                <w:sz w:val="21"/>
              </w:rPr>
            </w:pPr>
            <w:r>
              <w:rPr>
                <w:b/>
                <w:sz w:val="21"/>
              </w:rPr>
              <w:t>9.14</w:t>
            </w:r>
          </w:p>
        </w:tc>
        <w:tc>
          <w:tcPr>
            <w:tcW w:w="1585" w:type="dxa"/>
          </w:tcPr>
          <w:p>
            <w:pPr>
              <w:pStyle w:val="TableParagraph"/>
              <w:ind w:left="185"/>
              <w:rPr>
                <w:b/>
                <w:sz w:val="21"/>
              </w:rPr>
            </w:pPr>
            <w:r>
              <w:rPr>
                <w:b/>
                <w:sz w:val="21"/>
              </w:rPr>
              <w:t>双目失明</w:t>
            </w:r>
          </w:p>
        </w:tc>
        <w:tc>
          <w:tcPr>
            <w:tcW w:w="7824" w:type="dxa"/>
          </w:tcPr>
          <w:p>
            <w:pPr>
              <w:pStyle w:val="TableParagraph"/>
              <w:spacing w:line="273" w:lineRule="auto"/>
              <w:ind w:right="332"/>
              <w:rPr>
                <w:sz w:val="21"/>
              </w:rPr>
            </w:pPr>
            <w:r>
              <w:rPr>
                <w:sz w:val="21"/>
              </w:rPr>
              <w:t>指因疾病或意外伤害导致双眼视力永久不可逆性丧失，双眼中较好眼须满足下列至少一项条件：</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3"/>
                <w:sz w:val="21"/>
              </w:rPr>
              <w:t>眼球缺失或摘除；</w:t>
            </w:r>
          </w:p>
          <w:p>
            <w:pPr>
              <w:pStyle w:val="TableParagraph"/>
              <w:numPr>
                <w:ilvl w:val="0"/>
                <w:numId w:val="18"/>
              </w:numPr>
              <w:tabs>
                <w:tab w:pos="869" w:val="left" w:leader="none"/>
                <w:tab w:pos="870" w:val="left" w:leader="none"/>
              </w:tabs>
              <w:spacing w:line="273" w:lineRule="auto" w:before="113" w:after="0"/>
              <w:ind w:left="852" w:right="390" w:hanging="720"/>
              <w:jc w:val="left"/>
              <w:rPr>
                <w:sz w:val="21"/>
              </w:rPr>
            </w:pP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numPr>
                <w:ilvl w:val="0"/>
                <w:numId w:val="18"/>
              </w:numPr>
              <w:tabs>
                <w:tab w:pos="869" w:val="left" w:leader="none"/>
                <w:tab w:pos="870" w:val="left" w:leader="none"/>
              </w:tabs>
              <w:spacing w:line="240" w:lineRule="auto" w:before="86" w:after="0"/>
              <w:ind w:left="852" w:right="0" w:hanging="720"/>
              <w:jc w:val="left"/>
              <w:rPr>
                <w:sz w:val="21"/>
              </w:rPr>
            </w:pPr>
            <w:r>
              <w:rPr>
                <w:spacing w:val="-10"/>
                <w:sz w:val="21"/>
              </w:rPr>
              <w:t>视野半径小于 </w:t>
            </w:r>
            <w:r>
              <w:rPr>
                <w:sz w:val="21"/>
              </w:rPr>
              <w:t>5</w:t>
            </w:r>
            <w:r>
              <w:rPr>
                <w:spacing w:val="-19"/>
                <w:sz w:val="21"/>
              </w:rPr>
              <w:t> 度。</w:t>
            </w:r>
          </w:p>
        </w:tc>
      </w:tr>
      <w:tr>
        <w:trPr>
          <w:trHeight w:val="1182" w:hRule="atLeast"/>
        </w:trPr>
        <w:tc>
          <w:tcPr>
            <w:tcW w:w="809" w:type="dxa"/>
          </w:tcPr>
          <w:p>
            <w:pPr>
              <w:pStyle w:val="TableParagraph"/>
              <w:spacing w:before="110"/>
              <w:ind w:left="200"/>
              <w:rPr>
                <w:b/>
                <w:sz w:val="21"/>
              </w:rPr>
            </w:pPr>
            <w:r>
              <w:rPr>
                <w:b/>
                <w:sz w:val="21"/>
              </w:rPr>
              <w:t>9.15</w:t>
            </w:r>
          </w:p>
        </w:tc>
        <w:tc>
          <w:tcPr>
            <w:tcW w:w="1585" w:type="dxa"/>
          </w:tcPr>
          <w:p>
            <w:pPr>
              <w:pStyle w:val="TableParagraph"/>
              <w:spacing w:before="110"/>
              <w:ind w:left="185"/>
              <w:rPr>
                <w:b/>
                <w:sz w:val="21"/>
              </w:rPr>
            </w:pPr>
            <w:r>
              <w:rPr>
                <w:b/>
                <w:sz w:val="21"/>
              </w:rPr>
              <w:t>瘫痪</w:t>
            </w:r>
          </w:p>
        </w:tc>
        <w:tc>
          <w:tcPr>
            <w:tcW w:w="7824" w:type="dxa"/>
          </w:tcPr>
          <w:p>
            <w:pPr>
              <w:pStyle w:val="TableParagraph"/>
              <w:spacing w:line="271" w:lineRule="auto" w:before="110"/>
              <w:ind w:right="332"/>
              <w:jc w:val="both"/>
              <w:rPr>
                <w:sz w:val="21"/>
              </w:rPr>
            </w:pPr>
            <w:r>
              <w:rPr>
                <w:spacing w:val="-3"/>
                <w:sz w:val="21"/>
              </w:rPr>
              <w:t>指因疾病或意外伤害导致两肢或两肢以上肢体机能永久完全丧失。肢体机能永久</w:t>
            </w:r>
            <w:r>
              <w:rPr>
                <w:spacing w:val="-7"/>
                <w:sz w:val="21"/>
              </w:rPr>
              <w:t>完全丧失，指疾病确诊 </w:t>
            </w:r>
            <w:r>
              <w:rPr>
                <w:sz w:val="21"/>
              </w:rPr>
              <w:t>180</w:t>
            </w:r>
            <w:r>
              <w:rPr>
                <w:spacing w:val="-12"/>
                <w:sz w:val="21"/>
              </w:rPr>
              <w:t> 天后或意外伤害发生 </w:t>
            </w:r>
            <w:r>
              <w:rPr>
                <w:sz w:val="21"/>
              </w:rPr>
              <w:t>180</w:t>
            </w:r>
            <w:r>
              <w:rPr>
                <w:spacing w:val="-8"/>
                <w:sz w:val="21"/>
              </w:rPr>
              <w:t> 天后，每肢三大关节中的两</w:t>
            </w:r>
            <w:r>
              <w:rPr>
                <w:spacing w:val="-5"/>
                <w:sz w:val="21"/>
              </w:rPr>
              <w:t>大关节仍然完全僵硬，或不能随意识活动。</w:t>
            </w:r>
          </w:p>
        </w:tc>
      </w:tr>
      <w:tr>
        <w:trPr>
          <w:trHeight w:val="561" w:hRule="atLeast"/>
        </w:trPr>
        <w:tc>
          <w:tcPr>
            <w:tcW w:w="809" w:type="dxa"/>
          </w:tcPr>
          <w:p>
            <w:pPr>
              <w:pStyle w:val="TableParagraph"/>
              <w:ind w:left="200"/>
              <w:rPr>
                <w:b/>
                <w:sz w:val="21"/>
              </w:rPr>
            </w:pPr>
            <w:r>
              <w:rPr>
                <w:b/>
                <w:sz w:val="21"/>
              </w:rPr>
              <w:t>9.16</w:t>
            </w:r>
          </w:p>
        </w:tc>
        <w:tc>
          <w:tcPr>
            <w:tcW w:w="1585" w:type="dxa"/>
          </w:tcPr>
          <w:p>
            <w:pPr>
              <w:pStyle w:val="TableParagraph"/>
              <w:ind w:left="185"/>
              <w:rPr>
                <w:b/>
                <w:sz w:val="21"/>
              </w:rPr>
            </w:pPr>
            <w:r>
              <w:rPr>
                <w:b/>
                <w:sz w:val="21"/>
              </w:rPr>
              <w:t>心脏瓣膜手术</w:t>
            </w:r>
          </w:p>
        </w:tc>
        <w:tc>
          <w:tcPr>
            <w:tcW w:w="7824" w:type="dxa"/>
          </w:tcPr>
          <w:p>
            <w:pPr>
              <w:pStyle w:val="TableParagraph"/>
              <w:rPr>
                <w:sz w:val="21"/>
              </w:rPr>
            </w:pPr>
            <w:r>
              <w:rPr>
                <w:sz w:val="21"/>
              </w:rPr>
              <w:t>指为治疗心脏瓣膜疾病，实际实施了开胸进行的心脏瓣膜置换或修复的手术。</w:t>
            </w:r>
          </w:p>
        </w:tc>
      </w:tr>
      <w:tr>
        <w:trPr>
          <w:trHeight w:val="2560" w:hRule="atLeast"/>
        </w:trPr>
        <w:tc>
          <w:tcPr>
            <w:tcW w:w="809" w:type="dxa"/>
          </w:tcPr>
          <w:p>
            <w:pPr>
              <w:pStyle w:val="TableParagraph"/>
              <w:ind w:left="200"/>
              <w:rPr>
                <w:b/>
                <w:sz w:val="21"/>
              </w:rPr>
            </w:pPr>
            <w:r>
              <w:rPr>
                <w:b/>
                <w:sz w:val="21"/>
              </w:rPr>
              <w:t>9.17</w:t>
            </w:r>
          </w:p>
        </w:tc>
        <w:tc>
          <w:tcPr>
            <w:tcW w:w="1585" w:type="dxa"/>
          </w:tcPr>
          <w:p>
            <w:pPr>
              <w:pStyle w:val="TableParagraph"/>
              <w:spacing w:line="271" w:lineRule="auto"/>
              <w:ind w:left="185" w:right="129"/>
              <w:rPr>
                <w:b/>
                <w:sz w:val="21"/>
              </w:rPr>
            </w:pPr>
            <w:r>
              <w:rPr>
                <w:b/>
                <w:sz w:val="21"/>
              </w:rPr>
              <w:t>严重阿尔茨海默病</w:t>
            </w:r>
          </w:p>
        </w:tc>
        <w:tc>
          <w:tcPr>
            <w:tcW w:w="7824" w:type="dxa"/>
          </w:tcPr>
          <w:p>
            <w:pPr>
              <w:pStyle w:val="TableParagraph"/>
              <w:spacing w:line="271" w:lineRule="auto"/>
              <w:ind w:right="305"/>
              <w:jc w:val="both"/>
              <w:rPr>
                <w:sz w:val="21"/>
              </w:rPr>
            </w:pPr>
            <w:r>
              <w:rPr>
                <w:spacing w:val="-3"/>
                <w:sz w:val="21"/>
              </w:rPr>
              <w:t>指因大脑进行性、不可逆性改变导致智能严重衰退或丧失，临床表现为明显的认知能力障碍、行为异常和社交能力减退，其日常生活必须持续受到他人监护。须</w:t>
            </w:r>
            <w:r>
              <w:rPr>
                <w:spacing w:val="-5"/>
                <w:w w:val="100"/>
                <w:sz w:val="21"/>
              </w:rPr>
              <w:t>由头颅断层扫描</w:t>
            </w:r>
            <w:r>
              <w:rPr>
                <w:w w:val="100"/>
                <w:sz w:val="21"/>
              </w:rPr>
              <w:t>（</w:t>
            </w:r>
            <w:r>
              <w:rPr>
                <w:spacing w:val="-3"/>
                <w:w w:val="100"/>
                <w:sz w:val="21"/>
              </w:rPr>
              <w:t>C</w:t>
            </w:r>
            <w:r>
              <w:rPr>
                <w:w w:val="100"/>
                <w:sz w:val="21"/>
              </w:rPr>
              <w:t>T</w:t>
            </w:r>
            <w:r>
              <w:rPr>
                <w:spacing w:val="-106"/>
                <w:w w:val="100"/>
                <w:sz w:val="21"/>
              </w:rPr>
              <w:t>）</w:t>
            </w:r>
            <w:r>
              <w:rPr>
                <w:spacing w:val="-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15"/>
                <w:w w:val="100"/>
                <w:sz w:val="21"/>
              </w:rPr>
              <w:t>）</w:t>
            </w:r>
            <w:r>
              <w:rPr>
                <w:spacing w:val="-5"/>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15"/>
                <w:w w:val="100"/>
                <w:sz w:val="21"/>
              </w:rPr>
              <w:t>）</w:t>
            </w:r>
            <w:r>
              <w:rPr>
                <w:spacing w:val="-2"/>
                <w:w w:val="100"/>
                <w:sz w:val="21"/>
              </w:rPr>
              <w:t>等影</w:t>
            </w:r>
            <w:r>
              <w:rPr>
                <w:spacing w:val="-3"/>
                <w:sz w:val="21"/>
              </w:rPr>
              <w:t>像学检查证实，且自主生活能力完全丧失，无法独立完成六项基本日常生活活动中的三项或三项以上。</w:t>
            </w:r>
          </w:p>
          <w:p>
            <w:pPr>
              <w:pStyle w:val="TableParagraph"/>
              <w:spacing w:before="88"/>
              <w:jc w:val="both"/>
              <w:rPr>
                <w:rFonts w:ascii="黑体" w:eastAsia="黑体" w:hint="eastAsia"/>
                <w:sz w:val="21"/>
              </w:rPr>
            </w:pPr>
            <w:r>
              <w:rPr>
                <w:rFonts w:ascii="黑体" w:eastAsia="黑体" w:hint="eastAsia"/>
                <w:sz w:val="21"/>
              </w:rPr>
              <w:t>神经官能症和精神疾病不在保障范围内。</w:t>
            </w:r>
          </w:p>
          <w:p>
            <w:pPr>
              <w:pStyle w:val="TableParagraph"/>
              <w:spacing w:before="116"/>
              <w:jc w:val="both"/>
              <w:rPr>
                <w:rFonts w:ascii="黑体" w:eastAsia="黑体" w:hint="eastAsia"/>
                <w:sz w:val="21"/>
              </w:rPr>
            </w:pPr>
            <w:r>
              <w:rPr>
                <w:rFonts w:ascii="黑体" w:eastAsia="黑体" w:hint="eastAsia"/>
                <w:sz w:val="21"/>
              </w:rPr>
              <w:t>我们只对被保险人在 65 周岁前被确诊患有本病承担保险责任。</w:t>
            </w:r>
          </w:p>
        </w:tc>
      </w:tr>
      <w:tr>
        <w:trPr>
          <w:trHeight w:val="2948" w:hRule="atLeast"/>
        </w:trPr>
        <w:tc>
          <w:tcPr>
            <w:tcW w:w="809" w:type="dxa"/>
          </w:tcPr>
          <w:p>
            <w:pPr>
              <w:pStyle w:val="TableParagraph"/>
              <w:spacing w:before="81"/>
              <w:ind w:left="200"/>
              <w:rPr>
                <w:b/>
                <w:sz w:val="21"/>
              </w:rPr>
            </w:pPr>
            <w:r>
              <w:rPr>
                <w:b/>
                <w:sz w:val="21"/>
              </w:rPr>
              <w:t>9.18</w:t>
            </w:r>
          </w:p>
        </w:tc>
        <w:tc>
          <w:tcPr>
            <w:tcW w:w="1585" w:type="dxa"/>
          </w:tcPr>
          <w:p>
            <w:pPr>
              <w:pStyle w:val="TableParagraph"/>
              <w:spacing w:before="81"/>
              <w:ind w:left="185"/>
              <w:rPr>
                <w:b/>
                <w:sz w:val="21"/>
              </w:rPr>
            </w:pPr>
            <w:r>
              <w:rPr>
                <w:b/>
                <w:sz w:val="21"/>
              </w:rPr>
              <w:t>严重脑损伤</w:t>
            </w:r>
          </w:p>
        </w:tc>
        <w:tc>
          <w:tcPr>
            <w:tcW w:w="7824" w:type="dxa"/>
          </w:tcPr>
          <w:p>
            <w:pPr>
              <w:pStyle w:val="TableParagraph"/>
              <w:spacing w:line="273" w:lineRule="auto" w:before="81"/>
              <w:ind w:right="199"/>
              <w:rPr>
                <w:sz w:val="21"/>
              </w:rPr>
            </w:pPr>
            <w:r>
              <w:rPr>
                <w:spacing w:val="-3"/>
                <w:sz w:val="21"/>
              </w:rPr>
              <w:t>指因头部遭受机械性外力，引起脑重要部位损伤，导致神经系统永久性的功能障</w:t>
            </w:r>
            <w:r>
              <w:rPr>
                <w:spacing w:val="-10"/>
                <w:w w:val="100"/>
                <w:sz w:val="21"/>
              </w:rPr>
              <w:t>碍。须由头颅断层扫描</w:t>
            </w:r>
            <w:r>
              <w:rPr>
                <w:w w:val="100"/>
                <w:sz w:val="21"/>
              </w:rPr>
              <w:t>（</w:t>
            </w:r>
            <w:r>
              <w:rPr>
                <w:spacing w:val="-3"/>
                <w:w w:val="100"/>
                <w:sz w:val="21"/>
              </w:rPr>
              <w:t>C</w:t>
            </w:r>
            <w:r>
              <w:rPr>
                <w:w w:val="100"/>
                <w:sz w:val="21"/>
              </w:rPr>
              <w:t>T</w:t>
            </w:r>
            <w:r>
              <w:rPr>
                <w:spacing w:val="-106"/>
                <w:w w:val="100"/>
                <w:sz w:val="21"/>
              </w:rPr>
              <w:t>）</w:t>
            </w:r>
            <w:r>
              <w:rPr>
                <w:spacing w:val="-11"/>
                <w:w w:val="100"/>
                <w:sz w:val="21"/>
              </w:rPr>
              <w:t>、核磁共振检查</w:t>
            </w:r>
            <w:r>
              <w:rPr>
                <w:w w:val="100"/>
                <w:sz w:val="21"/>
              </w:rPr>
              <w:t>（</w:t>
            </w:r>
            <w:r>
              <w:rPr>
                <w:spacing w:val="-3"/>
                <w:w w:val="100"/>
                <w:sz w:val="21"/>
              </w:rPr>
              <w:t>M</w:t>
            </w:r>
            <w:r>
              <w:rPr>
                <w:w w:val="100"/>
                <w:sz w:val="21"/>
              </w:rPr>
              <w:t>R</w:t>
            </w:r>
            <w:r>
              <w:rPr>
                <w:spacing w:val="-3"/>
                <w:w w:val="100"/>
                <w:sz w:val="21"/>
              </w:rPr>
              <w:t>I</w:t>
            </w:r>
            <w:r>
              <w:rPr>
                <w:spacing w:val="-32"/>
                <w:w w:val="100"/>
                <w:sz w:val="21"/>
              </w:rPr>
              <w:t>）</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5"/>
                <w:sz w:val="21"/>
              </w:rPr>
              <w:t>等影像学检查证实。神经系统永久性的功能障碍，指脑损伤 </w:t>
            </w:r>
            <w:r>
              <w:rPr>
                <w:sz w:val="21"/>
              </w:rPr>
              <w:t>180</w:t>
            </w:r>
            <w:r>
              <w:rPr>
                <w:spacing w:val="-9"/>
                <w:sz w:val="21"/>
              </w:rPr>
              <w:t> 天后，仍遗留下</w:t>
            </w:r>
            <w:r>
              <w:rPr>
                <w:spacing w:val="-5"/>
                <w:sz w:val="21"/>
              </w:rPr>
              <w:t>列一种或一种以上障碍：</w:t>
            </w:r>
          </w:p>
          <w:p>
            <w:pPr>
              <w:pStyle w:val="TableParagraph"/>
              <w:numPr>
                <w:ilvl w:val="0"/>
                <w:numId w:val="19"/>
              </w:numPr>
              <w:tabs>
                <w:tab w:pos="869" w:val="left" w:leader="none"/>
                <w:tab w:pos="870" w:val="left" w:leader="none"/>
              </w:tabs>
              <w:spacing w:line="240" w:lineRule="auto" w:before="86" w:after="0"/>
              <w:ind w:left="852" w:right="0" w:hanging="720"/>
              <w:jc w:val="left"/>
              <w:rPr>
                <w:sz w:val="21"/>
              </w:rPr>
            </w:pPr>
            <w:r>
              <w:rPr>
                <w:spacing w:val="-3"/>
                <w:sz w:val="21"/>
              </w:rPr>
              <w:t>一肢或一肢以上肢体机能完全丧失；</w:t>
            </w:r>
          </w:p>
          <w:p>
            <w:pPr>
              <w:pStyle w:val="TableParagraph"/>
              <w:numPr>
                <w:ilvl w:val="0"/>
                <w:numId w:val="19"/>
              </w:numPr>
              <w:tabs>
                <w:tab w:pos="869" w:val="left" w:leader="none"/>
                <w:tab w:pos="870" w:val="left" w:leader="none"/>
              </w:tabs>
              <w:spacing w:line="240" w:lineRule="auto" w:before="113" w:after="0"/>
              <w:ind w:left="852" w:right="0" w:hanging="720"/>
              <w:jc w:val="left"/>
              <w:rPr>
                <w:sz w:val="21"/>
              </w:rPr>
            </w:pPr>
            <w:r>
              <w:rPr>
                <w:spacing w:val="-3"/>
                <w:sz w:val="21"/>
              </w:rPr>
              <w:t>语言能力或咀嚼吞咽能力完全丧失；</w:t>
            </w:r>
          </w:p>
          <w:p>
            <w:pPr>
              <w:pStyle w:val="TableParagraph"/>
              <w:numPr>
                <w:ilvl w:val="0"/>
                <w:numId w:val="19"/>
              </w:numPr>
              <w:tabs>
                <w:tab w:pos="834" w:val="left" w:leader="none"/>
              </w:tabs>
              <w:spacing w:line="271" w:lineRule="auto" w:before="116"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2570" w:hRule="atLeast"/>
        </w:trPr>
        <w:tc>
          <w:tcPr>
            <w:tcW w:w="809" w:type="dxa"/>
          </w:tcPr>
          <w:p>
            <w:pPr>
              <w:pStyle w:val="TableParagraph"/>
              <w:ind w:left="200"/>
              <w:rPr>
                <w:b/>
                <w:sz w:val="21"/>
              </w:rPr>
            </w:pPr>
            <w:r>
              <w:rPr>
                <w:b/>
                <w:sz w:val="21"/>
              </w:rPr>
              <w:t>9.19</w:t>
            </w:r>
          </w:p>
        </w:tc>
        <w:tc>
          <w:tcPr>
            <w:tcW w:w="1585" w:type="dxa"/>
          </w:tcPr>
          <w:p>
            <w:pPr>
              <w:pStyle w:val="TableParagraph"/>
              <w:ind w:left="185"/>
              <w:rPr>
                <w:b/>
                <w:sz w:val="21"/>
              </w:rPr>
            </w:pPr>
            <w:r>
              <w:rPr>
                <w:b/>
                <w:sz w:val="21"/>
              </w:rPr>
              <w:t>严重帕金森病</w:t>
            </w:r>
          </w:p>
        </w:tc>
        <w:tc>
          <w:tcPr>
            <w:tcW w:w="7824" w:type="dxa"/>
          </w:tcPr>
          <w:p>
            <w:pPr>
              <w:pStyle w:val="TableParagraph"/>
              <w:spacing w:line="273" w:lineRule="auto"/>
              <w:ind w:right="332"/>
              <w:rPr>
                <w:sz w:val="21"/>
              </w:rPr>
            </w:pPr>
            <w:r>
              <w:rPr>
                <w:sz w:val="21"/>
              </w:rPr>
              <w:t>是一种中枢神经系统的退行性疾病，临床表现为震颤麻痹、共济失调等。须满足下列全部条件：</w:t>
            </w:r>
          </w:p>
          <w:p>
            <w:pPr>
              <w:pStyle w:val="TableParagraph"/>
              <w:numPr>
                <w:ilvl w:val="0"/>
                <w:numId w:val="20"/>
              </w:numPr>
              <w:tabs>
                <w:tab w:pos="869" w:val="left" w:leader="none"/>
                <w:tab w:pos="870" w:val="left" w:leader="none"/>
              </w:tabs>
              <w:spacing w:line="240" w:lineRule="auto" w:before="86" w:after="0"/>
              <w:ind w:left="852" w:right="0" w:hanging="720"/>
              <w:jc w:val="left"/>
              <w:rPr>
                <w:sz w:val="21"/>
              </w:rPr>
            </w:pPr>
            <w:r>
              <w:rPr>
                <w:spacing w:val="-3"/>
                <w:sz w:val="21"/>
              </w:rPr>
              <w:t>药物治疗无法控制病情；</w:t>
            </w:r>
          </w:p>
          <w:p>
            <w:pPr>
              <w:pStyle w:val="TableParagraph"/>
              <w:numPr>
                <w:ilvl w:val="0"/>
                <w:numId w:val="20"/>
              </w:numPr>
              <w:tabs>
                <w:tab w:pos="834" w:val="left" w:leader="none"/>
              </w:tabs>
              <w:spacing w:line="273" w:lineRule="auto" w:before="113" w:after="0"/>
              <w:ind w:left="852" w:right="303" w:hanging="720"/>
              <w:jc w:val="left"/>
              <w:rPr>
                <w:sz w:val="21"/>
              </w:rPr>
            </w:pPr>
            <w:r>
              <w:rPr>
                <w:spacing w:val="-6"/>
                <w:sz w:val="21"/>
              </w:rPr>
              <w:t>自主生活能力完全丧失，无法独立完成六项基本日常生活活动中的三项或</w:t>
            </w:r>
            <w:r>
              <w:rPr>
                <w:spacing w:val="-4"/>
                <w:sz w:val="21"/>
              </w:rPr>
              <w:t>三项以上。</w:t>
            </w:r>
          </w:p>
          <w:p>
            <w:pPr>
              <w:pStyle w:val="TableParagraph"/>
              <w:spacing w:before="86"/>
              <w:rPr>
                <w:rFonts w:ascii="黑体" w:eastAsia="黑体" w:hint="eastAsia"/>
                <w:sz w:val="21"/>
              </w:rPr>
            </w:pPr>
            <w:r>
              <w:rPr>
                <w:rFonts w:ascii="黑体" w:eastAsia="黑体" w:hint="eastAsia"/>
                <w:sz w:val="21"/>
              </w:rPr>
              <w:t>继发性帕金森综合征不在保障范围内。</w:t>
            </w:r>
          </w:p>
          <w:p>
            <w:pPr>
              <w:pStyle w:val="TableParagraph"/>
              <w:spacing w:line="255" w:lineRule="exact" w:before="113"/>
              <w:rPr>
                <w:rFonts w:ascii="黑体" w:eastAsia="黑体" w:hint="eastAsia"/>
                <w:sz w:val="21"/>
              </w:rPr>
            </w:pPr>
            <w:r>
              <w:rPr>
                <w:rFonts w:ascii="黑体" w:eastAsia="黑体" w:hint="eastAsia"/>
                <w:sz w:val="21"/>
              </w:rPr>
              <w:t>我们只对被保险人在 65 周岁前被确诊患有本病承担保险责任。</w:t>
            </w:r>
          </w:p>
        </w:tc>
      </w:tr>
    </w:tbl>
    <w:p>
      <w:pPr>
        <w:spacing w:after="0" w:line="255" w:lineRule="exact"/>
        <w:rPr>
          <w:rFonts w:ascii="黑体" w:eastAsia="黑体" w:hint="eastAsia"/>
          <w:sz w:val="21"/>
        </w:rPr>
        <w:sectPr>
          <w:pgSz w:w="11910" w:h="16840"/>
          <w:pgMar w:top="1160" w:bottom="280" w:left="820" w:right="6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
        <w:gridCol w:w="1585"/>
        <w:gridCol w:w="7824"/>
      </w:tblGrid>
      <w:tr>
        <w:trPr>
          <w:trHeight w:val="698" w:hRule="atLeast"/>
        </w:trPr>
        <w:tc>
          <w:tcPr>
            <w:tcW w:w="809" w:type="dxa"/>
          </w:tcPr>
          <w:p>
            <w:pPr>
              <w:pStyle w:val="TableParagraph"/>
              <w:spacing w:line="211" w:lineRule="exact" w:before="0"/>
              <w:ind w:left="200"/>
              <w:rPr>
                <w:b/>
                <w:sz w:val="21"/>
              </w:rPr>
            </w:pPr>
            <w:r>
              <w:rPr>
                <w:b/>
                <w:sz w:val="21"/>
              </w:rPr>
              <w:t>9.20</w:t>
            </w:r>
          </w:p>
        </w:tc>
        <w:tc>
          <w:tcPr>
            <w:tcW w:w="1585" w:type="dxa"/>
          </w:tcPr>
          <w:p>
            <w:pPr>
              <w:pStyle w:val="TableParagraph"/>
              <w:spacing w:line="211" w:lineRule="exact" w:before="0"/>
              <w:ind w:left="185"/>
              <w:rPr>
                <w:b/>
                <w:sz w:val="21"/>
              </w:rPr>
            </w:pPr>
            <w:r>
              <w:rPr>
                <w:b/>
                <w:sz w:val="21"/>
              </w:rPr>
              <w:t>严重Ⅲ度烧伤</w:t>
            </w:r>
          </w:p>
        </w:tc>
        <w:tc>
          <w:tcPr>
            <w:tcW w:w="7824" w:type="dxa"/>
          </w:tcPr>
          <w:p>
            <w:pPr>
              <w:pStyle w:val="TableParagraph"/>
              <w:spacing w:line="211" w:lineRule="exact" w:before="0"/>
              <w:rPr>
                <w:sz w:val="21"/>
              </w:rPr>
            </w:pPr>
            <w:r>
              <w:rPr>
                <w:sz w:val="21"/>
              </w:rPr>
              <w:t>指烧伤程度为Ⅲ度，且Ⅲ度烧伤的面积达到全身体表面积的 20％或 20％以上。体</w:t>
            </w:r>
          </w:p>
          <w:p>
            <w:pPr>
              <w:pStyle w:val="TableParagraph"/>
              <w:spacing w:before="37"/>
              <w:rPr>
                <w:sz w:val="21"/>
              </w:rPr>
            </w:pPr>
            <w:r>
              <w:rPr>
                <w:sz w:val="21"/>
              </w:rPr>
              <w:t>表面积根据《中国新九分法》计算。</w:t>
            </w:r>
          </w:p>
        </w:tc>
      </w:tr>
      <w:tr>
        <w:trPr>
          <w:trHeight w:val="1183" w:hRule="atLeast"/>
        </w:trPr>
        <w:tc>
          <w:tcPr>
            <w:tcW w:w="809" w:type="dxa"/>
          </w:tcPr>
          <w:p>
            <w:pPr>
              <w:pStyle w:val="TableParagraph"/>
              <w:ind w:left="200"/>
              <w:rPr>
                <w:b/>
                <w:sz w:val="21"/>
              </w:rPr>
            </w:pPr>
            <w:r>
              <w:rPr>
                <w:b/>
                <w:sz w:val="21"/>
              </w:rPr>
              <w:t>9.21</w:t>
            </w:r>
          </w:p>
        </w:tc>
        <w:tc>
          <w:tcPr>
            <w:tcW w:w="1585" w:type="dxa"/>
          </w:tcPr>
          <w:p>
            <w:pPr>
              <w:pStyle w:val="TableParagraph"/>
              <w:spacing w:line="271" w:lineRule="auto"/>
              <w:ind w:left="185" w:right="129"/>
              <w:rPr>
                <w:b/>
                <w:sz w:val="21"/>
              </w:rPr>
            </w:pPr>
            <w:r>
              <w:rPr>
                <w:b/>
                <w:sz w:val="21"/>
              </w:rPr>
              <w:t>严重原发性肺动脉高压</w:t>
            </w:r>
          </w:p>
        </w:tc>
        <w:tc>
          <w:tcPr>
            <w:tcW w:w="7824" w:type="dxa"/>
          </w:tcPr>
          <w:p>
            <w:pPr>
              <w:pStyle w:val="TableParagraph"/>
              <w:spacing w:line="271" w:lineRule="auto"/>
              <w:ind w:right="301"/>
              <w:jc w:val="both"/>
              <w:rPr>
                <w:sz w:val="21"/>
              </w:rPr>
            </w:pPr>
            <w:r>
              <w:rPr>
                <w:spacing w:val="-3"/>
                <w:sz w:val="21"/>
              </w:rPr>
              <w:t>指不明原因的肺动脉压力持续性增高，进行性发展而导致的慢性疾病，已经造成</w:t>
            </w:r>
            <w:r>
              <w:rPr>
                <w:spacing w:val="-6"/>
                <w:sz w:val="21"/>
              </w:rPr>
              <w:t>永久不可逆性的体力活动能力受限，达到美国纽约心脏病学会心功能状态分级 </w:t>
            </w:r>
            <w:r>
              <w:rPr>
                <w:sz w:val="21"/>
              </w:rPr>
              <w:t>IV </w:t>
            </w:r>
            <w:r>
              <w:rPr>
                <w:spacing w:val="-5"/>
                <w:sz w:val="21"/>
              </w:rPr>
              <w:t>级，且静息状态下肺动脉平均压超过 </w:t>
            </w:r>
            <w:r>
              <w:rPr>
                <w:sz w:val="21"/>
              </w:rPr>
              <w:t>30mmHg。</w:t>
            </w:r>
          </w:p>
        </w:tc>
      </w:tr>
      <w:tr>
        <w:trPr>
          <w:trHeight w:val="1184" w:hRule="atLeast"/>
        </w:trPr>
        <w:tc>
          <w:tcPr>
            <w:tcW w:w="809" w:type="dxa"/>
          </w:tcPr>
          <w:p>
            <w:pPr>
              <w:pStyle w:val="TableParagraph"/>
              <w:ind w:left="200"/>
              <w:rPr>
                <w:b/>
                <w:sz w:val="21"/>
              </w:rPr>
            </w:pPr>
            <w:r>
              <w:rPr>
                <w:b/>
                <w:sz w:val="21"/>
              </w:rPr>
              <w:t>9.22</w:t>
            </w:r>
          </w:p>
        </w:tc>
        <w:tc>
          <w:tcPr>
            <w:tcW w:w="1585" w:type="dxa"/>
          </w:tcPr>
          <w:p>
            <w:pPr>
              <w:pStyle w:val="TableParagraph"/>
              <w:spacing w:line="273" w:lineRule="auto"/>
              <w:ind w:left="185" w:right="129"/>
              <w:rPr>
                <w:b/>
                <w:sz w:val="21"/>
              </w:rPr>
            </w:pPr>
            <w:r>
              <w:rPr>
                <w:b/>
                <w:sz w:val="21"/>
              </w:rPr>
              <w:t>严重运动神经元病</w:t>
            </w:r>
          </w:p>
        </w:tc>
        <w:tc>
          <w:tcPr>
            <w:tcW w:w="7824" w:type="dxa"/>
          </w:tcPr>
          <w:p>
            <w:pPr>
              <w:pStyle w:val="TableParagraph"/>
              <w:spacing w:line="273" w:lineRule="auto"/>
              <w:ind w:right="33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62" w:hRule="atLeast"/>
        </w:trPr>
        <w:tc>
          <w:tcPr>
            <w:tcW w:w="809" w:type="dxa"/>
          </w:tcPr>
          <w:p>
            <w:pPr>
              <w:pStyle w:val="TableParagraph"/>
              <w:spacing w:before="110"/>
              <w:ind w:left="200"/>
              <w:rPr>
                <w:b/>
                <w:sz w:val="21"/>
              </w:rPr>
            </w:pPr>
            <w:r>
              <w:rPr>
                <w:b/>
                <w:sz w:val="21"/>
              </w:rPr>
              <w:t>9.23</w:t>
            </w:r>
          </w:p>
        </w:tc>
        <w:tc>
          <w:tcPr>
            <w:tcW w:w="1585" w:type="dxa"/>
          </w:tcPr>
          <w:p>
            <w:pPr>
              <w:pStyle w:val="TableParagraph"/>
              <w:spacing w:before="110"/>
              <w:ind w:left="185"/>
              <w:rPr>
                <w:b/>
                <w:sz w:val="21"/>
              </w:rPr>
            </w:pPr>
            <w:r>
              <w:rPr>
                <w:b/>
                <w:sz w:val="21"/>
              </w:rPr>
              <w:t>语言能力丧失</w:t>
            </w:r>
          </w:p>
        </w:tc>
        <w:tc>
          <w:tcPr>
            <w:tcW w:w="7824" w:type="dxa"/>
          </w:tcPr>
          <w:p>
            <w:pPr>
              <w:pStyle w:val="TableParagraph"/>
              <w:spacing w:line="273" w:lineRule="auto" w:before="110"/>
              <w:ind w:right="303"/>
              <w:rPr>
                <w:sz w:val="21"/>
              </w:rPr>
            </w:pPr>
            <w:r>
              <w:rPr>
                <w:spacing w:val="-7"/>
                <w:sz w:val="21"/>
              </w:rPr>
              <w:t>指因疾病或意外伤害导致完全丧失语言能力，经过积极治疗至少 </w:t>
            </w:r>
            <w:r>
              <w:rPr>
                <w:sz w:val="21"/>
              </w:rPr>
              <w:t>12</w:t>
            </w:r>
            <w:r>
              <w:rPr>
                <w:spacing w:val="-26"/>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86"/>
              <w:rPr>
                <w:rFonts w:ascii="黑体" w:eastAsia="黑体" w:hint="eastAsia"/>
                <w:sz w:val="21"/>
              </w:rPr>
            </w:pPr>
            <w:r>
              <w:rPr>
                <w:rFonts w:ascii="黑体" w:eastAsia="黑体" w:hint="eastAsia"/>
                <w:sz w:val="21"/>
              </w:rPr>
              <w:t>精神心理因素所致的语言能力丧失不在保障范围内。</w:t>
            </w:r>
          </w:p>
        </w:tc>
      </w:tr>
      <w:tr>
        <w:trPr>
          <w:trHeight w:val="2822" w:hRule="atLeast"/>
        </w:trPr>
        <w:tc>
          <w:tcPr>
            <w:tcW w:w="809" w:type="dxa"/>
          </w:tcPr>
          <w:p>
            <w:pPr>
              <w:pStyle w:val="TableParagraph"/>
              <w:spacing w:before="110"/>
              <w:ind w:left="200"/>
              <w:rPr>
                <w:b/>
                <w:sz w:val="21"/>
              </w:rPr>
            </w:pPr>
            <w:r>
              <w:rPr>
                <w:b/>
                <w:sz w:val="21"/>
              </w:rPr>
              <w:t>9.24</w:t>
            </w:r>
          </w:p>
        </w:tc>
        <w:tc>
          <w:tcPr>
            <w:tcW w:w="1585" w:type="dxa"/>
          </w:tcPr>
          <w:p>
            <w:pPr>
              <w:pStyle w:val="TableParagraph"/>
              <w:spacing w:line="273" w:lineRule="auto" w:before="110"/>
              <w:ind w:left="185" w:right="129"/>
              <w:rPr>
                <w:b/>
                <w:sz w:val="21"/>
              </w:rPr>
            </w:pPr>
            <w:r>
              <w:rPr>
                <w:b/>
                <w:sz w:val="21"/>
              </w:rPr>
              <w:t>重型再生障碍性贫血</w:t>
            </w:r>
          </w:p>
        </w:tc>
        <w:tc>
          <w:tcPr>
            <w:tcW w:w="7824" w:type="dxa"/>
          </w:tcPr>
          <w:p>
            <w:pPr>
              <w:pStyle w:val="TableParagraph"/>
              <w:spacing w:line="273" w:lineRule="auto" w:before="110"/>
              <w:ind w:right="332"/>
              <w:rPr>
                <w:sz w:val="21"/>
              </w:rPr>
            </w:pPr>
            <w:r>
              <w:rPr>
                <w:sz w:val="21"/>
              </w:rPr>
              <w:t>指因骨髓造血功能慢性持续性衰竭导致的贫血、中性粒细胞减少及血小板减少。须满足下列全部条件：</w:t>
            </w:r>
          </w:p>
          <w:p>
            <w:pPr>
              <w:pStyle w:val="TableParagraph"/>
              <w:numPr>
                <w:ilvl w:val="0"/>
                <w:numId w:val="21"/>
              </w:numPr>
              <w:tabs>
                <w:tab w:pos="869" w:val="left" w:leader="none"/>
                <w:tab w:pos="870" w:val="left" w:leader="none"/>
              </w:tabs>
              <w:spacing w:line="240" w:lineRule="auto" w:before="86" w:after="0"/>
              <w:ind w:left="869" w:right="0" w:hanging="737"/>
              <w:jc w:val="left"/>
              <w:rPr>
                <w:sz w:val="21"/>
              </w:rPr>
            </w:pPr>
            <w:r>
              <w:rPr>
                <w:spacing w:val="-3"/>
                <w:sz w:val="21"/>
              </w:rPr>
              <w:t>骨髓穿刺检查或骨髓活检结果支持诊断；</w:t>
            </w:r>
          </w:p>
          <w:p>
            <w:pPr>
              <w:pStyle w:val="TableParagraph"/>
              <w:numPr>
                <w:ilvl w:val="0"/>
                <w:numId w:val="21"/>
              </w:numPr>
              <w:tabs>
                <w:tab w:pos="869" w:val="left" w:leader="none"/>
                <w:tab w:pos="870" w:val="left" w:leader="none"/>
              </w:tabs>
              <w:spacing w:line="240" w:lineRule="auto" w:before="113" w:after="0"/>
              <w:ind w:left="869" w:right="0" w:hanging="737"/>
              <w:jc w:val="left"/>
              <w:rPr>
                <w:sz w:val="21"/>
              </w:rPr>
            </w:pPr>
            <w:r>
              <w:rPr>
                <w:spacing w:val="-3"/>
                <w:sz w:val="21"/>
              </w:rPr>
              <w:t>外周血象须具备以下三项条件：</w:t>
            </w:r>
          </w:p>
          <w:p>
            <w:pPr>
              <w:pStyle w:val="TableParagraph"/>
              <w:spacing w:before="116"/>
              <w:ind w:left="845"/>
              <w:rPr>
                <w:sz w:val="21"/>
              </w:rPr>
            </w:pPr>
            <w:r>
              <w:rPr>
                <w:sz w:val="21"/>
              </w:rPr>
              <w:t>① 中性粒细胞绝对值≤0.5×10</w:t>
            </w:r>
            <w:r>
              <w:rPr>
                <w:position w:val="11"/>
                <w:sz w:val="11"/>
              </w:rPr>
              <w:t>9</w:t>
            </w:r>
            <w:r>
              <w:rPr>
                <w:sz w:val="21"/>
              </w:rPr>
              <w:t>/L ；</w:t>
            </w:r>
          </w:p>
          <w:p>
            <w:pPr>
              <w:pStyle w:val="TableParagraph"/>
              <w:spacing w:before="114"/>
              <w:ind w:left="845"/>
              <w:rPr>
                <w:sz w:val="21"/>
              </w:rPr>
            </w:pPr>
            <w:r>
              <w:rPr>
                <w:sz w:val="21"/>
              </w:rPr>
              <w:t>② 网织红细胞＜1%；</w:t>
            </w:r>
          </w:p>
          <w:p>
            <w:pPr>
              <w:pStyle w:val="TableParagraph"/>
              <w:spacing w:before="116"/>
              <w:ind w:left="845"/>
              <w:rPr>
                <w:sz w:val="21"/>
              </w:rPr>
            </w:pPr>
            <w:r>
              <w:rPr>
                <w:sz w:val="21"/>
              </w:rPr>
              <w:t>③ 血小板绝对值≤20×10</w:t>
            </w:r>
            <w:r>
              <w:rPr>
                <w:position w:val="11"/>
                <w:sz w:val="11"/>
              </w:rPr>
              <w:t>9</w:t>
            </w:r>
            <w:r>
              <w:rPr>
                <w:sz w:val="21"/>
              </w:rPr>
              <w:t>/L。</w:t>
            </w:r>
          </w:p>
        </w:tc>
      </w:tr>
      <w:tr>
        <w:trPr>
          <w:trHeight w:val="1574" w:hRule="atLeast"/>
        </w:trPr>
        <w:tc>
          <w:tcPr>
            <w:tcW w:w="809" w:type="dxa"/>
          </w:tcPr>
          <w:p>
            <w:pPr>
              <w:pStyle w:val="TableParagraph"/>
              <w:spacing w:before="110"/>
              <w:ind w:left="200"/>
              <w:rPr>
                <w:b/>
                <w:sz w:val="21"/>
              </w:rPr>
            </w:pPr>
            <w:r>
              <w:rPr>
                <w:b/>
                <w:sz w:val="21"/>
              </w:rPr>
              <w:t>9.25</w:t>
            </w:r>
          </w:p>
        </w:tc>
        <w:tc>
          <w:tcPr>
            <w:tcW w:w="1585" w:type="dxa"/>
          </w:tcPr>
          <w:p>
            <w:pPr>
              <w:pStyle w:val="TableParagraph"/>
              <w:spacing w:before="110"/>
              <w:ind w:left="185"/>
              <w:rPr>
                <w:b/>
                <w:sz w:val="21"/>
              </w:rPr>
            </w:pPr>
            <w:r>
              <w:rPr>
                <w:b/>
                <w:sz w:val="21"/>
              </w:rPr>
              <w:t>主动脉手术</w:t>
            </w:r>
          </w:p>
        </w:tc>
        <w:tc>
          <w:tcPr>
            <w:tcW w:w="7824" w:type="dxa"/>
          </w:tcPr>
          <w:p>
            <w:pPr>
              <w:pStyle w:val="TableParagraph"/>
              <w:spacing w:line="273" w:lineRule="auto" w:before="110"/>
              <w:ind w:right="33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87"/>
              <w:jc w:val="both"/>
              <w:rPr>
                <w:sz w:val="21"/>
              </w:rPr>
            </w:pPr>
            <w:r>
              <w:rPr>
                <w:rFonts w:ascii="黑体" w:eastAsia="黑体" w:hint="eastAsia"/>
                <w:sz w:val="21"/>
              </w:rPr>
              <w:t>动脉内血管成形术不在保障范围内</w:t>
            </w:r>
            <w:r>
              <w:rPr>
                <w:sz w:val="21"/>
              </w:rPr>
              <w:t>。</w:t>
            </w:r>
          </w:p>
        </w:tc>
      </w:tr>
      <w:tr>
        <w:trPr>
          <w:trHeight w:val="1813" w:hRule="atLeast"/>
        </w:trPr>
        <w:tc>
          <w:tcPr>
            <w:tcW w:w="809" w:type="dxa"/>
          </w:tcPr>
          <w:p>
            <w:pPr>
              <w:pStyle w:val="TableParagraph"/>
              <w:spacing w:before="110"/>
              <w:ind w:left="200"/>
              <w:rPr>
                <w:b/>
                <w:sz w:val="21"/>
              </w:rPr>
            </w:pPr>
            <w:r>
              <w:rPr>
                <w:b/>
                <w:sz w:val="21"/>
              </w:rPr>
              <w:t>9.26</w:t>
            </w:r>
          </w:p>
        </w:tc>
        <w:tc>
          <w:tcPr>
            <w:tcW w:w="1585" w:type="dxa"/>
          </w:tcPr>
          <w:p>
            <w:pPr>
              <w:pStyle w:val="TableParagraph"/>
              <w:spacing w:before="110"/>
              <w:ind w:left="185"/>
              <w:rPr>
                <w:b/>
                <w:sz w:val="21"/>
              </w:rPr>
            </w:pPr>
            <w:r>
              <w:rPr>
                <w:b/>
                <w:sz w:val="21"/>
              </w:rPr>
              <w:t>多发性硬化</w:t>
            </w:r>
          </w:p>
        </w:tc>
        <w:tc>
          <w:tcPr>
            <w:tcW w:w="7824" w:type="dxa"/>
          </w:tcPr>
          <w:p>
            <w:pPr>
              <w:pStyle w:val="TableParagraph"/>
              <w:spacing w:line="271" w:lineRule="auto" w:before="110"/>
              <w:ind w:right="301"/>
              <w:rPr>
                <w:sz w:val="21"/>
              </w:rPr>
            </w:pPr>
            <w:r>
              <w:rPr>
                <w:spacing w:val="-6"/>
                <w:sz w:val="21"/>
              </w:rPr>
              <w:t>被保险人因脑及脊髓内的脱髓鞘病变而出现神经系统多灶性</w:t>
            </w:r>
            <w:r>
              <w:rPr>
                <w:spacing w:val="-3"/>
                <w:sz w:val="21"/>
              </w:rPr>
              <w:t>（</w:t>
            </w:r>
            <w:r>
              <w:rPr>
                <w:spacing w:val="-2"/>
                <w:sz w:val="21"/>
              </w:rPr>
              <w:t>多发性</w:t>
            </w:r>
            <w:r>
              <w:rPr>
                <w:spacing w:val="-60"/>
                <w:sz w:val="21"/>
              </w:rPr>
              <w:t>）</w:t>
            </w:r>
            <w:r>
              <w:rPr>
                <w:spacing w:val="-23"/>
                <w:sz w:val="21"/>
              </w:rPr>
              <w:t>多时相</w:t>
            </w:r>
            <w:r>
              <w:rPr>
                <w:sz w:val="21"/>
              </w:rPr>
              <w:t>（至</w:t>
            </w:r>
            <w:r>
              <w:rPr>
                <w:spacing w:val="-17"/>
                <w:sz w:val="21"/>
              </w:rPr>
              <w:t>少 </w:t>
            </w:r>
            <w:r>
              <w:rPr>
                <w:rFonts w:ascii="Times New Roman" w:eastAsia="Times New Roman"/>
                <w:sz w:val="21"/>
              </w:rPr>
              <w:t>6 </w:t>
            </w:r>
            <w:r>
              <w:rPr>
                <w:spacing w:val="-3"/>
                <w:sz w:val="21"/>
              </w:rPr>
              <w:t>个月以内有一次以上</w:t>
            </w:r>
            <w:r>
              <w:rPr>
                <w:sz w:val="21"/>
              </w:rPr>
              <w:t>（</w:t>
            </w:r>
            <w:r>
              <w:rPr>
                <w:spacing w:val="-3"/>
                <w:sz w:val="21"/>
              </w:rPr>
              <w:t>不包含一次）</w:t>
            </w:r>
            <w:r>
              <w:rPr>
                <w:spacing w:val="-2"/>
                <w:sz w:val="21"/>
              </w:rPr>
              <w:t>的发作</w:t>
            </w:r>
            <w:r>
              <w:rPr>
                <w:spacing w:val="-3"/>
                <w:sz w:val="21"/>
              </w:rPr>
              <w:t>）的病变，须由计算机断层扫描</w:t>
            </w:r>
          </w:p>
          <w:p>
            <w:pPr>
              <w:pStyle w:val="TableParagraph"/>
              <w:spacing w:line="264" w:lineRule="auto" w:before="0"/>
              <w:ind w:right="198"/>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2"/>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34"/>
                <w:w w:val="100"/>
                <w:sz w:val="21"/>
              </w:rPr>
              <w:t>）</w:t>
            </w:r>
            <w:r>
              <w:rPr>
                <w:spacing w:val="-7"/>
                <w:w w:val="100"/>
                <w:sz w:val="21"/>
              </w:rPr>
              <w:t>或正电子发射断层扫描</w:t>
            </w:r>
            <w:r>
              <w:rPr>
                <w:spacing w:val="-3"/>
                <w:w w:val="100"/>
                <w:sz w:val="21"/>
              </w:rPr>
              <w:t>（</w:t>
            </w:r>
            <w:r>
              <w:rPr>
                <w:rFonts w:ascii="Times New Roman" w:eastAsia="Times New Roman"/>
                <w:w w:val="100"/>
                <w:sz w:val="21"/>
              </w:rPr>
              <w:t>PE</w:t>
            </w:r>
            <w:r>
              <w:rPr>
                <w:rFonts w:ascii="Times New Roman" w:eastAsia="Times New Roman"/>
                <w:spacing w:val="-2"/>
                <w:w w:val="100"/>
                <w:sz w:val="21"/>
              </w:rPr>
              <w:t>T</w:t>
            </w:r>
            <w:r>
              <w:rPr>
                <w:spacing w:val="-34"/>
                <w:w w:val="100"/>
                <w:sz w:val="21"/>
              </w:rPr>
              <w:t>）</w:t>
            </w:r>
            <w:r>
              <w:rPr>
                <w:spacing w:val="-3"/>
                <w:w w:val="100"/>
                <w:sz w:val="21"/>
              </w:rPr>
              <w:t>等影像学检查证实，</w:t>
            </w:r>
            <w:r>
              <w:rPr>
                <w:spacing w:val="-3"/>
                <w:sz w:val="21"/>
              </w:rPr>
              <w:t>且已经造成自主生活能力完全丧失，无法独立完成六项基本日常生活活动中的三</w:t>
            </w:r>
            <w:r>
              <w:rPr>
                <w:spacing w:val="-7"/>
                <w:sz w:val="21"/>
              </w:rPr>
              <w:t>项或三项以上，持续至少 </w:t>
            </w:r>
            <w:r>
              <w:rPr>
                <w:rFonts w:ascii="Times New Roman" w:eastAsia="Times New Roman"/>
                <w:sz w:val="21"/>
              </w:rPr>
              <w:t>180 </w:t>
            </w:r>
            <w:r>
              <w:rPr>
                <w:spacing w:val="-3"/>
                <w:sz w:val="21"/>
              </w:rPr>
              <w:t>天。</w:t>
            </w:r>
          </w:p>
        </w:tc>
      </w:tr>
      <w:tr>
        <w:trPr>
          <w:trHeight w:val="2114" w:hRule="atLeast"/>
        </w:trPr>
        <w:tc>
          <w:tcPr>
            <w:tcW w:w="809" w:type="dxa"/>
          </w:tcPr>
          <w:p>
            <w:pPr>
              <w:pStyle w:val="TableParagraph"/>
              <w:spacing w:before="103"/>
              <w:ind w:left="200"/>
              <w:rPr>
                <w:b/>
                <w:sz w:val="21"/>
              </w:rPr>
            </w:pPr>
            <w:r>
              <w:rPr>
                <w:b/>
                <w:sz w:val="21"/>
              </w:rPr>
              <w:t>9.27</w:t>
            </w:r>
          </w:p>
        </w:tc>
        <w:tc>
          <w:tcPr>
            <w:tcW w:w="1585" w:type="dxa"/>
          </w:tcPr>
          <w:p>
            <w:pPr>
              <w:pStyle w:val="TableParagraph"/>
              <w:spacing w:before="103"/>
              <w:ind w:left="185"/>
              <w:rPr>
                <w:b/>
                <w:sz w:val="21"/>
              </w:rPr>
            </w:pPr>
            <w:r>
              <w:rPr>
                <w:b/>
                <w:sz w:val="21"/>
              </w:rPr>
              <w:t>终末期肺病</w:t>
            </w:r>
          </w:p>
        </w:tc>
        <w:tc>
          <w:tcPr>
            <w:tcW w:w="7824" w:type="dxa"/>
          </w:tcPr>
          <w:p>
            <w:pPr>
              <w:pStyle w:val="TableParagraph"/>
              <w:spacing w:before="103"/>
              <w:rPr>
                <w:sz w:val="21"/>
              </w:rPr>
            </w:pPr>
            <w:r>
              <w:rPr>
                <w:sz w:val="21"/>
              </w:rPr>
              <w:t>被保险人患有终末期肺病而出现慢性呼吸功能衰竭，须满足下列全部条件：</w:t>
            </w:r>
          </w:p>
          <w:p>
            <w:pPr>
              <w:pStyle w:val="TableParagraph"/>
              <w:numPr>
                <w:ilvl w:val="0"/>
                <w:numId w:val="22"/>
              </w:numPr>
              <w:tabs>
                <w:tab w:pos="869" w:val="left" w:leader="none"/>
                <w:tab w:pos="870" w:val="left" w:leader="none"/>
              </w:tabs>
              <w:spacing w:line="240" w:lineRule="auto" w:before="116" w:after="0"/>
              <w:ind w:left="869" w:right="0" w:hanging="737"/>
              <w:jc w:val="left"/>
              <w:rPr>
                <w:sz w:val="21"/>
              </w:rPr>
            </w:pPr>
            <w:r>
              <w:rPr>
                <w:spacing w:val="-10"/>
                <w:sz w:val="21"/>
              </w:rPr>
              <w:t>肺功能测试其 </w:t>
            </w:r>
            <w:r>
              <w:rPr>
                <w:sz w:val="21"/>
              </w:rPr>
              <w:t>FEV1</w:t>
            </w:r>
            <w:r>
              <w:rPr>
                <w:spacing w:val="-19"/>
                <w:sz w:val="21"/>
              </w:rPr>
              <w:t> 持续低于 </w:t>
            </w:r>
            <w:r>
              <w:rPr>
                <w:sz w:val="21"/>
              </w:rPr>
              <w:t>0.75</w:t>
            </w:r>
            <w:r>
              <w:rPr>
                <w:spacing w:val="-19"/>
                <w:sz w:val="21"/>
              </w:rPr>
              <w:t> 升；</w:t>
            </w:r>
          </w:p>
          <w:p>
            <w:pPr>
              <w:pStyle w:val="TableParagraph"/>
              <w:numPr>
                <w:ilvl w:val="0"/>
                <w:numId w:val="22"/>
              </w:numPr>
              <w:tabs>
                <w:tab w:pos="869" w:val="left" w:leader="none"/>
                <w:tab w:pos="870" w:val="left" w:leader="none"/>
              </w:tabs>
              <w:spacing w:line="240" w:lineRule="auto" w:before="114" w:after="0"/>
              <w:ind w:left="869" w:right="0" w:hanging="737"/>
              <w:jc w:val="left"/>
              <w:rPr>
                <w:sz w:val="21"/>
              </w:rPr>
            </w:pPr>
            <w:r>
              <w:rPr>
                <w:spacing w:val="-3"/>
                <w:sz w:val="21"/>
              </w:rPr>
              <w:t>病人缺氧必须广泛而持续地进行输氧治疗；</w:t>
            </w:r>
          </w:p>
          <w:p>
            <w:pPr>
              <w:pStyle w:val="TableParagraph"/>
              <w:numPr>
                <w:ilvl w:val="0"/>
                <w:numId w:val="22"/>
              </w:numPr>
              <w:tabs>
                <w:tab w:pos="869" w:val="left" w:leader="none"/>
                <w:tab w:pos="870" w:val="left" w:leader="none"/>
              </w:tabs>
              <w:spacing w:line="240" w:lineRule="auto" w:before="117" w:after="0"/>
              <w:ind w:left="869" w:right="0" w:hanging="737"/>
              <w:jc w:val="left"/>
              <w:rPr>
                <w:sz w:val="21"/>
              </w:rPr>
            </w:pPr>
            <w:r>
              <w:rPr>
                <w:spacing w:val="-7"/>
                <w:sz w:val="21"/>
              </w:rPr>
              <w:t>动脉血气分析氧分压低于 </w:t>
            </w:r>
            <w:r>
              <w:rPr>
                <w:sz w:val="21"/>
              </w:rPr>
              <w:t>55mmHg。</w:t>
            </w:r>
          </w:p>
          <w:p>
            <w:pPr>
              <w:pStyle w:val="TableParagraph"/>
              <w:spacing w:before="114"/>
              <w:rPr>
                <w:sz w:val="21"/>
              </w:rPr>
            </w:pPr>
            <w:r>
              <w:rPr>
                <w:sz w:val="21"/>
              </w:rPr>
              <w:t>理赔时必须提供以上三项相应的证明文件或检查报告。</w:t>
            </w:r>
          </w:p>
        </w:tc>
      </w:tr>
      <w:tr>
        <w:trPr>
          <w:trHeight w:val="1478" w:hRule="atLeast"/>
        </w:trPr>
        <w:tc>
          <w:tcPr>
            <w:tcW w:w="809" w:type="dxa"/>
          </w:tcPr>
          <w:p>
            <w:pPr>
              <w:pStyle w:val="TableParagraph"/>
              <w:ind w:left="200"/>
              <w:rPr>
                <w:b/>
                <w:sz w:val="21"/>
              </w:rPr>
            </w:pPr>
            <w:r>
              <w:rPr>
                <w:b/>
                <w:sz w:val="21"/>
              </w:rPr>
              <w:t>9.28</w:t>
            </w:r>
          </w:p>
        </w:tc>
        <w:tc>
          <w:tcPr>
            <w:tcW w:w="1585" w:type="dxa"/>
          </w:tcPr>
          <w:p>
            <w:pPr>
              <w:pStyle w:val="TableParagraph"/>
              <w:ind w:left="185"/>
              <w:rPr>
                <w:b/>
                <w:sz w:val="21"/>
              </w:rPr>
            </w:pPr>
            <w:r>
              <w:rPr>
                <w:b/>
                <w:sz w:val="21"/>
              </w:rPr>
              <w:t>颅脑手术</w:t>
            </w:r>
          </w:p>
        </w:tc>
        <w:tc>
          <w:tcPr>
            <w:tcW w:w="7824" w:type="dxa"/>
          </w:tcPr>
          <w:p>
            <w:pPr>
              <w:pStyle w:val="TableParagraph"/>
              <w:spacing w:line="271" w:lineRule="auto"/>
              <w:ind w:right="544"/>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88"/>
              <w:rPr>
                <w:sz w:val="21"/>
              </w:rPr>
            </w:pPr>
            <w:r>
              <w:rPr>
                <w:sz w:val="21"/>
              </w:rPr>
              <w:t>因外伤而实施的脑外科手术不在保障范围之内。</w:t>
            </w:r>
          </w:p>
          <w:p>
            <w:pPr>
              <w:pStyle w:val="TableParagraph"/>
              <w:spacing w:line="255" w:lineRule="exact" w:before="116"/>
              <w:rPr>
                <w:sz w:val="21"/>
              </w:rPr>
            </w:pPr>
            <w:r>
              <w:rPr>
                <w:sz w:val="21"/>
              </w:rPr>
              <w:t>理赔时必须提供由神经外科医生出具的诊断书及手术报告。</w:t>
            </w:r>
          </w:p>
        </w:tc>
      </w:tr>
    </w:tbl>
    <w:p>
      <w:pPr>
        <w:spacing w:after="0" w:line="255" w:lineRule="exact"/>
        <w:rPr>
          <w:sz w:val="21"/>
        </w:rPr>
        <w:sectPr>
          <w:pgSz w:w="11910" w:h="16840"/>
          <w:pgMar w:top="1240" w:bottom="280" w:left="820" w:right="64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0"/>
        <w:gridCol w:w="1533"/>
        <w:gridCol w:w="7624"/>
      </w:tblGrid>
      <w:tr>
        <w:trPr>
          <w:trHeight w:val="1399" w:hRule="atLeast"/>
        </w:trPr>
        <w:tc>
          <w:tcPr>
            <w:tcW w:w="770" w:type="dxa"/>
          </w:tcPr>
          <w:p>
            <w:pPr>
              <w:pStyle w:val="TableParagraph"/>
              <w:spacing w:line="211" w:lineRule="exact" w:before="0"/>
              <w:ind w:left="107"/>
              <w:rPr>
                <w:b/>
                <w:sz w:val="21"/>
              </w:rPr>
            </w:pPr>
            <w:r>
              <w:rPr>
                <w:b/>
                <w:sz w:val="21"/>
              </w:rPr>
              <w:t>9.29</w:t>
            </w:r>
          </w:p>
        </w:tc>
        <w:tc>
          <w:tcPr>
            <w:tcW w:w="1533" w:type="dxa"/>
          </w:tcPr>
          <w:p>
            <w:pPr>
              <w:pStyle w:val="TableParagraph"/>
              <w:spacing w:line="211" w:lineRule="exact" w:before="0"/>
              <w:ind w:left="132"/>
              <w:rPr>
                <w:b/>
                <w:sz w:val="21"/>
              </w:rPr>
            </w:pPr>
            <w:r>
              <w:rPr>
                <w:b/>
                <w:sz w:val="21"/>
              </w:rPr>
              <w:t>脊髓灰质炎</w:t>
            </w:r>
          </w:p>
        </w:tc>
        <w:tc>
          <w:tcPr>
            <w:tcW w:w="7624" w:type="dxa"/>
          </w:tcPr>
          <w:p>
            <w:pPr>
              <w:pStyle w:val="TableParagraph"/>
              <w:spacing w:line="211" w:lineRule="exact" w:before="0"/>
              <w:ind w:left="130"/>
              <w:rPr>
                <w:sz w:val="21"/>
              </w:rPr>
            </w:pPr>
            <w:r>
              <w:rPr>
                <w:sz w:val="21"/>
              </w:rPr>
              <w:t>指由我们认可的神经专科医生确认是因脊髓灰质病毒感染以致表现出运动功能障</w:t>
            </w:r>
          </w:p>
          <w:p>
            <w:pPr>
              <w:pStyle w:val="TableParagraph"/>
              <w:spacing w:before="37"/>
              <w:ind w:left="130"/>
              <w:rPr>
                <w:sz w:val="21"/>
              </w:rPr>
            </w:pPr>
            <w:r>
              <w:rPr>
                <w:sz w:val="21"/>
              </w:rPr>
              <w:t>碍或呼吸功能减弱，并造成瘫痪。</w:t>
            </w:r>
          </w:p>
          <w:p>
            <w:pPr>
              <w:pStyle w:val="TableParagraph"/>
              <w:spacing w:line="271" w:lineRule="auto" w:before="116"/>
              <w:ind w:left="130" w:right="133"/>
              <w:rPr>
                <w:sz w:val="21"/>
              </w:rPr>
            </w:pPr>
            <w:r>
              <w:rPr>
                <w:sz w:val="21"/>
              </w:rPr>
              <w:t>非脊髓灰质炎感染导致的麻痹性瘫痪，以及其它病因导致的麻痹，例如格林巴利综合征不在保障范围内。</w:t>
            </w:r>
          </w:p>
        </w:tc>
      </w:tr>
      <w:tr>
        <w:trPr>
          <w:trHeight w:val="1965" w:hRule="atLeast"/>
        </w:trPr>
        <w:tc>
          <w:tcPr>
            <w:tcW w:w="770" w:type="dxa"/>
          </w:tcPr>
          <w:p>
            <w:pPr>
              <w:pStyle w:val="TableParagraph"/>
              <w:ind w:left="107"/>
              <w:rPr>
                <w:b/>
                <w:sz w:val="21"/>
              </w:rPr>
            </w:pPr>
            <w:r>
              <w:rPr>
                <w:b/>
                <w:sz w:val="21"/>
              </w:rPr>
              <w:t>9.30</w:t>
            </w:r>
          </w:p>
        </w:tc>
        <w:tc>
          <w:tcPr>
            <w:tcW w:w="1533" w:type="dxa"/>
          </w:tcPr>
          <w:p>
            <w:pPr>
              <w:pStyle w:val="TableParagraph"/>
              <w:spacing w:line="273" w:lineRule="auto"/>
              <w:ind w:left="132" w:right="130"/>
              <w:rPr>
                <w:b/>
                <w:sz w:val="21"/>
              </w:rPr>
            </w:pPr>
            <w:r>
              <w:rPr>
                <w:b/>
                <w:sz w:val="21"/>
              </w:rPr>
              <w:t>严重肌营养不良症</w:t>
            </w:r>
          </w:p>
        </w:tc>
        <w:tc>
          <w:tcPr>
            <w:tcW w:w="7624" w:type="dxa"/>
          </w:tcPr>
          <w:p>
            <w:pPr>
              <w:pStyle w:val="TableParagraph"/>
              <w:spacing w:line="273" w:lineRule="auto"/>
              <w:ind w:left="130" w:right="133"/>
              <w:rPr>
                <w:sz w:val="21"/>
              </w:rPr>
            </w:pPr>
            <w:r>
              <w:rPr>
                <w:sz w:val="21"/>
              </w:rPr>
              <w:t>指一组原发于肌肉的遗传性疾病，临床表现为与神经系统无关的肌肉无力和肌肉萎缩。须满足下列全部条件：</w:t>
            </w:r>
          </w:p>
          <w:p>
            <w:pPr>
              <w:pStyle w:val="TableParagraph"/>
              <w:numPr>
                <w:ilvl w:val="0"/>
                <w:numId w:val="23"/>
              </w:numPr>
              <w:tabs>
                <w:tab w:pos="868" w:val="left" w:leader="none"/>
                <w:tab w:pos="869" w:val="left" w:leader="none"/>
              </w:tabs>
              <w:spacing w:line="240" w:lineRule="auto" w:before="86" w:after="0"/>
              <w:ind w:left="851" w:right="0" w:hanging="720"/>
              <w:jc w:val="left"/>
              <w:rPr>
                <w:sz w:val="21"/>
              </w:rPr>
            </w:pPr>
            <w:r>
              <w:rPr>
                <w:spacing w:val="-3"/>
                <w:sz w:val="21"/>
              </w:rPr>
              <w:t>肌肉组织活检结果满足肌营养不良症的肌肉细胞变性、坏死等阳性改变；</w:t>
            </w:r>
          </w:p>
          <w:p>
            <w:pPr>
              <w:pStyle w:val="TableParagraph"/>
              <w:numPr>
                <w:ilvl w:val="0"/>
                <w:numId w:val="23"/>
              </w:numPr>
              <w:tabs>
                <w:tab w:pos="833" w:val="left" w:leader="none"/>
              </w:tabs>
              <w:spacing w:line="273" w:lineRule="auto" w:before="113" w:after="0"/>
              <w:ind w:left="851" w:right="104" w:hanging="720"/>
              <w:jc w:val="left"/>
              <w:rPr>
                <w:sz w:val="21"/>
              </w:rPr>
            </w:pPr>
            <w:r>
              <w:rPr>
                <w:spacing w:val="-6"/>
                <w:sz w:val="21"/>
              </w:rPr>
              <w:t>自主生活能力完全丧失，无法独立完成六项基本日常生活活动中的三项或</w:t>
            </w:r>
            <w:r>
              <w:rPr>
                <w:spacing w:val="-4"/>
                <w:sz w:val="21"/>
              </w:rPr>
              <w:t>三项以上。</w:t>
            </w:r>
          </w:p>
        </w:tc>
      </w:tr>
      <w:tr>
        <w:trPr>
          <w:trHeight w:val="1183" w:hRule="atLeast"/>
        </w:trPr>
        <w:tc>
          <w:tcPr>
            <w:tcW w:w="770" w:type="dxa"/>
          </w:tcPr>
          <w:p>
            <w:pPr>
              <w:pStyle w:val="TableParagraph"/>
              <w:ind w:left="107"/>
              <w:rPr>
                <w:b/>
                <w:sz w:val="21"/>
              </w:rPr>
            </w:pPr>
            <w:r>
              <w:rPr>
                <w:b/>
                <w:sz w:val="21"/>
              </w:rPr>
              <w:t>9.31</w:t>
            </w:r>
          </w:p>
        </w:tc>
        <w:tc>
          <w:tcPr>
            <w:tcW w:w="1533" w:type="dxa"/>
          </w:tcPr>
          <w:p>
            <w:pPr>
              <w:pStyle w:val="TableParagraph"/>
              <w:spacing w:line="271" w:lineRule="auto"/>
              <w:ind w:left="132" w:right="130"/>
              <w:rPr>
                <w:b/>
                <w:sz w:val="21"/>
              </w:rPr>
            </w:pPr>
            <w:r>
              <w:rPr>
                <w:b/>
                <w:sz w:val="21"/>
              </w:rPr>
              <w:t>急性出血坏死性胰腺炎</w:t>
            </w:r>
          </w:p>
        </w:tc>
        <w:tc>
          <w:tcPr>
            <w:tcW w:w="7624" w:type="dxa"/>
          </w:tcPr>
          <w:p>
            <w:pPr>
              <w:pStyle w:val="TableParagraph"/>
              <w:spacing w:line="271" w:lineRule="auto"/>
              <w:ind w:left="130" w:right="133"/>
              <w:jc w:val="both"/>
              <w:rPr>
                <w:sz w:val="21"/>
              </w:rPr>
            </w:pPr>
            <w:r>
              <w:rPr>
                <w:sz w:val="21"/>
              </w:rPr>
              <w:t>指被保险人因为急性出血坏死性胰腺炎已经接受了外科开腹手术治疗，以进行坏死组织清除、坏死病灶切除或胰腺切除。因饮酒所致的急性出血坏死性胰腺炎或经腹腔镜手术进行的治疗不在保障范围内。</w:t>
            </w:r>
          </w:p>
        </w:tc>
      </w:tr>
      <w:tr>
        <w:trPr>
          <w:trHeight w:val="1219" w:hRule="atLeast"/>
        </w:trPr>
        <w:tc>
          <w:tcPr>
            <w:tcW w:w="770" w:type="dxa"/>
          </w:tcPr>
          <w:p>
            <w:pPr>
              <w:pStyle w:val="TableParagraph"/>
              <w:ind w:left="107"/>
              <w:rPr>
                <w:b/>
                <w:sz w:val="21"/>
              </w:rPr>
            </w:pPr>
            <w:r>
              <w:rPr>
                <w:b/>
                <w:sz w:val="21"/>
              </w:rPr>
              <w:t>9.32</w:t>
            </w:r>
          </w:p>
        </w:tc>
        <w:tc>
          <w:tcPr>
            <w:tcW w:w="1533" w:type="dxa"/>
          </w:tcPr>
          <w:p>
            <w:pPr>
              <w:pStyle w:val="TableParagraph"/>
              <w:ind w:left="132"/>
              <w:rPr>
                <w:b/>
                <w:sz w:val="21"/>
              </w:rPr>
            </w:pPr>
            <w:r>
              <w:rPr>
                <w:b/>
                <w:sz w:val="21"/>
              </w:rPr>
              <w:t>侵蚀性葡萄胎</w:t>
            </w:r>
          </w:p>
          <w:p>
            <w:pPr>
              <w:pStyle w:val="TableParagraph"/>
              <w:spacing w:line="273" w:lineRule="auto" w:before="34"/>
              <w:ind w:left="132" w:right="130"/>
              <w:rPr>
                <w:b/>
                <w:sz w:val="21"/>
              </w:rPr>
            </w:pPr>
            <w:r>
              <w:rPr>
                <w:b/>
                <w:sz w:val="21"/>
              </w:rPr>
              <w:t>（或称恶性葡萄胎）</w:t>
            </w:r>
          </w:p>
        </w:tc>
        <w:tc>
          <w:tcPr>
            <w:tcW w:w="7624" w:type="dxa"/>
          </w:tcPr>
          <w:p>
            <w:pPr>
              <w:pStyle w:val="TableParagraph"/>
              <w:spacing w:line="271" w:lineRule="auto"/>
              <w:ind w:left="130" w:right="133"/>
              <w:rPr>
                <w:sz w:val="21"/>
              </w:rPr>
            </w:pPr>
            <w:r>
              <w:rPr>
                <w:sz w:val="21"/>
              </w:rPr>
              <w:t>指异常增生的绒毛组织浸润性生长浸入子宫肌层或转移至其他器官或组织的葡萄胎，并已经进行化疗或手术治疗的。</w:t>
            </w:r>
          </w:p>
        </w:tc>
      </w:tr>
      <w:tr>
        <w:trPr>
          <w:trHeight w:val="577" w:hRule="atLeast"/>
        </w:trPr>
        <w:tc>
          <w:tcPr>
            <w:tcW w:w="770" w:type="dxa"/>
            <w:tcBorders>
              <w:bottom w:val="single" w:sz="8" w:space="0" w:color="000000"/>
            </w:tcBorders>
          </w:tcPr>
          <w:p>
            <w:pPr>
              <w:pStyle w:val="TableParagraph"/>
              <w:spacing w:before="136"/>
              <w:ind w:left="107"/>
              <w:rPr>
                <w:b/>
                <w:sz w:val="24"/>
              </w:rPr>
            </w:pPr>
            <w:r>
              <w:rPr>
                <w:b/>
                <w:sz w:val="24"/>
              </w:rPr>
              <w:t>10.</w:t>
            </w:r>
          </w:p>
        </w:tc>
        <w:tc>
          <w:tcPr>
            <w:tcW w:w="1533" w:type="dxa"/>
            <w:tcBorders>
              <w:bottom w:val="single" w:sz="8" w:space="0" w:color="000000"/>
            </w:tcBorders>
          </w:tcPr>
          <w:p>
            <w:pPr>
              <w:pStyle w:val="TableParagraph"/>
              <w:spacing w:before="136"/>
              <w:ind w:left="132"/>
              <w:rPr>
                <w:b/>
                <w:sz w:val="24"/>
              </w:rPr>
            </w:pPr>
            <w:r>
              <w:rPr>
                <w:b/>
                <w:sz w:val="24"/>
              </w:rPr>
              <w:t>释义</w:t>
            </w:r>
          </w:p>
        </w:tc>
        <w:tc>
          <w:tcPr>
            <w:tcW w:w="7624" w:type="dxa"/>
            <w:tcBorders>
              <w:bottom w:val="single" w:sz="8" w:space="0" w:color="000000"/>
            </w:tcBorders>
          </w:tcPr>
          <w:p>
            <w:pPr>
              <w:pStyle w:val="TableParagraph"/>
              <w:spacing w:before="0"/>
              <w:ind w:left="0"/>
              <w:rPr>
                <w:rFonts w:ascii="Times New Roman"/>
                <w:sz w:val="20"/>
              </w:rPr>
            </w:pPr>
          </w:p>
        </w:tc>
      </w:tr>
      <w:tr>
        <w:trPr>
          <w:trHeight w:val="665" w:hRule="atLeast"/>
        </w:trPr>
        <w:tc>
          <w:tcPr>
            <w:tcW w:w="770" w:type="dxa"/>
            <w:tcBorders>
              <w:top w:val="single" w:sz="8" w:space="0" w:color="000000"/>
            </w:tcBorders>
          </w:tcPr>
          <w:p>
            <w:pPr>
              <w:pStyle w:val="TableParagraph"/>
              <w:spacing w:before="5"/>
              <w:ind w:left="0"/>
              <w:rPr>
                <w:sz w:val="16"/>
              </w:rPr>
            </w:pPr>
          </w:p>
          <w:p>
            <w:pPr>
              <w:pStyle w:val="TableParagraph"/>
              <w:spacing w:before="0"/>
              <w:ind w:left="107"/>
              <w:rPr>
                <w:b/>
                <w:sz w:val="21"/>
              </w:rPr>
            </w:pPr>
            <w:r>
              <w:rPr>
                <w:b/>
                <w:sz w:val="21"/>
              </w:rPr>
              <w:t>10.1</w:t>
            </w:r>
          </w:p>
        </w:tc>
        <w:tc>
          <w:tcPr>
            <w:tcW w:w="1533" w:type="dxa"/>
            <w:tcBorders>
              <w:top w:val="single" w:sz="8" w:space="0" w:color="000000"/>
            </w:tcBorders>
          </w:tcPr>
          <w:p>
            <w:pPr>
              <w:pStyle w:val="TableParagraph"/>
              <w:spacing w:before="5"/>
              <w:ind w:left="0"/>
              <w:rPr>
                <w:sz w:val="16"/>
              </w:rPr>
            </w:pPr>
          </w:p>
          <w:p>
            <w:pPr>
              <w:pStyle w:val="TableParagraph"/>
              <w:spacing w:before="0"/>
              <w:ind w:left="132"/>
              <w:rPr>
                <w:b/>
                <w:sz w:val="21"/>
              </w:rPr>
            </w:pPr>
            <w:r>
              <w:rPr>
                <w:b/>
                <w:sz w:val="21"/>
              </w:rPr>
              <w:t>保单年度</w:t>
            </w:r>
          </w:p>
        </w:tc>
        <w:tc>
          <w:tcPr>
            <w:tcW w:w="7624" w:type="dxa"/>
            <w:tcBorders>
              <w:top w:val="single" w:sz="8" w:space="0" w:color="000000"/>
            </w:tcBorders>
          </w:tcPr>
          <w:p>
            <w:pPr>
              <w:pStyle w:val="TableParagraph"/>
              <w:spacing w:before="5"/>
              <w:ind w:left="0"/>
              <w:rPr>
                <w:sz w:val="16"/>
              </w:rPr>
            </w:pPr>
          </w:p>
          <w:p>
            <w:pPr>
              <w:pStyle w:val="TableParagraph"/>
              <w:spacing w:before="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10.2</w:t>
            </w:r>
          </w:p>
        </w:tc>
        <w:tc>
          <w:tcPr>
            <w:tcW w:w="1533" w:type="dxa"/>
          </w:tcPr>
          <w:p>
            <w:pPr>
              <w:pStyle w:val="TableParagraph"/>
              <w:spacing w:line="271" w:lineRule="auto"/>
              <w:ind w:left="132" w:right="130"/>
              <w:rPr>
                <w:b/>
                <w:sz w:val="21"/>
              </w:rPr>
            </w:pPr>
            <w:r>
              <w:rPr>
                <w:b/>
                <w:sz w:val="21"/>
              </w:rPr>
              <w:t>保险费约定交纳日</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ind w:left="107"/>
              <w:rPr>
                <w:b/>
                <w:sz w:val="21"/>
              </w:rPr>
            </w:pPr>
            <w:r>
              <w:rPr>
                <w:b/>
                <w:sz w:val="21"/>
              </w:rPr>
              <w:t>10.3</w:t>
            </w:r>
          </w:p>
        </w:tc>
        <w:tc>
          <w:tcPr>
            <w:tcW w:w="1533" w:type="dxa"/>
          </w:tcPr>
          <w:p>
            <w:pPr>
              <w:pStyle w:val="TableParagraph"/>
              <w:ind w:left="132"/>
              <w:rPr>
                <w:b/>
                <w:sz w:val="21"/>
              </w:rPr>
            </w:pPr>
            <w:r>
              <w:rPr>
                <w:b/>
                <w:sz w:val="21"/>
              </w:rPr>
              <w:t>周岁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10.4</w:t>
            </w:r>
          </w:p>
        </w:tc>
        <w:tc>
          <w:tcPr>
            <w:tcW w:w="1533" w:type="dxa"/>
          </w:tcPr>
          <w:p>
            <w:pPr>
              <w:pStyle w:val="TableParagraph"/>
              <w:spacing w:before="110"/>
              <w:ind w:left="132"/>
              <w:rPr>
                <w:b/>
                <w:sz w:val="21"/>
              </w:rPr>
            </w:pPr>
            <w:r>
              <w:rPr>
                <w:b/>
                <w:sz w:val="21"/>
              </w:rPr>
              <w:t>有效身份证件</w:t>
            </w:r>
          </w:p>
        </w:tc>
        <w:tc>
          <w:tcPr>
            <w:tcW w:w="7624" w:type="dxa"/>
          </w:tcPr>
          <w:p>
            <w:pPr>
              <w:pStyle w:val="TableParagraph"/>
              <w:spacing w:before="11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10.5</w:t>
            </w:r>
          </w:p>
        </w:tc>
        <w:tc>
          <w:tcPr>
            <w:tcW w:w="1533" w:type="dxa"/>
          </w:tcPr>
          <w:p>
            <w:pPr>
              <w:pStyle w:val="TableParagraph"/>
              <w:ind w:left="132"/>
              <w:rPr>
                <w:b/>
                <w:sz w:val="21"/>
              </w:rPr>
            </w:pPr>
            <w:r>
              <w:rPr>
                <w:b/>
                <w:sz w:val="21"/>
              </w:rPr>
              <w:t>医院</w:t>
            </w:r>
          </w:p>
        </w:tc>
        <w:tc>
          <w:tcPr>
            <w:tcW w:w="7624" w:type="dxa"/>
          </w:tcPr>
          <w:p>
            <w:pPr>
              <w:pStyle w:val="TableParagraph"/>
              <w:spacing w:line="271" w:lineRule="auto"/>
              <w:ind w:left="130" w:right="133"/>
              <w:rPr>
                <w:sz w:val="21"/>
              </w:rPr>
            </w:pPr>
            <w:r>
              <w:rPr>
                <w:sz w:val="21"/>
              </w:rPr>
              <w:t>指国家卫生部医院等级分类中的二级合格或二级合格以上的医院，但不包括主要作为康复、护理、疗养、戒酒、戒毒或相类似的医疗机构。</w:t>
            </w:r>
          </w:p>
        </w:tc>
      </w:tr>
      <w:tr>
        <w:trPr>
          <w:trHeight w:val="560" w:hRule="atLeast"/>
        </w:trPr>
        <w:tc>
          <w:tcPr>
            <w:tcW w:w="770" w:type="dxa"/>
          </w:tcPr>
          <w:p>
            <w:pPr>
              <w:pStyle w:val="TableParagraph"/>
              <w:ind w:left="107"/>
              <w:rPr>
                <w:b/>
                <w:sz w:val="21"/>
              </w:rPr>
            </w:pPr>
            <w:r>
              <w:rPr>
                <w:b/>
                <w:sz w:val="21"/>
              </w:rPr>
              <w:t>10.6</w:t>
            </w:r>
          </w:p>
        </w:tc>
        <w:tc>
          <w:tcPr>
            <w:tcW w:w="1533" w:type="dxa"/>
          </w:tcPr>
          <w:p>
            <w:pPr>
              <w:pStyle w:val="TableParagraph"/>
              <w:ind w:left="132"/>
              <w:rPr>
                <w:b/>
                <w:sz w:val="21"/>
              </w:rPr>
            </w:pPr>
            <w:r>
              <w:rPr>
                <w:b/>
                <w:sz w:val="21"/>
              </w:rPr>
              <w:t>毒品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10.7</w:t>
            </w:r>
          </w:p>
        </w:tc>
        <w:tc>
          <w:tcPr>
            <w:tcW w:w="1533" w:type="dxa"/>
          </w:tcPr>
          <w:p>
            <w:pPr>
              <w:pStyle w:val="TableParagraph"/>
              <w:spacing w:before="110"/>
              <w:ind w:left="132"/>
              <w:rPr>
                <w:b/>
                <w:sz w:val="21"/>
              </w:rPr>
            </w:pPr>
            <w:r>
              <w:rPr>
                <w:b/>
                <w:sz w:val="21"/>
              </w:rPr>
              <w:t>酒后驾驶</w:t>
            </w:r>
          </w:p>
        </w:tc>
        <w:tc>
          <w:tcPr>
            <w:tcW w:w="7624" w:type="dxa"/>
          </w:tcPr>
          <w:p>
            <w:pPr>
              <w:pStyle w:val="TableParagraph"/>
              <w:spacing w:before="110"/>
              <w:ind w:left="130"/>
              <w:rPr>
                <w:sz w:val="21"/>
              </w:rPr>
            </w:pPr>
            <w:r>
              <w:rPr>
                <w:sz w:val="21"/>
              </w:rPr>
              <w:t>见主合同释义。</w:t>
            </w:r>
          </w:p>
        </w:tc>
      </w:tr>
      <w:tr>
        <w:trPr>
          <w:trHeight w:val="871" w:hRule="atLeast"/>
        </w:trPr>
        <w:tc>
          <w:tcPr>
            <w:tcW w:w="770" w:type="dxa"/>
          </w:tcPr>
          <w:p>
            <w:pPr>
              <w:pStyle w:val="TableParagraph"/>
              <w:ind w:left="107"/>
              <w:rPr>
                <w:b/>
                <w:sz w:val="21"/>
              </w:rPr>
            </w:pPr>
            <w:r>
              <w:rPr>
                <w:b/>
                <w:sz w:val="21"/>
              </w:rPr>
              <w:t>10.8</w:t>
            </w:r>
          </w:p>
        </w:tc>
        <w:tc>
          <w:tcPr>
            <w:tcW w:w="1533" w:type="dxa"/>
          </w:tcPr>
          <w:p>
            <w:pPr>
              <w:pStyle w:val="TableParagraph"/>
              <w:spacing w:line="271" w:lineRule="auto"/>
              <w:ind w:left="132" w:right="130"/>
              <w:rPr>
                <w:b/>
                <w:sz w:val="21"/>
              </w:rPr>
            </w:pPr>
            <w:r>
              <w:rPr>
                <w:b/>
                <w:sz w:val="21"/>
              </w:rPr>
              <w:t>无合法有效驾驶证驾驶</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ind w:left="107"/>
              <w:rPr>
                <w:b/>
                <w:sz w:val="21"/>
              </w:rPr>
            </w:pPr>
            <w:r>
              <w:rPr>
                <w:b/>
                <w:sz w:val="21"/>
              </w:rPr>
              <w:t>10.9</w:t>
            </w:r>
          </w:p>
        </w:tc>
        <w:tc>
          <w:tcPr>
            <w:tcW w:w="1533" w:type="dxa"/>
          </w:tcPr>
          <w:p>
            <w:pPr>
              <w:pStyle w:val="TableParagraph"/>
              <w:ind w:left="132"/>
              <w:rPr>
                <w:b/>
                <w:sz w:val="21"/>
              </w:rPr>
            </w:pPr>
            <w:r>
              <w:rPr>
                <w:b/>
                <w:sz w:val="21"/>
              </w:rPr>
              <w:t>无有效行驶证</w:t>
            </w:r>
          </w:p>
        </w:tc>
        <w:tc>
          <w:tcPr>
            <w:tcW w:w="7624" w:type="dxa"/>
          </w:tcPr>
          <w:p>
            <w:pPr>
              <w:pStyle w:val="TableParagraph"/>
              <w:ind w:left="130"/>
              <w:rPr>
                <w:sz w:val="21"/>
              </w:rPr>
            </w:pPr>
            <w:r>
              <w:rPr>
                <w:sz w:val="21"/>
              </w:rPr>
              <w:t>见主合同释义。</w:t>
            </w:r>
          </w:p>
        </w:tc>
      </w:tr>
      <w:tr>
        <w:trPr>
          <w:trHeight w:val="560" w:hRule="atLeast"/>
        </w:trPr>
        <w:tc>
          <w:tcPr>
            <w:tcW w:w="770" w:type="dxa"/>
          </w:tcPr>
          <w:p>
            <w:pPr>
              <w:pStyle w:val="TableParagraph"/>
              <w:spacing w:before="110"/>
              <w:ind w:left="107"/>
              <w:rPr>
                <w:b/>
                <w:sz w:val="21"/>
              </w:rPr>
            </w:pPr>
            <w:r>
              <w:rPr>
                <w:b/>
                <w:sz w:val="21"/>
              </w:rPr>
              <w:t>10.10</w:t>
            </w:r>
          </w:p>
        </w:tc>
        <w:tc>
          <w:tcPr>
            <w:tcW w:w="1533" w:type="dxa"/>
          </w:tcPr>
          <w:p>
            <w:pPr>
              <w:pStyle w:val="TableParagraph"/>
              <w:spacing w:before="110"/>
              <w:ind w:left="132"/>
              <w:rPr>
                <w:b/>
                <w:sz w:val="21"/>
              </w:rPr>
            </w:pPr>
            <w:r>
              <w:rPr>
                <w:b/>
                <w:sz w:val="21"/>
              </w:rPr>
              <w:t>机动车</w:t>
            </w:r>
          </w:p>
        </w:tc>
        <w:tc>
          <w:tcPr>
            <w:tcW w:w="7624" w:type="dxa"/>
          </w:tcPr>
          <w:p>
            <w:pPr>
              <w:pStyle w:val="TableParagraph"/>
              <w:spacing w:before="110"/>
              <w:ind w:left="130"/>
              <w:rPr>
                <w:sz w:val="21"/>
              </w:rPr>
            </w:pPr>
            <w:r>
              <w:rPr>
                <w:sz w:val="21"/>
              </w:rPr>
              <w:t>见主合同释义。</w:t>
            </w:r>
          </w:p>
        </w:tc>
      </w:tr>
      <w:tr>
        <w:trPr>
          <w:trHeight w:val="1087" w:hRule="atLeast"/>
        </w:trPr>
        <w:tc>
          <w:tcPr>
            <w:tcW w:w="770" w:type="dxa"/>
          </w:tcPr>
          <w:p>
            <w:pPr>
              <w:pStyle w:val="TableParagraph"/>
              <w:ind w:left="107"/>
              <w:rPr>
                <w:b/>
                <w:sz w:val="21"/>
              </w:rPr>
            </w:pPr>
            <w:r>
              <w:rPr>
                <w:b/>
                <w:sz w:val="21"/>
              </w:rPr>
              <w:t>10.11</w:t>
            </w:r>
          </w:p>
        </w:tc>
        <w:tc>
          <w:tcPr>
            <w:tcW w:w="1533" w:type="dxa"/>
          </w:tcPr>
          <w:p>
            <w:pPr>
              <w:pStyle w:val="TableParagraph"/>
              <w:spacing w:line="271" w:lineRule="auto"/>
              <w:ind w:left="132" w:right="130"/>
              <w:rPr>
                <w:b/>
                <w:sz w:val="21"/>
              </w:rPr>
            </w:pPr>
            <w:r>
              <w:rPr>
                <w:b/>
                <w:sz w:val="21"/>
              </w:rPr>
              <w:t>感染艾滋病病毒或患艾滋病</w:t>
            </w:r>
          </w:p>
        </w:tc>
        <w:tc>
          <w:tcPr>
            <w:tcW w:w="7624" w:type="dxa"/>
          </w:tcPr>
          <w:p>
            <w:pPr>
              <w:pStyle w:val="TableParagraph"/>
              <w:spacing w:line="271" w:lineRule="auto"/>
              <w:ind w:left="130" w:right="124"/>
              <w:rPr>
                <w:sz w:val="21"/>
              </w:rPr>
            </w:pPr>
            <w:r>
              <w:rPr>
                <w:sz w:val="21"/>
              </w:rPr>
              <w:t>艾滋病病毒指人类免疫缺陷病毒，英文缩写为 HIV。艾滋病指人类免疫缺陷病毒引起的获得性免疫缺陷综合征，英文缩写为 AIDS。</w:t>
            </w:r>
          </w:p>
          <w:p>
            <w:pPr>
              <w:pStyle w:val="TableParagraph"/>
              <w:spacing w:line="255" w:lineRule="exact" w:before="88"/>
              <w:ind w:left="130"/>
              <w:rPr>
                <w:sz w:val="21"/>
              </w:rPr>
            </w:pPr>
            <w:r>
              <w:rPr>
                <w:sz w:val="21"/>
              </w:rPr>
              <w:t>在人体血液或其他样本中检测到艾滋病病毒或其抗体呈阳性，没有出现临床症状</w:t>
            </w:r>
          </w:p>
        </w:tc>
      </w:tr>
    </w:tbl>
    <w:p>
      <w:pPr>
        <w:spacing w:after="0" w:line="255" w:lineRule="exact"/>
        <w:rPr>
          <w:sz w:val="21"/>
        </w:rPr>
        <w:sectPr>
          <w:pgSz w:w="11910" w:h="16840"/>
          <w:pgMar w:top="1240" w:bottom="280" w:left="920" w:right="84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533"/>
        <w:gridCol w:w="7827"/>
      </w:tblGrid>
      <w:tr>
        <w:trPr>
          <w:trHeight w:val="698" w:hRule="atLeast"/>
        </w:trPr>
        <w:tc>
          <w:tcPr>
            <w:tcW w:w="862" w:type="dxa"/>
          </w:tcPr>
          <w:p>
            <w:pPr>
              <w:pStyle w:val="TableParagraph"/>
              <w:spacing w:before="0"/>
              <w:ind w:left="0"/>
              <w:rPr>
                <w:rFonts w:ascii="Times New Roman"/>
                <w:sz w:val="20"/>
              </w:rPr>
            </w:pPr>
          </w:p>
        </w:tc>
        <w:tc>
          <w:tcPr>
            <w:tcW w:w="1533" w:type="dxa"/>
          </w:tcPr>
          <w:p>
            <w:pPr>
              <w:pStyle w:val="TableParagraph"/>
              <w:spacing w:before="0"/>
              <w:ind w:left="0"/>
              <w:rPr>
                <w:rFonts w:ascii="Times New Roman"/>
                <w:sz w:val="20"/>
              </w:rPr>
            </w:pPr>
          </w:p>
        </w:tc>
        <w:tc>
          <w:tcPr>
            <w:tcW w:w="7827" w:type="dxa"/>
          </w:tcPr>
          <w:p>
            <w:pPr>
              <w:pStyle w:val="TableParagraph"/>
              <w:spacing w:line="211" w:lineRule="exact" w:before="0"/>
              <w:ind w:left="130"/>
              <w:rPr>
                <w:sz w:val="21"/>
              </w:rPr>
            </w:pPr>
            <w:r>
              <w:rPr>
                <w:sz w:val="21"/>
              </w:rPr>
              <w:t>或体征的，为感染艾滋病病毒；如果同时出现了明显临床症状或体征的，为患艾</w:t>
            </w:r>
          </w:p>
          <w:p>
            <w:pPr>
              <w:pStyle w:val="TableParagraph"/>
              <w:spacing w:before="37"/>
              <w:ind w:left="130"/>
              <w:rPr>
                <w:sz w:val="21"/>
              </w:rPr>
            </w:pPr>
            <w:r>
              <w:rPr>
                <w:sz w:val="21"/>
              </w:rPr>
              <w:t>滋病。</w:t>
            </w:r>
          </w:p>
        </w:tc>
      </w:tr>
      <w:tr>
        <w:trPr>
          <w:trHeight w:val="873" w:hRule="atLeast"/>
        </w:trPr>
        <w:tc>
          <w:tcPr>
            <w:tcW w:w="862" w:type="dxa"/>
          </w:tcPr>
          <w:p>
            <w:pPr>
              <w:pStyle w:val="TableParagraph"/>
              <w:ind w:left="0" w:right="131"/>
              <w:jc w:val="right"/>
              <w:rPr>
                <w:b/>
                <w:sz w:val="21"/>
              </w:rPr>
            </w:pPr>
            <w:r>
              <w:rPr>
                <w:b/>
                <w:sz w:val="21"/>
              </w:rPr>
              <w:t>10.12</w:t>
            </w:r>
          </w:p>
        </w:tc>
        <w:tc>
          <w:tcPr>
            <w:tcW w:w="1533" w:type="dxa"/>
          </w:tcPr>
          <w:p>
            <w:pPr>
              <w:pStyle w:val="TableParagraph"/>
              <w:ind w:left="132"/>
              <w:rPr>
                <w:b/>
                <w:sz w:val="21"/>
              </w:rPr>
            </w:pPr>
            <w:r>
              <w:rPr>
                <w:b/>
                <w:sz w:val="21"/>
              </w:rPr>
              <w:t>遗传性疾病</w:t>
            </w:r>
          </w:p>
        </w:tc>
        <w:tc>
          <w:tcPr>
            <w:tcW w:w="7827" w:type="dxa"/>
          </w:tcPr>
          <w:p>
            <w:pPr>
              <w:pStyle w:val="TableParagraph"/>
              <w:spacing w:line="273" w:lineRule="auto"/>
              <w:ind w:left="130" w:right="127"/>
              <w:rPr>
                <w:sz w:val="21"/>
              </w:rPr>
            </w:pPr>
            <w:r>
              <w:rPr>
                <w:sz w:val="21"/>
              </w:rPr>
              <w:t>指生殖细胞或受精卵的遗传物质（染色体和基因）发生突变或畸变所引起的疾病， 通常具有由亲代传至后代的垂直传递的特征。</w:t>
            </w:r>
          </w:p>
        </w:tc>
      </w:tr>
      <w:tr>
        <w:trPr>
          <w:trHeight w:val="1183" w:hRule="atLeast"/>
        </w:trPr>
        <w:tc>
          <w:tcPr>
            <w:tcW w:w="862" w:type="dxa"/>
          </w:tcPr>
          <w:p>
            <w:pPr>
              <w:pStyle w:val="TableParagraph"/>
              <w:ind w:left="0" w:right="131"/>
              <w:jc w:val="right"/>
              <w:rPr>
                <w:b/>
                <w:sz w:val="21"/>
              </w:rPr>
            </w:pPr>
            <w:r>
              <w:rPr>
                <w:b/>
                <w:sz w:val="21"/>
              </w:rPr>
              <w:t>10.13</w:t>
            </w:r>
          </w:p>
        </w:tc>
        <w:tc>
          <w:tcPr>
            <w:tcW w:w="1533" w:type="dxa"/>
          </w:tcPr>
          <w:p>
            <w:pPr>
              <w:pStyle w:val="TableParagraph"/>
              <w:spacing w:line="271" w:lineRule="auto"/>
              <w:ind w:left="132" w:right="130"/>
              <w:jc w:val="both"/>
              <w:rPr>
                <w:b/>
                <w:sz w:val="21"/>
              </w:rPr>
            </w:pPr>
            <w:r>
              <w:rPr>
                <w:b/>
                <w:sz w:val="21"/>
              </w:rPr>
              <w:t>先天性畸形、变形或染色体异常</w:t>
            </w:r>
          </w:p>
        </w:tc>
        <w:tc>
          <w:tcPr>
            <w:tcW w:w="7827" w:type="dxa"/>
          </w:tcPr>
          <w:p>
            <w:pPr>
              <w:pStyle w:val="TableParagraph"/>
              <w:spacing w:line="271" w:lineRule="auto"/>
              <w:ind w:left="130" w:right="201"/>
              <w:rPr>
                <w:sz w:val="21"/>
              </w:rPr>
            </w:pPr>
            <w:r>
              <w:rPr>
                <w:spacing w:val="-3"/>
                <w:sz w:val="21"/>
              </w:rPr>
              <w:t>指被保险人出生时就具有的畸形、变形或染色体异常。先天性畸形、变形和染色</w:t>
            </w:r>
            <w:r>
              <w:rPr>
                <w:spacing w:val="-9"/>
                <w:sz w:val="21"/>
              </w:rPr>
              <w:t>体异常依照世界卫生组织《疾病和有关健康问题的国际统计分类</w:t>
            </w:r>
            <w:r>
              <w:rPr>
                <w:spacing w:val="-166"/>
                <w:sz w:val="21"/>
              </w:rPr>
              <w:t>》</w:t>
            </w:r>
            <w:r>
              <w:rPr>
                <w:spacing w:val="-9"/>
                <w:sz w:val="21"/>
              </w:rPr>
              <w:t>（ICD-10）</w:t>
            </w:r>
            <w:r>
              <w:rPr>
                <w:spacing w:val="-2"/>
                <w:sz w:val="21"/>
              </w:rPr>
              <w:t>确定。</w:t>
            </w:r>
          </w:p>
        </w:tc>
      </w:tr>
      <w:tr>
        <w:trPr>
          <w:trHeight w:val="871" w:hRule="atLeast"/>
        </w:trPr>
        <w:tc>
          <w:tcPr>
            <w:tcW w:w="862" w:type="dxa"/>
          </w:tcPr>
          <w:p>
            <w:pPr>
              <w:pStyle w:val="TableParagraph"/>
              <w:ind w:left="0" w:right="131"/>
              <w:jc w:val="right"/>
              <w:rPr>
                <w:b/>
                <w:sz w:val="21"/>
              </w:rPr>
            </w:pPr>
            <w:r>
              <w:rPr>
                <w:b/>
                <w:w w:val="95"/>
                <w:sz w:val="21"/>
              </w:rPr>
              <w:t>10.14</w:t>
            </w:r>
          </w:p>
        </w:tc>
        <w:tc>
          <w:tcPr>
            <w:tcW w:w="1533" w:type="dxa"/>
          </w:tcPr>
          <w:p>
            <w:pPr>
              <w:pStyle w:val="TableParagraph"/>
              <w:ind w:left="132"/>
              <w:rPr>
                <w:b/>
                <w:sz w:val="21"/>
              </w:rPr>
            </w:pPr>
            <w:r>
              <w:rPr>
                <w:b/>
                <w:sz w:val="21"/>
              </w:rPr>
              <w:t>现金价值</w:t>
            </w:r>
          </w:p>
        </w:tc>
        <w:tc>
          <w:tcPr>
            <w:tcW w:w="7827" w:type="dxa"/>
          </w:tcPr>
          <w:p>
            <w:pPr>
              <w:pStyle w:val="TableParagraph"/>
              <w:spacing w:line="271" w:lineRule="auto"/>
              <w:ind w:left="130" w:right="336"/>
              <w:rPr>
                <w:sz w:val="21"/>
              </w:rPr>
            </w:pPr>
            <w:r>
              <w:rPr>
                <w:sz w:val="21"/>
              </w:rPr>
              <w:t>指保险合同所具有的价值，通常体现为解除合同时，根据精算原理计算的，由我们退还的那部分金额，但不包括红利。</w:t>
            </w:r>
          </w:p>
        </w:tc>
      </w:tr>
      <w:tr>
        <w:trPr>
          <w:trHeight w:val="2746" w:hRule="atLeast"/>
        </w:trPr>
        <w:tc>
          <w:tcPr>
            <w:tcW w:w="862" w:type="dxa"/>
          </w:tcPr>
          <w:p>
            <w:pPr>
              <w:pStyle w:val="TableParagraph"/>
              <w:ind w:left="0" w:right="131"/>
              <w:jc w:val="right"/>
              <w:rPr>
                <w:b/>
                <w:sz w:val="21"/>
              </w:rPr>
            </w:pPr>
            <w:r>
              <w:rPr>
                <w:b/>
                <w:w w:val="95"/>
                <w:sz w:val="21"/>
              </w:rPr>
              <w:t>10.15</w:t>
            </w:r>
          </w:p>
        </w:tc>
        <w:tc>
          <w:tcPr>
            <w:tcW w:w="1533" w:type="dxa"/>
          </w:tcPr>
          <w:p>
            <w:pPr>
              <w:pStyle w:val="TableParagraph"/>
              <w:ind w:left="132"/>
              <w:rPr>
                <w:b/>
                <w:sz w:val="21"/>
              </w:rPr>
            </w:pPr>
            <w:r>
              <w:rPr>
                <w:b/>
                <w:sz w:val="21"/>
              </w:rPr>
              <w:t>专科医生</w:t>
            </w:r>
          </w:p>
        </w:tc>
        <w:tc>
          <w:tcPr>
            <w:tcW w:w="7827" w:type="dxa"/>
          </w:tcPr>
          <w:p>
            <w:pPr>
              <w:pStyle w:val="TableParagraph"/>
              <w:ind w:left="130"/>
              <w:rPr>
                <w:sz w:val="21"/>
              </w:rPr>
            </w:pPr>
            <w:r>
              <w:rPr>
                <w:sz w:val="21"/>
              </w:rPr>
              <w:t>专科医生应当同时满足以下四项资格条件：</w:t>
            </w:r>
          </w:p>
          <w:p>
            <w:pPr>
              <w:pStyle w:val="TableParagraph"/>
              <w:numPr>
                <w:ilvl w:val="0"/>
                <w:numId w:val="24"/>
              </w:numPr>
              <w:tabs>
                <w:tab w:pos="868" w:val="left" w:leader="none"/>
                <w:tab w:pos="869" w:val="left" w:leader="none"/>
              </w:tabs>
              <w:spacing w:line="240" w:lineRule="auto" w:before="116" w:after="0"/>
              <w:ind w:left="851" w:right="0" w:hanging="720"/>
              <w:jc w:val="left"/>
              <w:rPr>
                <w:sz w:val="21"/>
              </w:rPr>
            </w:pPr>
            <w:r>
              <w:rPr>
                <w:spacing w:val="-9"/>
                <w:sz w:val="21"/>
              </w:rPr>
              <w:t>具有有效的中华人民共和国《医师资格证书》；</w:t>
            </w:r>
          </w:p>
          <w:p>
            <w:pPr>
              <w:pStyle w:val="TableParagraph"/>
              <w:numPr>
                <w:ilvl w:val="0"/>
                <w:numId w:val="24"/>
              </w:numPr>
              <w:tabs>
                <w:tab w:pos="868" w:val="left" w:leader="none"/>
                <w:tab w:pos="869" w:val="left" w:leader="none"/>
              </w:tabs>
              <w:spacing w:line="273" w:lineRule="auto" w:before="114" w:after="0"/>
              <w:ind w:left="851" w:right="340" w:hanging="720"/>
              <w:jc w:val="left"/>
              <w:rPr>
                <w:sz w:val="21"/>
              </w:rPr>
            </w:pPr>
            <w:r>
              <w:rPr>
                <w:spacing w:val="-9"/>
                <w:sz w:val="21"/>
              </w:rPr>
              <w:t>具有有效的中华人民共和国《医师执业证书》，并按期到相关部门登记注册；</w:t>
            </w:r>
          </w:p>
          <w:p>
            <w:pPr>
              <w:pStyle w:val="TableParagraph"/>
              <w:numPr>
                <w:ilvl w:val="0"/>
                <w:numId w:val="24"/>
              </w:numPr>
              <w:tabs>
                <w:tab w:pos="833" w:val="left" w:leader="none"/>
              </w:tabs>
              <w:spacing w:line="271" w:lineRule="auto" w:before="86" w:after="0"/>
              <w:ind w:left="851" w:right="307" w:hanging="720"/>
              <w:jc w:val="left"/>
              <w:rPr>
                <w:sz w:val="21"/>
              </w:rPr>
            </w:pPr>
            <w:r>
              <w:rPr>
                <w:spacing w:val="-5"/>
                <w:sz w:val="21"/>
              </w:rPr>
              <w:t>具有有效的中华人民共和国主治医师或主治医师以上职称的《医师职称证</w:t>
            </w:r>
            <w:r>
              <w:rPr>
                <w:spacing w:val="-38"/>
                <w:sz w:val="21"/>
              </w:rPr>
              <w:t>书》；</w:t>
            </w:r>
          </w:p>
          <w:p>
            <w:pPr>
              <w:pStyle w:val="TableParagraph"/>
              <w:numPr>
                <w:ilvl w:val="0"/>
                <w:numId w:val="24"/>
              </w:numPr>
              <w:tabs>
                <w:tab w:pos="868" w:val="left" w:leader="none"/>
                <w:tab w:pos="869" w:val="left" w:leader="none"/>
              </w:tabs>
              <w:spacing w:line="240" w:lineRule="auto" w:before="88" w:after="0"/>
              <w:ind w:left="851" w:right="0" w:hanging="720"/>
              <w:jc w:val="left"/>
              <w:rPr>
                <w:sz w:val="21"/>
              </w:rPr>
            </w:pPr>
            <w:r>
              <w:rPr>
                <w:spacing w:val="-3"/>
                <w:sz w:val="21"/>
              </w:rPr>
              <w:t>在二级或二级以上医院的相应科室从事临床工作三年以上。</w:t>
            </w:r>
          </w:p>
        </w:tc>
      </w:tr>
      <w:tr>
        <w:trPr>
          <w:trHeight w:val="871" w:hRule="atLeast"/>
        </w:trPr>
        <w:tc>
          <w:tcPr>
            <w:tcW w:w="862" w:type="dxa"/>
          </w:tcPr>
          <w:p>
            <w:pPr>
              <w:pStyle w:val="TableParagraph"/>
              <w:ind w:left="0" w:right="131"/>
              <w:jc w:val="right"/>
              <w:rPr>
                <w:b/>
                <w:sz w:val="21"/>
              </w:rPr>
            </w:pPr>
            <w:r>
              <w:rPr>
                <w:b/>
                <w:sz w:val="21"/>
              </w:rPr>
              <w:t>10.16</w:t>
            </w:r>
          </w:p>
        </w:tc>
        <w:tc>
          <w:tcPr>
            <w:tcW w:w="1533" w:type="dxa"/>
          </w:tcPr>
          <w:p>
            <w:pPr>
              <w:pStyle w:val="TableParagraph"/>
              <w:spacing w:line="271" w:lineRule="auto"/>
              <w:ind w:left="132" w:right="130"/>
              <w:rPr>
                <w:b/>
                <w:sz w:val="21"/>
              </w:rPr>
            </w:pPr>
            <w:r>
              <w:rPr>
                <w:b/>
                <w:sz w:val="21"/>
              </w:rPr>
              <w:t>肢体机能完全丧失</w:t>
            </w:r>
          </w:p>
        </w:tc>
        <w:tc>
          <w:tcPr>
            <w:tcW w:w="7827" w:type="dxa"/>
          </w:tcPr>
          <w:p>
            <w:pPr>
              <w:pStyle w:val="TableParagraph"/>
              <w:spacing w:line="271" w:lineRule="auto"/>
              <w:ind w:left="130" w:right="336"/>
              <w:rPr>
                <w:sz w:val="21"/>
              </w:rPr>
            </w:pPr>
            <w:r>
              <w:rPr>
                <w:sz w:val="21"/>
              </w:rPr>
              <w:t>指肢体的三大关节中的两大关节僵硬，或不能随意识活动。肢体是指包括肩关节的整个上肢或包括髋关节的整个下肢。</w:t>
            </w:r>
          </w:p>
        </w:tc>
      </w:tr>
      <w:tr>
        <w:trPr>
          <w:trHeight w:val="1495" w:hRule="atLeast"/>
        </w:trPr>
        <w:tc>
          <w:tcPr>
            <w:tcW w:w="862" w:type="dxa"/>
          </w:tcPr>
          <w:p>
            <w:pPr>
              <w:pStyle w:val="TableParagraph"/>
              <w:ind w:left="0" w:right="131"/>
              <w:jc w:val="right"/>
              <w:rPr>
                <w:b/>
                <w:sz w:val="21"/>
              </w:rPr>
            </w:pPr>
            <w:r>
              <w:rPr>
                <w:b/>
                <w:sz w:val="21"/>
              </w:rPr>
              <w:t>10.17</w:t>
            </w:r>
          </w:p>
        </w:tc>
        <w:tc>
          <w:tcPr>
            <w:tcW w:w="1533" w:type="dxa"/>
          </w:tcPr>
          <w:p>
            <w:pPr>
              <w:pStyle w:val="TableParagraph"/>
              <w:spacing w:line="271" w:lineRule="auto"/>
              <w:ind w:left="132" w:right="130"/>
              <w:jc w:val="both"/>
              <w:rPr>
                <w:b/>
                <w:sz w:val="21"/>
              </w:rPr>
            </w:pPr>
            <w:r>
              <w:rPr>
                <w:b/>
                <w:sz w:val="21"/>
              </w:rPr>
              <w:t>语言能力或咀嚼吞咽能力完全丧失</w:t>
            </w:r>
          </w:p>
        </w:tc>
        <w:tc>
          <w:tcPr>
            <w:tcW w:w="7827" w:type="dxa"/>
          </w:tcPr>
          <w:p>
            <w:pPr>
              <w:pStyle w:val="TableParagraph"/>
              <w:spacing w:line="271" w:lineRule="auto"/>
              <w:ind w:left="130" w:right="336"/>
              <w:jc w:val="both"/>
              <w:rPr>
                <w:sz w:val="21"/>
              </w:rPr>
            </w:pPr>
            <w:r>
              <w:rPr>
                <w:sz w:val="21"/>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tc>
      </w:tr>
      <w:tr>
        <w:trPr>
          <w:trHeight w:val="2901" w:hRule="atLeast"/>
        </w:trPr>
        <w:tc>
          <w:tcPr>
            <w:tcW w:w="862" w:type="dxa"/>
          </w:tcPr>
          <w:p>
            <w:pPr>
              <w:pStyle w:val="TableParagraph"/>
              <w:ind w:left="0" w:right="131"/>
              <w:jc w:val="right"/>
              <w:rPr>
                <w:b/>
                <w:sz w:val="21"/>
              </w:rPr>
            </w:pPr>
            <w:r>
              <w:rPr>
                <w:b/>
                <w:sz w:val="21"/>
              </w:rPr>
              <w:t>10.18</w:t>
            </w:r>
          </w:p>
        </w:tc>
        <w:tc>
          <w:tcPr>
            <w:tcW w:w="1533" w:type="dxa"/>
          </w:tcPr>
          <w:p>
            <w:pPr>
              <w:pStyle w:val="TableParagraph"/>
              <w:spacing w:line="273" w:lineRule="auto"/>
              <w:ind w:left="132" w:right="130"/>
              <w:rPr>
                <w:b/>
                <w:sz w:val="21"/>
              </w:rPr>
            </w:pPr>
            <w:r>
              <w:rPr>
                <w:b/>
                <w:sz w:val="21"/>
              </w:rPr>
              <w:t>六项基本日常生活活动</w:t>
            </w:r>
          </w:p>
        </w:tc>
        <w:tc>
          <w:tcPr>
            <w:tcW w:w="7827" w:type="dxa"/>
          </w:tcPr>
          <w:p>
            <w:pPr>
              <w:pStyle w:val="TableParagraph"/>
              <w:ind w:left="130"/>
              <w:rPr>
                <w:sz w:val="21"/>
              </w:rPr>
            </w:pPr>
            <w:r>
              <w:rPr>
                <w:sz w:val="21"/>
              </w:rPr>
              <w:t>六项基本日常生活活动是指：</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穿衣：自己能够穿衣及脱衣；</w:t>
            </w:r>
          </w:p>
          <w:p>
            <w:pPr>
              <w:pStyle w:val="TableParagraph"/>
              <w:numPr>
                <w:ilvl w:val="0"/>
                <w:numId w:val="25"/>
              </w:numPr>
              <w:tabs>
                <w:tab w:pos="868" w:val="left" w:leader="none"/>
                <w:tab w:pos="869" w:val="left" w:leader="none"/>
              </w:tabs>
              <w:spacing w:line="240" w:lineRule="auto" w:before="114" w:after="0"/>
              <w:ind w:left="868" w:right="0" w:hanging="737"/>
              <w:jc w:val="left"/>
              <w:rPr>
                <w:sz w:val="21"/>
              </w:rPr>
            </w:pPr>
            <w:r>
              <w:rPr>
                <w:spacing w:val="-3"/>
                <w:sz w:val="21"/>
              </w:rPr>
              <w:t>移动：自己从一个房间到另一个房间；</w:t>
            </w:r>
          </w:p>
          <w:p>
            <w:pPr>
              <w:pStyle w:val="TableParagraph"/>
              <w:numPr>
                <w:ilvl w:val="0"/>
                <w:numId w:val="25"/>
              </w:numPr>
              <w:tabs>
                <w:tab w:pos="868" w:val="left" w:leader="none"/>
                <w:tab w:pos="869" w:val="left" w:leader="none"/>
              </w:tabs>
              <w:spacing w:line="240" w:lineRule="auto" w:before="116" w:after="0"/>
              <w:ind w:left="868" w:right="0" w:hanging="737"/>
              <w:jc w:val="left"/>
              <w:rPr>
                <w:sz w:val="21"/>
              </w:rPr>
            </w:pPr>
            <w:r>
              <w:rPr>
                <w:spacing w:val="-3"/>
                <w:sz w:val="21"/>
              </w:rPr>
              <w:t>行动：自己上下床或上下轮椅；</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如厕：自己控制进行大小便；</w:t>
            </w:r>
          </w:p>
          <w:p>
            <w:pPr>
              <w:pStyle w:val="TableParagraph"/>
              <w:numPr>
                <w:ilvl w:val="0"/>
                <w:numId w:val="25"/>
              </w:numPr>
              <w:tabs>
                <w:tab w:pos="868" w:val="left" w:leader="none"/>
                <w:tab w:pos="869" w:val="left" w:leader="none"/>
              </w:tabs>
              <w:spacing w:line="240" w:lineRule="auto" w:before="115" w:after="0"/>
              <w:ind w:left="868" w:right="0" w:hanging="737"/>
              <w:jc w:val="left"/>
              <w:rPr>
                <w:sz w:val="21"/>
              </w:rPr>
            </w:pPr>
            <w:r>
              <w:rPr>
                <w:spacing w:val="-3"/>
                <w:sz w:val="21"/>
              </w:rPr>
              <w:t>进食：自己从已准备好的碗或碟中取食物放入口中；</w:t>
            </w:r>
          </w:p>
          <w:p>
            <w:pPr>
              <w:pStyle w:val="TableParagraph"/>
              <w:numPr>
                <w:ilvl w:val="0"/>
                <w:numId w:val="25"/>
              </w:numPr>
              <w:tabs>
                <w:tab w:pos="868" w:val="left" w:leader="none"/>
                <w:tab w:pos="869" w:val="left" w:leader="none"/>
              </w:tabs>
              <w:spacing w:line="240" w:lineRule="auto" w:before="113" w:after="0"/>
              <w:ind w:left="868" w:right="0" w:hanging="737"/>
              <w:jc w:val="left"/>
              <w:rPr>
                <w:sz w:val="21"/>
              </w:rPr>
            </w:pPr>
            <w:r>
              <w:rPr>
                <w:spacing w:val="-3"/>
                <w:sz w:val="21"/>
              </w:rPr>
              <w:t>洗澡：自己进行淋浴或盆浴。</w:t>
            </w:r>
          </w:p>
        </w:tc>
      </w:tr>
      <w:tr>
        <w:trPr>
          <w:trHeight w:val="1183" w:hRule="atLeast"/>
        </w:trPr>
        <w:tc>
          <w:tcPr>
            <w:tcW w:w="862" w:type="dxa"/>
          </w:tcPr>
          <w:p>
            <w:pPr>
              <w:pStyle w:val="TableParagraph"/>
              <w:ind w:left="0" w:right="131"/>
              <w:jc w:val="right"/>
              <w:rPr>
                <w:b/>
                <w:sz w:val="21"/>
              </w:rPr>
            </w:pPr>
            <w:r>
              <w:rPr>
                <w:b/>
                <w:sz w:val="21"/>
              </w:rPr>
              <w:t>10.19</w:t>
            </w:r>
          </w:p>
        </w:tc>
        <w:tc>
          <w:tcPr>
            <w:tcW w:w="1533" w:type="dxa"/>
          </w:tcPr>
          <w:p>
            <w:pPr>
              <w:pStyle w:val="TableParagraph"/>
              <w:ind w:left="132"/>
              <w:rPr>
                <w:b/>
                <w:sz w:val="21"/>
              </w:rPr>
            </w:pPr>
            <w:r>
              <w:rPr>
                <w:b/>
                <w:sz w:val="21"/>
              </w:rPr>
              <w:t>意外伤害</w:t>
            </w:r>
          </w:p>
        </w:tc>
        <w:tc>
          <w:tcPr>
            <w:tcW w:w="7827" w:type="dxa"/>
          </w:tcPr>
          <w:p>
            <w:pPr>
              <w:pStyle w:val="TableParagraph"/>
              <w:spacing w:line="271" w:lineRule="auto"/>
              <w:ind w:left="130" w:right="336"/>
              <w:jc w:val="both"/>
              <w:rPr>
                <w:rFonts w:ascii="黑体" w:eastAsia="黑体" w:hint="eastAsia"/>
                <w:sz w:val="21"/>
              </w:rPr>
            </w:pPr>
            <w:r>
              <w:rPr>
                <w:sz w:val="21"/>
              </w:rPr>
              <w:t>指外来的、突然的、非本意的、非疾病的使被保险人身体受到伤害的客观事件， 并以此客观事件为直接且单独原因导致被保险人身体蒙受伤害或身故，</w:t>
            </w:r>
            <w:r>
              <w:rPr>
                <w:rFonts w:ascii="黑体" w:eastAsia="黑体" w:hint="eastAsia"/>
                <w:sz w:val="21"/>
              </w:rPr>
              <w:t>猝死不属于意外伤害。</w:t>
            </w:r>
          </w:p>
        </w:tc>
      </w:tr>
      <w:tr>
        <w:trPr>
          <w:trHeight w:val="695" w:hRule="atLeast"/>
        </w:trPr>
        <w:tc>
          <w:tcPr>
            <w:tcW w:w="862" w:type="dxa"/>
          </w:tcPr>
          <w:p>
            <w:pPr>
              <w:pStyle w:val="TableParagraph"/>
              <w:ind w:left="0" w:right="131"/>
              <w:jc w:val="right"/>
              <w:rPr>
                <w:b/>
                <w:sz w:val="21"/>
              </w:rPr>
            </w:pPr>
            <w:r>
              <w:rPr>
                <w:b/>
                <w:sz w:val="21"/>
              </w:rPr>
              <w:t>10.20</w:t>
            </w:r>
          </w:p>
        </w:tc>
        <w:tc>
          <w:tcPr>
            <w:tcW w:w="1533" w:type="dxa"/>
          </w:tcPr>
          <w:p>
            <w:pPr>
              <w:pStyle w:val="TableParagraph"/>
              <w:ind w:left="132"/>
              <w:rPr>
                <w:b/>
                <w:sz w:val="21"/>
              </w:rPr>
            </w:pPr>
            <w:r>
              <w:rPr>
                <w:b/>
                <w:sz w:val="21"/>
              </w:rPr>
              <w:t>永久不可逆</w:t>
            </w:r>
          </w:p>
        </w:tc>
        <w:tc>
          <w:tcPr>
            <w:tcW w:w="7827" w:type="dxa"/>
          </w:tcPr>
          <w:p>
            <w:pPr>
              <w:pStyle w:val="TableParagraph"/>
              <w:spacing w:line="310" w:lineRule="atLeast" w:before="76"/>
              <w:ind w:left="130" w:right="336"/>
              <w:rPr>
                <w:sz w:val="21"/>
              </w:rPr>
            </w:pPr>
            <w:r>
              <w:rPr>
                <w:spacing w:val="-5"/>
                <w:sz w:val="21"/>
              </w:rPr>
              <w:t>指自疾病确诊或意外伤害发生之日起，经过积极治疗 </w:t>
            </w:r>
            <w:r>
              <w:rPr>
                <w:sz w:val="21"/>
              </w:rPr>
              <w:t>180</w:t>
            </w:r>
            <w:r>
              <w:rPr>
                <w:spacing w:val="-8"/>
                <w:sz w:val="21"/>
              </w:rPr>
              <w:t> 天后，仍无法通过现有</w:t>
            </w:r>
            <w:r>
              <w:rPr>
                <w:spacing w:val="-5"/>
                <w:sz w:val="21"/>
              </w:rPr>
              <w:t>医疗手段恢复。</w:t>
            </w:r>
          </w:p>
        </w:tc>
      </w:tr>
    </w:tbl>
    <w:sectPr>
      <w:pgSz w:w="11910" w:h="16840"/>
      <w:pgMar w:top="1160" w:bottom="280" w:left="8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Arial">
    <w:altName w:val="Arial"/>
    <w:charset w:val="0"/>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4">
    <w:multiLevelType w:val="hybridMultilevel"/>
    <w:lvl w:ilvl="0">
      <w:start w:val="1"/>
      <w:numFmt w:val="decimal"/>
      <w:lvlText w:val="（%1）"/>
      <w:lvlJc w:val="left"/>
      <w:pPr>
        <w:ind w:left="868"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3">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3" w:hanging="738"/>
      </w:pPr>
      <w:rPr>
        <w:rFonts w:hint="default"/>
      </w:rPr>
    </w:lvl>
    <w:lvl w:ilvl="3">
      <w:start w:val="0"/>
      <w:numFmt w:val="bullet"/>
      <w:lvlText w:val="•"/>
      <w:lvlJc w:val="left"/>
      <w:pPr>
        <w:ind w:left="2950" w:hanging="738"/>
      </w:pPr>
      <w:rPr>
        <w:rFonts w:hint="default"/>
      </w:rPr>
    </w:lvl>
    <w:lvl w:ilvl="4">
      <w:start w:val="0"/>
      <w:numFmt w:val="bullet"/>
      <w:lvlText w:val="•"/>
      <w:lvlJc w:val="left"/>
      <w:pPr>
        <w:ind w:left="3646" w:hanging="738"/>
      </w:pPr>
      <w:rPr>
        <w:rFonts w:hint="default"/>
      </w:rPr>
    </w:lvl>
    <w:lvl w:ilvl="5">
      <w:start w:val="0"/>
      <w:numFmt w:val="bullet"/>
      <w:lvlText w:val="•"/>
      <w:lvlJc w:val="left"/>
      <w:pPr>
        <w:ind w:left="4343" w:hanging="738"/>
      </w:pPr>
      <w:rPr>
        <w:rFonts w:hint="default"/>
      </w:rPr>
    </w:lvl>
    <w:lvl w:ilvl="6">
      <w:start w:val="0"/>
      <w:numFmt w:val="bullet"/>
      <w:lvlText w:val="•"/>
      <w:lvlJc w:val="left"/>
      <w:pPr>
        <w:ind w:left="5040" w:hanging="738"/>
      </w:pPr>
      <w:rPr>
        <w:rFonts w:hint="default"/>
      </w:rPr>
    </w:lvl>
    <w:lvl w:ilvl="7">
      <w:start w:val="0"/>
      <w:numFmt w:val="bullet"/>
      <w:lvlText w:val="•"/>
      <w:lvlJc w:val="left"/>
      <w:pPr>
        <w:ind w:left="5736" w:hanging="738"/>
      </w:pPr>
      <w:rPr>
        <w:rFonts w:hint="default"/>
      </w:rPr>
    </w:lvl>
    <w:lvl w:ilvl="8">
      <w:start w:val="0"/>
      <w:numFmt w:val="bullet"/>
      <w:lvlText w:val="•"/>
      <w:lvlJc w:val="left"/>
      <w:pPr>
        <w:ind w:left="6433" w:hanging="738"/>
      </w:pPr>
      <w:rPr>
        <w:rFonts w:hint="default"/>
      </w:rPr>
    </w:lvl>
  </w:abstractNum>
  <w:abstractNum w:abstractNumId="22">
    <w:multiLevelType w:val="hybridMultilevel"/>
    <w:lvl w:ilvl="0">
      <w:start w:val="1"/>
      <w:numFmt w:val="decimal"/>
      <w:lvlText w:val="（%1）"/>
      <w:lvlJc w:val="left"/>
      <w:pPr>
        <w:ind w:left="851"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21">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20">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9">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8">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7">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9" w:hanging="738"/>
      </w:pPr>
      <w:rPr>
        <w:rFonts w:hint="default"/>
      </w:rPr>
    </w:lvl>
    <w:lvl w:ilvl="4">
      <w:start w:val="0"/>
      <w:numFmt w:val="bullet"/>
      <w:lvlText w:val="•"/>
      <w:lvlJc w:val="left"/>
      <w:pPr>
        <w:ind w:left="3645" w:hanging="738"/>
      </w:pPr>
      <w:rPr>
        <w:rFonts w:hint="default"/>
      </w:rPr>
    </w:lvl>
    <w:lvl w:ilvl="5">
      <w:start w:val="0"/>
      <w:numFmt w:val="bullet"/>
      <w:lvlText w:val="•"/>
      <w:lvlJc w:val="left"/>
      <w:pPr>
        <w:ind w:left="4342" w:hanging="738"/>
      </w:pPr>
      <w:rPr>
        <w:rFonts w:hint="default"/>
      </w:rPr>
    </w:lvl>
    <w:lvl w:ilvl="6">
      <w:start w:val="0"/>
      <w:numFmt w:val="bullet"/>
      <w:lvlText w:val="•"/>
      <w:lvlJc w:val="left"/>
      <w:pPr>
        <w:ind w:left="5038" w:hanging="738"/>
      </w:pPr>
      <w:rPr>
        <w:rFonts w:hint="default"/>
      </w:rPr>
    </w:lvl>
    <w:lvl w:ilvl="7">
      <w:start w:val="0"/>
      <w:numFmt w:val="bullet"/>
      <w:lvlText w:val="•"/>
      <w:lvlJc w:val="left"/>
      <w:pPr>
        <w:ind w:left="5734" w:hanging="738"/>
      </w:pPr>
      <w:rPr>
        <w:rFonts w:hint="default"/>
      </w:rPr>
    </w:lvl>
    <w:lvl w:ilvl="8">
      <w:start w:val="0"/>
      <w:numFmt w:val="bullet"/>
      <w:lvlText w:val="•"/>
      <w:lvlJc w:val="left"/>
      <w:pPr>
        <w:ind w:left="6431" w:hanging="738"/>
      </w:pPr>
      <w:rPr>
        <w:rFonts w:hint="default"/>
      </w:rPr>
    </w:lvl>
  </w:abstractNum>
  <w:abstractNum w:abstractNumId="16">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5">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4">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3">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56" w:hanging="738"/>
      </w:pPr>
      <w:rPr>
        <w:rFonts w:hint="default"/>
      </w:rPr>
    </w:lvl>
    <w:lvl w:ilvl="2">
      <w:start w:val="0"/>
      <w:numFmt w:val="bullet"/>
      <w:lvlText w:val="•"/>
      <w:lvlJc w:val="left"/>
      <w:pPr>
        <w:ind w:left="2252" w:hanging="738"/>
      </w:pPr>
      <w:rPr>
        <w:rFonts w:hint="default"/>
      </w:rPr>
    </w:lvl>
    <w:lvl w:ilvl="3">
      <w:start w:val="0"/>
      <w:numFmt w:val="bullet"/>
      <w:lvlText w:val="•"/>
      <w:lvlJc w:val="left"/>
      <w:pPr>
        <w:ind w:left="2948" w:hanging="738"/>
      </w:pPr>
      <w:rPr>
        <w:rFonts w:hint="default"/>
      </w:rPr>
    </w:lvl>
    <w:lvl w:ilvl="4">
      <w:start w:val="0"/>
      <w:numFmt w:val="bullet"/>
      <w:lvlText w:val="•"/>
      <w:lvlJc w:val="left"/>
      <w:pPr>
        <w:ind w:left="3644" w:hanging="738"/>
      </w:pPr>
      <w:rPr>
        <w:rFonts w:hint="default"/>
      </w:rPr>
    </w:lvl>
    <w:lvl w:ilvl="5">
      <w:start w:val="0"/>
      <w:numFmt w:val="bullet"/>
      <w:lvlText w:val="•"/>
      <w:lvlJc w:val="left"/>
      <w:pPr>
        <w:ind w:left="4340" w:hanging="738"/>
      </w:pPr>
      <w:rPr>
        <w:rFonts w:hint="default"/>
      </w:rPr>
    </w:lvl>
    <w:lvl w:ilvl="6">
      <w:start w:val="0"/>
      <w:numFmt w:val="bullet"/>
      <w:lvlText w:val="•"/>
      <w:lvlJc w:val="left"/>
      <w:pPr>
        <w:ind w:left="5036" w:hanging="738"/>
      </w:pPr>
      <w:rPr>
        <w:rFonts w:hint="default"/>
      </w:rPr>
    </w:lvl>
    <w:lvl w:ilvl="7">
      <w:start w:val="0"/>
      <w:numFmt w:val="bullet"/>
      <w:lvlText w:val="•"/>
      <w:lvlJc w:val="left"/>
      <w:pPr>
        <w:ind w:left="5732" w:hanging="738"/>
      </w:pPr>
      <w:rPr>
        <w:rFonts w:hint="default"/>
      </w:rPr>
    </w:lvl>
    <w:lvl w:ilvl="8">
      <w:start w:val="0"/>
      <w:numFmt w:val="bullet"/>
      <w:lvlText w:val="•"/>
      <w:lvlJc w:val="left"/>
      <w:pPr>
        <w:ind w:left="6428" w:hanging="738"/>
      </w:pPr>
      <w:rPr>
        <w:rFonts w:hint="default"/>
      </w:rPr>
    </w:lvl>
  </w:abstractNum>
  <w:abstractNum w:abstractNumId="12">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1">
    <w:multiLevelType w:val="hybridMultilevel"/>
    <w:lvl w:ilvl="0">
      <w:start w:val="1"/>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10">
    <w:multiLevelType w:val="hybridMultilevel"/>
    <w:lvl w:ilvl="0">
      <w:start w:val="1"/>
      <w:numFmt w:val="decimal"/>
      <w:lvlText w:val="（%1）"/>
      <w:lvlJc w:val="left"/>
      <w:pPr>
        <w:ind w:left="869" w:hanging="738"/>
        <w:jc w:val="left"/>
      </w:pPr>
      <w:rPr>
        <w:rFonts w:hint="default" w:ascii="黑体" w:hAnsi="黑体" w:eastAsia="黑体" w:cs="黑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9">
    <w:multiLevelType w:val="hybridMultilevel"/>
    <w:lvl w:ilvl="0">
      <w:start w:val="7"/>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8">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7">
    <w:multiLevelType w:val="hybridMultilevel"/>
    <w:lvl w:ilvl="0">
      <w:start w:val="1"/>
      <w:numFmt w:val="decimal"/>
      <w:lvlText w:val="（%1）"/>
      <w:lvlJc w:val="left"/>
      <w:pPr>
        <w:ind w:left="869"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6">
    <w:multiLevelType w:val="hybridMultilevel"/>
    <w:lvl w:ilvl="0">
      <w:start w:val="1"/>
      <w:numFmt w:val="decimal"/>
      <w:lvlText w:val="（%1）"/>
      <w:lvlJc w:val="left"/>
      <w:pPr>
        <w:ind w:left="867" w:hanging="735"/>
        <w:jc w:val="left"/>
      </w:pPr>
      <w:rPr>
        <w:rFonts w:hint="default" w:ascii="宋体" w:hAnsi="宋体" w:eastAsia="宋体" w:cs="宋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5">
    <w:multiLevelType w:val="hybridMultilevel"/>
    <w:lvl w:ilvl="0">
      <w:start w:val="2"/>
      <w:numFmt w:val="decimal"/>
      <w:lvlText w:val="（%1）"/>
      <w:lvlJc w:val="left"/>
      <w:pPr>
        <w:ind w:left="852" w:hanging="738"/>
        <w:jc w:val="left"/>
      </w:pPr>
      <w:rPr>
        <w:rFonts w:hint="default" w:ascii="宋体" w:hAnsi="宋体" w:eastAsia="宋体" w:cs="宋体"/>
        <w:w w:val="100"/>
        <w:sz w:val="21"/>
        <w:szCs w:val="21"/>
      </w:rPr>
    </w:lvl>
    <w:lvl w:ilvl="1">
      <w:start w:val="0"/>
      <w:numFmt w:val="bullet"/>
      <w:lvlText w:val="•"/>
      <w:lvlJc w:val="left"/>
      <w:pPr>
        <w:ind w:left="1536" w:hanging="738"/>
      </w:pPr>
      <w:rPr>
        <w:rFonts w:hint="default"/>
      </w:rPr>
    </w:lvl>
    <w:lvl w:ilvl="2">
      <w:start w:val="0"/>
      <w:numFmt w:val="bullet"/>
      <w:lvlText w:val="•"/>
      <w:lvlJc w:val="left"/>
      <w:pPr>
        <w:ind w:left="2212" w:hanging="738"/>
      </w:pPr>
      <w:rPr>
        <w:rFonts w:hint="default"/>
      </w:rPr>
    </w:lvl>
    <w:lvl w:ilvl="3">
      <w:start w:val="0"/>
      <w:numFmt w:val="bullet"/>
      <w:lvlText w:val="•"/>
      <w:lvlJc w:val="left"/>
      <w:pPr>
        <w:ind w:left="2889" w:hanging="738"/>
      </w:pPr>
      <w:rPr>
        <w:rFonts w:hint="default"/>
      </w:rPr>
    </w:lvl>
    <w:lvl w:ilvl="4">
      <w:start w:val="0"/>
      <w:numFmt w:val="bullet"/>
      <w:lvlText w:val="•"/>
      <w:lvlJc w:val="left"/>
      <w:pPr>
        <w:ind w:left="3565" w:hanging="738"/>
      </w:pPr>
      <w:rPr>
        <w:rFonts w:hint="default"/>
      </w:rPr>
    </w:lvl>
    <w:lvl w:ilvl="5">
      <w:start w:val="0"/>
      <w:numFmt w:val="bullet"/>
      <w:lvlText w:val="•"/>
      <w:lvlJc w:val="left"/>
      <w:pPr>
        <w:ind w:left="4242" w:hanging="738"/>
      </w:pPr>
      <w:rPr>
        <w:rFonts w:hint="default"/>
      </w:rPr>
    </w:lvl>
    <w:lvl w:ilvl="6">
      <w:start w:val="0"/>
      <w:numFmt w:val="bullet"/>
      <w:lvlText w:val="•"/>
      <w:lvlJc w:val="left"/>
      <w:pPr>
        <w:ind w:left="4918" w:hanging="738"/>
      </w:pPr>
      <w:rPr>
        <w:rFonts w:hint="default"/>
      </w:rPr>
    </w:lvl>
    <w:lvl w:ilvl="7">
      <w:start w:val="0"/>
      <w:numFmt w:val="bullet"/>
      <w:lvlText w:val="•"/>
      <w:lvlJc w:val="left"/>
      <w:pPr>
        <w:ind w:left="5594" w:hanging="738"/>
      </w:pPr>
      <w:rPr>
        <w:rFonts w:hint="default"/>
      </w:rPr>
    </w:lvl>
    <w:lvl w:ilvl="8">
      <w:start w:val="0"/>
      <w:numFmt w:val="bullet"/>
      <w:lvlText w:val="•"/>
      <w:lvlJc w:val="left"/>
      <w:pPr>
        <w:ind w:left="6271" w:hanging="738"/>
      </w:pPr>
      <w:rPr>
        <w:rFonts w:hint="default"/>
      </w:rPr>
    </w:lvl>
  </w:abstractNum>
  <w:abstractNum w:abstractNumId="4">
    <w:multiLevelType w:val="hybridMultilevel"/>
    <w:lvl w:ilvl="0">
      <w:start w:val="1"/>
      <w:numFmt w:val="decimal"/>
      <w:lvlText w:val="（%1）"/>
      <w:lvlJc w:val="left"/>
      <w:pPr>
        <w:ind w:left="867" w:hanging="735"/>
        <w:jc w:val="left"/>
      </w:pPr>
      <w:rPr>
        <w:rFonts w:hint="default" w:ascii="黑体" w:hAnsi="黑体" w:eastAsia="黑体" w:cs="黑体"/>
        <w:w w:val="100"/>
        <w:sz w:val="21"/>
        <w:szCs w:val="21"/>
      </w:rPr>
    </w:lvl>
    <w:lvl w:ilvl="1">
      <w:start w:val="0"/>
      <w:numFmt w:val="bullet"/>
      <w:lvlText w:val="•"/>
      <w:lvlJc w:val="left"/>
      <w:pPr>
        <w:ind w:left="1536" w:hanging="735"/>
      </w:pPr>
      <w:rPr>
        <w:rFonts w:hint="default"/>
      </w:rPr>
    </w:lvl>
    <w:lvl w:ilvl="2">
      <w:start w:val="0"/>
      <w:numFmt w:val="bullet"/>
      <w:lvlText w:val="•"/>
      <w:lvlJc w:val="left"/>
      <w:pPr>
        <w:ind w:left="2212" w:hanging="735"/>
      </w:pPr>
      <w:rPr>
        <w:rFonts w:hint="default"/>
      </w:rPr>
    </w:lvl>
    <w:lvl w:ilvl="3">
      <w:start w:val="0"/>
      <w:numFmt w:val="bullet"/>
      <w:lvlText w:val="•"/>
      <w:lvlJc w:val="left"/>
      <w:pPr>
        <w:ind w:left="2889" w:hanging="735"/>
      </w:pPr>
      <w:rPr>
        <w:rFonts w:hint="default"/>
      </w:rPr>
    </w:lvl>
    <w:lvl w:ilvl="4">
      <w:start w:val="0"/>
      <w:numFmt w:val="bullet"/>
      <w:lvlText w:val="•"/>
      <w:lvlJc w:val="left"/>
      <w:pPr>
        <w:ind w:left="3565" w:hanging="735"/>
      </w:pPr>
      <w:rPr>
        <w:rFonts w:hint="default"/>
      </w:rPr>
    </w:lvl>
    <w:lvl w:ilvl="5">
      <w:start w:val="0"/>
      <w:numFmt w:val="bullet"/>
      <w:lvlText w:val="•"/>
      <w:lvlJc w:val="left"/>
      <w:pPr>
        <w:ind w:left="4242" w:hanging="735"/>
      </w:pPr>
      <w:rPr>
        <w:rFonts w:hint="default"/>
      </w:rPr>
    </w:lvl>
    <w:lvl w:ilvl="6">
      <w:start w:val="0"/>
      <w:numFmt w:val="bullet"/>
      <w:lvlText w:val="•"/>
      <w:lvlJc w:val="left"/>
      <w:pPr>
        <w:ind w:left="4918" w:hanging="735"/>
      </w:pPr>
      <w:rPr>
        <w:rFonts w:hint="default"/>
      </w:rPr>
    </w:lvl>
    <w:lvl w:ilvl="7">
      <w:start w:val="0"/>
      <w:numFmt w:val="bullet"/>
      <w:lvlText w:val="•"/>
      <w:lvlJc w:val="left"/>
      <w:pPr>
        <w:ind w:left="5594" w:hanging="735"/>
      </w:pPr>
      <w:rPr>
        <w:rFonts w:hint="default"/>
      </w:rPr>
    </w:lvl>
    <w:lvl w:ilvl="8">
      <w:start w:val="0"/>
      <w:numFmt w:val="bullet"/>
      <w:lvlText w:val="•"/>
      <w:lvlJc w:val="left"/>
      <w:pPr>
        <w:ind w:left="6271" w:hanging="735"/>
      </w:pPr>
      <w:rPr>
        <w:rFonts w:hint="default"/>
      </w:rPr>
    </w:lvl>
  </w:abstractNum>
  <w:abstractNum w:abstractNumId="3">
    <w:multiLevelType w:val="hybridMultilevel"/>
    <w:lvl w:ilvl="0">
      <w:start w:val="10"/>
      <w:numFmt w:val="decimal"/>
      <w:lvlText w:val="%1"/>
      <w:lvlJc w:val="left"/>
      <w:pPr>
        <w:ind w:left="782" w:hanging="526"/>
        <w:jc w:val="left"/>
      </w:pPr>
      <w:rPr>
        <w:rFonts w:hint="default"/>
      </w:rPr>
    </w:lvl>
    <w:lvl w:ilvl="1">
      <w:start w:val="4"/>
      <w:numFmt w:val="decimal"/>
      <w:lvlText w:val="%1.%2"/>
      <w:lvlJc w:val="left"/>
      <w:pPr>
        <w:ind w:left="782" w:hanging="526"/>
        <w:jc w:val="left"/>
      </w:pPr>
      <w:rPr>
        <w:rFonts w:hint="default" w:ascii="宋体" w:hAnsi="宋体" w:eastAsia="宋体" w:cs="宋体"/>
        <w:w w:val="100"/>
        <w:sz w:val="21"/>
        <w:szCs w:val="21"/>
      </w:rPr>
    </w:lvl>
    <w:lvl w:ilvl="2">
      <w:start w:val="0"/>
      <w:numFmt w:val="bullet"/>
      <w:lvlText w:val="•"/>
      <w:lvlJc w:val="left"/>
      <w:pPr>
        <w:ind w:left="1482" w:hanging="526"/>
      </w:pPr>
      <w:rPr>
        <w:rFonts w:hint="default"/>
      </w:rPr>
    </w:lvl>
    <w:lvl w:ilvl="3">
      <w:start w:val="0"/>
      <w:numFmt w:val="bullet"/>
      <w:lvlText w:val="•"/>
      <w:lvlJc w:val="left"/>
      <w:pPr>
        <w:ind w:left="1833" w:hanging="526"/>
      </w:pPr>
      <w:rPr>
        <w:rFonts w:hint="default"/>
      </w:rPr>
    </w:lvl>
    <w:lvl w:ilvl="4">
      <w:start w:val="0"/>
      <w:numFmt w:val="bullet"/>
      <w:lvlText w:val="•"/>
      <w:lvlJc w:val="left"/>
      <w:pPr>
        <w:ind w:left="2184" w:hanging="526"/>
      </w:pPr>
      <w:rPr>
        <w:rFonts w:hint="default"/>
      </w:rPr>
    </w:lvl>
    <w:lvl w:ilvl="5">
      <w:start w:val="0"/>
      <w:numFmt w:val="bullet"/>
      <w:lvlText w:val="•"/>
      <w:lvlJc w:val="left"/>
      <w:pPr>
        <w:ind w:left="2536" w:hanging="526"/>
      </w:pPr>
      <w:rPr>
        <w:rFonts w:hint="default"/>
      </w:rPr>
    </w:lvl>
    <w:lvl w:ilvl="6">
      <w:start w:val="0"/>
      <w:numFmt w:val="bullet"/>
      <w:lvlText w:val="•"/>
      <w:lvlJc w:val="left"/>
      <w:pPr>
        <w:ind w:left="2887" w:hanging="526"/>
      </w:pPr>
      <w:rPr>
        <w:rFonts w:hint="default"/>
      </w:rPr>
    </w:lvl>
    <w:lvl w:ilvl="7">
      <w:start w:val="0"/>
      <w:numFmt w:val="bullet"/>
      <w:lvlText w:val="•"/>
      <w:lvlJc w:val="left"/>
      <w:pPr>
        <w:ind w:left="3238" w:hanging="526"/>
      </w:pPr>
      <w:rPr>
        <w:rFonts w:hint="default"/>
      </w:rPr>
    </w:lvl>
    <w:lvl w:ilvl="8">
      <w:start w:val="0"/>
      <w:numFmt w:val="bullet"/>
      <w:lvlText w:val="•"/>
      <w:lvlJc w:val="left"/>
      <w:pPr>
        <w:ind w:left="3589" w:hanging="526"/>
      </w:pPr>
      <w:rPr>
        <w:rFonts w:hint="default"/>
      </w:rPr>
    </w:lvl>
  </w:abstractNum>
  <w:abstractNum w:abstractNumId="2">
    <w:multiLevelType w:val="hybridMultilevel"/>
    <w:lvl w:ilvl="0">
      <w:start w:val="5"/>
      <w:numFmt w:val="decimal"/>
      <w:lvlText w:val="%1."/>
      <w:lvlJc w:val="left"/>
      <w:pPr>
        <w:ind w:left="573" w:hanging="318"/>
        <w:jc w:val="left"/>
      </w:pPr>
      <w:rPr>
        <w:rFonts w:hint="default" w:ascii="宋体" w:hAnsi="宋体" w:eastAsia="宋体" w:cs="宋体"/>
        <w:b/>
        <w:bCs/>
        <w:w w:val="99"/>
        <w:sz w:val="21"/>
        <w:szCs w:val="21"/>
      </w:rPr>
    </w:lvl>
    <w:lvl w:ilvl="1">
      <w:start w:val="1"/>
      <w:numFmt w:val="decimal"/>
      <w:lvlText w:val="%1.%2"/>
      <w:lvlJc w:val="left"/>
      <w:pPr>
        <w:ind w:left="781" w:hanging="420"/>
        <w:jc w:val="left"/>
      </w:pPr>
      <w:rPr>
        <w:rFonts w:hint="default" w:ascii="宋体" w:hAnsi="宋体" w:eastAsia="宋体" w:cs="宋体"/>
        <w:w w:val="100"/>
        <w:sz w:val="21"/>
        <w:szCs w:val="21"/>
      </w:rPr>
    </w:lvl>
    <w:lvl w:ilvl="2">
      <w:start w:val="0"/>
      <w:numFmt w:val="bullet"/>
      <w:lvlText w:val="•"/>
      <w:lvlJc w:val="left"/>
      <w:pPr>
        <w:ind w:left="880" w:hanging="420"/>
      </w:pPr>
      <w:rPr>
        <w:rFonts w:hint="default"/>
      </w:rPr>
    </w:lvl>
    <w:lvl w:ilvl="3">
      <w:start w:val="0"/>
      <w:numFmt w:val="bullet"/>
      <w:lvlText w:val="•"/>
      <w:lvlJc w:val="left"/>
      <w:pPr>
        <w:ind w:left="1137" w:hanging="420"/>
      </w:pPr>
      <w:rPr>
        <w:rFonts w:hint="default"/>
      </w:rPr>
    </w:lvl>
    <w:lvl w:ilvl="4">
      <w:start w:val="0"/>
      <w:numFmt w:val="bullet"/>
      <w:lvlText w:val="•"/>
      <w:lvlJc w:val="left"/>
      <w:pPr>
        <w:ind w:left="1395" w:hanging="420"/>
      </w:pPr>
      <w:rPr>
        <w:rFonts w:hint="default"/>
      </w:rPr>
    </w:lvl>
    <w:lvl w:ilvl="5">
      <w:start w:val="0"/>
      <w:numFmt w:val="bullet"/>
      <w:lvlText w:val="•"/>
      <w:lvlJc w:val="left"/>
      <w:pPr>
        <w:ind w:left="1653" w:hanging="420"/>
      </w:pPr>
      <w:rPr>
        <w:rFonts w:hint="default"/>
      </w:rPr>
    </w:lvl>
    <w:lvl w:ilvl="6">
      <w:start w:val="0"/>
      <w:numFmt w:val="bullet"/>
      <w:lvlText w:val="•"/>
      <w:lvlJc w:val="left"/>
      <w:pPr>
        <w:ind w:left="1911" w:hanging="420"/>
      </w:pPr>
      <w:rPr>
        <w:rFonts w:hint="default"/>
      </w:rPr>
    </w:lvl>
    <w:lvl w:ilvl="7">
      <w:start w:val="0"/>
      <w:numFmt w:val="bullet"/>
      <w:lvlText w:val="•"/>
      <w:lvlJc w:val="left"/>
      <w:pPr>
        <w:ind w:left="2168" w:hanging="420"/>
      </w:pPr>
      <w:rPr>
        <w:rFonts w:hint="default"/>
      </w:rPr>
    </w:lvl>
    <w:lvl w:ilvl="8">
      <w:start w:val="0"/>
      <w:numFmt w:val="bullet"/>
      <w:lvlText w:val="•"/>
      <w:lvlJc w:val="left"/>
      <w:pPr>
        <w:ind w:left="2426" w:hanging="420"/>
      </w:pPr>
      <w:rPr>
        <w:rFonts w:hint="default"/>
      </w:rPr>
    </w:lvl>
  </w:abstractNum>
  <w:abstractNum w:abstractNumId="1">
    <w:multiLevelType w:val="hybridMultilevel"/>
    <w:lvl w:ilvl="0">
      <w:start w:val="1"/>
      <w:numFmt w:val="decimal"/>
      <w:lvlText w:val="%1."/>
      <w:lvlJc w:val="left"/>
      <w:pPr>
        <w:ind w:left="535" w:hanging="318"/>
        <w:jc w:val="left"/>
      </w:pPr>
      <w:rPr>
        <w:rFonts w:hint="default" w:ascii="宋体" w:hAnsi="宋体" w:eastAsia="宋体" w:cs="宋体"/>
        <w:b/>
        <w:bCs/>
        <w:w w:val="99"/>
        <w:sz w:val="21"/>
        <w:szCs w:val="21"/>
      </w:rPr>
    </w:lvl>
    <w:lvl w:ilvl="1">
      <w:start w:val="1"/>
      <w:numFmt w:val="decimal"/>
      <w:lvlText w:val="%1.%2"/>
      <w:lvlJc w:val="left"/>
      <w:pPr>
        <w:ind w:left="744" w:hanging="421"/>
        <w:jc w:val="left"/>
      </w:pPr>
      <w:rPr>
        <w:rFonts w:hint="default" w:ascii="宋体" w:hAnsi="宋体" w:eastAsia="宋体" w:cs="宋体"/>
        <w:w w:val="100"/>
        <w:sz w:val="21"/>
        <w:szCs w:val="21"/>
      </w:rPr>
    </w:lvl>
    <w:lvl w:ilvl="2">
      <w:start w:val="0"/>
      <w:numFmt w:val="bullet"/>
      <w:lvlText w:val="•"/>
      <w:lvlJc w:val="left"/>
      <w:pPr>
        <w:ind w:left="956" w:hanging="421"/>
      </w:pPr>
      <w:rPr>
        <w:rFonts w:hint="default"/>
      </w:rPr>
    </w:lvl>
    <w:lvl w:ilvl="3">
      <w:start w:val="0"/>
      <w:numFmt w:val="bullet"/>
      <w:lvlText w:val="•"/>
      <w:lvlJc w:val="left"/>
      <w:pPr>
        <w:ind w:left="1173" w:hanging="421"/>
      </w:pPr>
      <w:rPr>
        <w:rFonts w:hint="default"/>
      </w:rPr>
    </w:lvl>
    <w:lvl w:ilvl="4">
      <w:start w:val="0"/>
      <w:numFmt w:val="bullet"/>
      <w:lvlText w:val="•"/>
      <w:lvlJc w:val="left"/>
      <w:pPr>
        <w:ind w:left="1390" w:hanging="421"/>
      </w:pPr>
      <w:rPr>
        <w:rFonts w:hint="default"/>
      </w:rPr>
    </w:lvl>
    <w:lvl w:ilvl="5">
      <w:start w:val="0"/>
      <w:numFmt w:val="bullet"/>
      <w:lvlText w:val="•"/>
      <w:lvlJc w:val="left"/>
      <w:pPr>
        <w:ind w:left="1607" w:hanging="421"/>
      </w:pPr>
      <w:rPr>
        <w:rFonts w:hint="default"/>
      </w:rPr>
    </w:lvl>
    <w:lvl w:ilvl="6">
      <w:start w:val="0"/>
      <w:numFmt w:val="bullet"/>
      <w:lvlText w:val="•"/>
      <w:lvlJc w:val="left"/>
      <w:pPr>
        <w:ind w:left="1824" w:hanging="421"/>
      </w:pPr>
      <w:rPr>
        <w:rFonts w:hint="default"/>
      </w:rPr>
    </w:lvl>
    <w:lvl w:ilvl="7">
      <w:start w:val="0"/>
      <w:numFmt w:val="bullet"/>
      <w:lvlText w:val="•"/>
      <w:lvlJc w:val="left"/>
      <w:pPr>
        <w:ind w:left="2041" w:hanging="421"/>
      </w:pPr>
      <w:rPr>
        <w:rFonts w:hint="default"/>
      </w:rPr>
    </w:lvl>
    <w:lvl w:ilvl="8">
      <w:start w:val="0"/>
      <w:numFmt w:val="bullet"/>
      <w:lvlText w:val="•"/>
      <w:lvlJc w:val="left"/>
      <w:pPr>
        <w:ind w:left="2258" w:hanging="421"/>
      </w:pPr>
      <w:rPr>
        <w:rFonts w:hint="default"/>
      </w:rPr>
    </w:lvl>
  </w:abstractNum>
  <w:abstractNum w:abstractNumId="0">
    <w:multiLevelType w:val="hybridMultilevel"/>
    <w:lvl w:ilvl="0">
      <w:start w:val="0"/>
      <w:numFmt w:val="bullet"/>
      <w:lvlText w:val=""/>
      <w:lvlJc w:val="left"/>
      <w:pPr>
        <w:ind w:left="1249" w:hanging="399"/>
      </w:pPr>
      <w:rPr>
        <w:rFonts w:hint="default" w:ascii="Wingdings" w:hAnsi="Wingdings" w:eastAsia="Wingdings" w:cs="Wingdings"/>
        <w:w w:val="100"/>
        <w:sz w:val="21"/>
        <w:szCs w:val="21"/>
      </w:rPr>
    </w:lvl>
    <w:lvl w:ilvl="1">
      <w:start w:val="0"/>
      <w:numFmt w:val="bullet"/>
      <w:lvlText w:val="•"/>
      <w:lvlJc w:val="left"/>
      <w:pPr>
        <w:ind w:left="2192" w:hanging="399"/>
      </w:pPr>
      <w:rPr>
        <w:rFonts w:hint="default"/>
      </w:rPr>
    </w:lvl>
    <w:lvl w:ilvl="2">
      <w:start w:val="0"/>
      <w:numFmt w:val="bullet"/>
      <w:lvlText w:val="•"/>
      <w:lvlJc w:val="left"/>
      <w:pPr>
        <w:ind w:left="3145" w:hanging="399"/>
      </w:pPr>
      <w:rPr>
        <w:rFonts w:hint="default"/>
      </w:rPr>
    </w:lvl>
    <w:lvl w:ilvl="3">
      <w:start w:val="0"/>
      <w:numFmt w:val="bullet"/>
      <w:lvlText w:val="•"/>
      <w:lvlJc w:val="left"/>
      <w:pPr>
        <w:ind w:left="4097" w:hanging="399"/>
      </w:pPr>
      <w:rPr>
        <w:rFonts w:hint="default"/>
      </w:rPr>
    </w:lvl>
    <w:lvl w:ilvl="4">
      <w:start w:val="0"/>
      <w:numFmt w:val="bullet"/>
      <w:lvlText w:val="•"/>
      <w:lvlJc w:val="left"/>
      <w:pPr>
        <w:ind w:left="5050" w:hanging="399"/>
      </w:pPr>
      <w:rPr>
        <w:rFonts w:hint="default"/>
      </w:rPr>
    </w:lvl>
    <w:lvl w:ilvl="5">
      <w:start w:val="0"/>
      <w:numFmt w:val="bullet"/>
      <w:lvlText w:val="•"/>
      <w:lvlJc w:val="left"/>
      <w:pPr>
        <w:ind w:left="6003" w:hanging="399"/>
      </w:pPr>
      <w:rPr>
        <w:rFonts w:hint="default"/>
      </w:rPr>
    </w:lvl>
    <w:lvl w:ilvl="6">
      <w:start w:val="0"/>
      <w:numFmt w:val="bullet"/>
      <w:lvlText w:val="•"/>
      <w:lvlJc w:val="left"/>
      <w:pPr>
        <w:ind w:left="6955" w:hanging="399"/>
      </w:pPr>
      <w:rPr>
        <w:rFonts w:hint="default"/>
      </w:rPr>
    </w:lvl>
    <w:lvl w:ilvl="7">
      <w:start w:val="0"/>
      <w:numFmt w:val="bullet"/>
      <w:lvlText w:val="•"/>
      <w:lvlJc w:val="left"/>
      <w:pPr>
        <w:ind w:left="7908" w:hanging="399"/>
      </w:pPr>
      <w:rPr>
        <w:rFonts w:hint="default"/>
      </w:rPr>
    </w:lvl>
    <w:lvl w:ilvl="8">
      <w:start w:val="0"/>
      <w:numFmt w:val="bullet"/>
      <w:lvlText w:val="•"/>
      <w:lvlJc w:val="left"/>
      <w:pPr>
        <w:ind w:left="8861" w:hanging="399"/>
      </w:pPr>
      <w:rPr>
        <w:rFonts w:hint="default"/>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469"/>
      <w:outlineLvl w:val="1"/>
    </w:pPr>
    <w:rPr>
      <w:rFonts w:ascii="微软雅黑" w:hAnsi="微软雅黑" w:eastAsia="微软雅黑" w:cs="微软雅黑"/>
      <w:b/>
      <w:bCs/>
      <w:sz w:val="32"/>
      <w:szCs w:val="32"/>
    </w:rPr>
  </w:style>
  <w:style w:styleId="ListParagraph" w:type="paragraph">
    <w:name w:val="List Paragraph"/>
    <w:basedOn w:val="Normal"/>
    <w:uiPriority w:val="1"/>
    <w:qFormat/>
    <w:pPr>
      <w:spacing w:before="22"/>
      <w:ind w:left="1249" w:hanging="399"/>
    </w:pPr>
    <w:rPr>
      <w:rFonts w:ascii="宋体" w:hAnsi="宋体" w:eastAsia="宋体" w:cs="宋体"/>
    </w:rPr>
  </w:style>
  <w:style w:styleId="TableParagraph" w:type="paragraph">
    <w:name w:val="Table Paragraph"/>
    <w:basedOn w:val="Normal"/>
    <w:uiPriority w:val="1"/>
    <w:qFormat/>
    <w:pPr>
      <w:spacing w:before="111"/>
      <w:ind w:left="13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泰康附加世纪长乐重大疾病保险条款</dc:title>
  <dcterms:created xsi:type="dcterms:W3CDTF">2018-10-20T07:50:00Z</dcterms:created>
  <dcterms:modified xsi:type="dcterms:W3CDTF">2018-10-20T07:50:00Z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2014-05-12T00:00:00Z</vt:filetime>
  </property>
  <property fmtid="{D5CDD505-2E9C-101B-9397-08002B2CF9AE}" pid="3" name="Creator">
    <vt:lpwstr>Microsoft® Office Word 2007</vt:lpwstr>
  </property>
  <property fmtid="{D5CDD505-2E9C-101B-9397-08002B2CF9AE}" pid="4" name="LastSaved">
    <vt:filetime>2018-10-19T00:00:00Z</vt:filetime>
  </property>
</Properties>
</file>