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49" w:firstLine="0"/>
        <w:jc w:val="right"/>
        <w:rPr>
          <w:sz w:val="16"/>
        </w:rPr>
      </w:pPr>
      <w:r>
        <w:rPr/>
        <w:drawing>
          <wp:anchor distT="0" distB="0" distL="0" distR="0" allowOverlap="1" layoutInCell="1" locked="0" behindDoc="0" simplePos="0" relativeHeight="0">
            <wp:simplePos x="0" y="0"/>
            <wp:positionH relativeFrom="page">
              <wp:posOffset>6205854</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君康人寿[2016]疾病保险 078 号</w:t>
      </w:r>
    </w:p>
    <w:p>
      <w:pPr>
        <w:pStyle w:val="BodyText"/>
        <w:rPr>
          <w:sz w:val="20"/>
        </w:rPr>
      </w:pPr>
    </w:p>
    <w:p>
      <w:pPr>
        <w:pStyle w:val="BodyText"/>
        <w:rPr>
          <w:sz w:val="16"/>
        </w:rPr>
      </w:pPr>
    </w:p>
    <w:p>
      <w:pPr>
        <w:spacing w:after="0"/>
        <w:rPr>
          <w:sz w:val="16"/>
        </w:rPr>
        <w:sectPr>
          <w:type w:val="continuous"/>
          <w:pgSz w:w="11910" w:h="16840"/>
          <w:pgMar w:top="620" w:bottom="280" w:left="780" w:right="660"/>
        </w:sectPr>
      </w:pPr>
    </w:p>
    <w:p>
      <w:pPr>
        <w:spacing w:line="357" w:lineRule="auto" w:before="1"/>
        <w:ind w:left="4289" w:right="0" w:hanging="1205"/>
        <w:jc w:val="left"/>
        <w:rPr>
          <w:b/>
          <w:sz w:val="32"/>
        </w:rPr>
      </w:pPr>
      <w:r>
        <w:rPr>
          <w:b/>
          <w:sz w:val="32"/>
        </w:rPr>
        <w:t>君康福康宝重大疾病保险条款阅 读 指 引</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spacing w:before="7"/>
        <w:rPr>
          <w:b/>
          <w:sz w:val="11"/>
        </w:rPr>
      </w:pPr>
    </w:p>
    <w:p>
      <w:pPr>
        <w:spacing w:before="0"/>
        <w:ind w:left="1441" w:right="0" w:firstLine="0"/>
        <w:jc w:val="left"/>
        <w:rPr>
          <w:sz w:val="15"/>
        </w:rPr>
      </w:pPr>
      <w:r>
        <w:rPr>
          <w:sz w:val="15"/>
        </w:rPr>
        <w:t>请扫描以查询验证条款</w:t>
      </w:r>
    </w:p>
    <w:p>
      <w:pPr>
        <w:spacing w:after="0"/>
        <w:jc w:val="left"/>
        <w:rPr>
          <w:sz w:val="15"/>
        </w:rPr>
        <w:sectPr>
          <w:type w:val="continuous"/>
          <w:pgSz w:w="11910" w:h="16840"/>
          <w:pgMar w:top="620" w:bottom="280" w:left="780" w:right="660"/>
          <w:cols w:num="2" w:equalWidth="0">
            <w:col w:w="7264" w:space="40"/>
            <w:col w:w="3166"/>
          </w:cols>
        </w:sectPr>
      </w:pPr>
    </w:p>
    <w:p>
      <w:pPr>
        <w:pStyle w:val="BodyText"/>
        <w:spacing w:line="342" w:lineRule="exact"/>
        <w:ind w:left="864"/>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51"/>
          <w:w w:val="100"/>
        </w:rPr>
        <w:t>，</w:t>
      </w:r>
      <w:r>
        <w:rPr>
          <w:rFonts w:ascii="宋体" w:eastAsia="宋体" w:hint="eastAsia"/>
          <w:spacing w:val="-63"/>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2"/>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对</w:t>
      </w:r>
      <w:r>
        <w:rPr>
          <w:rFonts w:ascii="宋体" w:eastAsia="宋体" w:hint="eastAsia"/>
          <w:spacing w:val="-63"/>
          <w:w w:val="100"/>
          <w:position w:val="-7"/>
        </w:rPr>
        <w:t>．</w: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52"/>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52"/>
          <w:w w:val="100"/>
        </w:rPr>
        <w:t>内</w:t>
      </w:r>
      <w:r>
        <w:rPr>
          <w:rFonts w:ascii="宋体" w:eastAsia="宋体" w:hint="eastAsia"/>
          <w:spacing w:val="-63"/>
          <w:w w:val="100"/>
          <w:position w:val="-7"/>
        </w:rPr>
        <w:t>．</w:t>
      </w:r>
      <w:r>
        <w:rPr>
          <w:rFonts w:ascii="宋体" w:eastAsia="宋体" w:hint="eastAsia"/>
          <w:spacing w:val="-149"/>
          <w:w w:val="100"/>
        </w:rPr>
        <w:t>容</w:t>
      </w:r>
      <w:r>
        <w:rPr>
          <w:rFonts w:ascii="宋体" w:eastAsia="宋体" w:hint="eastAsia"/>
          <w:spacing w:val="-63"/>
          <w:w w:val="100"/>
          <w:position w:val="-7"/>
        </w:rPr>
        <w:t>．</w:t>
      </w:r>
      <w:r>
        <w:rPr>
          <w:rFonts w:ascii="宋体" w:eastAsia="宋体" w:hint="eastAsia"/>
          <w:spacing w:val="-152"/>
          <w:w w:val="100"/>
        </w:rPr>
        <w:t>的</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3"/>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tabs>
          <w:tab w:pos="1250" w:val="left" w:leader="none"/>
        </w:tabs>
        <w:spacing w:before="170"/>
        <w:ind w:left="240" w:right="0" w:firstLine="0"/>
        <w:jc w:val="left"/>
        <w:rPr>
          <w:rFonts w:ascii="宋体" w:hAnsi="宋体" w:eastAsia="宋体" w:hint="eastAsia"/>
          <w:b/>
          <w:sz w:val="21"/>
        </w:rPr>
      </w:pPr>
      <w:r>
        <w:rPr/>
        <w:pict>
          <v:group style="position:absolute;margin-left:44.040001pt;margin-top:6.138683pt;width:512.65pt;height:648.25pt;mso-position-horizontal-relative:page;mso-position-vertical-relative:paragraph;z-index:-62512" coordorigin="881,123" coordsize="10253,12965">
            <v:shape style="position:absolute;left:880;top:122;width:10253;height:12965" type="#_x0000_t75" stroked="false">
              <v:imagedata r:id="rId6" o:title=""/>
            </v:shape>
            <v:rect style="position:absolute;left:1177;top:5381;width:9720;height:7526" filled="true" fillcolor="#ffffff" stroked="false">
              <v:fill type="solid"/>
            </v:rect>
            <v:rect style="position:absolute;left:1177;top:5381;width:9720;height:7526" filled="false" stroked="true" strokeweight=".75pt" strokecolor="#000000">
              <v:stroke dashstyle="dot"/>
            </v:rect>
            <w10:wrap type="none"/>
          </v:group>
        </w:pict>
      </w: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在犹</w:t>
      </w:r>
      <w:r>
        <w:rPr>
          <w:spacing w:val="-3"/>
          <w:sz w:val="21"/>
        </w:rPr>
        <w:t>豫</w:t>
      </w:r>
      <w:r>
        <w:rPr>
          <w:sz w:val="21"/>
        </w:rPr>
        <w:t>期</w:t>
      </w:r>
      <w:r>
        <w:rPr>
          <w:spacing w:val="-3"/>
          <w:sz w:val="21"/>
        </w:rPr>
        <w:t>内</w:t>
      </w:r>
      <w:r>
        <w:rPr>
          <w:sz w:val="21"/>
        </w:rPr>
        <w:t>，</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t>1.4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您有</w:t>
      </w:r>
      <w:r>
        <w:rPr>
          <w:spacing w:val="-3"/>
          <w:sz w:val="21"/>
        </w:rPr>
        <w:t>按</w:t>
      </w:r>
      <w:r>
        <w:rPr>
          <w:sz w:val="21"/>
        </w:rPr>
        <w:t>合</w:t>
      </w:r>
      <w:r>
        <w:rPr>
          <w:spacing w:val="-3"/>
          <w:sz w:val="21"/>
        </w:rPr>
        <w:t>同</w:t>
      </w:r>
      <w:r>
        <w:rPr>
          <w:sz w:val="21"/>
        </w:rPr>
        <w:t>约</w:t>
      </w:r>
      <w:r>
        <w:rPr>
          <w:spacing w:val="-3"/>
          <w:sz w:val="21"/>
        </w:rPr>
        <w:t>定</w:t>
      </w:r>
      <w:r>
        <w:rPr>
          <w:sz w:val="21"/>
        </w:rPr>
        <w:t>申</w:t>
      </w:r>
      <w:r>
        <w:rPr>
          <w:spacing w:val="-3"/>
          <w:sz w:val="21"/>
        </w:rPr>
        <w:t>请</w:t>
      </w:r>
      <w:r>
        <w:rPr>
          <w:sz w:val="21"/>
        </w:rPr>
        <w:t>保</w:t>
      </w:r>
      <w:r>
        <w:rPr>
          <w:spacing w:val="-3"/>
          <w:sz w:val="21"/>
        </w:rPr>
        <w:t>单</w:t>
      </w:r>
      <w:r>
        <w:rPr>
          <w:sz w:val="21"/>
        </w:rPr>
        <w:t>贷款</w:t>
      </w:r>
      <w:r>
        <w:rPr>
          <w:spacing w:val="-3"/>
          <w:sz w:val="21"/>
        </w:rPr>
        <w:t>的</w:t>
      </w:r>
      <w:r>
        <w:rPr>
          <w:sz w:val="21"/>
        </w:rPr>
        <w:t>权利</w:t>
        <w:tab/>
        <w:t>5.2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tabs>
          <w:tab w:pos="1250" w:val="left" w:leader="none"/>
        </w:tabs>
        <w:spacing w:before="21"/>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32" w:val="left" w:leader="none"/>
          <w:tab w:pos="1633" w:val="left" w:leader="none"/>
          <w:tab w:pos="9933"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tabs>
          <w:tab w:pos="1250" w:val="left" w:leader="none"/>
        </w:tabs>
        <w:spacing w:before="22"/>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0" w:val="left" w:leader="none"/>
        </w:tabs>
        <w:spacing w:before="26"/>
        <w:ind w:left="240"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jc w:val="left"/>
        <w:rPr>
          <w:rFonts w:ascii="宋体" w:hAnsi="宋体" w:eastAsia="宋体" w:hint="eastAsia"/>
          <w:sz w:val="21"/>
        </w:rPr>
        <w:sectPr>
          <w:type w:val="continuous"/>
          <w:pgSz w:w="11910" w:h="16840"/>
          <w:pgMar w:top="620" w:bottom="280" w:left="780" w:right="660"/>
        </w:sectPr>
      </w:pPr>
    </w:p>
    <w:p>
      <w:pPr>
        <w:spacing w:line="268" w:lineRule="exact" w:before="40"/>
        <w:ind w:left="1200" w:right="0" w:firstLine="0"/>
        <w:jc w:val="left"/>
        <w:rPr>
          <w:b/>
          <w:sz w:val="21"/>
        </w:rPr>
      </w:pPr>
      <w:r>
        <w:rPr>
          <w:b/>
          <w:sz w:val="21"/>
        </w:rPr>
        <w:t>1．投保人与本公司的合同</w:t>
      </w:r>
    </w:p>
    <w:p>
      <w:pPr>
        <w:pStyle w:val="ListParagraph"/>
        <w:numPr>
          <w:ilvl w:val="1"/>
          <w:numId w:val="2"/>
        </w:numPr>
        <w:tabs>
          <w:tab w:pos="1834" w:val="left" w:leader="none"/>
        </w:tabs>
        <w:spacing w:line="260" w:lineRule="exact" w:before="0" w:after="0"/>
        <w:ind w:left="1834" w:right="0" w:hanging="423"/>
        <w:jc w:val="left"/>
        <w:rPr>
          <w:sz w:val="21"/>
        </w:rPr>
      </w:pPr>
      <w:r>
        <w:rPr>
          <w:spacing w:val="-3"/>
          <w:sz w:val="21"/>
        </w:rPr>
        <w:t>合同构成</w:t>
      </w:r>
    </w:p>
    <w:p>
      <w:pPr>
        <w:pStyle w:val="ListParagraph"/>
        <w:numPr>
          <w:ilvl w:val="1"/>
          <w:numId w:val="2"/>
        </w:numPr>
        <w:tabs>
          <w:tab w:pos="1834" w:val="left" w:leader="none"/>
        </w:tabs>
        <w:spacing w:line="259" w:lineRule="exact" w:before="0" w:after="0"/>
        <w:ind w:left="1834" w:right="0" w:hanging="423"/>
        <w:jc w:val="left"/>
        <w:rPr>
          <w:sz w:val="21"/>
        </w:rPr>
      </w:pPr>
      <w:r>
        <w:rPr>
          <w:spacing w:val="-3"/>
          <w:sz w:val="21"/>
        </w:rPr>
        <w:t>合同成立与生效</w:t>
      </w:r>
    </w:p>
    <w:p>
      <w:pPr>
        <w:pStyle w:val="ListParagraph"/>
        <w:numPr>
          <w:ilvl w:val="1"/>
          <w:numId w:val="2"/>
        </w:numPr>
        <w:tabs>
          <w:tab w:pos="1834" w:val="left" w:leader="none"/>
        </w:tabs>
        <w:spacing w:line="260" w:lineRule="exact" w:before="0" w:after="0"/>
        <w:ind w:left="1834" w:right="0" w:hanging="423"/>
        <w:jc w:val="left"/>
        <w:rPr>
          <w:sz w:val="21"/>
        </w:rPr>
      </w:pPr>
      <w:r>
        <w:rPr>
          <w:spacing w:val="-3"/>
          <w:sz w:val="21"/>
        </w:rPr>
        <w:t>投保范围</w:t>
      </w:r>
    </w:p>
    <w:p>
      <w:pPr>
        <w:pStyle w:val="ListParagraph"/>
        <w:numPr>
          <w:ilvl w:val="1"/>
          <w:numId w:val="2"/>
        </w:numPr>
        <w:tabs>
          <w:tab w:pos="1834" w:val="left" w:leader="none"/>
        </w:tabs>
        <w:spacing w:line="268" w:lineRule="exact" w:before="0" w:after="0"/>
        <w:ind w:left="1834" w:right="0" w:hanging="423"/>
        <w:jc w:val="left"/>
        <w:rPr>
          <w:sz w:val="21"/>
        </w:rPr>
      </w:pPr>
      <w:r>
        <w:rPr>
          <w:spacing w:val="-2"/>
          <w:sz w:val="21"/>
        </w:rPr>
        <w:t>犹豫期</w:t>
      </w:r>
    </w:p>
    <w:p>
      <w:pPr>
        <w:pStyle w:val="BodyText"/>
        <w:spacing w:before="8"/>
        <w:rPr>
          <w:sz w:val="18"/>
        </w:rPr>
      </w:pPr>
    </w:p>
    <w:p>
      <w:pPr>
        <w:spacing w:line="268" w:lineRule="exact" w:before="0"/>
        <w:ind w:left="1200" w:right="0" w:firstLine="0"/>
        <w:jc w:val="left"/>
        <w:rPr>
          <w:b/>
          <w:sz w:val="21"/>
        </w:rPr>
      </w:pPr>
      <w:r>
        <w:rPr>
          <w:b/>
          <w:sz w:val="21"/>
        </w:rPr>
        <w:t>2．本公司提供的保障</w:t>
      </w:r>
    </w:p>
    <w:p>
      <w:pPr>
        <w:pStyle w:val="ListParagraph"/>
        <w:numPr>
          <w:ilvl w:val="1"/>
          <w:numId w:val="3"/>
        </w:numPr>
        <w:tabs>
          <w:tab w:pos="1834" w:val="left" w:leader="none"/>
        </w:tabs>
        <w:spacing w:line="260" w:lineRule="exact" w:before="0" w:after="0"/>
        <w:ind w:left="1831" w:right="0" w:hanging="420"/>
        <w:jc w:val="left"/>
        <w:rPr>
          <w:sz w:val="21"/>
        </w:rPr>
      </w:pPr>
      <w:r>
        <w:rPr>
          <w:spacing w:val="-3"/>
          <w:sz w:val="21"/>
        </w:rPr>
        <w:t>保险责任</w:t>
      </w:r>
    </w:p>
    <w:p>
      <w:pPr>
        <w:pStyle w:val="ListParagraph"/>
        <w:numPr>
          <w:ilvl w:val="1"/>
          <w:numId w:val="3"/>
        </w:numPr>
        <w:tabs>
          <w:tab w:pos="1834" w:val="left" w:leader="none"/>
        </w:tabs>
        <w:spacing w:line="259" w:lineRule="exact" w:before="0" w:after="0"/>
        <w:ind w:left="1831" w:right="0" w:hanging="420"/>
        <w:jc w:val="left"/>
        <w:rPr>
          <w:sz w:val="21"/>
        </w:rPr>
      </w:pPr>
      <w:r>
        <w:rPr>
          <w:spacing w:val="-3"/>
          <w:sz w:val="21"/>
        </w:rPr>
        <w:t>责任免除</w:t>
      </w:r>
    </w:p>
    <w:p>
      <w:pPr>
        <w:pStyle w:val="ListParagraph"/>
        <w:numPr>
          <w:ilvl w:val="1"/>
          <w:numId w:val="3"/>
        </w:numPr>
        <w:tabs>
          <w:tab w:pos="1834" w:val="left" w:leader="none"/>
        </w:tabs>
        <w:spacing w:line="260" w:lineRule="exact" w:before="0" w:after="0"/>
        <w:ind w:left="1831" w:right="0" w:hanging="420"/>
        <w:jc w:val="left"/>
        <w:rPr>
          <w:sz w:val="21"/>
        </w:rPr>
      </w:pPr>
      <w:r>
        <w:rPr>
          <w:spacing w:val="-3"/>
          <w:sz w:val="21"/>
        </w:rPr>
        <w:t>基本保险金额</w:t>
      </w:r>
    </w:p>
    <w:p>
      <w:pPr>
        <w:pStyle w:val="ListParagraph"/>
        <w:numPr>
          <w:ilvl w:val="1"/>
          <w:numId w:val="3"/>
        </w:numPr>
        <w:tabs>
          <w:tab w:pos="1834" w:val="left" w:leader="none"/>
        </w:tabs>
        <w:spacing w:line="228" w:lineRule="auto" w:before="7" w:after="0"/>
        <w:ind w:left="1831" w:right="0" w:hanging="420"/>
        <w:jc w:val="left"/>
        <w:rPr>
          <w:sz w:val="21"/>
        </w:rPr>
      </w:pPr>
      <w:r>
        <w:rPr>
          <w:spacing w:val="-3"/>
          <w:sz w:val="21"/>
        </w:rPr>
        <w:t>未成年人身故利益给付限制</w:t>
      </w:r>
    </w:p>
    <w:p>
      <w:pPr>
        <w:pStyle w:val="ListParagraph"/>
        <w:numPr>
          <w:ilvl w:val="1"/>
          <w:numId w:val="3"/>
        </w:numPr>
        <w:tabs>
          <w:tab w:pos="1834" w:val="left" w:leader="none"/>
        </w:tabs>
        <w:spacing w:line="259" w:lineRule="exact" w:before="0" w:after="0"/>
        <w:ind w:left="1831" w:right="0" w:hanging="420"/>
        <w:jc w:val="left"/>
        <w:rPr>
          <w:sz w:val="21"/>
        </w:rPr>
      </w:pPr>
      <w:r>
        <w:rPr>
          <w:spacing w:val="-3"/>
          <w:sz w:val="21"/>
        </w:rPr>
        <w:t>保险期间</w:t>
      </w:r>
    </w:p>
    <w:p>
      <w:pPr>
        <w:pStyle w:val="BodyText"/>
        <w:spacing w:before="10"/>
        <w:rPr>
          <w:sz w:val="18"/>
        </w:rPr>
      </w:pPr>
    </w:p>
    <w:p>
      <w:pPr>
        <w:spacing w:line="267" w:lineRule="exact" w:before="0"/>
        <w:ind w:left="1200" w:right="0" w:firstLine="0"/>
        <w:jc w:val="left"/>
        <w:rPr>
          <w:b/>
          <w:sz w:val="21"/>
        </w:rPr>
      </w:pPr>
      <w:r>
        <w:rPr>
          <w:b/>
          <w:sz w:val="21"/>
        </w:rPr>
        <w:t>3．如何申请领取保险金</w:t>
      </w:r>
    </w:p>
    <w:p>
      <w:pPr>
        <w:pStyle w:val="ListParagraph"/>
        <w:numPr>
          <w:ilvl w:val="1"/>
          <w:numId w:val="4"/>
        </w:numPr>
        <w:tabs>
          <w:tab w:pos="1834" w:val="left" w:leader="none"/>
        </w:tabs>
        <w:spacing w:line="260" w:lineRule="exact" w:before="0" w:after="0"/>
        <w:ind w:left="1834" w:right="0" w:hanging="423"/>
        <w:jc w:val="left"/>
        <w:rPr>
          <w:sz w:val="21"/>
        </w:rPr>
      </w:pPr>
      <w:r>
        <w:rPr>
          <w:spacing w:val="-2"/>
          <w:sz w:val="21"/>
        </w:rPr>
        <w:t>受益人</w:t>
      </w:r>
    </w:p>
    <w:p>
      <w:pPr>
        <w:pStyle w:val="ListParagraph"/>
        <w:numPr>
          <w:ilvl w:val="1"/>
          <w:numId w:val="4"/>
        </w:numPr>
        <w:tabs>
          <w:tab w:pos="1834" w:val="left" w:leader="none"/>
        </w:tabs>
        <w:spacing w:line="260" w:lineRule="exact" w:before="0" w:after="0"/>
        <w:ind w:left="1834" w:right="0" w:hanging="423"/>
        <w:jc w:val="left"/>
        <w:rPr>
          <w:sz w:val="21"/>
        </w:rPr>
      </w:pPr>
      <w:r>
        <w:rPr>
          <w:spacing w:val="-3"/>
          <w:sz w:val="21"/>
        </w:rPr>
        <w:t>保险事故通知</w:t>
      </w:r>
    </w:p>
    <w:p>
      <w:pPr>
        <w:pStyle w:val="ListParagraph"/>
        <w:numPr>
          <w:ilvl w:val="1"/>
          <w:numId w:val="4"/>
        </w:numPr>
        <w:tabs>
          <w:tab w:pos="1834" w:val="left" w:leader="none"/>
        </w:tabs>
        <w:spacing w:line="259" w:lineRule="exact" w:before="0" w:after="0"/>
        <w:ind w:left="1834" w:right="0" w:hanging="423"/>
        <w:jc w:val="left"/>
        <w:rPr>
          <w:sz w:val="21"/>
        </w:rPr>
      </w:pPr>
      <w:r>
        <w:rPr>
          <w:spacing w:val="-3"/>
          <w:sz w:val="21"/>
        </w:rPr>
        <w:t>保险金申请</w:t>
      </w:r>
    </w:p>
    <w:p>
      <w:pPr>
        <w:pStyle w:val="ListParagraph"/>
        <w:numPr>
          <w:ilvl w:val="1"/>
          <w:numId w:val="4"/>
        </w:numPr>
        <w:tabs>
          <w:tab w:pos="1834" w:val="left" w:leader="none"/>
        </w:tabs>
        <w:spacing w:line="260" w:lineRule="exact" w:before="0" w:after="0"/>
        <w:ind w:left="1834" w:right="0" w:hanging="423"/>
        <w:jc w:val="left"/>
        <w:rPr>
          <w:sz w:val="21"/>
        </w:rPr>
      </w:pPr>
      <w:r>
        <w:rPr>
          <w:spacing w:val="-3"/>
          <w:sz w:val="21"/>
        </w:rPr>
        <w:t>保险金给付</w:t>
      </w:r>
    </w:p>
    <w:p>
      <w:pPr>
        <w:pStyle w:val="ListParagraph"/>
        <w:numPr>
          <w:ilvl w:val="1"/>
          <w:numId w:val="4"/>
        </w:numPr>
        <w:tabs>
          <w:tab w:pos="1834" w:val="left" w:leader="none"/>
        </w:tabs>
        <w:spacing w:line="260" w:lineRule="exact" w:before="0" w:after="0"/>
        <w:ind w:left="1834" w:right="0" w:hanging="423"/>
        <w:jc w:val="left"/>
        <w:rPr>
          <w:sz w:val="21"/>
        </w:rPr>
      </w:pPr>
      <w:r>
        <w:rPr>
          <w:spacing w:val="-3"/>
          <w:sz w:val="21"/>
        </w:rPr>
        <w:t>保险金申请时效</w:t>
      </w:r>
    </w:p>
    <w:p>
      <w:pPr>
        <w:pStyle w:val="ListParagraph"/>
        <w:numPr>
          <w:ilvl w:val="1"/>
          <w:numId w:val="4"/>
        </w:numPr>
        <w:tabs>
          <w:tab w:pos="1834" w:val="left" w:leader="none"/>
        </w:tabs>
        <w:spacing w:line="267" w:lineRule="exact" w:before="0" w:after="0"/>
        <w:ind w:left="1834" w:right="0" w:hanging="423"/>
        <w:jc w:val="left"/>
        <w:rPr>
          <w:sz w:val="21"/>
        </w:rPr>
      </w:pPr>
      <w:r>
        <w:rPr>
          <w:spacing w:val="-3"/>
          <w:sz w:val="21"/>
        </w:rPr>
        <w:t>宣告死亡处理</w:t>
      </w:r>
    </w:p>
    <w:p>
      <w:pPr>
        <w:pStyle w:val="BodyText"/>
        <w:spacing w:before="9"/>
        <w:rPr>
          <w:sz w:val="18"/>
        </w:rPr>
      </w:pPr>
    </w:p>
    <w:p>
      <w:pPr>
        <w:spacing w:line="267" w:lineRule="exact" w:before="1"/>
        <w:ind w:left="1200" w:right="0" w:firstLine="0"/>
        <w:jc w:val="left"/>
        <w:rPr>
          <w:b/>
          <w:sz w:val="21"/>
        </w:rPr>
      </w:pPr>
      <w:r>
        <w:rPr>
          <w:b/>
          <w:sz w:val="21"/>
        </w:rPr>
        <w:t>4．如何交纳保险费</w:t>
      </w:r>
    </w:p>
    <w:p>
      <w:pPr>
        <w:pStyle w:val="ListParagraph"/>
        <w:numPr>
          <w:ilvl w:val="1"/>
          <w:numId w:val="5"/>
        </w:numPr>
        <w:tabs>
          <w:tab w:pos="1834" w:val="left" w:leader="none"/>
        </w:tabs>
        <w:spacing w:line="259" w:lineRule="exact" w:before="0" w:after="0"/>
        <w:ind w:left="1834" w:right="0" w:hanging="423"/>
        <w:jc w:val="left"/>
        <w:rPr>
          <w:sz w:val="21"/>
        </w:rPr>
      </w:pPr>
      <w:r>
        <w:rPr>
          <w:spacing w:val="-3"/>
          <w:sz w:val="21"/>
        </w:rPr>
        <w:t>保险费的交纳</w:t>
      </w:r>
    </w:p>
    <w:p>
      <w:pPr>
        <w:pStyle w:val="ListParagraph"/>
        <w:numPr>
          <w:ilvl w:val="1"/>
          <w:numId w:val="5"/>
        </w:numPr>
        <w:tabs>
          <w:tab w:pos="1834" w:val="left" w:leader="none"/>
        </w:tabs>
        <w:spacing w:line="267" w:lineRule="exact" w:before="0" w:after="0"/>
        <w:ind w:left="1834" w:right="0" w:hanging="423"/>
        <w:jc w:val="left"/>
        <w:rPr>
          <w:sz w:val="21"/>
        </w:rPr>
      </w:pPr>
      <w:r>
        <w:rPr>
          <w:spacing w:val="-2"/>
          <w:sz w:val="21"/>
        </w:rPr>
        <w:t>宽限期</w:t>
      </w:r>
    </w:p>
    <w:p>
      <w:pPr>
        <w:pStyle w:val="BodyText"/>
        <w:spacing w:before="10"/>
        <w:rPr>
          <w:sz w:val="18"/>
        </w:rPr>
      </w:pPr>
    </w:p>
    <w:p>
      <w:pPr>
        <w:spacing w:line="274" w:lineRule="exact" w:before="0"/>
        <w:ind w:left="1200" w:right="0" w:firstLine="0"/>
        <w:jc w:val="left"/>
        <w:rPr>
          <w:b/>
          <w:sz w:val="21"/>
        </w:rPr>
      </w:pPr>
      <w:r>
        <w:rPr>
          <w:b/>
          <w:sz w:val="21"/>
        </w:rPr>
        <w:t>5．现金价值权益</w:t>
      </w:r>
    </w:p>
    <w:p>
      <w:pPr>
        <w:pStyle w:val="ListParagraph"/>
        <w:numPr>
          <w:ilvl w:val="1"/>
          <w:numId w:val="6"/>
        </w:numPr>
        <w:tabs>
          <w:tab w:pos="1782" w:val="left" w:leader="none"/>
        </w:tabs>
        <w:spacing w:line="274" w:lineRule="exact" w:before="0" w:after="0"/>
        <w:ind w:left="1781" w:right="0" w:hanging="370"/>
        <w:jc w:val="left"/>
        <w:rPr>
          <w:sz w:val="21"/>
        </w:rPr>
      </w:pPr>
      <w:r>
        <w:rPr>
          <w:spacing w:val="-3"/>
          <w:sz w:val="21"/>
        </w:rPr>
        <w:t>现金价值</w:t>
      </w:r>
    </w:p>
    <w:p>
      <w:pPr>
        <w:pStyle w:val="ListParagraph"/>
        <w:numPr>
          <w:ilvl w:val="1"/>
          <w:numId w:val="6"/>
        </w:numPr>
        <w:tabs>
          <w:tab w:pos="1218" w:val="left" w:leader="none"/>
        </w:tabs>
        <w:spacing w:line="271" w:lineRule="exact" w:before="54" w:after="0"/>
        <w:ind w:left="1217" w:right="0" w:hanging="422"/>
        <w:jc w:val="left"/>
        <w:rPr>
          <w:sz w:val="21"/>
        </w:rPr>
      </w:pPr>
      <w:r>
        <w:rPr>
          <w:spacing w:val="-3"/>
          <w:w w:val="100"/>
          <w:sz w:val="21"/>
        </w:rPr>
        <w:br w:type="column"/>
      </w:r>
      <w:r>
        <w:rPr>
          <w:spacing w:val="-3"/>
          <w:sz w:val="21"/>
        </w:rPr>
        <w:t>保单贷款</w:t>
      </w:r>
    </w:p>
    <w:p>
      <w:pPr>
        <w:pStyle w:val="ListParagraph"/>
        <w:numPr>
          <w:ilvl w:val="1"/>
          <w:numId w:val="6"/>
        </w:numPr>
        <w:tabs>
          <w:tab w:pos="1218" w:val="left" w:leader="none"/>
        </w:tabs>
        <w:spacing w:line="271" w:lineRule="exact" w:before="0" w:after="0"/>
        <w:ind w:left="1217" w:right="0" w:hanging="422"/>
        <w:jc w:val="left"/>
        <w:rPr>
          <w:sz w:val="21"/>
        </w:rPr>
      </w:pPr>
      <w:r>
        <w:rPr>
          <w:spacing w:val="-3"/>
          <w:sz w:val="21"/>
        </w:rPr>
        <w:t>减保</w:t>
      </w:r>
    </w:p>
    <w:p>
      <w:pPr>
        <w:pStyle w:val="BodyText"/>
        <w:spacing w:before="10"/>
        <w:rPr>
          <w:sz w:val="18"/>
        </w:rPr>
      </w:pPr>
    </w:p>
    <w:p>
      <w:pPr>
        <w:spacing w:line="267" w:lineRule="exact" w:before="1"/>
        <w:ind w:left="584" w:right="0" w:firstLine="0"/>
        <w:jc w:val="left"/>
        <w:rPr>
          <w:b/>
          <w:sz w:val="21"/>
        </w:rPr>
      </w:pPr>
      <w:r>
        <w:rPr>
          <w:b/>
          <w:sz w:val="21"/>
        </w:rPr>
        <w:t>6．合同效力的中止及恢复</w:t>
      </w:r>
    </w:p>
    <w:p>
      <w:pPr>
        <w:pStyle w:val="ListParagraph"/>
        <w:numPr>
          <w:ilvl w:val="1"/>
          <w:numId w:val="7"/>
        </w:numPr>
        <w:tabs>
          <w:tab w:pos="1218" w:val="left" w:leader="none"/>
        </w:tabs>
        <w:spacing w:line="259" w:lineRule="exact" w:before="0" w:after="0"/>
        <w:ind w:left="1217" w:right="0" w:hanging="422"/>
        <w:jc w:val="left"/>
        <w:rPr>
          <w:sz w:val="21"/>
        </w:rPr>
      </w:pPr>
      <w:r>
        <w:rPr>
          <w:spacing w:val="-3"/>
          <w:sz w:val="21"/>
        </w:rPr>
        <w:t>效力中止</w:t>
      </w:r>
    </w:p>
    <w:p>
      <w:pPr>
        <w:pStyle w:val="ListParagraph"/>
        <w:numPr>
          <w:ilvl w:val="1"/>
          <w:numId w:val="7"/>
        </w:numPr>
        <w:tabs>
          <w:tab w:pos="1218" w:val="left" w:leader="none"/>
        </w:tabs>
        <w:spacing w:line="267" w:lineRule="exact" w:before="0" w:after="0"/>
        <w:ind w:left="1217" w:right="0" w:hanging="422"/>
        <w:jc w:val="left"/>
        <w:rPr>
          <w:sz w:val="21"/>
        </w:rPr>
      </w:pPr>
      <w:r>
        <w:rPr>
          <w:spacing w:val="-3"/>
          <w:sz w:val="21"/>
        </w:rPr>
        <w:t>效力恢复</w:t>
      </w:r>
    </w:p>
    <w:p>
      <w:pPr>
        <w:pStyle w:val="BodyText"/>
        <w:spacing w:before="10"/>
        <w:rPr>
          <w:sz w:val="18"/>
        </w:rPr>
      </w:pPr>
    </w:p>
    <w:p>
      <w:pPr>
        <w:spacing w:line="267" w:lineRule="exact" w:before="0"/>
        <w:ind w:left="584" w:right="0" w:firstLine="0"/>
        <w:jc w:val="left"/>
        <w:rPr>
          <w:b/>
          <w:sz w:val="21"/>
        </w:rPr>
      </w:pPr>
      <w:r>
        <w:rPr>
          <w:b/>
          <w:sz w:val="21"/>
        </w:rPr>
        <w:t>7．如何解除保险合同</w:t>
      </w:r>
    </w:p>
    <w:p>
      <w:pPr>
        <w:pStyle w:val="BodyText"/>
        <w:spacing w:line="267" w:lineRule="exact"/>
        <w:ind w:left="795"/>
      </w:pPr>
      <w:r>
        <w:rPr/>
        <w:t>7.1 合同解除</w:t>
      </w:r>
    </w:p>
    <w:p>
      <w:pPr>
        <w:pStyle w:val="BodyText"/>
        <w:spacing w:before="11"/>
        <w:rPr>
          <w:sz w:val="18"/>
        </w:rPr>
      </w:pPr>
    </w:p>
    <w:p>
      <w:pPr>
        <w:spacing w:line="267" w:lineRule="exact" w:before="0"/>
        <w:ind w:left="584" w:right="0" w:firstLine="0"/>
        <w:jc w:val="left"/>
        <w:rPr>
          <w:b/>
          <w:sz w:val="21"/>
        </w:rPr>
      </w:pPr>
      <w:r>
        <w:rPr>
          <w:b/>
          <w:sz w:val="21"/>
        </w:rPr>
        <w:t>8．其他需要关注的事项</w:t>
      </w:r>
    </w:p>
    <w:p>
      <w:pPr>
        <w:pStyle w:val="ListParagraph"/>
        <w:numPr>
          <w:ilvl w:val="1"/>
          <w:numId w:val="8"/>
        </w:numPr>
        <w:tabs>
          <w:tab w:pos="1218" w:val="left" w:leader="none"/>
        </w:tabs>
        <w:spacing w:line="261" w:lineRule="exact" w:before="0" w:after="0"/>
        <w:ind w:left="1217" w:right="0" w:hanging="422"/>
        <w:jc w:val="left"/>
        <w:rPr>
          <w:sz w:val="21"/>
        </w:rPr>
      </w:pPr>
      <w:r>
        <w:rPr>
          <w:spacing w:val="-3"/>
          <w:sz w:val="21"/>
        </w:rPr>
        <w:t>如实告知</w:t>
      </w:r>
    </w:p>
    <w:p>
      <w:pPr>
        <w:pStyle w:val="ListParagraph"/>
        <w:numPr>
          <w:ilvl w:val="1"/>
          <w:numId w:val="8"/>
        </w:numPr>
        <w:tabs>
          <w:tab w:pos="1218" w:val="left" w:leader="none"/>
        </w:tabs>
        <w:spacing w:line="260" w:lineRule="exact" w:before="0" w:after="0"/>
        <w:ind w:left="1217" w:right="0" w:hanging="422"/>
        <w:jc w:val="left"/>
        <w:rPr>
          <w:sz w:val="21"/>
        </w:rPr>
      </w:pPr>
      <w:r>
        <w:rPr>
          <w:spacing w:val="-3"/>
          <w:sz w:val="21"/>
        </w:rPr>
        <w:t>年龄确定与错误处理</w:t>
      </w:r>
    </w:p>
    <w:p>
      <w:pPr>
        <w:pStyle w:val="ListParagraph"/>
        <w:numPr>
          <w:ilvl w:val="1"/>
          <w:numId w:val="8"/>
        </w:numPr>
        <w:tabs>
          <w:tab w:pos="1218" w:val="left" w:leader="none"/>
        </w:tabs>
        <w:spacing w:line="259" w:lineRule="exact" w:before="0" w:after="0"/>
        <w:ind w:left="1217" w:right="0" w:hanging="422"/>
        <w:jc w:val="left"/>
        <w:rPr>
          <w:sz w:val="21"/>
        </w:rPr>
      </w:pPr>
      <w:r>
        <w:rPr>
          <w:spacing w:val="-3"/>
          <w:sz w:val="21"/>
        </w:rPr>
        <w:t>未还款项</w:t>
      </w:r>
    </w:p>
    <w:p>
      <w:pPr>
        <w:pStyle w:val="ListParagraph"/>
        <w:numPr>
          <w:ilvl w:val="1"/>
          <w:numId w:val="8"/>
        </w:numPr>
        <w:tabs>
          <w:tab w:pos="1218" w:val="left" w:leader="none"/>
        </w:tabs>
        <w:spacing w:line="260" w:lineRule="exact" w:before="0" w:after="0"/>
        <w:ind w:left="1217" w:right="0" w:hanging="422"/>
        <w:jc w:val="left"/>
        <w:rPr>
          <w:sz w:val="21"/>
        </w:rPr>
      </w:pPr>
      <w:r>
        <w:rPr>
          <w:spacing w:val="-3"/>
          <w:sz w:val="21"/>
        </w:rPr>
        <w:t>合同内容变更</w:t>
      </w:r>
    </w:p>
    <w:p>
      <w:pPr>
        <w:pStyle w:val="ListParagraph"/>
        <w:numPr>
          <w:ilvl w:val="1"/>
          <w:numId w:val="8"/>
        </w:numPr>
        <w:tabs>
          <w:tab w:pos="1218" w:val="left" w:leader="none"/>
        </w:tabs>
        <w:spacing w:line="260" w:lineRule="exact" w:before="0" w:after="0"/>
        <w:ind w:left="1217" w:right="0" w:hanging="422"/>
        <w:jc w:val="left"/>
        <w:rPr>
          <w:sz w:val="21"/>
        </w:rPr>
      </w:pPr>
      <w:r>
        <w:rPr>
          <w:spacing w:val="-3"/>
          <w:sz w:val="21"/>
        </w:rPr>
        <w:t>联系方式变更</w:t>
      </w:r>
    </w:p>
    <w:p>
      <w:pPr>
        <w:pStyle w:val="ListParagraph"/>
        <w:numPr>
          <w:ilvl w:val="1"/>
          <w:numId w:val="8"/>
        </w:numPr>
        <w:tabs>
          <w:tab w:pos="1218" w:val="left" w:leader="none"/>
        </w:tabs>
        <w:spacing w:line="267" w:lineRule="exact" w:before="0" w:after="0"/>
        <w:ind w:left="1217" w:right="0" w:hanging="422"/>
        <w:jc w:val="left"/>
        <w:rPr>
          <w:sz w:val="21"/>
        </w:rPr>
      </w:pPr>
      <w:r>
        <w:rPr>
          <w:spacing w:val="-3"/>
          <w:sz w:val="21"/>
        </w:rPr>
        <w:t>争议处理</w:t>
      </w:r>
    </w:p>
    <w:p>
      <w:pPr>
        <w:pStyle w:val="BodyText"/>
        <w:spacing w:before="10"/>
        <w:rPr>
          <w:sz w:val="18"/>
        </w:rPr>
      </w:pPr>
    </w:p>
    <w:p>
      <w:pPr>
        <w:spacing w:line="267" w:lineRule="exact" w:before="0"/>
        <w:ind w:left="584" w:right="0" w:firstLine="0"/>
        <w:jc w:val="left"/>
        <w:rPr>
          <w:b/>
          <w:sz w:val="21"/>
        </w:rPr>
      </w:pPr>
      <w:r>
        <w:rPr>
          <w:b/>
          <w:sz w:val="21"/>
        </w:rPr>
        <w:t>9．释义</w:t>
      </w:r>
    </w:p>
    <w:p>
      <w:pPr>
        <w:pStyle w:val="ListParagraph"/>
        <w:numPr>
          <w:ilvl w:val="1"/>
          <w:numId w:val="9"/>
        </w:numPr>
        <w:tabs>
          <w:tab w:pos="1218" w:val="left" w:leader="none"/>
        </w:tabs>
        <w:spacing w:line="259" w:lineRule="exact" w:before="0" w:after="0"/>
        <w:ind w:left="1215" w:right="0" w:hanging="420"/>
        <w:jc w:val="left"/>
        <w:rPr>
          <w:sz w:val="21"/>
        </w:rPr>
      </w:pPr>
      <w:r>
        <w:rPr>
          <w:spacing w:val="-2"/>
          <w:sz w:val="21"/>
        </w:rPr>
        <w:t>本公司</w:t>
      </w:r>
    </w:p>
    <w:p>
      <w:pPr>
        <w:pStyle w:val="ListParagraph"/>
        <w:numPr>
          <w:ilvl w:val="1"/>
          <w:numId w:val="9"/>
        </w:numPr>
        <w:tabs>
          <w:tab w:pos="1218" w:val="left" w:leader="none"/>
        </w:tabs>
        <w:spacing w:line="260" w:lineRule="exact" w:before="0" w:after="0"/>
        <w:ind w:left="1215" w:right="0" w:hanging="420"/>
        <w:jc w:val="left"/>
        <w:rPr>
          <w:sz w:val="21"/>
        </w:rPr>
      </w:pPr>
      <w:r>
        <w:rPr>
          <w:spacing w:val="-3"/>
          <w:sz w:val="21"/>
        </w:rPr>
        <w:t>保单年度</w:t>
      </w:r>
    </w:p>
    <w:p>
      <w:pPr>
        <w:pStyle w:val="ListParagraph"/>
        <w:numPr>
          <w:ilvl w:val="1"/>
          <w:numId w:val="9"/>
        </w:numPr>
        <w:tabs>
          <w:tab w:pos="1218" w:val="left" w:leader="none"/>
        </w:tabs>
        <w:spacing w:line="260" w:lineRule="exact" w:before="0" w:after="0"/>
        <w:ind w:left="1215" w:right="0" w:hanging="420"/>
        <w:jc w:val="left"/>
        <w:rPr>
          <w:sz w:val="21"/>
        </w:rPr>
      </w:pPr>
      <w:r>
        <w:rPr>
          <w:spacing w:val="-3"/>
          <w:sz w:val="21"/>
        </w:rPr>
        <w:t>保险费应交日</w:t>
      </w:r>
    </w:p>
    <w:p>
      <w:pPr>
        <w:pStyle w:val="ListParagraph"/>
        <w:numPr>
          <w:ilvl w:val="1"/>
          <w:numId w:val="9"/>
        </w:numPr>
        <w:tabs>
          <w:tab w:pos="1218" w:val="left" w:leader="none"/>
        </w:tabs>
        <w:spacing w:line="259" w:lineRule="exact" w:before="0" w:after="0"/>
        <w:ind w:left="1215" w:right="0" w:hanging="420"/>
        <w:jc w:val="left"/>
        <w:rPr>
          <w:sz w:val="21"/>
        </w:rPr>
      </w:pPr>
      <w:r>
        <w:rPr>
          <w:spacing w:val="-3"/>
          <w:sz w:val="21"/>
        </w:rPr>
        <w:t>周岁</w:t>
      </w:r>
    </w:p>
    <w:p>
      <w:pPr>
        <w:pStyle w:val="ListParagraph"/>
        <w:numPr>
          <w:ilvl w:val="1"/>
          <w:numId w:val="9"/>
        </w:numPr>
        <w:tabs>
          <w:tab w:pos="1218" w:val="left" w:leader="none"/>
        </w:tabs>
        <w:spacing w:line="261" w:lineRule="exact" w:before="0" w:after="0"/>
        <w:ind w:left="1215" w:right="0" w:hanging="420"/>
        <w:jc w:val="left"/>
        <w:rPr>
          <w:sz w:val="21"/>
        </w:rPr>
      </w:pPr>
      <w:r>
        <w:rPr>
          <w:spacing w:val="-3"/>
          <w:sz w:val="21"/>
        </w:rPr>
        <w:t>特殊群体</w:t>
      </w:r>
    </w:p>
    <w:p>
      <w:pPr>
        <w:pStyle w:val="ListParagraph"/>
        <w:numPr>
          <w:ilvl w:val="1"/>
          <w:numId w:val="9"/>
        </w:numPr>
        <w:tabs>
          <w:tab w:pos="1218" w:val="left" w:leader="none"/>
        </w:tabs>
        <w:spacing w:line="260" w:lineRule="exact" w:before="0" w:after="0"/>
        <w:ind w:left="1215" w:right="0" w:hanging="420"/>
        <w:jc w:val="left"/>
        <w:rPr>
          <w:sz w:val="21"/>
        </w:rPr>
      </w:pPr>
      <w:r>
        <w:rPr>
          <w:spacing w:val="-3"/>
          <w:sz w:val="21"/>
        </w:rPr>
        <w:t>意外伤害</w:t>
      </w:r>
    </w:p>
    <w:p>
      <w:pPr>
        <w:pStyle w:val="ListParagraph"/>
        <w:numPr>
          <w:ilvl w:val="1"/>
          <w:numId w:val="9"/>
        </w:numPr>
        <w:tabs>
          <w:tab w:pos="1218" w:val="left" w:leader="none"/>
        </w:tabs>
        <w:spacing w:line="259" w:lineRule="exact" w:before="0" w:after="0"/>
        <w:ind w:left="1215" w:right="0" w:hanging="420"/>
        <w:jc w:val="left"/>
        <w:rPr>
          <w:sz w:val="21"/>
        </w:rPr>
      </w:pPr>
      <w:r>
        <w:rPr>
          <w:spacing w:val="-3"/>
          <w:sz w:val="21"/>
        </w:rPr>
        <w:t>医院</w:t>
      </w:r>
    </w:p>
    <w:p>
      <w:pPr>
        <w:pStyle w:val="ListParagraph"/>
        <w:numPr>
          <w:ilvl w:val="1"/>
          <w:numId w:val="9"/>
        </w:numPr>
        <w:tabs>
          <w:tab w:pos="1218" w:val="left" w:leader="none"/>
        </w:tabs>
        <w:spacing w:line="260" w:lineRule="exact" w:before="0" w:after="0"/>
        <w:ind w:left="1215" w:right="0" w:hanging="420"/>
        <w:jc w:val="left"/>
        <w:rPr>
          <w:sz w:val="21"/>
        </w:rPr>
      </w:pPr>
      <w:r>
        <w:rPr>
          <w:spacing w:val="-3"/>
          <w:sz w:val="21"/>
        </w:rPr>
        <w:t>专科医生</w:t>
      </w:r>
    </w:p>
    <w:p>
      <w:pPr>
        <w:pStyle w:val="ListParagraph"/>
        <w:numPr>
          <w:ilvl w:val="1"/>
          <w:numId w:val="9"/>
        </w:numPr>
        <w:tabs>
          <w:tab w:pos="1218" w:val="left" w:leader="none"/>
        </w:tabs>
        <w:spacing w:line="268" w:lineRule="exact" w:before="0" w:after="0"/>
        <w:ind w:left="1215" w:right="0" w:hanging="420"/>
        <w:jc w:val="left"/>
        <w:rPr>
          <w:sz w:val="21"/>
        </w:rPr>
      </w:pPr>
      <w:r>
        <w:rPr>
          <w:spacing w:val="-3"/>
          <w:sz w:val="21"/>
        </w:rPr>
        <w:t>初次罹患</w:t>
      </w:r>
    </w:p>
    <w:p>
      <w:pPr>
        <w:pStyle w:val="ListParagraph"/>
        <w:numPr>
          <w:ilvl w:val="1"/>
          <w:numId w:val="9"/>
        </w:numPr>
        <w:tabs>
          <w:tab w:pos="1219" w:val="left" w:leader="none"/>
        </w:tabs>
        <w:spacing w:line="268" w:lineRule="exact" w:before="40" w:after="0"/>
        <w:ind w:left="1218" w:right="0" w:hanging="526"/>
        <w:jc w:val="left"/>
        <w:rPr>
          <w:sz w:val="21"/>
        </w:rPr>
      </w:pPr>
      <w:r>
        <w:rPr>
          <w:w w:val="100"/>
          <w:sz w:val="21"/>
        </w:rPr>
        <w:br w:type="column"/>
      </w:r>
      <w:r>
        <w:rPr>
          <w:spacing w:val="-2"/>
          <w:sz w:val="21"/>
        </w:rPr>
        <w:t>轻症疾病</w:t>
      </w:r>
    </w:p>
    <w:p>
      <w:pPr>
        <w:pStyle w:val="ListParagraph"/>
        <w:numPr>
          <w:ilvl w:val="1"/>
          <w:numId w:val="9"/>
        </w:numPr>
        <w:tabs>
          <w:tab w:pos="1219" w:val="left" w:leader="none"/>
        </w:tabs>
        <w:spacing w:line="260" w:lineRule="exact" w:before="0" w:after="0"/>
        <w:ind w:left="1218" w:right="0" w:hanging="526"/>
        <w:jc w:val="left"/>
        <w:rPr>
          <w:sz w:val="21"/>
        </w:rPr>
      </w:pPr>
      <w:r>
        <w:rPr>
          <w:spacing w:val="-2"/>
          <w:sz w:val="21"/>
        </w:rPr>
        <w:t>重大疾病</w:t>
      </w:r>
    </w:p>
    <w:p>
      <w:pPr>
        <w:pStyle w:val="ListParagraph"/>
        <w:numPr>
          <w:ilvl w:val="1"/>
          <w:numId w:val="9"/>
        </w:numPr>
        <w:tabs>
          <w:tab w:pos="1219" w:val="left" w:leader="none"/>
        </w:tabs>
        <w:spacing w:line="259" w:lineRule="exact" w:before="0" w:after="0"/>
        <w:ind w:left="1218" w:right="0" w:hanging="526"/>
        <w:jc w:val="left"/>
        <w:rPr>
          <w:sz w:val="21"/>
        </w:rPr>
      </w:pPr>
      <w:r>
        <w:rPr>
          <w:sz w:val="21"/>
        </w:rPr>
        <w:t>全残</w:t>
      </w:r>
    </w:p>
    <w:p>
      <w:pPr>
        <w:pStyle w:val="ListParagraph"/>
        <w:numPr>
          <w:ilvl w:val="1"/>
          <w:numId w:val="9"/>
        </w:numPr>
        <w:tabs>
          <w:tab w:pos="1219" w:val="left" w:leader="none"/>
        </w:tabs>
        <w:spacing w:line="260" w:lineRule="exact" w:before="0" w:after="0"/>
        <w:ind w:left="1218" w:right="0" w:hanging="526"/>
        <w:jc w:val="left"/>
        <w:rPr>
          <w:sz w:val="21"/>
        </w:rPr>
      </w:pPr>
      <w:r>
        <w:rPr>
          <w:spacing w:val="-3"/>
          <w:sz w:val="21"/>
        </w:rPr>
        <w:t>疾病终末期</w:t>
      </w:r>
    </w:p>
    <w:p>
      <w:pPr>
        <w:pStyle w:val="ListParagraph"/>
        <w:numPr>
          <w:ilvl w:val="1"/>
          <w:numId w:val="9"/>
        </w:numPr>
        <w:tabs>
          <w:tab w:pos="1219" w:val="left" w:leader="none"/>
        </w:tabs>
        <w:spacing w:line="260" w:lineRule="exact" w:before="0" w:after="0"/>
        <w:ind w:left="1218" w:right="0" w:hanging="526"/>
        <w:jc w:val="left"/>
        <w:rPr>
          <w:sz w:val="21"/>
        </w:rPr>
      </w:pPr>
      <w:r>
        <w:rPr>
          <w:spacing w:val="-3"/>
          <w:sz w:val="21"/>
        </w:rPr>
        <w:t>累计已交保险费</w:t>
      </w:r>
    </w:p>
    <w:p>
      <w:pPr>
        <w:pStyle w:val="ListParagraph"/>
        <w:numPr>
          <w:ilvl w:val="1"/>
          <w:numId w:val="9"/>
        </w:numPr>
        <w:tabs>
          <w:tab w:pos="1219" w:val="left" w:leader="none"/>
        </w:tabs>
        <w:spacing w:line="266" w:lineRule="exact" w:before="0" w:after="0"/>
        <w:ind w:left="1218" w:right="0" w:hanging="526"/>
        <w:jc w:val="left"/>
        <w:rPr>
          <w:sz w:val="21"/>
        </w:rPr>
      </w:pPr>
      <w:r>
        <w:rPr>
          <w:spacing w:val="-2"/>
          <w:sz w:val="21"/>
        </w:rPr>
        <w:t>保险事故</w:t>
      </w:r>
    </w:p>
    <w:p>
      <w:pPr>
        <w:pStyle w:val="ListParagraph"/>
        <w:numPr>
          <w:ilvl w:val="1"/>
          <w:numId w:val="9"/>
        </w:numPr>
        <w:tabs>
          <w:tab w:pos="1219" w:val="left" w:leader="none"/>
        </w:tabs>
        <w:spacing w:line="274" w:lineRule="exact" w:before="0" w:after="0"/>
        <w:ind w:left="1218" w:right="0" w:hanging="526"/>
        <w:jc w:val="left"/>
        <w:rPr>
          <w:sz w:val="21"/>
        </w:rPr>
      </w:pPr>
      <w:r>
        <w:rPr>
          <w:sz w:val="21"/>
        </w:rPr>
        <w:t>毒品</w:t>
      </w:r>
    </w:p>
    <w:p>
      <w:pPr>
        <w:pStyle w:val="ListParagraph"/>
        <w:numPr>
          <w:ilvl w:val="1"/>
          <w:numId w:val="9"/>
        </w:numPr>
        <w:tabs>
          <w:tab w:pos="1219" w:val="left" w:leader="none"/>
        </w:tabs>
        <w:spacing w:line="240" w:lineRule="auto" w:before="6" w:after="0"/>
        <w:ind w:left="1218" w:right="0" w:hanging="526"/>
        <w:jc w:val="left"/>
        <w:rPr>
          <w:sz w:val="21"/>
        </w:rPr>
      </w:pPr>
      <w:r>
        <w:rPr>
          <w:spacing w:val="-2"/>
          <w:sz w:val="21"/>
        </w:rPr>
        <w:t>酒后驾驶</w:t>
      </w:r>
    </w:p>
    <w:p>
      <w:pPr>
        <w:pStyle w:val="ListParagraph"/>
        <w:numPr>
          <w:ilvl w:val="1"/>
          <w:numId w:val="9"/>
        </w:numPr>
        <w:tabs>
          <w:tab w:pos="1238" w:val="left" w:leader="none"/>
        </w:tabs>
        <w:spacing w:line="242" w:lineRule="auto" w:before="6" w:after="0"/>
        <w:ind w:left="1215" w:right="512" w:hanging="523"/>
        <w:jc w:val="left"/>
        <w:rPr>
          <w:sz w:val="21"/>
        </w:rPr>
      </w:pPr>
      <w:r>
        <w:rPr>
          <w:spacing w:val="10"/>
          <w:sz w:val="21"/>
        </w:rPr>
        <w:t>无合法有效驾驶证驾驶</w:t>
      </w:r>
    </w:p>
    <w:p>
      <w:pPr>
        <w:pStyle w:val="ListParagraph"/>
        <w:numPr>
          <w:ilvl w:val="1"/>
          <w:numId w:val="9"/>
        </w:numPr>
        <w:tabs>
          <w:tab w:pos="1219" w:val="left" w:leader="none"/>
        </w:tabs>
        <w:spacing w:line="240" w:lineRule="auto" w:before="4" w:after="0"/>
        <w:ind w:left="1218" w:right="0" w:hanging="526"/>
        <w:jc w:val="left"/>
        <w:rPr>
          <w:sz w:val="21"/>
        </w:rPr>
      </w:pPr>
      <w:r>
        <w:rPr>
          <w:spacing w:val="-3"/>
          <w:sz w:val="21"/>
        </w:rPr>
        <w:t>无有效行驶证</w:t>
      </w:r>
    </w:p>
    <w:p>
      <w:pPr>
        <w:pStyle w:val="ListParagraph"/>
        <w:numPr>
          <w:ilvl w:val="1"/>
          <w:numId w:val="9"/>
        </w:numPr>
        <w:tabs>
          <w:tab w:pos="1219" w:val="left" w:leader="none"/>
        </w:tabs>
        <w:spacing w:line="240" w:lineRule="auto" w:before="5" w:after="0"/>
        <w:ind w:left="1218" w:right="0" w:hanging="526"/>
        <w:jc w:val="left"/>
        <w:rPr>
          <w:sz w:val="21"/>
        </w:rPr>
      </w:pPr>
      <w:r>
        <w:rPr>
          <w:spacing w:val="-2"/>
          <w:sz w:val="21"/>
        </w:rPr>
        <w:t>机动车</w:t>
      </w:r>
    </w:p>
    <w:p>
      <w:pPr>
        <w:pStyle w:val="ListParagraph"/>
        <w:numPr>
          <w:ilvl w:val="1"/>
          <w:numId w:val="9"/>
        </w:numPr>
        <w:tabs>
          <w:tab w:pos="1219" w:val="left" w:leader="none"/>
        </w:tabs>
        <w:spacing w:line="244" w:lineRule="auto" w:before="3" w:after="0"/>
        <w:ind w:left="1215" w:right="648" w:hanging="523"/>
        <w:jc w:val="left"/>
        <w:rPr>
          <w:sz w:val="21"/>
        </w:rPr>
      </w:pPr>
      <w:r>
        <w:rPr>
          <w:spacing w:val="-3"/>
          <w:sz w:val="21"/>
        </w:rPr>
        <w:t>感染艾滋病病毒或患艾滋病</w:t>
      </w:r>
    </w:p>
    <w:p>
      <w:pPr>
        <w:pStyle w:val="ListParagraph"/>
        <w:numPr>
          <w:ilvl w:val="1"/>
          <w:numId w:val="9"/>
        </w:numPr>
        <w:tabs>
          <w:tab w:pos="1219" w:val="left" w:leader="none"/>
        </w:tabs>
        <w:spacing w:line="254" w:lineRule="exact" w:before="0" w:after="0"/>
        <w:ind w:left="1218" w:right="0" w:hanging="526"/>
        <w:jc w:val="left"/>
        <w:rPr>
          <w:sz w:val="21"/>
        </w:rPr>
      </w:pPr>
      <w:r>
        <w:rPr>
          <w:spacing w:val="-3"/>
          <w:sz w:val="21"/>
        </w:rPr>
        <w:t>遗传性疾病</w:t>
      </w:r>
    </w:p>
    <w:p>
      <w:pPr>
        <w:pStyle w:val="ListParagraph"/>
        <w:numPr>
          <w:ilvl w:val="1"/>
          <w:numId w:val="9"/>
        </w:numPr>
        <w:tabs>
          <w:tab w:pos="1219" w:val="left" w:leader="none"/>
        </w:tabs>
        <w:spacing w:line="225" w:lineRule="auto" w:before="8" w:after="0"/>
        <w:ind w:left="1215" w:right="648" w:hanging="523"/>
        <w:jc w:val="left"/>
        <w:rPr>
          <w:sz w:val="21"/>
        </w:rPr>
      </w:pPr>
      <w:r>
        <w:rPr>
          <w:spacing w:val="-3"/>
          <w:sz w:val="21"/>
        </w:rPr>
        <w:t>先天性畸形、变形或染色体异常</w:t>
      </w:r>
    </w:p>
    <w:p>
      <w:pPr>
        <w:pStyle w:val="ListParagraph"/>
        <w:numPr>
          <w:ilvl w:val="1"/>
          <w:numId w:val="9"/>
        </w:numPr>
        <w:tabs>
          <w:tab w:pos="1219" w:val="left" w:leader="none"/>
        </w:tabs>
        <w:spacing w:line="254" w:lineRule="exact" w:before="0" w:after="0"/>
        <w:ind w:left="1218" w:right="0" w:hanging="526"/>
        <w:jc w:val="left"/>
        <w:rPr>
          <w:sz w:val="21"/>
        </w:rPr>
      </w:pPr>
      <w:r>
        <w:rPr>
          <w:spacing w:val="-3"/>
          <w:sz w:val="21"/>
        </w:rPr>
        <w:t>其他权利人</w:t>
      </w:r>
    </w:p>
    <w:p>
      <w:pPr>
        <w:pStyle w:val="ListParagraph"/>
        <w:numPr>
          <w:ilvl w:val="1"/>
          <w:numId w:val="9"/>
        </w:numPr>
        <w:tabs>
          <w:tab w:pos="1219" w:val="left" w:leader="none"/>
        </w:tabs>
        <w:spacing w:line="259" w:lineRule="exact" w:before="0" w:after="0"/>
        <w:ind w:left="1218" w:right="0" w:hanging="526"/>
        <w:jc w:val="left"/>
        <w:rPr>
          <w:sz w:val="21"/>
        </w:rPr>
      </w:pPr>
      <w:r>
        <w:rPr>
          <w:spacing w:val="-2"/>
          <w:sz w:val="21"/>
        </w:rPr>
        <w:t>不可抗力</w:t>
      </w:r>
    </w:p>
    <w:p>
      <w:pPr>
        <w:pStyle w:val="ListParagraph"/>
        <w:numPr>
          <w:ilvl w:val="1"/>
          <w:numId w:val="9"/>
        </w:numPr>
        <w:tabs>
          <w:tab w:pos="1219" w:val="left" w:leader="none"/>
        </w:tabs>
        <w:spacing w:line="260" w:lineRule="exact" w:before="0" w:after="0"/>
        <w:ind w:left="1218" w:right="0" w:hanging="526"/>
        <w:jc w:val="left"/>
        <w:rPr>
          <w:sz w:val="21"/>
        </w:rPr>
      </w:pPr>
      <w:r>
        <w:rPr>
          <w:spacing w:val="-3"/>
          <w:sz w:val="21"/>
        </w:rPr>
        <w:t>法定身份证明</w:t>
      </w:r>
    </w:p>
    <w:p>
      <w:pPr>
        <w:pStyle w:val="ListParagraph"/>
        <w:numPr>
          <w:ilvl w:val="1"/>
          <w:numId w:val="9"/>
        </w:numPr>
        <w:tabs>
          <w:tab w:pos="1219" w:val="left" w:leader="none"/>
        </w:tabs>
        <w:spacing w:line="260" w:lineRule="exact" w:before="0" w:after="0"/>
        <w:ind w:left="1218" w:right="0" w:hanging="526"/>
        <w:jc w:val="left"/>
        <w:rPr>
          <w:sz w:val="21"/>
        </w:rPr>
      </w:pPr>
      <w:r>
        <w:rPr>
          <w:spacing w:val="-3"/>
          <w:sz w:val="21"/>
        </w:rPr>
        <w:t>现金价值净额</w:t>
      </w:r>
    </w:p>
    <w:p>
      <w:pPr>
        <w:pStyle w:val="ListParagraph"/>
        <w:numPr>
          <w:ilvl w:val="1"/>
          <w:numId w:val="9"/>
        </w:numPr>
        <w:tabs>
          <w:tab w:pos="1216" w:val="left" w:leader="none"/>
        </w:tabs>
        <w:spacing w:line="267" w:lineRule="exact" w:before="0" w:after="0"/>
        <w:ind w:left="1215" w:right="0" w:hanging="523"/>
        <w:jc w:val="left"/>
        <w:rPr>
          <w:sz w:val="21"/>
        </w:rPr>
      </w:pPr>
      <w:r>
        <w:rPr>
          <w:spacing w:val="-1"/>
          <w:sz w:val="21"/>
        </w:rPr>
        <w:t>约定利率</w:t>
      </w:r>
    </w:p>
    <w:p>
      <w:pPr>
        <w:spacing w:after="0" w:line="267" w:lineRule="exact"/>
        <w:jc w:val="left"/>
        <w:rPr>
          <w:sz w:val="21"/>
        </w:rPr>
        <w:sectPr>
          <w:type w:val="continuous"/>
          <w:pgSz w:w="11910" w:h="16840"/>
          <w:pgMar w:top="620" w:bottom="280" w:left="780" w:right="660"/>
          <w:cols w:num="3" w:equalWidth="0">
            <w:col w:w="3726" w:space="40"/>
            <w:col w:w="3110" w:space="39"/>
            <w:col w:w="3555"/>
          </w:cols>
        </w:sectPr>
      </w:pPr>
    </w:p>
    <w:p>
      <w:pPr>
        <w:spacing w:line="357" w:lineRule="auto" w:before="66"/>
        <w:ind w:left="2965" w:right="2960" w:firstLine="160"/>
        <w:jc w:val="left"/>
        <w:rPr>
          <w:b/>
          <w:sz w:val="32"/>
        </w:rPr>
      </w:pPr>
      <w:r>
        <w:rPr>
          <w:b/>
          <w:sz w:val="32"/>
        </w:rPr>
        <w:t>君康人寿保险股份有限公司</w:t>
      </w:r>
      <w:r>
        <w:rPr>
          <w:b/>
          <w:w w:val="95"/>
          <w:sz w:val="32"/>
        </w:rPr>
        <w:t>君康福康宝重大疾病保险条款</w:t>
      </w:r>
    </w:p>
    <w:p>
      <w:pPr>
        <w:pStyle w:val="BodyText"/>
        <w:spacing w:before="7"/>
        <w:rPr>
          <w:b/>
          <w:sz w:val="32"/>
        </w:rPr>
      </w:pPr>
    </w:p>
    <w:p>
      <w:pPr>
        <w:pStyle w:val="ListParagraph"/>
        <w:numPr>
          <w:ilvl w:val="0"/>
          <w:numId w:val="10"/>
        </w:numPr>
        <w:tabs>
          <w:tab w:pos="938" w:val="left" w:leader="none"/>
          <w:tab w:pos="939" w:val="left" w:leader="none"/>
        </w:tabs>
        <w:spacing w:line="240" w:lineRule="auto" w:before="1" w:after="0"/>
        <w:ind w:left="938" w:right="0" w:hanging="674"/>
        <w:jc w:val="left"/>
        <w:rPr>
          <w:b/>
          <w:sz w:val="24"/>
        </w:rPr>
      </w:pPr>
      <w:r>
        <w:rPr>
          <w:b/>
          <w:w w:val="95"/>
          <w:sz w:val="24"/>
        </w:rPr>
        <w:t>投保人与本公司的合同</w:t>
      </w:r>
    </w:p>
    <w:p>
      <w:pPr>
        <w:pStyle w:val="BodyText"/>
        <w:spacing w:before="6"/>
        <w:rPr>
          <w:b/>
          <w:sz w:val="8"/>
        </w:rPr>
      </w:pPr>
      <w:r>
        <w:rPr/>
        <w:pict>
          <v:group style="position:absolute;margin-left:50.759998pt;margin-top:7.537415pt;width:493.65pt;height:.5pt;mso-position-horizontal-relative:page;mso-position-vertical-relative:paragraph;z-index:1072;mso-wrap-distance-left:0;mso-wrap-distance-right:0" coordorigin="1015,151" coordsize="9873,10">
            <v:line style="position:absolute" from="1015,156" to="1728,156" stroked="true" strokeweight=".48pt" strokecolor="#000000">
              <v:stroke dashstyle="solid"/>
            </v:line>
            <v:rect style="position:absolute;left:1728;top:150;width:10;height:10" filled="true" fillcolor="#000000" stroked="false">
              <v:fill type="solid"/>
            </v:rect>
            <v:line style="position:absolute" from="1738,156" to="3147,156" stroked="true" strokeweight=".48pt" strokecolor="#000000">
              <v:stroke dashstyle="solid"/>
            </v:line>
            <v:rect style="position:absolute;left:3146;top:150;width:10;height:10" filled="true" fillcolor="#000000" stroked="false">
              <v:fill type="solid"/>
            </v:rect>
            <v:line style="position:absolute" from="3156,156" to="10888,156" stroked="true" strokeweight=".48pt" strokecolor="#000000">
              <v:stroke dashstyle="solid"/>
            </v:line>
            <w10:wrap type="topAndBottom"/>
          </v:group>
        </w:pict>
      </w:r>
    </w:p>
    <w:p>
      <w:pPr>
        <w:pStyle w:val="BodyText"/>
        <w:spacing w:before="6"/>
        <w:rPr>
          <w:b/>
          <w:sz w:val="6"/>
        </w:rPr>
      </w:pPr>
    </w:p>
    <w:p>
      <w:pPr>
        <w:pStyle w:val="ListParagraph"/>
        <w:numPr>
          <w:ilvl w:val="1"/>
          <w:numId w:val="10"/>
        </w:numPr>
        <w:tabs>
          <w:tab w:pos="939" w:val="left" w:leader="none"/>
        </w:tabs>
        <w:spacing w:line="292" w:lineRule="auto" w:before="34" w:after="0"/>
        <w:ind w:left="2357" w:right="112" w:hanging="2132"/>
        <w:jc w:val="both"/>
        <w:rPr>
          <w:sz w:val="21"/>
        </w:rPr>
      </w:pPr>
      <w:r>
        <w:rPr>
          <w:b/>
          <w:spacing w:val="7"/>
          <w:sz w:val="21"/>
        </w:rPr>
        <w:t>合同构成     </w:t>
      </w:r>
      <w:r>
        <w:rPr>
          <w:spacing w:val="-7"/>
          <w:position w:val="2"/>
          <w:sz w:val="21"/>
        </w:rPr>
        <w:t>本保险条款、保险单或其他保险凭证、投保书、与保险合同有关的投保文件、合法</w:t>
      </w:r>
      <w:r>
        <w:rPr>
          <w:spacing w:val="-5"/>
          <w:sz w:val="21"/>
        </w:rPr>
        <w:t>有效的声明、批注、批单、其他经投保人与</w:t>
      </w:r>
      <w:r>
        <w:rPr>
          <w:b/>
          <w:sz w:val="21"/>
        </w:rPr>
        <w:t>本公司</w:t>
      </w:r>
      <w:r>
        <w:rPr>
          <w:sz w:val="21"/>
        </w:rPr>
        <w:t>（</w:t>
      </w:r>
      <w:r>
        <w:rPr>
          <w:spacing w:val="-15"/>
          <w:sz w:val="21"/>
        </w:rPr>
        <w:t>见 </w:t>
      </w:r>
      <w:r>
        <w:rPr>
          <w:sz w:val="21"/>
        </w:rPr>
        <w:t>9.1）</w:t>
      </w:r>
      <w:r>
        <w:rPr>
          <w:spacing w:val="-3"/>
          <w:sz w:val="21"/>
        </w:rPr>
        <w:t>共同认可的与本合同有关的书面协议都是投保人与本公司之间订立的“君康福康宝重大疾病保险合同”</w:t>
      </w:r>
    </w:p>
    <w:p>
      <w:pPr>
        <w:pStyle w:val="BodyText"/>
        <w:spacing w:before="22"/>
        <w:ind w:left="2357"/>
      </w:pPr>
      <w:r>
        <w:rPr>
          <w:w w:val="100"/>
        </w:rPr>
        <w:t>（</w:t>
      </w:r>
      <w:r>
        <w:rPr>
          <w:spacing w:val="-14"/>
          <w:w w:val="100"/>
        </w:rPr>
        <w:t>以下简称为“本合同”</w:t>
      </w:r>
      <w:r>
        <w:rPr>
          <w:spacing w:val="-3"/>
          <w:w w:val="100"/>
        </w:rPr>
        <w:t>）</w:t>
      </w:r>
      <w:r>
        <w:rPr>
          <w:spacing w:val="-2"/>
          <w:w w:val="100"/>
        </w:rPr>
        <w:t>的构成部分。</w:t>
      </w:r>
    </w:p>
    <w:p>
      <w:pPr>
        <w:pStyle w:val="BodyText"/>
        <w:spacing w:before="9"/>
        <w:rPr>
          <w:sz w:val="14"/>
        </w:rPr>
      </w:pPr>
    </w:p>
    <w:p>
      <w:pPr>
        <w:spacing w:after="0"/>
        <w:rPr>
          <w:sz w:val="14"/>
        </w:rPr>
        <w:sectPr>
          <w:footerReference w:type="default" r:id="rId7"/>
          <w:pgSz w:w="11910" w:h="16840"/>
          <w:pgMar w:footer="377" w:header="0" w:top="1580" w:bottom="560" w:left="900" w:right="900"/>
          <w:pgNumType w:start="1"/>
        </w:sectPr>
      </w:pPr>
    </w:p>
    <w:p>
      <w:pPr>
        <w:pStyle w:val="ListParagraph"/>
        <w:numPr>
          <w:ilvl w:val="1"/>
          <w:numId w:val="10"/>
        </w:numPr>
        <w:tabs>
          <w:tab w:pos="938" w:val="left" w:leader="none"/>
          <w:tab w:pos="939" w:val="left" w:leader="none"/>
        </w:tabs>
        <w:spacing w:line="326" w:lineRule="auto" w:before="53" w:after="0"/>
        <w:ind w:left="938" w:right="0" w:hanging="713"/>
        <w:jc w:val="left"/>
        <w:rPr>
          <w:b/>
          <w:sz w:val="21"/>
        </w:rPr>
      </w:pPr>
      <w:r>
        <w:rPr>
          <w:b/>
          <w:sz w:val="21"/>
        </w:rPr>
        <w:t>合同成立与生效</w:t>
      </w:r>
    </w:p>
    <w:p>
      <w:pPr>
        <w:pStyle w:val="BodyText"/>
        <w:spacing w:before="36"/>
        <w:ind w:left="225"/>
      </w:pPr>
      <w:r>
        <w:rPr/>
        <w:br w:type="column"/>
      </w:r>
      <w:r>
        <w:rPr/>
        <w:t>投保人提出保险申请，本公司同意承保，本合同成立。</w:t>
      </w:r>
    </w:p>
    <w:p>
      <w:pPr>
        <w:pStyle w:val="BodyText"/>
        <w:spacing w:before="6"/>
        <w:rPr>
          <w:sz w:val="17"/>
        </w:rPr>
      </w:pPr>
    </w:p>
    <w:p>
      <w:pPr>
        <w:pStyle w:val="BodyText"/>
        <w:spacing w:line="300" w:lineRule="auto"/>
        <w:ind w:left="225" w:right="217"/>
        <w:jc w:val="both"/>
      </w:pPr>
      <w:r>
        <w:rPr>
          <w:spacing w:val="-6"/>
        </w:rPr>
        <w:t>除另有约定外，自本合同成立、本公司收取首期保险费并签发保险单后次日零时起</w:t>
      </w:r>
      <w:r>
        <w:rPr>
          <w:spacing w:val="-7"/>
        </w:rPr>
        <w:t>本合同生效，生效日应载于保险单上。本公司自生效日的零时起开始承担本合同约</w:t>
      </w:r>
      <w:r>
        <w:rPr>
          <w:spacing w:val="-5"/>
        </w:rPr>
        <w:t>定的保险责任。</w:t>
      </w:r>
    </w:p>
    <w:p>
      <w:pPr>
        <w:pStyle w:val="BodyText"/>
        <w:spacing w:line="300" w:lineRule="auto" w:before="150"/>
        <w:ind w:left="225" w:right="217"/>
        <w:jc w:val="both"/>
      </w:pPr>
      <w:r>
        <w:rPr>
          <w:spacing w:val="-5"/>
        </w:rPr>
        <w:t>本合同生效日以后每年的对应日是保单周年日，如果当月无对应日期，则以该月最</w:t>
      </w:r>
      <w:r>
        <w:rPr>
          <w:spacing w:val="-4"/>
        </w:rPr>
        <w:t>后一日作为对应日。</w:t>
      </w:r>
    </w:p>
    <w:p>
      <w:pPr>
        <w:spacing w:before="172"/>
        <w:ind w:left="225" w:right="0" w:firstLine="0"/>
        <w:jc w:val="both"/>
        <w:rPr>
          <w:sz w:val="21"/>
        </w:rPr>
      </w:pPr>
      <w:r>
        <w:rPr>
          <w:b/>
          <w:w w:val="100"/>
          <w:sz w:val="21"/>
        </w:rPr>
        <w:t>保单年度</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3"/>
          <w:w w:val="100"/>
          <w:sz w:val="21"/>
        </w:rPr>
        <w:t>、</w:t>
      </w:r>
      <w:r>
        <w:rPr>
          <w:b/>
          <w:w w:val="100"/>
          <w:sz w:val="21"/>
        </w:rPr>
        <w:t>保险费应交日</w:t>
      </w:r>
      <w:r>
        <w:rPr>
          <w:spacing w:val="-3"/>
          <w:w w:val="100"/>
          <w:sz w:val="21"/>
        </w:rPr>
        <w:t>（</w:t>
      </w:r>
      <w:r>
        <w:rPr>
          <w:w w:val="100"/>
          <w:sz w:val="21"/>
        </w:rPr>
        <w:t>见</w:t>
      </w:r>
      <w:r>
        <w:rPr>
          <w:spacing w:val="-53"/>
          <w:sz w:val="21"/>
        </w:rPr>
        <w:t> </w:t>
      </w:r>
      <w:r>
        <w:rPr>
          <w:w w:val="100"/>
          <w:sz w:val="21"/>
        </w:rPr>
        <w:t>9.</w:t>
      </w:r>
      <w:r>
        <w:rPr>
          <w:spacing w:val="-3"/>
          <w:w w:val="100"/>
          <w:sz w:val="21"/>
        </w:rPr>
        <w:t>3</w:t>
      </w:r>
      <w:r>
        <w:rPr>
          <w:w w:val="100"/>
          <w:sz w:val="21"/>
        </w:rPr>
        <w:t>）</w:t>
      </w:r>
      <w:r>
        <w:rPr>
          <w:spacing w:val="-3"/>
          <w:w w:val="100"/>
          <w:sz w:val="21"/>
        </w:rPr>
        <w:t>均依据生效日进行计算。</w:t>
      </w:r>
    </w:p>
    <w:p>
      <w:pPr>
        <w:spacing w:after="0"/>
        <w:jc w:val="both"/>
        <w:rPr>
          <w:sz w:val="21"/>
        </w:rPr>
        <w:sectPr>
          <w:type w:val="continuous"/>
          <w:pgSz w:w="11910" w:h="16840"/>
          <w:pgMar w:top="620" w:bottom="280" w:left="900" w:right="900"/>
          <w:cols w:num="2" w:equalWidth="0">
            <w:col w:w="1995" w:space="136"/>
            <w:col w:w="7979"/>
          </w:cols>
        </w:sectPr>
      </w:pPr>
    </w:p>
    <w:p>
      <w:pPr>
        <w:pStyle w:val="BodyText"/>
        <w:spacing w:before="12"/>
        <w:rPr>
          <w:sz w:val="16"/>
        </w:rPr>
      </w:pPr>
    </w:p>
    <w:p>
      <w:pPr>
        <w:pStyle w:val="ListParagraph"/>
        <w:numPr>
          <w:ilvl w:val="1"/>
          <w:numId w:val="10"/>
        </w:numPr>
        <w:tabs>
          <w:tab w:pos="938" w:val="left" w:leader="none"/>
          <w:tab w:pos="939" w:val="left" w:leader="none"/>
          <w:tab w:pos="2357" w:val="left" w:leader="none"/>
        </w:tabs>
        <w:spacing w:line="285" w:lineRule="auto" w:before="33" w:after="0"/>
        <w:ind w:left="2357" w:right="216" w:hanging="2132"/>
        <w:jc w:val="left"/>
        <w:rPr>
          <w:sz w:val="21"/>
        </w:rPr>
      </w:pPr>
      <w:r>
        <w:rPr>
          <w:b/>
          <w:w w:val="100"/>
          <w:sz w:val="21"/>
        </w:rPr>
        <w:t>投</w:t>
      </w:r>
      <w:r>
        <w:rPr>
          <w:b/>
          <w:spacing w:val="-1"/>
          <w:w w:val="100"/>
          <w:sz w:val="21"/>
        </w:rPr>
        <w:t>保</w:t>
      </w:r>
      <w:r>
        <w:rPr>
          <w:b/>
          <w:w w:val="100"/>
          <w:sz w:val="21"/>
        </w:rPr>
        <w:t>范围</w:t>
      </w:r>
      <w:r>
        <w:rPr>
          <w:b/>
          <w:sz w:val="21"/>
        </w:rPr>
        <w:tab/>
      </w:r>
      <w:r>
        <w:rPr>
          <w:w w:val="100"/>
          <w:position w:val="2"/>
          <w:sz w:val="21"/>
        </w:rPr>
        <w:t>投保</w:t>
      </w:r>
      <w:r>
        <w:rPr>
          <w:spacing w:val="-3"/>
          <w:w w:val="100"/>
          <w:position w:val="2"/>
          <w:sz w:val="21"/>
        </w:rPr>
        <w:t>人</w:t>
      </w:r>
      <w:r>
        <w:rPr>
          <w:w w:val="100"/>
          <w:position w:val="2"/>
          <w:sz w:val="21"/>
        </w:rPr>
        <w:t>：</w:t>
      </w:r>
      <w:r>
        <w:rPr>
          <w:spacing w:val="-3"/>
          <w:w w:val="100"/>
          <w:position w:val="2"/>
          <w:sz w:val="21"/>
        </w:rPr>
        <w:t>凡年</w:t>
      </w:r>
      <w:r>
        <w:rPr>
          <w:w w:val="100"/>
          <w:position w:val="2"/>
          <w:sz w:val="21"/>
        </w:rPr>
        <w:t>满</w:t>
      </w:r>
      <w:r>
        <w:rPr>
          <w:spacing w:val="-48"/>
          <w:position w:val="2"/>
          <w:sz w:val="21"/>
        </w:rPr>
        <w:t> </w:t>
      </w:r>
      <w:r>
        <w:rPr>
          <w:w w:val="100"/>
          <w:position w:val="2"/>
          <w:sz w:val="21"/>
        </w:rPr>
        <w:t>18</w:t>
      </w:r>
      <w:r>
        <w:rPr>
          <w:spacing w:val="-50"/>
          <w:position w:val="2"/>
          <w:sz w:val="21"/>
        </w:rPr>
        <w:t> </w:t>
      </w:r>
      <w:r>
        <w:rPr>
          <w:b/>
          <w:w w:val="100"/>
          <w:position w:val="2"/>
          <w:sz w:val="21"/>
        </w:rPr>
        <w:t>周岁</w:t>
      </w:r>
      <w:r>
        <w:rPr>
          <w:spacing w:val="-3"/>
          <w:w w:val="100"/>
          <w:position w:val="2"/>
          <w:sz w:val="21"/>
        </w:rPr>
        <w:t>（</w:t>
      </w:r>
      <w:r>
        <w:rPr>
          <w:w w:val="100"/>
          <w:position w:val="2"/>
          <w:sz w:val="21"/>
        </w:rPr>
        <w:t>见</w:t>
      </w:r>
      <w:r>
        <w:rPr>
          <w:spacing w:val="-48"/>
          <w:position w:val="2"/>
          <w:sz w:val="21"/>
        </w:rPr>
        <w:t> </w:t>
      </w:r>
      <w:r>
        <w:rPr>
          <w:w w:val="100"/>
          <w:position w:val="2"/>
          <w:sz w:val="21"/>
        </w:rPr>
        <w:t>9.</w:t>
      </w:r>
      <w:r>
        <w:rPr>
          <w:spacing w:val="-2"/>
          <w:w w:val="100"/>
          <w:position w:val="2"/>
          <w:sz w:val="21"/>
        </w:rPr>
        <w:t>4</w:t>
      </w:r>
      <w:r>
        <w:rPr>
          <w:spacing w:val="-106"/>
          <w:w w:val="100"/>
          <w:position w:val="2"/>
          <w:sz w:val="21"/>
        </w:rPr>
        <w:t>）</w:t>
      </w:r>
      <w:r>
        <w:rPr>
          <w:spacing w:val="-3"/>
          <w:w w:val="100"/>
          <w:position w:val="2"/>
          <w:sz w:val="21"/>
        </w:rPr>
        <w:t>，</w:t>
      </w:r>
      <w:r>
        <w:rPr>
          <w:w w:val="100"/>
          <w:position w:val="2"/>
          <w:sz w:val="21"/>
        </w:rPr>
        <w:t>具</w:t>
      </w:r>
      <w:r>
        <w:rPr>
          <w:spacing w:val="-3"/>
          <w:w w:val="100"/>
          <w:position w:val="2"/>
          <w:sz w:val="21"/>
        </w:rPr>
        <w:t>有</w:t>
      </w:r>
      <w:r>
        <w:rPr>
          <w:w w:val="100"/>
          <w:position w:val="2"/>
          <w:sz w:val="21"/>
        </w:rPr>
        <w:t>完全</w:t>
      </w:r>
      <w:r>
        <w:rPr>
          <w:spacing w:val="-3"/>
          <w:w w:val="100"/>
          <w:position w:val="2"/>
          <w:sz w:val="21"/>
        </w:rPr>
        <w:t>民</w:t>
      </w:r>
      <w:r>
        <w:rPr>
          <w:w w:val="100"/>
          <w:position w:val="2"/>
          <w:sz w:val="21"/>
        </w:rPr>
        <w:t>事</w:t>
      </w:r>
      <w:r>
        <w:rPr>
          <w:spacing w:val="-3"/>
          <w:w w:val="100"/>
          <w:position w:val="2"/>
          <w:sz w:val="21"/>
        </w:rPr>
        <w:t>行</w:t>
      </w:r>
      <w:r>
        <w:rPr>
          <w:w w:val="100"/>
          <w:position w:val="2"/>
          <w:sz w:val="21"/>
        </w:rPr>
        <w:t>为能</w:t>
      </w:r>
      <w:r>
        <w:rPr>
          <w:spacing w:val="-3"/>
          <w:w w:val="100"/>
          <w:position w:val="2"/>
          <w:sz w:val="21"/>
        </w:rPr>
        <w:t>力</w:t>
      </w:r>
      <w:r>
        <w:rPr>
          <w:w w:val="100"/>
          <w:position w:val="2"/>
          <w:sz w:val="21"/>
        </w:rPr>
        <w:t>且</w:t>
      </w:r>
      <w:r>
        <w:rPr>
          <w:spacing w:val="-3"/>
          <w:w w:val="100"/>
          <w:position w:val="2"/>
          <w:sz w:val="21"/>
        </w:rPr>
        <w:t>对</w:t>
      </w:r>
      <w:r>
        <w:rPr>
          <w:w w:val="100"/>
          <w:position w:val="2"/>
          <w:sz w:val="21"/>
        </w:rPr>
        <w:t>被</w:t>
      </w:r>
      <w:r>
        <w:rPr>
          <w:spacing w:val="-3"/>
          <w:w w:val="100"/>
          <w:position w:val="2"/>
          <w:sz w:val="21"/>
        </w:rPr>
        <w:t>保</w:t>
      </w:r>
      <w:r>
        <w:rPr>
          <w:w w:val="100"/>
          <w:position w:val="2"/>
          <w:sz w:val="21"/>
        </w:rPr>
        <w:t>险</w:t>
      </w:r>
      <w:r>
        <w:rPr>
          <w:spacing w:val="-3"/>
          <w:w w:val="100"/>
          <w:position w:val="2"/>
          <w:sz w:val="21"/>
        </w:rPr>
        <w:t>人</w:t>
      </w:r>
      <w:r>
        <w:rPr>
          <w:w w:val="100"/>
          <w:position w:val="2"/>
          <w:sz w:val="21"/>
        </w:rPr>
        <w:t>具</w:t>
      </w:r>
      <w:r>
        <w:rPr>
          <w:spacing w:val="-3"/>
          <w:w w:val="100"/>
          <w:position w:val="2"/>
          <w:sz w:val="21"/>
        </w:rPr>
        <w:t>有</w:t>
      </w:r>
      <w:r>
        <w:rPr>
          <w:w w:val="100"/>
          <w:position w:val="2"/>
          <w:sz w:val="21"/>
        </w:rPr>
        <w:t>保险</w:t>
      </w:r>
      <w:r>
        <w:rPr>
          <w:sz w:val="21"/>
        </w:rPr>
        <w:t>利益</w:t>
      </w:r>
      <w:r>
        <w:rPr>
          <w:spacing w:val="-3"/>
          <w:sz w:val="21"/>
        </w:rPr>
        <w:t>的</w:t>
      </w:r>
      <w:r>
        <w:rPr>
          <w:sz w:val="21"/>
        </w:rPr>
        <w:t>人</w:t>
      </w:r>
      <w:r>
        <w:rPr>
          <w:spacing w:val="-3"/>
          <w:sz w:val="21"/>
        </w:rPr>
        <w:t>，</w:t>
      </w:r>
      <w:r>
        <w:rPr>
          <w:sz w:val="21"/>
        </w:rPr>
        <w:t>均</w:t>
      </w:r>
      <w:r>
        <w:rPr>
          <w:spacing w:val="-3"/>
          <w:sz w:val="21"/>
        </w:rPr>
        <w:t>可</w:t>
      </w:r>
      <w:r>
        <w:rPr>
          <w:sz w:val="21"/>
        </w:rPr>
        <w:t>作</w:t>
      </w:r>
      <w:r>
        <w:rPr>
          <w:spacing w:val="-3"/>
          <w:sz w:val="21"/>
        </w:rPr>
        <w:t>为</w:t>
      </w:r>
      <w:r>
        <w:rPr>
          <w:sz w:val="21"/>
        </w:rPr>
        <w:t>本</w:t>
      </w:r>
      <w:r>
        <w:rPr>
          <w:spacing w:val="-3"/>
          <w:sz w:val="21"/>
        </w:rPr>
        <w:t>合</w:t>
      </w:r>
      <w:r>
        <w:rPr>
          <w:sz w:val="21"/>
        </w:rPr>
        <w:t>同的</w:t>
      </w:r>
      <w:r>
        <w:rPr>
          <w:spacing w:val="-3"/>
          <w:sz w:val="21"/>
        </w:rPr>
        <w:t>投</w:t>
      </w:r>
      <w:r>
        <w:rPr>
          <w:sz w:val="21"/>
        </w:rPr>
        <w:t>保</w:t>
      </w:r>
      <w:r>
        <w:rPr>
          <w:spacing w:val="-3"/>
          <w:sz w:val="21"/>
        </w:rPr>
        <w:t>人</w:t>
      </w:r>
      <w:r>
        <w:rPr>
          <w:sz w:val="21"/>
        </w:rPr>
        <w:t>。</w:t>
      </w:r>
    </w:p>
    <w:p>
      <w:pPr>
        <w:pStyle w:val="BodyText"/>
        <w:spacing w:line="300" w:lineRule="auto" w:before="28"/>
        <w:ind w:left="2357" w:right="217"/>
        <w:jc w:val="both"/>
      </w:pPr>
      <w:r>
        <w:rPr>
          <w:spacing w:val="-9"/>
        </w:rPr>
        <w:t>被保险人：凡出生满 </w:t>
      </w:r>
      <w:r>
        <w:rPr/>
        <w:t>28</w:t>
      </w:r>
      <w:r>
        <w:rPr>
          <w:spacing w:val="-23"/>
        </w:rPr>
        <w:t> 天至 </w:t>
      </w:r>
      <w:r>
        <w:rPr/>
        <w:t>60</w:t>
      </w:r>
      <w:r>
        <w:rPr>
          <w:spacing w:val="-19"/>
        </w:rPr>
        <w:t> 周岁</w:t>
      </w:r>
      <w:r>
        <w:rPr>
          <w:spacing w:val="-3"/>
        </w:rPr>
        <w:t>（</w:t>
      </w:r>
      <w:r>
        <w:rPr/>
        <w:t>含</w:t>
      </w:r>
      <w:r>
        <w:rPr>
          <w:spacing w:val="-13"/>
        </w:rPr>
        <w:t>）</w:t>
      </w:r>
      <w:r>
        <w:rPr>
          <w:spacing w:val="-5"/>
        </w:rPr>
        <w:t>身体健康的人，均可作为本合同的被保险人。</w:t>
      </w:r>
    </w:p>
    <w:p>
      <w:pPr>
        <w:pStyle w:val="ListParagraph"/>
        <w:numPr>
          <w:ilvl w:val="1"/>
          <w:numId w:val="10"/>
        </w:numPr>
        <w:tabs>
          <w:tab w:pos="938" w:val="left" w:leader="none"/>
          <w:tab w:pos="939" w:val="left" w:leader="none"/>
          <w:tab w:pos="2357" w:val="left" w:leader="none"/>
        </w:tabs>
        <w:spacing w:line="295" w:lineRule="auto" w:before="135" w:after="0"/>
        <w:ind w:left="2357" w:right="111" w:hanging="2132"/>
        <w:jc w:val="left"/>
        <w:rPr>
          <w:sz w:val="21"/>
        </w:rPr>
      </w:pPr>
      <w:r>
        <w:rPr>
          <w:b/>
          <w:sz w:val="21"/>
        </w:rPr>
        <w:t>犹豫期</w:t>
        <w:tab/>
      </w:r>
      <w:r>
        <w:rPr>
          <w:spacing w:val="2"/>
          <w:position w:val="2"/>
          <w:sz w:val="21"/>
        </w:rPr>
        <w:t>从投保</w:t>
      </w:r>
      <w:r>
        <w:rPr>
          <w:position w:val="2"/>
          <w:sz w:val="21"/>
        </w:rPr>
        <w:t>人</w:t>
      </w:r>
      <w:r>
        <w:rPr>
          <w:spacing w:val="2"/>
          <w:position w:val="2"/>
          <w:sz w:val="21"/>
        </w:rPr>
        <w:t>收</w:t>
      </w:r>
      <w:r>
        <w:rPr>
          <w:position w:val="2"/>
          <w:sz w:val="21"/>
        </w:rPr>
        <w:t>到</w:t>
      </w:r>
      <w:r>
        <w:rPr>
          <w:spacing w:val="2"/>
          <w:position w:val="2"/>
          <w:sz w:val="21"/>
        </w:rPr>
        <w:t>本合</w:t>
      </w:r>
      <w:r>
        <w:rPr>
          <w:position w:val="2"/>
          <w:sz w:val="21"/>
        </w:rPr>
        <w:t>同</w:t>
      </w:r>
      <w:r>
        <w:rPr>
          <w:spacing w:val="2"/>
          <w:position w:val="2"/>
          <w:sz w:val="21"/>
        </w:rPr>
        <w:t>并</w:t>
      </w:r>
      <w:r>
        <w:rPr>
          <w:position w:val="2"/>
          <w:sz w:val="21"/>
        </w:rPr>
        <w:t>书</w:t>
      </w:r>
      <w:r>
        <w:rPr>
          <w:spacing w:val="2"/>
          <w:position w:val="2"/>
          <w:sz w:val="21"/>
        </w:rPr>
        <w:t>面签收</w:t>
      </w:r>
      <w:r>
        <w:rPr>
          <w:position w:val="2"/>
          <w:sz w:val="21"/>
        </w:rPr>
        <w:t>或</w:t>
      </w:r>
      <w:r>
        <w:rPr>
          <w:spacing w:val="2"/>
          <w:position w:val="2"/>
          <w:sz w:val="21"/>
        </w:rPr>
        <w:t>按</w:t>
      </w:r>
      <w:r>
        <w:rPr>
          <w:position w:val="2"/>
          <w:sz w:val="21"/>
        </w:rPr>
        <w:t>照</w:t>
      </w:r>
      <w:r>
        <w:rPr>
          <w:spacing w:val="2"/>
          <w:position w:val="2"/>
          <w:sz w:val="21"/>
        </w:rPr>
        <w:t>本公</w:t>
      </w:r>
      <w:r>
        <w:rPr>
          <w:position w:val="2"/>
          <w:sz w:val="21"/>
        </w:rPr>
        <w:t>司</w:t>
      </w:r>
      <w:r>
        <w:rPr>
          <w:spacing w:val="2"/>
          <w:position w:val="2"/>
          <w:sz w:val="21"/>
        </w:rPr>
        <w:t>要</w:t>
      </w:r>
      <w:r>
        <w:rPr>
          <w:position w:val="2"/>
          <w:sz w:val="21"/>
        </w:rPr>
        <w:t>求</w:t>
      </w:r>
      <w:r>
        <w:rPr>
          <w:spacing w:val="2"/>
          <w:position w:val="2"/>
          <w:sz w:val="21"/>
        </w:rPr>
        <w:t>的其他</w:t>
      </w:r>
      <w:r>
        <w:rPr>
          <w:position w:val="2"/>
          <w:sz w:val="21"/>
        </w:rPr>
        <w:t>方</w:t>
      </w:r>
      <w:r>
        <w:rPr>
          <w:spacing w:val="2"/>
          <w:position w:val="2"/>
          <w:sz w:val="21"/>
        </w:rPr>
        <w:t>式</w:t>
      </w:r>
      <w:r>
        <w:rPr>
          <w:position w:val="2"/>
          <w:sz w:val="21"/>
        </w:rPr>
        <w:t>对</w:t>
      </w:r>
      <w:r>
        <w:rPr>
          <w:spacing w:val="2"/>
          <w:position w:val="2"/>
          <w:sz w:val="21"/>
        </w:rPr>
        <w:t>本合</w:t>
      </w:r>
      <w:r>
        <w:rPr>
          <w:position w:val="2"/>
          <w:sz w:val="21"/>
        </w:rPr>
        <w:t>同</w:t>
      </w:r>
      <w:r>
        <w:rPr>
          <w:spacing w:val="2"/>
          <w:position w:val="2"/>
          <w:sz w:val="21"/>
        </w:rPr>
        <w:t>进</w:t>
      </w:r>
      <w:r>
        <w:rPr>
          <w:position w:val="2"/>
          <w:sz w:val="21"/>
        </w:rPr>
        <w:t>行</w:t>
      </w:r>
      <w:r>
        <w:rPr>
          <w:spacing w:val="2"/>
          <w:position w:val="2"/>
          <w:sz w:val="21"/>
        </w:rPr>
        <w:t>确</w:t>
      </w:r>
      <w:r>
        <w:rPr>
          <w:position w:val="2"/>
          <w:sz w:val="21"/>
        </w:rPr>
        <w:t>认 </w:t>
      </w:r>
      <w:r>
        <w:rPr>
          <w:sz w:val="21"/>
        </w:rPr>
        <w:t>之日</w:t>
      </w:r>
      <w:r>
        <w:rPr>
          <w:spacing w:val="-3"/>
          <w:sz w:val="21"/>
        </w:rPr>
        <w:t>起</w:t>
      </w:r>
      <w:r>
        <w:rPr>
          <w:sz w:val="21"/>
        </w:rPr>
        <w:t>的</w:t>
      </w:r>
      <w:r>
        <w:rPr>
          <w:spacing w:val="-3"/>
          <w:sz w:val="21"/>
        </w:rPr>
        <w:t>一</w:t>
      </w:r>
      <w:r>
        <w:rPr>
          <w:sz w:val="21"/>
        </w:rPr>
        <w:t>段</w:t>
      </w:r>
      <w:r>
        <w:rPr>
          <w:spacing w:val="-3"/>
          <w:sz w:val="21"/>
        </w:rPr>
        <w:t>时</w:t>
      </w:r>
      <w:r>
        <w:rPr>
          <w:sz w:val="21"/>
        </w:rPr>
        <w:t>期</w:t>
      </w:r>
      <w:r>
        <w:rPr>
          <w:spacing w:val="-3"/>
          <w:sz w:val="21"/>
        </w:rPr>
        <w:t>为</w:t>
      </w:r>
      <w:r>
        <w:rPr>
          <w:sz w:val="21"/>
        </w:rPr>
        <w:t>犹</w:t>
      </w:r>
      <w:r>
        <w:rPr>
          <w:spacing w:val="-3"/>
          <w:sz w:val="21"/>
        </w:rPr>
        <w:t>豫</w:t>
      </w:r>
      <w:r>
        <w:rPr>
          <w:sz w:val="21"/>
        </w:rPr>
        <w:t>期</w:t>
      </w:r>
      <w:r>
        <w:rPr>
          <w:spacing w:val="-73"/>
          <w:sz w:val="21"/>
        </w:rPr>
        <w:t>，</w:t>
      </w:r>
      <w:r>
        <w:rPr>
          <w:sz w:val="21"/>
        </w:rPr>
        <w:t>该</w:t>
      </w:r>
      <w:r>
        <w:rPr>
          <w:spacing w:val="-3"/>
          <w:sz w:val="21"/>
        </w:rPr>
        <w:t>时</w:t>
      </w:r>
      <w:r>
        <w:rPr>
          <w:sz w:val="21"/>
        </w:rPr>
        <w:t>期</w:t>
      </w:r>
      <w:r>
        <w:rPr>
          <w:spacing w:val="-3"/>
          <w:sz w:val="21"/>
        </w:rPr>
        <w:t>不</w:t>
      </w:r>
      <w:r>
        <w:rPr>
          <w:sz w:val="21"/>
        </w:rPr>
        <w:t>低于十</w:t>
      </w:r>
      <w:r>
        <w:rPr>
          <w:spacing w:val="-3"/>
          <w:sz w:val="21"/>
        </w:rPr>
        <w:t>日</w:t>
      </w:r>
      <w:r>
        <w:rPr>
          <w:spacing w:val="-73"/>
          <w:sz w:val="21"/>
        </w:rPr>
        <w:t>，</w:t>
      </w:r>
      <w:r>
        <w:rPr>
          <w:spacing w:val="-3"/>
          <w:sz w:val="21"/>
        </w:rPr>
        <w:t>具</w:t>
      </w:r>
      <w:r>
        <w:rPr>
          <w:sz w:val="21"/>
        </w:rPr>
        <w:t>体日</w:t>
      </w:r>
      <w:r>
        <w:rPr>
          <w:spacing w:val="-3"/>
          <w:sz w:val="21"/>
        </w:rPr>
        <w:t>数</w:t>
      </w:r>
      <w:r>
        <w:rPr>
          <w:sz w:val="21"/>
        </w:rPr>
        <w:t>以</w:t>
      </w:r>
      <w:r>
        <w:rPr>
          <w:spacing w:val="-3"/>
          <w:sz w:val="21"/>
        </w:rPr>
        <w:t>保</w:t>
      </w:r>
      <w:r>
        <w:rPr>
          <w:sz w:val="21"/>
        </w:rPr>
        <w:t>险</w:t>
      </w:r>
      <w:r>
        <w:rPr>
          <w:spacing w:val="-3"/>
          <w:sz w:val="21"/>
        </w:rPr>
        <w:t>单</w:t>
      </w:r>
      <w:r>
        <w:rPr>
          <w:sz w:val="21"/>
        </w:rPr>
        <w:t>上</w:t>
      </w:r>
      <w:r>
        <w:rPr>
          <w:spacing w:val="-3"/>
          <w:sz w:val="21"/>
        </w:rPr>
        <w:t>所</w:t>
      </w:r>
      <w:r>
        <w:rPr>
          <w:sz w:val="21"/>
        </w:rPr>
        <w:t>载</w:t>
      </w:r>
      <w:r>
        <w:rPr>
          <w:spacing w:val="-3"/>
          <w:sz w:val="21"/>
        </w:rPr>
        <w:t>的</w:t>
      </w:r>
      <w:r>
        <w:rPr>
          <w:sz w:val="21"/>
        </w:rPr>
        <w:t>为准。在此</w:t>
      </w:r>
      <w:r>
        <w:rPr>
          <w:spacing w:val="-3"/>
          <w:sz w:val="21"/>
        </w:rPr>
        <w:t>期</w:t>
      </w:r>
      <w:r>
        <w:rPr>
          <w:sz w:val="21"/>
        </w:rPr>
        <w:t>间</w:t>
      </w:r>
      <w:r>
        <w:rPr>
          <w:spacing w:val="-15"/>
          <w:sz w:val="21"/>
        </w:rPr>
        <w:t>，</w:t>
      </w:r>
      <w:r>
        <w:rPr>
          <w:sz w:val="21"/>
        </w:rPr>
        <w:t>如</w:t>
      </w:r>
      <w:r>
        <w:rPr>
          <w:spacing w:val="-3"/>
          <w:sz w:val="21"/>
        </w:rPr>
        <w:t>投</w:t>
      </w:r>
      <w:r>
        <w:rPr>
          <w:sz w:val="21"/>
        </w:rPr>
        <w:t>保</w:t>
      </w:r>
      <w:r>
        <w:rPr>
          <w:spacing w:val="-3"/>
          <w:sz w:val="21"/>
        </w:rPr>
        <w:t>人</w:t>
      </w:r>
      <w:r>
        <w:rPr>
          <w:sz w:val="21"/>
        </w:rPr>
        <w:t>认</w:t>
      </w:r>
      <w:r>
        <w:rPr>
          <w:spacing w:val="-3"/>
          <w:sz w:val="21"/>
        </w:rPr>
        <w:t>为</w:t>
      </w:r>
      <w:r>
        <w:rPr>
          <w:sz w:val="21"/>
        </w:rPr>
        <w:t>本合</w:t>
      </w:r>
      <w:r>
        <w:rPr>
          <w:spacing w:val="-3"/>
          <w:sz w:val="21"/>
        </w:rPr>
        <w:t>同</w:t>
      </w:r>
      <w:r>
        <w:rPr>
          <w:sz w:val="21"/>
        </w:rPr>
        <w:t>与</w:t>
      </w:r>
      <w:r>
        <w:rPr>
          <w:spacing w:val="-3"/>
          <w:sz w:val="21"/>
        </w:rPr>
        <w:t>投</w:t>
      </w:r>
      <w:r>
        <w:rPr>
          <w:sz w:val="21"/>
        </w:rPr>
        <w:t>保</w:t>
      </w:r>
      <w:r>
        <w:rPr>
          <w:spacing w:val="-3"/>
          <w:sz w:val="21"/>
        </w:rPr>
        <w:t>人</w:t>
      </w:r>
      <w:r>
        <w:rPr>
          <w:sz w:val="21"/>
        </w:rPr>
        <w:t>的</w:t>
      </w:r>
      <w:r>
        <w:rPr>
          <w:spacing w:val="-3"/>
          <w:sz w:val="21"/>
        </w:rPr>
        <w:t>需</w:t>
      </w:r>
      <w:r>
        <w:rPr>
          <w:sz w:val="21"/>
        </w:rPr>
        <w:t>求</w:t>
      </w:r>
      <w:r>
        <w:rPr>
          <w:spacing w:val="-3"/>
          <w:sz w:val="21"/>
        </w:rPr>
        <w:t>不</w:t>
      </w:r>
      <w:r>
        <w:rPr>
          <w:sz w:val="21"/>
        </w:rPr>
        <w:t>相符</w:t>
      </w:r>
      <w:r>
        <w:rPr>
          <w:spacing w:val="-15"/>
          <w:sz w:val="21"/>
        </w:rPr>
        <w:t>，</w:t>
      </w:r>
      <w:r>
        <w:rPr>
          <w:sz w:val="21"/>
        </w:rPr>
        <w:t>可</w:t>
      </w:r>
      <w:r>
        <w:rPr>
          <w:spacing w:val="-3"/>
          <w:sz w:val="21"/>
        </w:rPr>
        <w:t>以</w:t>
      </w:r>
      <w:r>
        <w:rPr>
          <w:sz w:val="21"/>
        </w:rPr>
        <w:t>解</w:t>
      </w:r>
      <w:r>
        <w:rPr>
          <w:spacing w:val="-3"/>
          <w:sz w:val="21"/>
        </w:rPr>
        <w:t>除</w:t>
      </w:r>
      <w:r>
        <w:rPr>
          <w:sz w:val="21"/>
        </w:rPr>
        <w:t>本</w:t>
      </w:r>
      <w:r>
        <w:rPr>
          <w:spacing w:val="-3"/>
          <w:sz w:val="21"/>
        </w:rPr>
        <w:t>合</w:t>
      </w:r>
      <w:r>
        <w:rPr>
          <w:sz w:val="21"/>
        </w:rPr>
        <w:t>同</w:t>
      </w:r>
      <w:r>
        <w:rPr>
          <w:spacing w:val="-15"/>
          <w:sz w:val="21"/>
        </w:rPr>
        <w:t>，</w:t>
      </w:r>
      <w:r>
        <w:rPr>
          <w:sz w:val="21"/>
        </w:rPr>
        <w:t>本</w:t>
      </w:r>
      <w:r>
        <w:rPr>
          <w:spacing w:val="-3"/>
          <w:sz w:val="21"/>
        </w:rPr>
        <w:t>公</w:t>
      </w:r>
      <w:r>
        <w:rPr>
          <w:sz w:val="21"/>
        </w:rPr>
        <w:t>司将无</w:t>
      </w:r>
      <w:r>
        <w:rPr>
          <w:spacing w:val="-3"/>
          <w:sz w:val="21"/>
        </w:rPr>
        <w:t>息</w:t>
      </w:r>
      <w:r>
        <w:rPr>
          <w:sz w:val="21"/>
        </w:rPr>
        <w:t>退</w:t>
      </w:r>
      <w:r>
        <w:rPr>
          <w:spacing w:val="-3"/>
          <w:sz w:val="21"/>
        </w:rPr>
        <w:t>还</w:t>
      </w:r>
      <w:r>
        <w:rPr>
          <w:sz w:val="21"/>
        </w:rPr>
        <w:t>保</w:t>
      </w:r>
      <w:r>
        <w:rPr>
          <w:spacing w:val="-3"/>
          <w:sz w:val="21"/>
        </w:rPr>
        <w:t>险</w:t>
      </w:r>
      <w:r>
        <w:rPr>
          <w:sz w:val="21"/>
        </w:rPr>
        <w:t>费</w:t>
      </w:r>
      <w:r>
        <w:rPr>
          <w:spacing w:val="-108"/>
          <w:sz w:val="21"/>
        </w:rPr>
        <w:t>。</w:t>
      </w:r>
      <w:r>
        <w:rPr>
          <w:spacing w:val="-3"/>
          <w:sz w:val="21"/>
        </w:rPr>
        <w:t>（</w:t>
      </w:r>
      <w:r>
        <w:rPr>
          <w:b/>
          <w:sz w:val="21"/>
        </w:rPr>
        <w:t>特殊群体</w:t>
      </w:r>
      <w:r>
        <w:rPr>
          <w:sz w:val="21"/>
        </w:rPr>
        <w:t>（见</w:t>
      </w:r>
      <w:r>
        <w:rPr>
          <w:spacing w:val="-27"/>
          <w:sz w:val="21"/>
        </w:rPr>
        <w:t> </w:t>
      </w:r>
      <w:r>
        <w:rPr>
          <w:sz w:val="21"/>
        </w:rPr>
        <w:t>9.4）</w:t>
      </w:r>
      <w:r>
        <w:rPr>
          <w:spacing w:val="-3"/>
          <w:sz w:val="21"/>
        </w:rPr>
        <w:t>客</w:t>
      </w:r>
      <w:r>
        <w:rPr>
          <w:sz w:val="21"/>
        </w:rPr>
        <w:t>户</w:t>
      </w:r>
      <w:r>
        <w:rPr>
          <w:spacing w:val="-3"/>
          <w:sz w:val="21"/>
        </w:rPr>
        <w:t>另有</w:t>
      </w:r>
      <w:r>
        <w:rPr>
          <w:sz w:val="21"/>
        </w:rPr>
        <w:t>约定</w:t>
      </w:r>
      <w:r>
        <w:rPr>
          <w:spacing w:val="-3"/>
          <w:sz w:val="21"/>
        </w:rPr>
        <w:t>的</w:t>
      </w:r>
      <w:r>
        <w:rPr>
          <w:sz w:val="21"/>
        </w:rPr>
        <w:t>除</w:t>
      </w:r>
      <w:r>
        <w:rPr>
          <w:spacing w:val="-3"/>
          <w:sz w:val="21"/>
        </w:rPr>
        <w:t>外</w:t>
      </w:r>
      <w:r>
        <w:rPr>
          <w:sz w:val="21"/>
        </w:rPr>
        <w:t>）</w:t>
      </w:r>
    </w:p>
    <w:p>
      <w:pPr>
        <w:pStyle w:val="BodyText"/>
        <w:spacing w:line="300" w:lineRule="auto" w:before="176"/>
        <w:ind w:left="2357" w:right="216"/>
        <w:jc w:val="both"/>
        <w:rPr>
          <w:rFonts w:ascii="黑体" w:eastAsia="黑体" w:hint="eastAsia"/>
        </w:rPr>
      </w:pPr>
      <w:r>
        <w:rPr>
          <w:rFonts w:ascii="黑体" w:eastAsia="黑体" w:hint="eastAsia"/>
          <w:spacing w:val="-6"/>
        </w:rPr>
        <w:t>犹豫期内解除合同时，投保人需要填写申请书，并提供本合同及本公司要求的相关</w:t>
      </w:r>
      <w:r>
        <w:rPr>
          <w:rFonts w:ascii="黑体" w:eastAsia="黑体" w:hint="eastAsia"/>
          <w:spacing w:val="-8"/>
        </w:rPr>
        <w:t>资料。自本公司收到投保人申请解除合同的书面申请之日起，本合同即被解除，本</w:t>
      </w:r>
      <w:r>
        <w:rPr>
          <w:rFonts w:ascii="黑体" w:eastAsia="黑体" w:hint="eastAsia"/>
          <w:spacing w:val="-3"/>
        </w:rPr>
        <w:t>公司自本合同</w:t>
      </w:r>
      <w:r>
        <w:rPr>
          <w:rFonts w:ascii="黑体" w:eastAsia="黑体" w:hint="eastAsia"/>
        </w:rPr>
        <w:t>Th</w:t>
      </w:r>
      <w:r>
        <w:rPr>
          <w:rFonts w:ascii="黑体" w:eastAsia="黑体" w:hint="eastAsia"/>
          <w:spacing w:val="-3"/>
        </w:rPr>
        <w:t>效日起自始不承担保险责任。</w:t>
      </w:r>
    </w:p>
    <w:p>
      <w:pPr>
        <w:pStyle w:val="BodyText"/>
        <w:spacing w:before="2"/>
        <w:rPr>
          <w:rFonts w:ascii="黑体"/>
          <w:sz w:val="23"/>
        </w:rPr>
      </w:pPr>
    </w:p>
    <w:p>
      <w:pPr>
        <w:pStyle w:val="ListParagraph"/>
        <w:numPr>
          <w:ilvl w:val="0"/>
          <w:numId w:val="10"/>
        </w:numPr>
        <w:tabs>
          <w:tab w:pos="938" w:val="left" w:leader="none"/>
          <w:tab w:pos="939" w:val="left" w:leader="none"/>
        </w:tabs>
        <w:spacing w:line="240" w:lineRule="auto" w:before="0" w:after="0"/>
        <w:ind w:left="938" w:right="0" w:hanging="674"/>
        <w:jc w:val="left"/>
        <w:rPr>
          <w:b/>
          <w:sz w:val="24"/>
        </w:rPr>
      </w:pPr>
      <w:r>
        <w:rPr>
          <w:b/>
          <w:w w:val="95"/>
          <w:sz w:val="24"/>
        </w:rPr>
        <w:t>本公司提供的保障</w:t>
      </w:r>
    </w:p>
    <w:p>
      <w:pPr>
        <w:pStyle w:val="BodyText"/>
        <w:spacing w:before="8"/>
        <w:rPr>
          <w:b/>
          <w:sz w:val="8"/>
        </w:rPr>
      </w:pPr>
      <w:r>
        <w:rPr/>
        <w:pict>
          <v:group style="position:absolute;margin-left:50.759998pt;margin-top:7.617899pt;width:493.65pt;height:.5pt;mso-position-horizontal-relative:page;mso-position-vertical-relative:paragraph;z-index:1096;mso-wrap-distance-left:0;mso-wrap-distance-right:0" coordorigin="1015,152" coordsize="9873,10">
            <v:line style="position:absolute" from="1015,157" to="1728,157" stroked="true" strokeweight=".48004pt" strokecolor="#000000">
              <v:stroke dashstyle="solid"/>
            </v:line>
            <v:rect style="position:absolute;left:1728;top:152;width:10;height:10" filled="true" fillcolor="#000000" stroked="false">
              <v:fill type="solid"/>
            </v:rect>
            <v:line style="position:absolute" from="1738,157" to="3147,157" stroked="true" strokeweight=".48004pt" strokecolor="#000000">
              <v:stroke dashstyle="solid"/>
            </v:line>
            <v:rect style="position:absolute;left:3146;top:152;width:10;height:10" filled="true" fillcolor="#000000" stroked="false">
              <v:fill type="solid"/>
            </v:rect>
            <v:line style="position:absolute" from="3156,157" to="10888,157" stroked="true" strokeweight=".48004pt" strokecolor="#000000">
              <v:stroke dashstyle="solid"/>
            </v:line>
            <w10:wrap type="topAndBottom"/>
          </v:group>
        </w:pict>
      </w:r>
    </w:p>
    <w:p>
      <w:pPr>
        <w:pStyle w:val="BodyText"/>
        <w:spacing w:before="6"/>
        <w:rPr>
          <w:b/>
          <w:sz w:val="6"/>
        </w:rPr>
      </w:pPr>
    </w:p>
    <w:p>
      <w:pPr>
        <w:pStyle w:val="ListParagraph"/>
        <w:numPr>
          <w:ilvl w:val="1"/>
          <w:numId w:val="10"/>
        </w:numPr>
        <w:tabs>
          <w:tab w:pos="938" w:val="left" w:leader="none"/>
          <w:tab w:pos="939" w:val="left" w:leader="none"/>
          <w:tab w:pos="2357" w:val="left" w:leader="none"/>
        </w:tabs>
        <w:spacing w:line="285" w:lineRule="auto" w:before="34" w:after="0"/>
        <w:ind w:left="2357" w:right="2490" w:hanging="2132"/>
        <w:jc w:val="left"/>
        <w:rPr>
          <w:sz w:val="21"/>
        </w:rPr>
      </w:pPr>
      <w:r>
        <w:rPr>
          <w:b/>
          <w:sz w:val="21"/>
        </w:rPr>
        <w:t>保险责任</w:t>
        <w:tab/>
      </w:r>
      <w:r>
        <w:rPr>
          <w:spacing w:val="-1"/>
          <w:position w:val="2"/>
          <w:sz w:val="21"/>
        </w:rPr>
        <w:t>在</w:t>
      </w:r>
      <w:r>
        <w:rPr>
          <w:position w:val="2"/>
          <w:sz w:val="21"/>
        </w:rPr>
        <w:t>本</w:t>
      </w:r>
      <w:r>
        <w:rPr>
          <w:spacing w:val="-3"/>
          <w:position w:val="2"/>
          <w:sz w:val="21"/>
        </w:rPr>
        <w:t>合</w:t>
      </w:r>
      <w:r>
        <w:rPr>
          <w:position w:val="2"/>
          <w:sz w:val="21"/>
        </w:rPr>
        <w:t>同</w:t>
      </w:r>
      <w:r>
        <w:rPr>
          <w:spacing w:val="-3"/>
          <w:position w:val="2"/>
          <w:sz w:val="21"/>
        </w:rPr>
        <w:t>有</w:t>
      </w:r>
      <w:r>
        <w:rPr>
          <w:position w:val="2"/>
          <w:sz w:val="21"/>
        </w:rPr>
        <w:t>效</w:t>
      </w:r>
      <w:r>
        <w:rPr>
          <w:spacing w:val="-3"/>
          <w:position w:val="2"/>
          <w:sz w:val="21"/>
        </w:rPr>
        <w:t>期</w:t>
      </w:r>
      <w:r>
        <w:rPr>
          <w:position w:val="2"/>
          <w:sz w:val="21"/>
        </w:rPr>
        <w:t>内</w:t>
      </w:r>
      <w:r>
        <w:rPr>
          <w:spacing w:val="-3"/>
          <w:position w:val="2"/>
          <w:sz w:val="21"/>
        </w:rPr>
        <w:t>，</w:t>
      </w:r>
      <w:r>
        <w:rPr>
          <w:position w:val="2"/>
          <w:sz w:val="21"/>
        </w:rPr>
        <w:t>本</w:t>
      </w:r>
      <w:r>
        <w:rPr>
          <w:spacing w:val="-3"/>
          <w:position w:val="2"/>
          <w:sz w:val="21"/>
        </w:rPr>
        <w:t>公</w:t>
      </w:r>
      <w:r>
        <w:rPr>
          <w:position w:val="2"/>
          <w:sz w:val="21"/>
        </w:rPr>
        <w:t>司对</w:t>
      </w:r>
      <w:r>
        <w:rPr>
          <w:spacing w:val="-3"/>
          <w:position w:val="2"/>
          <w:sz w:val="21"/>
        </w:rPr>
        <w:t>被</w:t>
      </w:r>
      <w:r>
        <w:rPr>
          <w:position w:val="2"/>
          <w:sz w:val="21"/>
        </w:rPr>
        <w:t>保</w:t>
      </w:r>
      <w:r>
        <w:rPr>
          <w:spacing w:val="-3"/>
          <w:position w:val="2"/>
          <w:sz w:val="21"/>
        </w:rPr>
        <w:t>险</w:t>
      </w:r>
      <w:r>
        <w:rPr>
          <w:position w:val="2"/>
          <w:sz w:val="21"/>
        </w:rPr>
        <w:t>人</w:t>
      </w:r>
      <w:r>
        <w:rPr>
          <w:spacing w:val="-3"/>
          <w:position w:val="2"/>
          <w:sz w:val="21"/>
        </w:rPr>
        <w:t>负</w:t>
      </w:r>
      <w:r>
        <w:rPr>
          <w:position w:val="2"/>
          <w:sz w:val="21"/>
        </w:rPr>
        <w:t>下</w:t>
      </w:r>
      <w:r>
        <w:rPr>
          <w:spacing w:val="-3"/>
          <w:position w:val="2"/>
          <w:sz w:val="21"/>
        </w:rPr>
        <w:t>列</w:t>
      </w:r>
      <w:r>
        <w:rPr>
          <w:position w:val="2"/>
          <w:sz w:val="21"/>
        </w:rPr>
        <w:t>保</w:t>
      </w:r>
      <w:r>
        <w:rPr>
          <w:spacing w:val="-3"/>
          <w:position w:val="2"/>
          <w:sz w:val="21"/>
        </w:rPr>
        <w:t>险</w:t>
      </w:r>
      <w:r>
        <w:rPr>
          <w:position w:val="2"/>
          <w:sz w:val="21"/>
        </w:rPr>
        <w:t>责任： </w:t>
      </w:r>
      <w:r>
        <w:rPr>
          <w:sz w:val="21"/>
        </w:rPr>
        <w:t>一、</w:t>
      </w:r>
      <w:r>
        <w:rPr>
          <w:spacing w:val="-3"/>
          <w:sz w:val="21"/>
        </w:rPr>
        <w:t>轻</w:t>
      </w:r>
      <w:r>
        <w:rPr>
          <w:sz w:val="21"/>
        </w:rPr>
        <w:t>症</w:t>
      </w:r>
      <w:r>
        <w:rPr>
          <w:spacing w:val="-3"/>
          <w:sz w:val="21"/>
        </w:rPr>
        <w:t>疾</w:t>
      </w:r>
      <w:r>
        <w:rPr>
          <w:sz w:val="21"/>
        </w:rPr>
        <w:t>病</w:t>
      </w:r>
      <w:r>
        <w:rPr>
          <w:spacing w:val="-3"/>
          <w:sz w:val="21"/>
        </w:rPr>
        <w:t>保</w:t>
      </w:r>
      <w:r>
        <w:rPr>
          <w:sz w:val="21"/>
        </w:rPr>
        <w:t>险金</w:t>
      </w:r>
    </w:p>
    <w:p>
      <w:pPr>
        <w:pStyle w:val="BodyText"/>
        <w:spacing w:line="300" w:lineRule="auto" w:before="29"/>
        <w:ind w:left="2357" w:right="216" w:firstLine="420"/>
      </w:pPr>
      <w:r>
        <w:rPr>
          <w:spacing w:val="-5"/>
        </w:rPr>
        <w:t>若被保险人于本合同生效或最后一次复效之日起 </w:t>
      </w:r>
      <w:r>
        <w:rPr/>
        <w:t>90</w:t>
      </w:r>
      <w:r>
        <w:rPr>
          <w:spacing w:val="-23"/>
        </w:rPr>
        <w:t> 日内</w:t>
      </w:r>
      <w:r>
        <w:rPr>
          <w:spacing w:val="-3"/>
        </w:rPr>
        <w:t>（</w:t>
      </w:r>
      <w:r>
        <w:rPr>
          <w:spacing w:val="-16"/>
        </w:rPr>
        <w:t>含第 </w:t>
      </w:r>
      <w:r>
        <w:rPr/>
        <w:t>90</w:t>
      </w:r>
      <w:r>
        <w:rPr>
          <w:spacing w:val="-24"/>
        </w:rPr>
        <w:t> 日</w:t>
      </w:r>
      <w:r>
        <w:rPr>
          <w:spacing w:val="-20"/>
        </w:rPr>
        <w:t>）</w:t>
      </w:r>
      <w:r>
        <w:rPr>
          <w:spacing w:val="-3"/>
        </w:rPr>
        <w:t>因</w:t>
      </w:r>
      <w:r>
        <w:rPr>
          <w:b/>
        </w:rPr>
        <w:t>意外</w:t>
      </w:r>
      <w:r>
        <w:rPr>
          <w:b/>
          <w:spacing w:val="-20"/>
        </w:rPr>
        <w:t>伤害</w:t>
      </w:r>
      <w:r>
        <w:rPr/>
        <w:t>（</w:t>
      </w:r>
      <w:r>
        <w:rPr>
          <w:spacing w:val="-21"/>
        </w:rPr>
        <w:t>见 </w:t>
      </w:r>
      <w:r>
        <w:rPr>
          <w:spacing w:val="-11"/>
        </w:rPr>
        <w:t>9.6）</w:t>
      </w:r>
      <w:r>
        <w:rPr>
          <w:spacing w:val="-9"/>
        </w:rPr>
        <w:t>以外的原因，经</w:t>
      </w:r>
      <w:r>
        <w:rPr>
          <w:b/>
          <w:spacing w:val="-19"/>
        </w:rPr>
        <w:t>医院</w:t>
      </w:r>
      <w:r>
        <w:rPr>
          <w:spacing w:val="-3"/>
        </w:rPr>
        <w:t>（</w:t>
      </w:r>
      <w:r>
        <w:rPr>
          <w:spacing w:val="-21"/>
        </w:rPr>
        <w:t>见 </w:t>
      </w:r>
      <w:r>
        <w:rPr>
          <w:spacing w:val="-11"/>
        </w:rPr>
        <w:t>9.7）</w:t>
      </w:r>
      <w:r>
        <w:rPr>
          <w:b/>
          <w:spacing w:val="-10"/>
        </w:rPr>
        <w:t>专科医生</w:t>
      </w:r>
      <w:r>
        <w:rPr/>
        <w:t>（</w:t>
      </w:r>
      <w:r>
        <w:rPr>
          <w:spacing w:val="-22"/>
        </w:rPr>
        <w:t>见 </w:t>
      </w:r>
      <w:r>
        <w:rPr>
          <w:spacing w:val="-11"/>
        </w:rPr>
        <w:t>9.8）</w:t>
      </w:r>
      <w:r>
        <w:rPr>
          <w:spacing w:val="-3"/>
        </w:rPr>
        <w:t>确诊</w:t>
      </w:r>
      <w:r>
        <w:rPr>
          <w:b/>
          <w:spacing w:val="-10"/>
        </w:rPr>
        <w:t>初次罹患</w:t>
      </w:r>
      <w:r>
        <w:rPr/>
        <w:t>（见</w:t>
      </w:r>
    </w:p>
    <w:p>
      <w:pPr>
        <w:pStyle w:val="BodyText"/>
        <w:spacing w:line="300" w:lineRule="auto" w:before="16"/>
        <w:ind w:left="2357" w:right="163"/>
      </w:pPr>
      <w:r>
        <w:rPr/>
        <w:t>9.9）本合同约定的</w:t>
      </w:r>
      <w:r>
        <w:rPr>
          <w:b/>
        </w:rPr>
        <w:t>轻症疾病</w:t>
      </w:r>
      <w:r>
        <w:rPr/>
        <w:t>（见 9.10）中的一种或多种，本公司按累计已交保险费给付轻症疾病保险金，本合同终止。</w:t>
      </w:r>
    </w:p>
    <w:p>
      <w:pPr>
        <w:spacing w:after="0" w:line="300" w:lineRule="auto"/>
        <w:sectPr>
          <w:type w:val="continuous"/>
          <w:pgSz w:w="11910" w:h="16840"/>
          <w:pgMar w:top="620" w:bottom="280" w:left="900" w:right="900"/>
        </w:sectPr>
      </w:pPr>
    </w:p>
    <w:p>
      <w:pPr>
        <w:pStyle w:val="BodyText"/>
        <w:spacing w:line="300" w:lineRule="auto" w:before="24"/>
        <w:ind w:left="1577" w:right="216" w:firstLine="420"/>
        <w:jc w:val="both"/>
      </w:pPr>
      <w:r>
        <w:rPr>
          <w:spacing w:val="-3"/>
        </w:rPr>
        <w:t>若被保险人因意外伤害，或于本合同生效或最后一次复效之日起 </w:t>
      </w:r>
      <w:r>
        <w:rPr/>
        <w:t>90</w:t>
      </w:r>
      <w:r>
        <w:rPr>
          <w:spacing w:val="-3"/>
        </w:rPr>
        <w:t> 日后因意</w:t>
      </w:r>
      <w:r>
        <w:rPr>
          <w:spacing w:val="-7"/>
        </w:rPr>
        <w:t>外伤害以外的原因，经医院专科医生确诊初次罹患本合同约定的轻症疾病中的一种</w:t>
      </w:r>
      <w:r>
        <w:rPr>
          <w:spacing w:val="-3"/>
        </w:rPr>
        <w:t>或多种，本公司按以下约定给付轻症疾病保险金，本合同继续有效：</w:t>
      </w:r>
    </w:p>
    <w:p>
      <w:pPr>
        <w:pStyle w:val="BodyText"/>
        <w:spacing w:line="300" w:lineRule="auto" w:before="15"/>
        <w:ind w:left="1577" w:right="219" w:firstLine="420"/>
      </w:pPr>
      <w:r>
        <w:rPr/>
        <w:t>1.</w:t>
      </w:r>
      <w:r>
        <w:rPr>
          <w:spacing w:val="-6"/>
        </w:rPr>
        <w:t>首次及第二次发生轻症疾病，每次给付的轻症疾病保险金为本合同的基本保</w:t>
      </w:r>
      <w:r>
        <w:rPr>
          <w:spacing w:val="-13"/>
        </w:rPr>
        <w:t>险金额的 </w:t>
      </w:r>
      <w:r>
        <w:rPr/>
        <w:t>20%；</w:t>
      </w:r>
    </w:p>
    <w:p>
      <w:pPr>
        <w:pStyle w:val="BodyText"/>
        <w:spacing w:line="300" w:lineRule="auto" w:before="15"/>
        <w:ind w:left="1577" w:right="191" w:firstLine="420"/>
      </w:pPr>
      <w:r>
        <w:rPr/>
        <w:t>2.第三次及第四次发生轻症疾病，每次给付的轻症疾病保险金为本合同的基本保险金额的 30%；</w:t>
      </w:r>
    </w:p>
    <w:p>
      <w:pPr>
        <w:pStyle w:val="BodyText"/>
        <w:spacing w:before="15"/>
        <w:ind w:left="1997"/>
      </w:pPr>
      <w:r>
        <w:rPr/>
        <w:t>3.</w:t>
      </w:r>
      <w:r>
        <w:rPr>
          <w:spacing w:val="-12"/>
        </w:rPr>
        <w:t>第五次发生轻症疾病，给付的轻症疾病保险金为本合同基本保险金额的 </w:t>
      </w:r>
      <w:r>
        <w:rPr/>
        <w:t>50%。</w:t>
      </w:r>
    </w:p>
    <w:p>
      <w:pPr>
        <w:pStyle w:val="BodyText"/>
        <w:spacing w:line="300" w:lineRule="auto" w:before="68"/>
        <w:ind w:left="1577" w:right="174" w:firstLine="420"/>
        <w:rPr>
          <w:rFonts w:ascii="黑体" w:eastAsia="黑体" w:hint="eastAsia"/>
        </w:rPr>
      </w:pPr>
      <w:r>
        <w:rPr>
          <w:rFonts w:ascii="黑体" w:eastAsia="黑体" w:hint="eastAsia"/>
        </w:rPr>
        <w:t>每种轻症疾病只给付一次轻症疾病保险金，给付后该种轻症疾病保险金责任终止，本合同的轻症疾病保险金累计给付以五次为限。</w:t>
      </w:r>
    </w:p>
    <w:p>
      <w:pPr>
        <w:pStyle w:val="BodyText"/>
        <w:spacing w:line="300" w:lineRule="auto" w:before="16"/>
        <w:ind w:left="1577" w:right="222" w:firstLine="420"/>
        <w:rPr>
          <w:rFonts w:ascii="黑体" w:eastAsia="黑体" w:hint="eastAsia"/>
        </w:rPr>
      </w:pPr>
      <w:r>
        <w:rPr>
          <w:rFonts w:ascii="黑体" w:eastAsia="黑体" w:hint="eastAsia"/>
        </w:rPr>
        <w:t>如果被保险人因同一原因或在同一事故中导致其发Th本合同所指的两种或两种以上的轻症疾病，本公司仅按一种轻症疾病给付轻症疾病保险金。</w:t>
      </w:r>
    </w:p>
    <w:p>
      <w:pPr>
        <w:pStyle w:val="BodyText"/>
        <w:spacing w:before="15"/>
        <w:ind w:left="1997"/>
        <w:rPr>
          <w:rFonts w:ascii="黑体" w:eastAsia="黑体" w:hint="eastAsia"/>
        </w:rPr>
      </w:pPr>
      <w:r>
        <w:rPr>
          <w:rFonts w:ascii="黑体" w:eastAsia="黑体" w:hint="eastAsia"/>
        </w:rPr>
        <w:t>首次诊断即达到重疾标准时不能同时或追溯轻症疾病保险金责任赔付。</w:t>
      </w:r>
    </w:p>
    <w:p>
      <w:pPr>
        <w:pStyle w:val="BodyText"/>
        <w:rPr>
          <w:rFonts w:ascii="黑体"/>
          <w:sz w:val="20"/>
        </w:rPr>
      </w:pPr>
    </w:p>
    <w:p>
      <w:pPr>
        <w:pStyle w:val="BodyText"/>
        <w:spacing w:before="135"/>
        <w:ind w:left="1577"/>
      </w:pPr>
      <w:r>
        <w:rPr/>
        <w:t>二、重大疾病保险金</w:t>
      </w:r>
    </w:p>
    <w:p>
      <w:pPr>
        <w:pStyle w:val="BodyText"/>
        <w:spacing w:line="273" w:lineRule="auto" w:before="37"/>
        <w:ind w:left="1577" w:right="125" w:firstLine="422"/>
      </w:pPr>
      <w:r>
        <w:rPr>
          <w:spacing w:val="-5"/>
        </w:rPr>
        <w:t>若被保险人于本合同生效或最后一次复效之日起 </w:t>
      </w:r>
      <w:r>
        <w:rPr/>
        <w:t>90</w:t>
      </w:r>
      <w:r>
        <w:rPr>
          <w:spacing w:val="-24"/>
        </w:rPr>
        <w:t> 日内</w:t>
      </w:r>
      <w:r>
        <w:rPr>
          <w:spacing w:val="-3"/>
        </w:rPr>
        <w:t>（</w:t>
      </w:r>
      <w:r>
        <w:rPr>
          <w:spacing w:val="-17"/>
        </w:rPr>
        <w:t>含第 </w:t>
      </w:r>
      <w:r>
        <w:rPr/>
        <w:t>90</w:t>
      </w:r>
      <w:r>
        <w:rPr>
          <w:spacing w:val="-25"/>
        </w:rPr>
        <w:t> 日</w:t>
      </w:r>
      <w:r>
        <w:rPr>
          <w:spacing w:val="-20"/>
        </w:rPr>
        <w:t>）</w:t>
      </w:r>
      <w:r>
        <w:rPr>
          <w:spacing w:val="-2"/>
        </w:rPr>
        <w:t>因意外</w:t>
      </w:r>
      <w:r>
        <w:rPr>
          <w:spacing w:val="-3"/>
        </w:rPr>
        <w:t>伤害以外的原因，经医院专科医生确诊初次罹患本合同约定的</w:t>
      </w:r>
      <w:r>
        <w:rPr>
          <w:b/>
        </w:rPr>
        <w:t>重大疾病</w:t>
      </w:r>
      <w:r>
        <w:rPr>
          <w:spacing w:val="-3"/>
        </w:rPr>
        <w:t>（</w:t>
      </w:r>
      <w:r>
        <w:rPr>
          <w:spacing w:val="-15"/>
        </w:rPr>
        <w:t>见 </w:t>
      </w:r>
      <w:r>
        <w:rPr/>
        <w:t>9.11） </w:t>
      </w:r>
      <w:r>
        <w:rPr>
          <w:spacing w:val="-3"/>
        </w:rPr>
        <w:t>中的一种或多种，本公司按累计已交保险费给付重大疾病保险金，本合同终止。</w:t>
      </w:r>
    </w:p>
    <w:p>
      <w:pPr>
        <w:pStyle w:val="BodyText"/>
        <w:spacing w:line="300" w:lineRule="auto" w:before="22"/>
        <w:ind w:left="1577" w:right="216" w:firstLine="420"/>
        <w:jc w:val="both"/>
      </w:pPr>
      <w:r>
        <w:rPr>
          <w:spacing w:val="-3"/>
        </w:rPr>
        <w:t>若被保险人因意外伤害，或于本合同生效或最后一次复效之日起 </w:t>
      </w:r>
      <w:r>
        <w:rPr/>
        <w:t>90</w:t>
      </w:r>
      <w:r>
        <w:rPr>
          <w:spacing w:val="-3"/>
        </w:rPr>
        <w:t> 日后因意</w:t>
      </w:r>
      <w:r>
        <w:rPr>
          <w:spacing w:val="-7"/>
        </w:rPr>
        <w:t>外伤害以外的原因，经医院专科医生确诊初次罹患本合同约定的重大疾病中的一种</w:t>
      </w:r>
      <w:r>
        <w:rPr>
          <w:spacing w:val="-3"/>
        </w:rPr>
        <w:t>或多种，本公司按本合同的基本保险金额给付重大疾病保险金，本合同终止。</w:t>
      </w:r>
    </w:p>
    <w:p>
      <w:pPr>
        <w:pStyle w:val="BodyText"/>
        <w:spacing w:before="4"/>
        <w:rPr>
          <w:sz w:val="26"/>
        </w:rPr>
      </w:pPr>
    </w:p>
    <w:p>
      <w:pPr>
        <w:pStyle w:val="BodyText"/>
        <w:ind w:left="1577"/>
      </w:pPr>
      <w:r>
        <w:rPr/>
        <w:t>三、身故保险金</w:t>
      </w:r>
    </w:p>
    <w:p>
      <w:pPr>
        <w:pStyle w:val="BodyText"/>
        <w:spacing w:line="300" w:lineRule="auto" w:before="51"/>
        <w:ind w:left="1577" w:right="113" w:firstLine="420"/>
      </w:pPr>
      <w:r>
        <w:rPr>
          <w:spacing w:val="-5"/>
        </w:rPr>
        <w:t>若被保险人于本合同生效或最后一次复效之日起 </w:t>
      </w:r>
      <w:r>
        <w:rPr/>
        <w:t>90</w:t>
      </w:r>
      <w:r>
        <w:rPr>
          <w:spacing w:val="-23"/>
        </w:rPr>
        <w:t> 日内</w:t>
      </w:r>
      <w:r>
        <w:rPr/>
        <w:t>（</w:t>
      </w:r>
      <w:r>
        <w:rPr>
          <w:spacing w:val="-18"/>
        </w:rPr>
        <w:t>含第 </w:t>
      </w:r>
      <w:r>
        <w:rPr/>
        <w:t>90</w:t>
      </w:r>
      <w:r>
        <w:rPr>
          <w:spacing w:val="-26"/>
        </w:rPr>
        <w:t> 日</w:t>
      </w:r>
      <w:r>
        <w:rPr>
          <w:spacing w:val="-20"/>
        </w:rPr>
        <w:t>）</w:t>
      </w:r>
      <w:r>
        <w:rPr>
          <w:spacing w:val="-2"/>
        </w:rPr>
        <w:t>因意外</w:t>
      </w:r>
      <w:r>
        <w:rPr>
          <w:spacing w:val="-12"/>
        </w:rPr>
        <w:t>伤害以外的原因导致身故，本公司按累计已交保险费给付身故保险金，本合同终止。</w:t>
      </w:r>
    </w:p>
    <w:p>
      <w:pPr>
        <w:pStyle w:val="BodyText"/>
        <w:spacing w:before="16"/>
        <w:ind w:left="1997"/>
      </w:pPr>
      <w:r>
        <w:rPr/>
        <w:t>若被保险人身故时未满 18 岁，且因意外伤害或于本合同生效或最后一次复效</w:t>
      </w:r>
    </w:p>
    <w:p>
      <w:pPr>
        <w:pStyle w:val="BodyText"/>
        <w:spacing w:line="300" w:lineRule="auto" w:before="68"/>
        <w:ind w:left="1577" w:right="216"/>
      </w:pPr>
      <w:r>
        <w:rPr>
          <w:spacing w:val="-10"/>
        </w:rPr>
        <w:t>之日起 </w:t>
      </w:r>
      <w:r>
        <w:rPr/>
        <w:t>90</w:t>
      </w:r>
      <w:r>
        <w:rPr>
          <w:spacing w:val="-9"/>
        </w:rPr>
        <w:t> 日后因意外伤害以外的原因导致身故，本公司按累计已交保险费的 </w:t>
      </w:r>
      <w:r>
        <w:rPr/>
        <w:t>200% </w:t>
      </w:r>
      <w:r>
        <w:rPr>
          <w:spacing w:val="-3"/>
        </w:rPr>
        <w:t>给付身故保险金，本合同终止。</w:t>
      </w:r>
    </w:p>
    <w:p>
      <w:pPr>
        <w:pStyle w:val="BodyText"/>
        <w:spacing w:before="15"/>
        <w:ind w:left="1997"/>
      </w:pPr>
      <w:r>
        <w:rPr/>
        <w:t>若被保险人身故时已满 18 岁，且因意外伤害或于本合同生效或最后一次复效</w:t>
      </w:r>
    </w:p>
    <w:p>
      <w:pPr>
        <w:pStyle w:val="BodyText"/>
        <w:spacing w:line="300" w:lineRule="auto" w:before="68"/>
        <w:ind w:left="1577" w:right="164"/>
      </w:pPr>
      <w:r>
        <w:rPr/>
        <w:t>之日起 90 日后因意外伤害以外的原因导致身故，本公司按照本合同的基本保险金额给付身故保险金，本合同终止。</w:t>
      </w:r>
    </w:p>
    <w:p>
      <w:pPr>
        <w:pStyle w:val="BodyText"/>
        <w:spacing w:before="5"/>
        <w:rPr>
          <w:sz w:val="27"/>
        </w:rPr>
      </w:pPr>
    </w:p>
    <w:p>
      <w:pPr>
        <w:pStyle w:val="BodyText"/>
        <w:ind w:left="1577"/>
      </w:pPr>
      <w:r>
        <w:rPr/>
        <w:t>四、全残保险金</w:t>
      </w:r>
    </w:p>
    <w:p>
      <w:pPr>
        <w:pStyle w:val="BodyText"/>
        <w:spacing w:line="300" w:lineRule="auto" w:before="68"/>
        <w:ind w:left="1577" w:right="216" w:firstLine="420"/>
        <w:jc w:val="both"/>
      </w:pPr>
      <w:r>
        <w:rPr>
          <w:spacing w:val="-5"/>
        </w:rPr>
        <w:t>若被保险人于本合同生效或最后一次复效之日起 </w:t>
      </w:r>
      <w:r>
        <w:rPr/>
        <w:t>90</w:t>
      </w:r>
      <w:r>
        <w:rPr>
          <w:spacing w:val="-23"/>
        </w:rPr>
        <w:t> 日内</w:t>
      </w:r>
      <w:r>
        <w:rPr/>
        <w:t>（</w:t>
      </w:r>
      <w:r>
        <w:rPr>
          <w:spacing w:val="-17"/>
        </w:rPr>
        <w:t>含第 </w:t>
      </w:r>
      <w:r>
        <w:rPr/>
        <w:t>90</w:t>
      </w:r>
      <w:r>
        <w:rPr>
          <w:spacing w:val="-25"/>
        </w:rPr>
        <w:t> 日</w:t>
      </w:r>
      <w:r>
        <w:rPr>
          <w:spacing w:val="-20"/>
        </w:rPr>
        <w:t>）</w:t>
      </w:r>
      <w:r>
        <w:rPr>
          <w:spacing w:val="-2"/>
        </w:rPr>
        <w:t>因意外</w:t>
      </w:r>
      <w:r>
        <w:rPr>
          <w:spacing w:val="-3"/>
          <w:w w:val="100"/>
        </w:rPr>
        <w:t>伤害以外的原因导致</w:t>
      </w:r>
      <w:r>
        <w:rPr>
          <w:b/>
          <w:spacing w:val="-2"/>
          <w:w w:val="100"/>
        </w:rPr>
        <w:t>全残</w:t>
      </w:r>
      <w:r>
        <w:rPr>
          <w:w w:val="100"/>
        </w:rPr>
        <w:t>（见</w:t>
      </w:r>
      <w:r>
        <w:rPr/>
        <w:t> </w:t>
      </w:r>
      <w:r>
        <w:rPr>
          <w:w w:val="100"/>
        </w:rPr>
        <w:t>9</w:t>
      </w:r>
      <w:r>
        <w:rPr>
          <w:spacing w:val="-3"/>
          <w:w w:val="100"/>
        </w:rPr>
        <w:t>.</w:t>
      </w:r>
      <w:r>
        <w:rPr>
          <w:w w:val="100"/>
        </w:rPr>
        <w:t>12</w:t>
      </w:r>
      <w:r>
        <w:rPr>
          <w:spacing w:val="-108"/>
          <w:w w:val="100"/>
        </w:rPr>
        <w:t>）</w:t>
      </w:r>
      <w:r>
        <w:rPr>
          <w:spacing w:val="-3"/>
          <w:w w:val="100"/>
        </w:rPr>
        <w:t>，本公司按累计已交保险费给付全残保险金，</w:t>
      </w:r>
      <w:r>
        <w:rPr>
          <w:spacing w:val="-3"/>
        </w:rPr>
        <w:t>本合同终止。</w:t>
      </w:r>
    </w:p>
    <w:p>
      <w:pPr>
        <w:pStyle w:val="BodyText"/>
        <w:spacing w:before="15"/>
        <w:ind w:left="1997"/>
      </w:pPr>
      <w:r>
        <w:rPr/>
        <w:t>若被保险人全残时未满 18 岁，且因意外伤害或于本合同生效或最后一次复效</w:t>
      </w:r>
    </w:p>
    <w:p>
      <w:pPr>
        <w:pStyle w:val="BodyText"/>
        <w:spacing w:line="300" w:lineRule="auto" w:before="67"/>
        <w:ind w:left="1577" w:right="216"/>
      </w:pPr>
      <w:r>
        <w:rPr>
          <w:spacing w:val="-10"/>
        </w:rPr>
        <w:t>之日起 </w:t>
      </w:r>
      <w:r>
        <w:rPr/>
        <w:t>90</w:t>
      </w:r>
      <w:r>
        <w:rPr>
          <w:spacing w:val="-9"/>
        </w:rPr>
        <w:t> 日后因意外伤害以外的原因导致全残，本公司按累计已交保险费的 </w:t>
      </w:r>
      <w:r>
        <w:rPr/>
        <w:t>200% </w:t>
      </w:r>
      <w:r>
        <w:rPr>
          <w:spacing w:val="-3"/>
        </w:rPr>
        <w:t>给付全残保险金，本合同终止。</w:t>
      </w:r>
    </w:p>
    <w:p>
      <w:pPr>
        <w:pStyle w:val="BodyText"/>
        <w:spacing w:before="15"/>
        <w:ind w:left="1997"/>
      </w:pPr>
      <w:r>
        <w:rPr/>
        <w:t>若被保险人全残时已满 18 岁，且因意外伤害或于本合同生效或最后一次复效</w:t>
      </w:r>
    </w:p>
    <w:p>
      <w:pPr>
        <w:pStyle w:val="BodyText"/>
        <w:spacing w:line="300" w:lineRule="auto" w:before="68"/>
        <w:ind w:left="1577" w:right="164"/>
      </w:pPr>
      <w:r>
        <w:rPr/>
        <w:t>之日起 90 日后因意外伤害以外的原因导致全残，本公司按照本合同的基本保险金额给付全残保险金，本合同终止。</w:t>
      </w:r>
    </w:p>
    <w:p>
      <w:pPr>
        <w:spacing w:after="0" w:line="300" w:lineRule="auto"/>
        <w:sectPr>
          <w:pgSz w:w="11910" w:h="16840"/>
          <w:pgMar w:header="0" w:footer="377" w:top="1260" w:bottom="640" w:left="1680" w:right="9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330"/>
        <w:gridCol w:w="8123"/>
      </w:tblGrid>
      <w:tr>
        <w:trPr>
          <w:trHeight w:val="8227" w:hRule="atLeast"/>
        </w:trPr>
        <w:tc>
          <w:tcPr>
            <w:tcW w:w="715" w:type="dxa"/>
          </w:tcPr>
          <w:p>
            <w:pPr>
              <w:pStyle w:val="TableParagraph"/>
              <w:spacing w:before="0"/>
              <w:ind w:left="0"/>
              <w:rPr>
                <w:rFonts w:ascii="Times New Roman"/>
                <w:sz w:val="20"/>
              </w:rPr>
            </w:pPr>
          </w:p>
        </w:tc>
        <w:tc>
          <w:tcPr>
            <w:tcW w:w="1330" w:type="dxa"/>
          </w:tcPr>
          <w:p>
            <w:pPr>
              <w:pStyle w:val="TableParagraph"/>
              <w:spacing w:before="0"/>
              <w:ind w:left="0"/>
              <w:rPr>
                <w:rFonts w:ascii="Times New Roman"/>
                <w:sz w:val="20"/>
              </w:rPr>
            </w:pPr>
          </w:p>
        </w:tc>
        <w:tc>
          <w:tcPr>
            <w:tcW w:w="8123" w:type="dxa"/>
          </w:tcPr>
          <w:p>
            <w:pPr>
              <w:pStyle w:val="TableParagraph"/>
              <w:spacing w:line="205" w:lineRule="exact" w:before="0"/>
              <w:ind w:left="286"/>
              <w:rPr>
                <w:sz w:val="21"/>
              </w:rPr>
            </w:pPr>
            <w:r>
              <w:rPr>
                <w:sz w:val="21"/>
              </w:rPr>
              <w:t>五、疾病终末期保险金</w:t>
            </w:r>
          </w:p>
          <w:p>
            <w:pPr>
              <w:pStyle w:val="TableParagraph"/>
              <w:spacing w:line="300" w:lineRule="auto" w:before="51"/>
              <w:ind w:left="286" w:right="305" w:firstLine="420"/>
              <w:jc w:val="both"/>
              <w:rPr>
                <w:sz w:val="21"/>
              </w:rPr>
            </w:pPr>
            <w:r>
              <w:rPr>
                <w:spacing w:val="-5"/>
                <w:sz w:val="21"/>
              </w:rPr>
              <w:t>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pacing w:val="-2"/>
                <w:sz w:val="21"/>
              </w:rPr>
              <w:t>因意外</w:t>
            </w:r>
            <w:r>
              <w:rPr>
                <w:spacing w:val="-3"/>
                <w:w w:val="100"/>
                <w:sz w:val="21"/>
              </w:rPr>
              <w:t>伤害以外的原因，经医院专科医生确诊初次达到</w:t>
            </w:r>
            <w:r>
              <w:rPr>
                <w:b/>
                <w:w w:val="100"/>
                <w:sz w:val="21"/>
              </w:rPr>
              <w:t>疾病终末期</w:t>
            </w:r>
            <w:r>
              <w:rPr>
                <w:spacing w:val="-3"/>
                <w:w w:val="100"/>
                <w:sz w:val="21"/>
              </w:rPr>
              <w:t>（</w:t>
            </w:r>
            <w:r>
              <w:rPr>
                <w:w w:val="100"/>
                <w:sz w:val="21"/>
              </w:rPr>
              <w:t>见</w:t>
            </w:r>
            <w:r>
              <w:rPr>
                <w:sz w:val="21"/>
              </w:rPr>
              <w:t> </w:t>
            </w:r>
            <w:r>
              <w:rPr>
                <w:w w:val="100"/>
                <w:sz w:val="21"/>
              </w:rPr>
              <w:t>9.</w:t>
            </w:r>
            <w:r>
              <w:rPr>
                <w:spacing w:val="-3"/>
                <w:w w:val="100"/>
                <w:sz w:val="21"/>
              </w:rPr>
              <w:t>1</w:t>
            </w:r>
            <w:r>
              <w:rPr>
                <w:w w:val="100"/>
                <w:sz w:val="21"/>
              </w:rPr>
              <w:t>3</w:t>
            </w:r>
            <w:r>
              <w:rPr>
                <w:spacing w:val="-106"/>
                <w:w w:val="100"/>
                <w:sz w:val="21"/>
              </w:rPr>
              <w:t>）</w:t>
            </w:r>
            <w:r>
              <w:rPr>
                <w:spacing w:val="-2"/>
                <w:w w:val="100"/>
                <w:sz w:val="21"/>
              </w:rPr>
              <w:t>，本公司按</w:t>
            </w:r>
            <w:r>
              <w:rPr>
                <w:b/>
                <w:spacing w:val="-2"/>
                <w:sz w:val="21"/>
              </w:rPr>
              <w:t>累计已交保险费</w:t>
            </w:r>
            <w:r>
              <w:rPr>
                <w:spacing w:val="-3"/>
                <w:sz w:val="21"/>
              </w:rPr>
              <w:t>（</w:t>
            </w:r>
            <w:r>
              <w:rPr>
                <w:spacing w:val="-16"/>
                <w:sz w:val="21"/>
              </w:rPr>
              <w:t>见 </w:t>
            </w:r>
            <w:r>
              <w:rPr>
                <w:sz w:val="21"/>
              </w:rPr>
              <w:t>9.14）</w:t>
            </w:r>
            <w:r>
              <w:rPr>
                <w:spacing w:val="-3"/>
                <w:sz w:val="21"/>
              </w:rPr>
              <w:t>给付疾病终末期保险金，本合同终止。</w:t>
            </w:r>
          </w:p>
          <w:p>
            <w:pPr>
              <w:pStyle w:val="TableParagraph"/>
              <w:spacing w:before="15"/>
              <w:ind w:left="706"/>
              <w:rPr>
                <w:sz w:val="21"/>
              </w:rPr>
            </w:pPr>
            <w:r>
              <w:rPr>
                <w:sz w:val="21"/>
              </w:rPr>
              <w:t>若被保险人经医院专科医生确诊初次达到疾病终末期时未满 18 岁，且因意外</w:t>
            </w:r>
          </w:p>
          <w:p>
            <w:pPr>
              <w:pStyle w:val="TableParagraph"/>
              <w:spacing w:line="300" w:lineRule="auto" w:before="68"/>
              <w:ind w:left="286" w:right="217"/>
              <w:rPr>
                <w:sz w:val="21"/>
              </w:rPr>
            </w:pPr>
            <w:r>
              <w:rPr>
                <w:spacing w:val="-4"/>
                <w:sz w:val="21"/>
              </w:rPr>
              <w:t>伤害或于本合同生效或最后一次复效之日起 </w:t>
            </w:r>
            <w:r>
              <w:rPr>
                <w:sz w:val="21"/>
              </w:rPr>
              <w:t>90</w:t>
            </w:r>
            <w:r>
              <w:rPr>
                <w:spacing w:val="-3"/>
                <w:sz w:val="21"/>
              </w:rPr>
              <w:t> 日后因意外伤害以外的原因达到疾</w:t>
            </w:r>
            <w:r>
              <w:rPr>
                <w:spacing w:val="-4"/>
                <w:sz w:val="21"/>
              </w:rPr>
              <w:t>病终末期，本公司按累计已交保险费的 </w:t>
            </w:r>
            <w:r>
              <w:rPr>
                <w:sz w:val="21"/>
              </w:rPr>
              <w:t>200</w:t>
            </w:r>
            <w:r>
              <w:rPr>
                <w:spacing w:val="-3"/>
                <w:sz w:val="21"/>
              </w:rPr>
              <w:t>%给付疾病终末期保险金，本合同终止。</w:t>
            </w:r>
          </w:p>
          <w:p>
            <w:pPr>
              <w:pStyle w:val="TableParagraph"/>
              <w:spacing w:before="16"/>
              <w:ind w:left="706"/>
              <w:rPr>
                <w:sz w:val="21"/>
              </w:rPr>
            </w:pPr>
            <w:r>
              <w:rPr>
                <w:sz w:val="21"/>
              </w:rPr>
              <w:t>若被保险人经医院专科医生确诊初次达到疾病终末期时已满 18 岁，且因意外</w:t>
            </w:r>
          </w:p>
          <w:p>
            <w:pPr>
              <w:pStyle w:val="TableParagraph"/>
              <w:spacing w:line="300" w:lineRule="auto" w:before="68"/>
              <w:ind w:left="286" w:right="200"/>
              <w:rPr>
                <w:sz w:val="21"/>
              </w:rPr>
            </w:pPr>
            <w:r>
              <w:rPr>
                <w:spacing w:val="-4"/>
                <w:sz w:val="21"/>
              </w:rPr>
              <w:t>伤害或于本合同生效或最后一次复效之日起 </w:t>
            </w:r>
            <w:r>
              <w:rPr>
                <w:sz w:val="21"/>
              </w:rPr>
              <w:t>90</w:t>
            </w:r>
            <w:r>
              <w:rPr>
                <w:spacing w:val="-3"/>
                <w:sz w:val="21"/>
              </w:rPr>
              <w:t> 日后因意外伤害以外的原因达到疾</w:t>
            </w:r>
            <w:r>
              <w:rPr>
                <w:spacing w:val="-13"/>
                <w:sz w:val="21"/>
              </w:rPr>
              <w:t>病终末期，本公司按照本合同的基本保险金额给付疾病终末期保险金，本合同终止。</w:t>
            </w:r>
          </w:p>
          <w:p>
            <w:pPr>
              <w:pStyle w:val="TableParagraph"/>
              <w:spacing w:before="5"/>
              <w:ind w:left="0"/>
              <w:rPr>
                <w:sz w:val="27"/>
              </w:rPr>
            </w:pPr>
          </w:p>
          <w:p>
            <w:pPr>
              <w:pStyle w:val="TableParagraph"/>
              <w:spacing w:line="300" w:lineRule="auto" w:before="0"/>
              <w:ind w:left="286" w:right="303"/>
              <w:rPr>
                <w:rFonts w:ascii="黑体" w:eastAsia="黑体" w:hint="eastAsia"/>
                <w:sz w:val="21"/>
              </w:rPr>
            </w:pPr>
            <w:r>
              <w:rPr>
                <w:rFonts w:ascii="黑体" w:eastAsia="黑体" w:hint="eastAsia"/>
                <w:spacing w:val="-6"/>
                <w:sz w:val="21"/>
              </w:rPr>
              <w:t>关于上述的重大疾病保险金、身故保险金、全残保险金和疾病终末期保险金四项保</w:t>
            </w:r>
            <w:r>
              <w:rPr>
                <w:rFonts w:ascii="黑体" w:eastAsia="黑体" w:hint="eastAsia"/>
                <w:spacing w:val="-4"/>
                <w:sz w:val="21"/>
              </w:rPr>
              <w:t>险金，本公司仅给付其中一项。</w:t>
            </w:r>
          </w:p>
          <w:p>
            <w:pPr>
              <w:pStyle w:val="TableParagraph"/>
              <w:spacing w:before="4"/>
              <w:ind w:left="0"/>
              <w:rPr>
                <w:sz w:val="27"/>
              </w:rPr>
            </w:pPr>
          </w:p>
          <w:p>
            <w:pPr>
              <w:pStyle w:val="TableParagraph"/>
              <w:spacing w:before="1"/>
              <w:ind w:left="286"/>
              <w:rPr>
                <w:sz w:val="21"/>
              </w:rPr>
            </w:pPr>
            <w:r>
              <w:rPr>
                <w:sz w:val="21"/>
              </w:rPr>
              <w:t>六、被保险人轻症疾病豁免保险费</w:t>
            </w:r>
          </w:p>
          <w:p>
            <w:pPr>
              <w:pStyle w:val="TableParagraph"/>
              <w:spacing w:line="300" w:lineRule="auto" w:before="68"/>
              <w:ind w:left="286" w:right="304" w:firstLine="420"/>
              <w:jc w:val="both"/>
              <w:rPr>
                <w:sz w:val="21"/>
              </w:rPr>
            </w:pPr>
            <w:r>
              <w:rPr>
                <w:spacing w:val="-3"/>
                <w:sz w:val="21"/>
              </w:rPr>
              <w:t>若被保险人因意外伤害，或于本合同生效或最后一次复效之日起 </w:t>
            </w:r>
            <w:r>
              <w:rPr>
                <w:sz w:val="21"/>
              </w:rPr>
              <w:t>90</w:t>
            </w:r>
            <w:r>
              <w:rPr>
                <w:spacing w:val="-3"/>
                <w:sz w:val="21"/>
              </w:rPr>
              <w:t> 日后因意</w:t>
            </w:r>
            <w:r>
              <w:rPr>
                <w:spacing w:val="-6"/>
                <w:sz w:val="21"/>
              </w:rPr>
              <w:t>外伤害以外的原因，经医院专科医生确诊初次罹患本合同约定的轻症疾病，本公司</w:t>
            </w:r>
            <w:r>
              <w:rPr>
                <w:sz w:val="21"/>
              </w:rPr>
              <w:t>将豁免本合同自轻症疾病确诊之日以后的各期保险费，被豁免的保险费视为已交</w:t>
            </w:r>
            <w:r>
              <w:rPr>
                <w:spacing w:val="-3"/>
                <w:sz w:val="21"/>
              </w:rPr>
              <w:t>纳，同时本合同继续有效。</w:t>
            </w:r>
          </w:p>
          <w:p>
            <w:pPr>
              <w:pStyle w:val="TableParagraph"/>
              <w:spacing w:before="5"/>
              <w:ind w:left="0"/>
              <w:rPr>
                <w:sz w:val="27"/>
              </w:rPr>
            </w:pPr>
          </w:p>
          <w:p>
            <w:pPr>
              <w:pStyle w:val="TableParagraph"/>
              <w:spacing w:before="0"/>
              <w:ind w:left="286"/>
              <w:rPr>
                <w:rFonts w:ascii="黑体" w:eastAsia="黑体" w:hint="eastAsia"/>
                <w:sz w:val="21"/>
              </w:rPr>
            </w:pPr>
            <w:r>
              <w:rPr>
                <w:rFonts w:ascii="黑体" w:eastAsia="黑体" w:hint="eastAsia"/>
                <w:sz w:val="21"/>
              </w:rPr>
              <w:t>上述豁免的保险费不包括以下款项：</w:t>
            </w:r>
          </w:p>
          <w:p>
            <w:pPr>
              <w:pStyle w:val="TableParagraph"/>
              <w:spacing w:before="67"/>
              <w:ind w:left="286"/>
              <w:rPr>
                <w:rFonts w:ascii="黑体" w:eastAsia="黑体" w:hint="eastAsia"/>
                <w:sz w:val="21"/>
              </w:rPr>
            </w:pPr>
            <w:r>
              <w:rPr>
                <w:rFonts w:ascii="黑体" w:eastAsia="黑体" w:hint="eastAsia"/>
                <w:sz w:val="21"/>
              </w:rPr>
              <w:t>（1）被保险人罹患轻症疾病之日之前所欠交的保险费和利息；</w:t>
            </w:r>
          </w:p>
          <w:p>
            <w:pPr>
              <w:pStyle w:val="TableParagraph"/>
              <w:spacing w:before="67"/>
              <w:ind w:left="286"/>
              <w:rPr>
                <w:rFonts w:ascii="黑体" w:eastAsia="黑体" w:hint="eastAsia"/>
                <w:sz w:val="21"/>
              </w:rPr>
            </w:pPr>
            <w:r>
              <w:rPr>
                <w:rFonts w:ascii="黑体" w:eastAsia="黑体" w:hint="eastAsia"/>
                <w:sz w:val="21"/>
              </w:rPr>
              <w:t>（2）续期保险费交费宽限期内应交未交的保险费；</w:t>
            </w:r>
          </w:p>
          <w:p>
            <w:pPr>
              <w:pStyle w:val="TableParagraph"/>
              <w:spacing w:before="67"/>
              <w:ind w:left="286"/>
              <w:rPr>
                <w:rFonts w:ascii="黑体" w:eastAsia="黑体" w:hint="eastAsia"/>
                <w:sz w:val="21"/>
              </w:rPr>
            </w:pPr>
            <w:r>
              <w:rPr>
                <w:rFonts w:ascii="黑体" w:eastAsia="黑体" w:hint="eastAsia"/>
                <w:sz w:val="21"/>
              </w:rPr>
              <w:t>（3）保险单上载明的其他保险合同的保险费。</w:t>
            </w:r>
          </w:p>
        </w:tc>
      </w:tr>
      <w:tr>
        <w:trPr>
          <w:trHeight w:val="5966" w:hRule="atLeast"/>
        </w:trPr>
        <w:tc>
          <w:tcPr>
            <w:tcW w:w="715" w:type="dxa"/>
          </w:tcPr>
          <w:p>
            <w:pPr>
              <w:pStyle w:val="TableParagraph"/>
              <w:spacing w:before="99"/>
              <w:rPr>
                <w:b/>
                <w:sz w:val="21"/>
              </w:rPr>
            </w:pPr>
            <w:r>
              <w:rPr>
                <w:b/>
                <w:sz w:val="21"/>
              </w:rPr>
              <w:t>2.2</w:t>
            </w:r>
          </w:p>
        </w:tc>
        <w:tc>
          <w:tcPr>
            <w:tcW w:w="1330" w:type="dxa"/>
          </w:tcPr>
          <w:p>
            <w:pPr>
              <w:pStyle w:val="TableParagraph"/>
              <w:spacing w:before="99"/>
              <w:ind w:left="198"/>
              <w:rPr>
                <w:rFonts w:ascii="黑体" w:eastAsia="黑体" w:hint="eastAsia"/>
                <w:b/>
                <w:sz w:val="21"/>
              </w:rPr>
            </w:pPr>
            <w:r>
              <w:rPr>
                <w:rFonts w:ascii="黑体" w:eastAsia="黑体" w:hint="eastAsia"/>
                <w:b/>
                <w:sz w:val="21"/>
              </w:rPr>
              <w:t>责任免除</w:t>
            </w:r>
          </w:p>
        </w:tc>
        <w:tc>
          <w:tcPr>
            <w:tcW w:w="8123" w:type="dxa"/>
          </w:tcPr>
          <w:p>
            <w:pPr>
              <w:pStyle w:val="TableParagraph"/>
              <w:spacing w:line="273" w:lineRule="auto" w:before="68"/>
              <w:ind w:left="286" w:right="306"/>
              <w:rPr>
                <w:rFonts w:ascii="黑体" w:eastAsia="黑体" w:hint="eastAsia"/>
                <w:sz w:val="21"/>
              </w:rPr>
            </w:pPr>
            <w:r>
              <w:rPr>
                <w:rFonts w:ascii="黑体" w:eastAsia="黑体" w:hint="eastAsia"/>
                <w:spacing w:val="-6"/>
                <w:sz w:val="21"/>
              </w:rPr>
              <w:t>因下列情形之一，造成被保险人发</w:t>
            </w:r>
            <w:r>
              <w:rPr>
                <w:rFonts w:ascii="黑体" w:eastAsia="黑体" w:hint="eastAsia"/>
                <w:sz w:val="21"/>
              </w:rPr>
              <w:t>Th</w:t>
            </w:r>
            <w:r>
              <w:rPr>
                <w:rFonts w:ascii="黑体" w:eastAsia="黑体" w:hint="eastAsia"/>
                <w:b/>
                <w:spacing w:val="-6"/>
                <w:sz w:val="21"/>
              </w:rPr>
              <w:t>保险事故</w:t>
            </w:r>
            <w:r>
              <w:rPr>
                <w:rFonts w:ascii="黑体" w:eastAsia="黑体" w:hint="eastAsia"/>
                <w:spacing w:val="-3"/>
                <w:sz w:val="21"/>
              </w:rPr>
              <w:t>（</w:t>
            </w:r>
            <w:r>
              <w:rPr>
                <w:rFonts w:ascii="黑体" w:eastAsia="黑体" w:hint="eastAsia"/>
                <w:spacing w:val="-11"/>
                <w:sz w:val="21"/>
              </w:rPr>
              <w:t>见 </w:t>
            </w:r>
            <w:r>
              <w:rPr>
                <w:rFonts w:ascii="黑体" w:eastAsia="黑体" w:hint="eastAsia"/>
                <w:spacing w:val="-6"/>
                <w:sz w:val="21"/>
              </w:rPr>
              <w:t>9.15）的，本公司不承担给付保</w:t>
            </w:r>
            <w:r>
              <w:rPr>
                <w:rFonts w:ascii="黑体" w:eastAsia="黑体" w:hint="eastAsia"/>
                <w:spacing w:val="-4"/>
                <w:sz w:val="21"/>
              </w:rPr>
              <w:t>险金的责任：</w:t>
            </w:r>
          </w:p>
          <w:p>
            <w:pPr>
              <w:pStyle w:val="TableParagraph"/>
              <w:spacing w:before="7"/>
              <w:ind w:left="286"/>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28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28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ind w:left="793" w:right="308" w:hanging="503"/>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0"/>
                <w:w w:val="100"/>
                <w:sz w:val="21"/>
              </w:rPr>
              <w:t>）</w:t>
            </w:r>
            <w:r>
              <w:rPr>
                <w:rFonts w:ascii="黑体" w:eastAsia="黑体" w:hint="eastAsia"/>
                <w:spacing w:val="-3"/>
                <w:w w:val="100"/>
                <w:sz w:val="21"/>
              </w:rPr>
              <w:t>被保险人</w:t>
            </w:r>
            <w:r>
              <w:rPr>
                <w:rFonts w:ascii="黑体" w:eastAsia="黑体" w:hint="eastAsia"/>
                <w:b/>
                <w:spacing w:val="-3"/>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12"/>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8</w:t>
            </w:r>
            <w:r>
              <w:rPr>
                <w:rFonts w:ascii="黑体" w:eastAsia="黑体" w:hint="eastAsia"/>
                <w:spacing w:val="-108"/>
                <w:w w:val="100"/>
                <w:sz w:val="21"/>
              </w:rPr>
              <w:t>）</w:t>
            </w:r>
            <w:r>
              <w:rPr>
                <w:rFonts w:ascii="黑体" w:eastAsia="黑体" w:hint="eastAsia"/>
                <w:spacing w:val="-6"/>
                <w:w w:val="100"/>
                <w:sz w:val="21"/>
              </w:rPr>
              <w:t>，或驾驶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9</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2</w:t>
            </w:r>
            <w:r>
              <w:rPr>
                <w:rFonts w:ascii="黑体" w:eastAsia="黑体" w:hint="eastAsia"/>
                <w:spacing w:val="-1"/>
                <w:w w:val="100"/>
                <w:sz w:val="21"/>
              </w:rPr>
              <w:t>0</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7"/>
              <w:ind w:left="745" w:right="311" w:hanging="459"/>
              <w:rPr>
                <w:rFonts w:ascii="黑体" w:eastAsia="黑体" w:hint="eastAsia"/>
                <w:sz w:val="21"/>
              </w:rPr>
            </w:pPr>
            <w:r>
              <w:rPr>
                <w:rFonts w:ascii="黑体" w:eastAsia="黑体" w:hint="eastAsia"/>
                <w:w w:val="100"/>
                <w:sz w:val="21"/>
              </w:rPr>
              <w:t>（5</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1"/>
                <w:w w:val="100"/>
                <w:sz w:val="21"/>
              </w:rPr>
              <w:t>2</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本合同所列第</w:t>
            </w:r>
            <w:r>
              <w:rPr>
                <w:rFonts w:ascii="黑体" w:eastAsia="黑体" w:hint="eastAsia"/>
                <w:spacing w:val="-52"/>
                <w:sz w:val="21"/>
              </w:rPr>
              <w:t> </w:t>
            </w:r>
            <w:r>
              <w:rPr>
                <w:rFonts w:ascii="黑体" w:eastAsia="黑体" w:hint="eastAsia"/>
                <w:w w:val="100"/>
                <w:sz w:val="21"/>
              </w:rPr>
              <w:t>3</w:t>
            </w:r>
            <w:r>
              <w:rPr>
                <w:rFonts w:ascii="黑体" w:eastAsia="黑体" w:hint="eastAsia"/>
                <w:spacing w:val="-3"/>
                <w:w w:val="100"/>
                <w:sz w:val="21"/>
              </w:rPr>
              <w:t>3</w:t>
            </w:r>
            <w:r>
              <w:rPr>
                <w:rFonts w:ascii="黑体" w:eastAsia="黑体" w:hint="eastAsia"/>
                <w:w w:val="100"/>
                <w:sz w:val="21"/>
              </w:rPr>
              <w:t>、47</w:t>
            </w:r>
            <w:r>
              <w:rPr>
                <w:rFonts w:ascii="黑体" w:eastAsia="黑体" w:hint="eastAsia"/>
                <w:spacing w:val="-55"/>
                <w:sz w:val="21"/>
              </w:rPr>
              <w:t> </w:t>
            </w:r>
            <w:r>
              <w:rPr>
                <w:rFonts w:ascii="黑体" w:eastAsia="黑体" w:hint="eastAsia"/>
                <w:w w:val="100"/>
                <w:sz w:val="21"/>
              </w:rPr>
              <w:t>种重</w:t>
            </w:r>
            <w:r>
              <w:rPr>
                <w:rFonts w:ascii="黑体" w:eastAsia="黑体" w:hint="eastAsia"/>
                <w:spacing w:val="-2"/>
                <w:w w:val="100"/>
                <w:sz w:val="21"/>
              </w:rPr>
              <w:t>大疾病除外</w:t>
            </w:r>
            <w:r>
              <w:rPr>
                <w:rFonts w:ascii="黑体" w:eastAsia="黑体" w:hint="eastAsia"/>
                <w:spacing w:val="-106"/>
                <w:w w:val="100"/>
                <w:sz w:val="21"/>
              </w:rPr>
              <w:t>）</w:t>
            </w:r>
            <w:r>
              <w:rPr>
                <w:rFonts w:ascii="黑体" w:eastAsia="黑体" w:hint="eastAsia"/>
                <w:w w:val="100"/>
                <w:sz w:val="21"/>
              </w:rPr>
              <w:t>；</w:t>
            </w:r>
          </w:p>
          <w:p>
            <w:pPr>
              <w:pStyle w:val="TableParagraph"/>
              <w:spacing w:before="7"/>
              <w:ind w:left="286"/>
              <w:rPr>
                <w:rFonts w:ascii="黑体" w:eastAsia="黑体" w:hint="eastAsia"/>
                <w:sz w:val="21"/>
              </w:rPr>
            </w:pPr>
            <w:r>
              <w:rPr>
                <w:rFonts w:ascii="黑体" w:eastAsia="黑体" w:hint="eastAsia"/>
                <w:w w:val="100"/>
                <w:sz w:val="21"/>
              </w:rPr>
              <w:t>（6</w:t>
            </w:r>
            <w:r>
              <w:rPr>
                <w:rFonts w:ascii="黑体" w:eastAsia="黑体" w:hint="eastAsia"/>
                <w:spacing w:val="-3"/>
                <w:w w:val="100"/>
                <w:sz w:val="21"/>
              </w:rPr>
              <w:t>）战争、军事冲突、暴乱或武装叛乱（以上行为以政府宣告或认定为准</w:t>
            </w:r>
            <w:r>
              <w:rPr>
                <w:rFonts w:ascii="黑体" w:eastAsia="黑体" w:hint="eastAsia"/>
                <w:spacing w:val="-108"/>
                <w:w w:val="100"/>
                <w:sz w:val="21"/>
              </w:rPr>
              <w:t>）</w:t>
            </w:r>
            <w:r>
              <w:rPr>
                <w:rFonts w:ascii="黑体" w:eastAsia="黑体" w:hint="eastAsia"/>
                <w:w w:val="100"/>
                <w:sz w:val="21"/>
              </w:rPr>
              <w:t>；</w:t>
            </w:r>
          </w:p>
          <w:p>
            <w:pPr>
              <w:pStyle w:val="TableParagraph"/>
              <w:ind w:left="286"/>
              <w:rPr>
                <w:rFonts w:ascii="黑体" w:eastAsia="黑体" w:hint="eastAsia"/>
                <w:sz w:val="21"/>
              </w:rPr>
            </w:pPr>
            <w:r>
              <w:rPr>
                <w:rFonts w:ascii="黑体" w:eastAsia="黑体" w:hint="eastAsia"/>
                <w:sz w:val="21"/>
              </w:rPr>
              <w:t>（7）核爆炸、核辐射或核污染；</w:t>
            </w:r>
          </w:p>
          <w:p>
            <w:pPr>
              <w:pStyle w:val="TableParagraph"/>
              <w:ind w:left="286"/>
              <w:rPr>
                <w:rFonts w:ascii="黑体" w:eastAsia="黑体" w:hint="eastAsia"/>
                <w:sz w:val="21"/>
              </w:rPr>
            </w:pPr>
            <w:r>
              <w:rPr>
                <w:rFonts w:ascii="黑体" w:eastAsia="黑体" w:hint="eastAsia"/>
                <w:w w:val="100"/>
                <w:sz w:val="21"/>
              </w:rPr>
              <w:t>（8</w:t>
            </w:r>
            <w:r>
              <w:rPr>
                <w:rFonts w:ascii="黑体" w:eastAsia="黑体" w:hint="eastAsia"/>
                <w:spacing w:val="-2"/>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2</w:t>
            </w:r>
            <w:r>
              <w:rPr>
                <w:rFonts w:ascii="黑体" w:eastAsia="黑体" w:hint="eastAsia"/>
                <w:w w:val="100"/>
                <w:sz w:val="21"/>
              </w:rPr>
              <w:t>2</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2</w:t>
            </w:r>
            <w:r>
              <w:rPr>
                <w:rFonts w:ascii="黑体" w:eastAsia="黑体" w:hint="eastAsia"/>
                <w:w w:val="100"/>
                <w:sz w:val="21"/>
              </w:rPr>
              <w:t>3</w:t>
            </w:r>
            <w:r>
              <w:rPr>
                <w:rFonts w:ascii="黑体" w:eastAsia="黑体" w:hint="eastAsia"/>
                <w:spacing w:val="-108"/>
                <w:w w:val="100"/>
                <w:sz w:val="21"/>
              </w:rPr>
              <w:t>）</w:t>
            </w:r>
            <w:r>
              <w:rPr>
                <w:rFonts w:ascii="黑体" w:eastAsia="黑体" w:hint="eastAsia"/>
                <w:w w:val="100"/>
                <w:sz w:val="21"/>
              </w:rPr>
              <w:t>。</w:t>
            </w:r>
          </w:p>
          <w:p>
            <w:pPr>
              <w:pStyle w:val="TableParagraph"/>
              <w:spacing w:before="9"/>
              <w:ind w:left="0"/>
              <w:rPr>
                <w:sz w:val="14"/>
              </w:rPr>
            </w:pPr>
          </w:p>
          <w:p>
            <w:pPr>
              <w:pStyle w:val="TableParagraph"/>
              <w:spacing w:line="273" w:lineRule="auto" w:before="0"/>
              <w:ind w:left="286" w:right="198"/>
              <w:rPr>
                <w:rFonts w:ascii="黑体" w:eastAsia="黑体" w:hint="eastAsia"/>
                <w:sz w:val="21"/>
              </w:rPr>
            </w:pPr>
            <w:r>
              <w:rPr>
                <w:rFonts w:ascii="黑体" w:eastAsia="黑体" w:hint="eastAsia"/>
                <w:sz w:val="21"/>
              </w:rPr>
              <w:t>发Th上述第（1）项情形导致被保险人发Th保险事故的，本合同效力即行终止，如</w:t>
            </w:r>
            <w:r>
              <w:rPr>
                <w:rFonts w:ascii="黑体" w:eastAsia="黑体" w:hint="eastAsia"/>
                <w:spacing w:val="-9"/>
                <w:sz w:val="21"/>
              </w:rPr>
              <w:t>果投保人选择的是趸交的交费方式，本公司向除投保人以外的</w:t>
            </w:r>
            <w:r>
              <w:rPr>
                <w:rFonts w:ascii="黑体" w:eastAsia="黑体" w:hint="eastAsia"/>
                <w:b/>
                <w:spacing w:val="-20"/>
                <w:sz w:val="21"/>
              </w:rPr>
              <w:t>其他权利人</w:t>
            </w:r>
            <w:r>
              <w:rPr>
                <w:rFonts w:ascii="黑体" w:eastAsia="黑体" w:hint="eastAsia"/>
                <w:spacing w:val="-3"/>
                <w:sz w:val="21"/>
              </w:rPr>
              <w:t>（</w:t>
            </w:r>
            <w:r>
              <w:rPr>
                <w:rFonts w:ascii="黑体" w:eastAsia="黑体" w:hint="eastAsia"/>
                <w:spacing w:val="-14"/>
                <w:sz w:val="21"/>
              </w:rPr>
              <w:t>见 </w:t>
            </w:r>
            <w:r>
              <w:rPr>
                <w:rFonts w:ascii="黑体" w:eastAsia="黑体" w:hint="eastAsia"/>
                <w:sz w:val="21"/>
              </w:rPr>
              <w:t>9.24） </w:t>
            </w:r>
            <w:r>
              <w:rPr>
                <w:rFonts w:ascii="黑体" w:eastAsia="黑体" w:hint="eastAsia"/>
                <w:spacing w:val="-6"/>
                <w:sz w:val="21"/>
              </w:rPr>
              <w:t>退还本合同的现金价值。如果投保人选择的是期交的交费方式，且投保人已交足两</w:t>
            </w:r>
            <w:r>
              <w:rPr>
                <w:rFonts w:ascii="黑体" w:eastAsia="黑体" w:hint="eastAsia"/>
                <w:spacing w:val="-3"/>
                <w:sz w:val="21"/>
              </w:rPr>
              <w:t>年以上保险费的，本公司向除投保人以外的其他权利人退还本合同的现金价值。</w:t>
            </w:r>
          </w:p>
          <w:p>
            <w:pPr>
              <w:pStyle w:val="TableParagraph"/>
              <w:spacing w:line="310" w:lineRule="atLeast" w:before="128"/>
              <w:ind w:left="286" w:right="262"/>
              <w:rPr>
                <w:rFonts w:ascii="黑体" w:eastAsia="黑体" w:hint="eastAsia"/>
                <w:sz w:val="21"/>
              </w:rPr>
            </w:pPr>
            <w:r>
              <w:rPr>
                <w:rFonts w:ascii="黑体" w:eastAsia="黑体" w:hint="eastAsia"/>
                <w:sz w:val="21"/>
              </w:rPr>
              <w:t>发Th上述其他情形导致被保险人发Th保险事故的，本合同效力即行终止，本公司向投保人退还本合同的现金价值。</w:t>
            </w:r>
          </w:p>
        </w:tc>
      </w:tr>
    </w:tbl>
    <w:p>
      <w:pPr>
        <w:spacing w:after="0" w:line="310" w:lineRule="atLeast"/>
        <w:rPr>
          <w:rFonts w:ascii="黑体" w:eastAsia="黑体" w:hint="eastAsia"/>
          <w:sz w:val="21"/>
        </w:rPr>
        <w:sectPr>
          <w:pgSz w:w="11910" w:h="16840"/>
          <w:pgMar w:header="0" w:footer="377" w:top="1340" w:bottom="560" w:left="82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5"/>
        <w:gridCol w:w="7814"/>
      </w:tblGrid>
      <w:tr>
        <w:trPr>
          <w:trHeight w:val="1000" w:hRule="atLeast"/>
        </w:trPr>
        <w:tc>
          <w:tcPr>
            <w:tcW w:w="625" w:type="dxa"/>
          </w:tcPr>
          <w:p>
            <w:pPr>
              <w:pStyle w:val="TableParagraph"/>
              <w:spacing w:line="205" w:lineRule="exact" w:before="0"/>
              <w:ind w:left="110"/>
              <w:rPr>
                <w:b/>
                <w:sz w:val="21"/>
              </w:rPr>
            </w:pPr>
            <w:r>
              <w:rPr>
                <w:b/>
                <w:sz w:val="21"/>
              </w:rPr>
              <w:t>2.3</w:t>
            </w:r>
          </w:p>
        </w:tc>
        <w:tc>
          <w:tcPr>
            <w:tcW w:w="1435" w:type="dxa"/>
          </w:tcPr>
          <w:p>
            <w:pPr>
              <w:pStyle w:val="TableParagraph"/>
              <w:spacing w:line="205" w:lineRule="exact" w:before="0"/>
              <w:ind w:left="198"/>
              <w:rPr>
                <w:b/>
                <w:sz w:val="21"/>
              </w:rPr>
            </w:pPr>
            <w:r>
              <w:rPr>
                <w:b/>
                <w:sz w:val="21"/>
              </w:rPr>
              <w:t>基本保险金</w:t>
            </w:r>
          </w:p>
          <w:p>
            <w:pPr>
              <w:pStyle w:val="TableParagraph"/>
              <w:ind w:left="198"/>
              <w:rPr>
                <w:b/>
                <w:sz w:val="21"/>
              </w:rPr>
            </w:pPr>
            <w:r>
              <w:rPr>
                <w:b/>
                <w:w w:val="100"/>
                <w:sz w:val="21"/>
              </w:rPr>
              <w:t>额</w:t>
            </w:r>
          </w:p>
        </w:tc>
        <w:tc>
          <w:tcPr>
            <w:tcW w:w="7814" w:type="dxa"/>
          </w:tcPr>
          <w:p>
            <w:pPr>
              <w:pStyle w:val="TableParagraph"/>
              <w:spacing w:line="205" w:lineRule="exact" w:before="0"/>
              <w:ind w:left="182"/>
              <w:rPr>
                <w:sz w:val="21"/>
              </w:rPr>
            </w:pPr>
            <w:r>
              <w:rPr>
                <w:sz w:val="21"/>
              </w:rPr>
              <w:t>指投保人与本公司约定的用以计算保险金数额的基数。本合同的基本保险金额由投</w:t>
            </w:r>
          </w:p>
          <w:p>
            <w:pPr>
              <w:pStyle w:val="TableParagraph"/>
              <w:spacing w:line="273" w:lineRule="auto"/>
              <w:ind w:left="182" w:right="99"/>
              <w:rPr>
                <w:sz w:val="21"/>
              </w:rPr>
            </w:pPr>
            <w:r>
              <w:rPr>
                <w:spacing w:val="-6"/>
                <w:sz w:val="21"/>
              </w:rPr>
              <w:t>保人在投保时与本公司约定，并在保险单上载明。若该金额发生变更，则以变更后</w:t>
            </w:r>
            <w:r>
              <w:rPr>
                <w:spacing w:val="-4"/>
                <w:sz w:val="21"/>
              </w:rPr>
              <w:t>的金额为准。</w:t>
            </w:r>
          </w:p>
        </w:tc>
      </w:tr>
      <w:tr>
        <w:trPr>
          <w:trHeight w:val="1127" w:hRule="atLeast"/>
        </w:trPr>
        <w:tc>
          <w:tcPr>
            <w:tcW w:w="625" w:type="dxa"/>
          </w:tcPr>
          <w:p>
            <w:pPr>
              <w:pStyle w:val="TableParagraph"/>
              <w:spacing w:before="96"/>
              <w:ind w:left="110"/>
              <w:rPr>
                <w:b/>
                <w:sz w:val="21"/>
              </w:rPr>
            </w:pPr>
            <w:r>
              <w:rPr>
                <w:b/>
                <w:sz w:val="21"/>
              </w:rPr>
              <w:t>2.4</w:t>
            </w:r>
          </w:p>
        </w:tc>
        <w:tc>
          <w:tcPr>
            <w:tcW w:w="1435" w:type="dxa"/>
          </w:tcPr>
          <w:p>
            <w:pPr>
              <w:pStyle w:val="TableParagraph"/>
              <w:spacing w:line="271" w:lineRule="auto" w:before="96"/>
              <w:ind w:left="198" w:right="178"/>
              <w:jc w:val="both"/>
              <w:rPr>
                <w:b/>
                <w:sz w:val="21"/>
              </w:rPr>
            </w:pPr>
            <w:r>
              <w:rPr>
                <w:b/>
                <w:sz w:val="21"/>
              </w:rPr>
              <w:t>未成年人身故利益给付限制</w:t>
            </w:r>
          </w:p>
        </w:tc>
        <w:tc>
          <w:tcPr>
            <w:tcW w:w="7814" w:type="dxa"/>
          </w:tcPr>
          <w:p>
            <w:pPr>
              <w:pStyle w:val="TableParagraph"/>
              <w:spacing w:line="271" w:lineRule="auto" w:before="96"/>
              <w:ind w:left="182" w:right="99"/>
              <w:rPr>
                <w:sz w:val="21"/>
              </w:rPr>
            </w:pPr>
            <w:r>
              <w:rPr>
                <w:spacing w:val="-7"/>
                <w:sz w:val="21"/>
              </w:rPr>
              <w:t>若被保险人为未成年人，因被保险人身故给付的保险金总和不得超过国务院保险监</w:t>
            </w:r>
            <w:r>
              <w:rPr>
                <w:spacing w:val="-5"/>
                <w:sz w:val="21"/>
              </w:rPr>
              <w:t>督管理机构规定的限额，身故给付的保险金额总和约定也不得超过前述限额。</w:t>
            </w:r>
          </w:p>
        </w:tc>
      </w:tr>
      <w:tr>
        <w:trPr>
          <w:trHeight w:val="559" w:hRule="atLeast"/>
        </w:trPr>
        <w:tc>
          <w:tcPr>
            <w:tcW w:w="625" w:type="dxa"/>
          </w:tcPr>
          <w:p>
            <w:pPr>
              <w:pStyle w:val="TableParagraph"/>
              <w:spacing w:before="60"/>
              <w:ind w:left="110"/>
              <w:rPr>
                <w:b/>
                <w:sz w:val="21"/>
              </w:rPr>
            </w:pPr>
            <w:r>
              <w:rPr>
                <w:b/>
                <w:sz w:val="21"/>
              </w:rPr>
              <w:t>2.5</w:t>
            </w:r>
          </w:p>
        </w:tc>
        <w:tc>
          <w:tcPr>
            <w:tcW w:w="1435" w:type="dxa"/>
          </w:tcPr>
          <w:p>
            <w:pPr>
              <w:pStyle w:val="TableParagraph"/>
              <w:spacing w:before="60"/>
              <w:ind w:left="198"/>
              <w:rPr>
                <w:b/>
                <w:sz w:val="21"/>
              </w:rPr>
            </w:pPr>
            <w:r>
              <w:rPr>
                <w:b/>
                <w:sz w:val="21"/>
              </w:rPr>
              <w:t>保险期间</w:t>
            </w:r>
          </w:p>
        </w:tc>
        <w:tc>
          <w:tcPr>
            <w:tcW w:w="7814" w:type="dxa"/>
          </w:tcPr>
          <w:p>
            <w:pPr>
              <w:pStyle w:val="TableParagraph"/>
              <w:spacing w:before="60"/>
              <w:ind w:left="182"/>
              <w:rPr>
                <w:sz w:val="21"/>
              </w:rPr>
            </w:pPr>
            <w:r>
              <w:rPr>
                <w:sz w:val="21"/>
              </w:rPr>
              <w:t>本合同的保险期间为终身，并在保险单上载明。</w:t>
            </w:r>
          </w:p>
        </w:tc>
      </w:tr>
      <w:tr>
        <w:trPr>
          <w:trHeight w:val="692" w:hRule="atLeast"/>
        </w:trPr>
        <w:tc>
          <w:tcPr>
            <w:tcW w:w="625" w:type="dxa"/>
            <w:tcBorders>
              <w:bottom w:val="single" w:sz="4" w:space="0" w:color="000000"/>
            </w:tcBorders>
          </w:tcPr>
          <w:p>
            <w:pPr>
              <w:pStyle w:val="TableParagraph"/>
              <w:spacing w:before="113"/>
              <w:ind w:left="148"/>
              <w:rPr>
                <w:b/>
                <w:sz w:val="32"/>
              </w:rPr>
            </w:pPr>
            <w:r>
              <w:rPr>
                <w:b/>
                <w:w w:val="98"/>
                <w:sz w:val="32"/>
              </w:rPr>
              <w:t>3</w:t>
            </w:r>
          </w:p>
        </w:tc>
        <w:tc>
          <w:tcPr>
            <w:tcW w:w="9249" w:type="dxa"/>
            <w:gridSpan w:val="2"/>
            <w:tcBorders>
              <w:bottom w:val="single" w:sz="4" w:space="0" w:color="000000"/>
            </w:tcBorders>
          </w:tcPr>
          <w:p>
            <w:pPr>
              <w:pStyle w:val="TableParagraph"/>
              <w:spacing w:before="180"/>
              <w:ind w:left="198"/>
              <w:rPr>
                <w:b/>
                <w:sz w:val="24"/>
              </w:rPr>
            </w:pPr>
            <w:r>
              <w:rPr>
                <w:b/>
                <w:w w:val="95"/>
                <w:sz w:val="24"/>
              </w:rPr>
              <w:t>如何申请领取保险金</w:t>
            </w:r>
          </w:p>
        </w:tc>
      </w:tr>
      <w:tr>
        <w:trPr>
          <w:trHeight w:val="7563" w:hRule="atLeast"/>
        </w:trPr>
        <w:tc>
          <w:tcPr>
            <w:tcW w:w="625" w:type="dxa"/>
            <w:tcBorders>
              <w:top w:val="single" w:sz="4" w:space="0" w:color="000000"/>
            </w:tcBorders>
          </w:tcPr>
          <w:p>
            <w:pPr>
              <w:pStyle w:val="TableParagraph"/>
              <w:spacing w:before="133"/>
              <w:ind w:left="110"/>
              <w:rPr>
                <w:b/>
                <w:sz w:val="21"/>
              </w:rPr>
            </w:pPr>
            <w:r>
              <w:rPr>
                <w:b/>
                <w:sz w:val="21"/>
              </w:rPr>
              <w:t>3.1</w:t>
            </w:r>
          </w:p>
        </w:tc>
        <w:tc>
          <w:tcPr>
            <w:tcW w:w="1435" w:type="dxa"/>
            <w:tcBorders>
              <w:top w:val="single" w:sz="4" w:space="0" w:color="000000"/>
            </w:tcBorders>
          </w:tcPr>
          <w:p>
            <w:pPr>
              <w:pStyle w:val="TableParagraph"/>
              <w:spacing w:before="133"/>
              <w:ind w:left="198"/>
              <w:rPr>
                <w:b/>
                <w:sz w:val="21"/>
              </w:rPr>
            </w:pPr>
            <w:r>
              <w:rPr>
                <w:b/>
                <w:sz w:val="21"/>
              </w:rPr>
              <w:t>受益人</w:t>
            </w:r>
          </w:p>
        </w:tc>
        <w:tc>
          <w:tcPr>
            <w:tcW w:w="7814" w:type="dxa"/>
            <w:tcBorders>
              <w:top w:val="single" w:sz="4" w:space="0" w:color="000000"/>
            </w:tcBorders>
          </w:tcPr>
          <w:p>
            <w:pPr>
              <w:pStyle w:val="TableParagraph"/>
              <w:spacing w:line="273" w:lineRule="auto" w:before="133"/>
              <w:ind w:left="182" w:right="66"/>
              <w:jc w:val="both"/>
              <w:rPr>
                <w:sz w:val="21"/>
              </w:rPr>
            </w:pPr>
            <w:r>
              <w:rPr>
                <w:spacing w:val="-5"/>
                <w:sz w:val="21"/>
              </w:rPr>
              <w:t>投保人或者被保险人可以指定一人或多人为身故保险金受益人，身故保险金受益人</w:t>
            </w:r>
            <w:r>
              <w:rPr>
                <w:spacing w:val="-8"/>
                <w:sz w:val="21"/>
              </w:rPr>
              <w:t>为多人时，可以确定受益顺序和受益份额，如果没有确定受益顺序，各受益人按同</w:t>
            </w:r>
            <w:r>
              <w:rPr>
                <w:spacing w:val="-5"/>
                <w:sz w:val="21"/>
              </w:rPr>
              <w:t>一顺序享有受益权；如果没有确定受益份额，各受益人按照相等份额享有受益权。</w:t>
            </w:r>
          </w:p>
          <w:p>
            <w:pPr>
              <w:pStyle w:val="TableParagraph"/>
              <w:spacing w:line="273" w:lineRule="auto" w:before="163"/>
              <w:ind w:left="182" w:right="59"/>
              <w:rPr>
                <w:sz w:val="21"/>
              </w:rPr>
            </w:pPr>
            <w:r>
              <w:rPr>
                <w:sz w:val="21"/>
              </w:rPr>
              <w:t>被保险人为无民事行为能力人或限制民事行为能力人的，应当由其监护人指定受益人。</w:t>
            </w:r>
          </w:p>
          <w:p>
            <w:pPr>
              <w:pStyle w:val="TableParagraph"/>
              <w:spacing w:line="273" w:lineRule="auto" w:before="163"/>
              <w:ind w:left="182" w:right="99"/>
              <w:jc w:val="both"/>
              <w:rPr>
                <w:sz w:val="21"/>
              </w:rPr>
            </w:pPr>
            <w:r>
              <w:rPr>
                <w:spacing w:val="-5"/>
                <w:sz w:val="21"/>
              </w:rPr>
              <w:t>投保人或者被保险人可以变更身故保险金受益人并书面通知本公司。本公司收到变</w:t>
            </w:r>
            <w:r>
              <w:rPr>
                <w:sz w:val="21"/>
              </w:rPr>
              <w:t>更受益人的书面通知并审核通过后，在保险单或其他保险凭证上批注或者附贴批</w:t>
            </w:r>
            <w:r>
              <w:rPr>
                <w:spacing w:val="-3"/>
                <w:sz w:val="21"/>
              </w:rPr>
              <w:t>单；变更自本公司在保险单或其他保险凭证上批注或附贴批单之日起产生效力。</w:t>
            </w:r>
          </w:p>
          <w:p>
            <w:pPr>
              <w:pStyle w:val="TableParagraph"/>
              <w:spacing w:before="164"/>
              <w:ind w:left="182"/>
              <w:rPr>
                <w:sz w:val="21"/>
              </w:rPr>
            </w:pPr>
            <w:r>
              <w:rPr>
                <w:sz w:val="21"/>
              </w:rPr>
              <w:t>投保人在指定和变更身故保险金受益人时，必须经过被保险人书面同意。</w:t>
            </w:r>
          </w:p>
          <w:p>
            <w:pPr>
              <w:pStyle w:val="TableParagraph"/>
              <w:spacing w:before="10"/>
              <w:ind w:left="0"/>
              <w:rPr>
                <w:sz w:val="14"/>
              </w:rPr>
            </w:pPr>
          </w:p>
          <w:p>
            <w:pPr>
              <w:pStyle w:val="TableParagraph"/>
              <w:spacing w:line="273" w:lineRule="auto" w:before="0"/>
              <w:ind w:left="182" w:right="100"/>
              <w:rPr>
                <w:sz w:val="21"/>
              </w:rPr>
            </w:pPr>
            <w:r>
              <w:rPr>
                <w:spacing w:val="-7"/>
                <w:sz w:val="21"/>
              </w:rPr>
              <w:t>被保险人身故后，有下列情形之一的，身故保险金作为被保险人的遗产，由本公司</w:t>
            </w:r>
            <w:r>
              <w:rPr>
                <w:spacing w:val="-5"/>
                <w:sz w:val="21"/>
              </w:rPr>
              <w:t>依照《中华人民共和国继承法》的规定履行给付保险金的义务：</w:t>
            </w:r>
          </w:p>
          <w:p>
            <w:pPr>
              <w:pStyle w:val="TableParagraph"/>
              <w:numPr>
                <w:ilvl w:val="0"/>
                <w:numId w:val="11"/>
              </w:numPr>
              <w:tabs>
                <w:tab w:pos="814" w:val="left" w:leader="none"/>
              </w:tabs>
              <w:spacing w:line="240" w:lineRule="auto" w:before="7" w:after="0"/>
              <w:ind w:left="813" w:right="0" w:hanging="631"/>
              <w:jc w:val="left"/>
              <w:rPr>
                <w:sz w:val="21"/>
              </w:rPr>
            </w:pPr>
            <w:r>
              <w:rPr>
                <w:spacing w:val="-3"/>
                <w:sz w:val="21"/>
              </w:rPr>
              <w:t>没有指定受益人，或者受益人指定不明无法确定的；</w:t>
            </w:r>
          </w:p>
          <w:p>
            <w:pPr>
              <w:pStyle w:val="TableParagraph"/>
              <w:numPr>
                <w:ilvl w:val="0"/>
                <w:numId w:val="11"/>
              </w:numPr>
              <w:tabs>
                <w:tab w:pos="814" w:val="left" w:leader="none"/>
              </w:tabs>
              <w:spacing w:line="240" w:lineRule="auto" w:before="36" w:after="0"/>
              <w:ind w:left="813" w:right="0" w:hanging="631"/>
              <w:jc w:val="left"/>
              <w:rPr>
                <w:sz w:val="21"/>
              </w:rPr>
            </w:pPr>
            <w:r>
              <w:rPr>
                <w:spacing w:val="-3"/>
                <w:sz w:val="21"/>
              </w:rPr>
              <w:t>受益人先于被保险人身故，没有其他受益人的；</w:t>
            </w:r>
          </w:p>
          <w:p>
            <w:pPr>
              <w:pStyle w:val="TableParagraph"/>
              <w:numPr>
                <w:ilvl w:val="0"/>
                <w:numId w:val="11"/>
              </w:numPr>
              <w:tabs>
                <w:tab w:pos="814" w:val="left" w:leader="none"/>
              </w:tabs>
              <w:spacing w:line="240" w:lineRule="auto" w:before="36" w:after="0"/>
              <w:ind w:left="813" w:right="0" w:hanging="631"/>
              <w:jc w:val="left"/>
              <w:rPr>
                <w:sz w:val="21"/>
              </w:rPr>
            </w:pPr>
            <w:r>
              <w:rPr>
                <w:spacing w:val="-3"/>
                <w:sz w:val="21"/>
              </w:rPr>
              <w:t>受益人依法丧失受益权或者放弃受益权，没有其他受益人的。</w:t>
            </w:r>
          </w:p>
          <w:p>
            <w:pPr>
              <w:pStyle w:val="TableParagraph"/>
              <w:spacing w:before="9"/>
              <w:ind w:left="0"/>
              <w:rPr>
                <w:sz w:val="14"/>
              </w:rPr>
            </w:pPr>
          </w:p>
          <w:p>
            <w:pPr>
              <w:pStyle w:val="TableParagraph"/>
              <w:spacing w:line="273" w:lineRule="auto" w:before="0"/>
              <w:ind w:left="182" w:right="100"/>
              <w:rPr>
                <w:sz w:val="21"/>
              </w:rPr>
            </w:pPr>
            <w:r>
              <w:rPr>
                <w:spacing w:val="-6"/>
                <w:sz w:val="21"/>
              </w:rPr>
              <w:t>受益人与被保险人在同一事件中身故，且不能确定身故先后顺序的，推定受益人身</w:t>
            </w:r>
            <w:r>
              <w:rPr>
                <w:spacing w:val="-4"/>
                <w:sz w:val="21"/>
              </w:rPr>
              <w:t>故在先。</w:t>
            </w:r>
          </w:p>
          <w:p>
            <w:pPr>
              <w:pStyle w:val="TableParagraph"/>
              <w:spacing w:line="273" w:lineRule="auto" w:before="163"/>
              <w:ind w:left="182" w:right="100"/>
              <w:rPr>
                <w:rFonts w:ascii="黑体" w:eastAsia="黑体" w:hint="eastAsia"/>
                <w:sz w:val="21"/>
              </w:rPr>
            </w:pPr>
            <w:r>
              <w:rPr>
                <w:rFonts w:ascii="黑体" w:eastAsia="黑体" w:hint="eastAsia"/>
                <w:spacing w:val="-7"/>
                <w:sz w:val="21"/>
              </w:rPr>
              <w:t>受益人故意造成被保险人死亡、伤残、疾病的，或者故意杀害被保险人未遂的，该</w:t>
            </w:r>
            <w:r>
              <w:rPr>
                <w:rFonts w:ascii="黑体" w:eastAsia="黑体" w:hint="eastAsia"/>
                <w:spacing w:val="-5"/>
                <w:sz w:val="21"/>
              </w:rPr>
              <w:t>受益人丧失受益权。</w:t>
            </w:r>
          </w:p>
          <w:p>
            <w:pPr>
              <w:pStyle w:val="TableParagraph"/>
              <w:spacing w:line="273" w:lineRule="auto" w:before="163"/>
              <w:ind w:left="182" w:right="100"/>
              <w:rPr>
                <w:sz w:val="21"/>
              </w:rPr>
            </w:pPr>
            <w:r>
              <w:rPr>
                <w:spacing w:val="-6"/>
                <w:sz w:val="21"/>
              </w:rPr>
              <w:t>除另有约定外，轻症疾病保险金、重大疾病保险金、全残保险金和疾病终末期保险</w:t>
            </w:r>
            <w:r>
              <w:rPr>
                <w:spacing w:val="-3"/>
                <w:sz w:val="21"/>
              </w:rPr>
              <w:t>金的受益人均为被保险人本人。</w:t>
            </w:r>
          </w:p>
        </w:tc>
      </w:tr>
      <w:tr>
        <w:trPr>
          <w:trHeight w:val="2496" w:hRule="atLeast"/>
        </w:trPr>
        <w:tc>
          <w:tcPr>
            <w:tcW w:w="625" w:type="dxa"/>
          </w:tcPr>
          <w:p>
            <w:pPr>
              <w:pStyle w:val="TableParagraph"/>
              <w:spacing w:before="58"/>
              <w:ind w:left="110"/>
              <w:rPr>
                <w:b/>
                <w:sz w:val="21"/>
              </w:rPr>
            </w:pPr>
            <w:r>
              <w:rPr>
                <w:b/>
                <w:sz w:val="21"/>
              </w:rPr>
              <w:t>3.2</w:t>
            </w:r>
          </w:p>
        </w:tc>
        <w:tc>
          <w:tcPr>
            <w:tcW w:w="1435" w:type="dxa"/>
          </w:tcPr>
          <w:p>
            <w:pPr>
              <w:pStyle w:val="TableParagraph"/>
              <w:spacing w:line="273" w:lineRule="auto" w:before="58"/>
              <w:ind w:left="198" w:right="178"/>
              <w:rPr>
                <w:b/>
                <w:sz w:val="21"/>
              </w:rPr>
            </w:pPr>
            <w:r>
              <w:rPr>
                <w:b/>
                <w:sz w:val="21"/>
              </w:rPr>
              <w:t>保险事故通知</w:t>
            </w:r>
          </w:p>
        </w:tc>
        <w:tc>
          <w:tcPr>
            <w:tcW w:w="7814" w:type="dxa"/>
          </w:tcPr>
          <w:p>
            <w:pPr>
              <w:pStyle w:val="TableParagraph"/>
              <w:spacing w:line="273" w:lineRule="auto" w:before="58"/>
              <w:ind w:left="182" w:right="-15"/>
              <w:rPr>
                <w:sz w:val="21"/>
              </w:rPr>
            </w:pPr>
            <w:r>
              <w:rPr>
                <w:spacing w:val="-9"/>
                <w:sz w:val="21"/>
              </w:rPr>
              <w:t>投保人、被保险人或受益人应于自其知道或应当知道保险事故发生之日起 </w:t>
            </w:r>
            <w:r>
              <w:rPr>
                <w:sz w:val="21"/>
              </w:rPr>
              <w:t>7</w:t>
            </w:r>
            <w:r>
              <w:rPr>
                <w:spacing w:val="-13"/>
                <w:sz w:val="21"/>
              </w:rPr>
              <w:t> 日内通</w:t>
            </w:r>
            <w:r>
              <w:rPr>
                <w:spacing w:val="-10"/>
                <w:sz w:val="21"/>
              </w:rPr>
              <w:t>知本公司。否则投保人、被保险人或受益人应承担由于通知迟延致使本公司增加的</w:t>
            </w:r>
            <w:r>
              <w:rPr>
                <w:spacing w:val="-12"/>
                <w:sz w:val="21"/>
              </w:rPr>
              <w:t>勘查、检验等各项费用，但因</w:t>
            </w:r>
            <w:r>
              <w:rPr>
                <w:b/>
                <w:spacing w:val="-10"/>
                <w:sz w:val="21"/>
              </w:rPr>
              <w:t>不可抗力</w:t>
            </w:r>
            <w:r>
              <w:rPr>
                <w:spacing w:val="-3"/>
                <w:sz w:val="21"/>
              </w:rPr>
              <w:t>（</w:t>
            </w:r>
            <w:r>
              <w:rPr>
                <w:spacing w:val="-13"/>
                <w:sz w:val="21"/>
              </w:rPr>
              <w:t>见 </w:t>
            </w:r>
            <w:r>
              <w:rPr>
                <w:spacing w:val="-9"/>
                <w:sz w:val="21"/>
              </w:rPr>
              <w:t>9.25）</w:t>
            </w:r>
            <w:r>
              <w:rPr>
                <w:spacing w:val="-8"/>
                <w:sz w:val="21"/>
              </w:rPr>
              <w:t>导致的迟延除外。通知内容包括： </w:t>
            </w:r>
            <w:r>
              <w:rPr>
                <w:spacing w:val="-5"/>
                <w:sz w:val="21"/>
              </w:rPr>
              <w:t>事故情况、原因、伤亡情况以及本公司需要了解的其他情况。</w:t>
            </w:r>
          </w:p>
          <w:p>
            <w:pPr>
              <w:pStyle w:val="TableParagraph"/>
              <w:spacing w:line="273" w:lineRule="auto" w:before="163"/>
              <w:ind w:left="182" w:right="63"/>
              <w:jc w:val="both"/>
              <w:rPr>
                <w:rFonts w:ascii="黑体" w:eastAsia="黑体" w:hint="eastAsia"/>
                <w:sz w:val="21"/>
              </w:rPr>
            </w:pPr>
            <w:r>
              <w:rPr>
                <w:rFonts w:ascii="黑体" w:eastAsia="黑体" w:hint="eastAsia"/>
                <w:spacing w:val="-3"/>
                <w:sz w:val="21"/>
              </w:rPr>
              <w:t>投保人、被保险人或受益人故意或因重大过失未及时通知，致使保险事故的性质、</w:t>
            </w:r>
            <w:r>
              <w:rPr>
                <w:rFonts w:ascii="黑体" w:eastAsia="黑体" w:hint="eastAsia"/>
                <w:spacing w:val="-7"/>
                <w:sz w:val="21"/>
              </w:rPr>
              <w:t>原因等难以确定的，本公司对无法确定的部分，不承担给付保险金的责任，但本公</w:t>
            </w:r>
            <w:r>
              <w:rPr>
                <w:rFonts w:ascii="黑体" w:eastAsia="黑体" w:hint="eastAsia"/>
                <w:spacing w:val="-5"/>
                <w:sz w:val="21"/>
              </w:rPr>
              <w:t>司通过其他途径已经及时知道或应当及时知道保险事故发</w:t>
            </w:r>
            <w:r>
              <w:rPr>
                <w:rFonts w:ascii="黑体" w:eastAsia="黑体" w:hint="eastAsia"/>
                <w:sz w:val="21"/>
              </w:rPr>
              <w:t>Th</w:t>
            </w:r>
            <w:r>
              <w:rPr>
                <w:rFonts w:ascii="黑体" w:eastAsia="黑体" w:hint="eastAsia"/>
                <w:spacing w:val="-3"/>
                <w:sz w:val="21"/>
              </w:rPr>
              <w:t>的除外。</w:t>
            </w:r>
          </w:p>
        </w:tc>
      </w:tr>
      <w:tr>
        <w:trPr>
          <w:trHeight w:val="339" w:hRule="atLeast"/>
        </w:trPr>
        <w:tc>
          <w:tcPr>
            <w:tcW w:w="625" w:type="dxa"/>
          </w:tcPr>
          <w:p>
            <w:pPr>
              <w:pStyle w:val="TableParagraph"/>
              <w:spacing w:line="261" w:lineRule="exact" w:before="58"/>
              <w:ind w:left="110"/>
              <w:rPr>
                <w:b/>
                <w:sz w:val="21"/>
              </w:rPr>
            </w:pPr>
            <w:r>
              <w:rPr>
                <w:b/>
                <w:sz w:val="21"/>
              </w:rPr>
              <w:t>3.3</w:t>
            </w:r>
          </w:p>
        </w:tc>
        <w:tc>
          <w:tcPr>
            <w:tcW w:w="1435" w:type="dxa"/>
          </w:tcPr>
          <w:p>
            <w:pPr>
              <w:pStyle w:val="TableParagraph"/>
              <w:spacing w:line="261" w:lineRule="exact" w:before="58"/>
              <w:ind w:left="198"/>
              <w:rPr>
                <w:b/>
                <w:sz w:val="21"/>
              </w:rPr>
            </w:pPr>
            <w:r>
              <w:rPr>
                <w:b/>
                <w:sz w:val="21"/>
              </w:rPr>
              <w:t>保险金申请</w:t>
            </w:r>
          </w:p>
        </w:tc>
        <w:tc>
          <w:tcPr>
            <w:tcW w:w="7814" w:type="dxa"/>
          </w:tcPr>
          <w:p>
            <w:pPr>
              <w:pStyle w:val="TableParagraph"/>
              <w:spacing w:line="261" w:lineRule="exact" w:before="58"/>
              <w:ind w:left="182"/>
              <w:rPr>
                <w:sz w:val="21"/>
              </w:rPr>
            </w:pPr>
            <w:r>
              <w:rPr>
                <w:sz w:val="21"/>
              </w:rPr>
              <w:t>在申请保险金时，请按照下列方式办理：</w:t>
            </w:r>
          </w:p>
        </w:tc>
      </w:tr>
    </w:tbl>
    <w:p>
      <w:pPr>
        <w:spacing w:after="0" w:line="261" w:lineRule="exact"/>
        <w:rPr>
          <w:sz w:val="21"/>
        </w:rPr>
        <w:sectPr>
          <w:pgSz w:w="11910" w:h="16840"/>
          <w:pgMar w:header="0" w:footer="377" w:top="1340" w:bottom="560" w:left="90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837"/>
      </w:tblGrid>
      <w:tr>
        <w:trPr>
          <w:trHeight w:val="1878" w:hRule="atLeast"/>
        </w:trPr>
        <w:tc>
          <w:tcPr>
            <w:tcW w:w="1512" w:type="dxa"/>
          </w:tcPr>
          <w:p>
            <w:pPr>
              <w:pStyle w:val="TableParagraph"/>
              <w:spacing w:line="205" w:lineRule="exact" w:before="0"/>
              <w:rPr>
                <w:b/>
                <w:sz w:val="21"/>
              </w:rPr>
            </w:pPr>
            <w:r>
              <w:rPr>
                <w:b/>
                <w:sz w:val="21"/>
              </w:rPr>
              <w:t>轻症疾病保</w:t>
            </w:r>
          </w:p>
          <w:p>
            <w:pPr>
              <w:pStyle w:val="TableParagraph"/>
              <w:spacing w:line="273" w:lineRule="auto"/>
              <w:ind w:right="35"/>
              <w:rPr>
                <w:b/>
                <w:sz w:val="21"/>
              </w:rPr>
            </w:pPr>
            <w:r>
              <w:rPr>
                <w:b/>
                <w:sz w:val="21"/>
              </w:rPr>
              <w:t>险金、重大疾病保险金、疾病终末期保险金申请</w:t>
            </w:r>
          </w:p>
        </w:tc>
        <w:tc>
          <w:tcPr>
            <w:tcW w:w="7837" w:type="dxa"/>
          </w:tcPr>
          <w:p>
            <w:pPr>
              <w:pStyle w:val="TableParagraph"/>
              <w:spacing w:line="205" w:lineRule="exact" w:before="0"/>
              <w:ind w:left="106"/>
              <w:rPr>
                <w:sz w:val="21"/>
              </w:rPr>
            </w:pPr>
            <w:r>
              <w:rPr>
                <w:sz w:val="21"/>
              </w:rPr>
              <w:t>由相应受益人作为申请人书面提出保险金给付申请，并提供下列证明和资料：</w:t>
            </w:r>
          </w:p>
          <w:p>
            <w:pPr>
              <w:pStyle w:val="TableParagraph"/>
              <w:numPr>
                <w:ilvl w:val="0"/>
                <w:numId w:val="12"/>
              </w:numPr>
              <w:tabs>
                <w:tab w:pos="827" w:val="left" w:leader="none"/>
              </w:tabs>
              <w:spacing w:line="240" w:lineRule="auto" w:before="37" w:after="0"/>
              <w:ind w:left="826" w:right="0" w:hanging="720"/>
              <w:jc w:val="left"/>
              <w:rPr>
                <w:sz w:val="21"/>
              </w:rPr>
            </w:pPr>
            <w:r>
              <w:rPr>
                <w:spacing w:val="-1"/>
                <w:sz w:val="21"/>
              </w:rPr>
              <w:t>保险合同；</w:t>
            </w:r>
          </w:p>
          <w:p>
            <w:pPr>
              <w:pStyle w:val="TableParagraph"/>
              <w:numPr>
                <w:ilvl w:val="0"/>
                <w:numId w:val="12"/>
              </w:numPr>
              <w:tabs>
                <w:tab w:pos="827" w:val="left" w:leader="none"/>
              </w:tabs>
              <w:spacing w:line="240" w:lineRule="auto" w:before="37" w:after="0"/>
              <w:ind w:left="826" w:right="0" w:hanging="720"/>
              <w:jc w:val="left"/>
              <w:rPr>
                <w:sz w:val="21"/>
              </w:rPr>
            </w:pPr>
            <w:r>
              <w:rPr>
                <w:spacing w:val="-2"/>
                <w:sz w:val="21"/>
              </w:rPr>
              <w:t>受益人的</w:t>
            </w:r>
            <w:r>
              <w:rPr>
                <w:b/>
                <w:sz w:val="21"/>
              </w:rPr>
              <w:t>法定身份证明</w:t>
            </w:r>
            <w:r>
              <w:rPr>
                <w:spacing w:val="-3"/>
                <w:sz w:val="21"/>
              </w:rPr>
              <w:t>（</w:t>
            </w:r>
            <w:r>
              <w:rPr>
                <w:spacing w:val="-22"/>
                <w:sz w:val="21"/>
              </w:rPr>
              <w:t>见 </w:t>
            </w:r>
            <w:r>
              <w:rPr>
                <w:sz w:val="21"/>
              </w:rPr>
              <w:t>9.26）；</w:t>
            </w:r>
          </w:p>
          <w:p>
            <w:pPr>
              <w:pStyle w:val="TableParagraph"/>
              <w:numPr>
                <w:ilvl w:val="0"/>
                <w:numId w:val="12"/>
              </w:numPr>
              <w:tabs>
                <w:tab w:pos="827" w:val="left" w:leader="none"/>
              </w:tabs>
              <w:spacing w:line="273" w:lineRule="auto" w:before="37" w:after="0"/>
              <w:ind w:left="826" w:right="207" w:hanging="720"/>
              <w:jc w:val="left"/>
              <w:rPr>
                <w:sz w:val="21"/>
              </w:rPr>
            </w:pPr>
            <w:r>
              <w:rPr>
                <w:sz w:val="21"/>
              </w:rPr>
              <w:t>由医院出具的附有病历、必要病理检验、血液检验及其它科学方法检验报</w:t>
            </w:r>
            <w:r>
              <w:rPr>
                <w:spacing w:val="-3"/>
                <w:sz w:val="21"/>
              </w:rPr>
              <w:t>告的疾病诊断书；</w:t>
            </w:r>
          </w:p>
          <w:p>
            <w:pPr>
              <w:pStyle w:val="TableParagraph"/>
              <w:numPr>
                <w:ilvl w:val="0"/>
                <w:numId w:val="12"/>
              </w:numPr>
              <w:tabs>
                <w:tab w:pos="827" w:val="left" w:leader="none"/>
              </w:tabs>
              <w:spacing w:line="240" w:lineRule="auto" w:before="7" w:after="0"/>
              <w:ind w:left="826" w:right="0" w:hanging="720"/>
              <w:jc w:val="left"/>
              <w:rPr>
                <w:sz w:val="21"/>
              </w:rPr>
            </w:pPr>
            <w:r>
              <w:rPr>
                <w:spacing w:val="-3"/>
                <w:sz w:val="21"/>
              </w:rPr>
              <w:t>与确认保险事故的性质、原因、经过等有关的其它证明和资料。</w:t>
            </w:r>
          </w:p>
        </w:tc>
      </w:tr>
      <w:tr>
        <w:trPr>
          <w:trHeight w:val="2353" w:hRule="atLeast"/>
        </w:trPr>
        <w:tc>
          <w:tcPr>
            <w:tcW w:w="1512" w:type="dxa"/>
          </w:tcPr>
          <w:p>
            <w:pPr>
              <w:pStyle w:val="TableParagraph"/>
              <w:spacing w:line="273" w:lineRule="auto"/>
              <w:ind w:right="255"/>
              <w:rPr>
                <w:b/>
                <w:sz w:val="21"/>
              </w:rPr>
            </w:pPr>
            <w:r>
              <w:rPr>
                <w:b/>
                <w:sz w:val="21"/>
              </w:rPr>
              <w:t>全残保险金申请</w:t>
            </w:r>
          </w:p>
        </w:tc>
        <w:tc>
          <w:tcPr>
            <w:tcW w:w="7837" w:type="dxa"/>
          </w:tcPr>
          <w:p>
            <w:pPr>
              <w:pStyle w:val="TableParagraph"/>
              <w:spacing w:line="273" w:lineRule="auto"/>
              <w:ind w:left="106" w:right="202"/>
              <w:rPr>
                <w:sz w:val="21"/>
              </w:rPr>
            </w:pPr>
            <w:r>
              <w:rPr>
                <w:sz w:val="21"/>
              </w:rPr>
              <w:t>由全残保险金受益人作为申请人填写保险金给付申请书，并须提供下列证明和资料：</w:t>
            </w:r>
          </w:p>
          <w:p>
            <w:pPr>
              <w:pStyle w:val="TableParagraph"/>
              <w:numPr>
                <w:ilvl w:val="0"/>
                <w:numId w:val="13"/>
              </w:numPr>
              <w:tabs>
                <w:tab w:pos="827" w:val="left" w:leader="none"/>
              </w:tabs>
              <w:spacing w:line="240" w:lineRule="auto" w:before="7" w:after="0"/>
              <w:ind w:left="826" w:right="0" w:hanging="720"/>
              <w:jc w:val="left"/>
              <w:rPr>
                <w:sz w:val="21"/>
              </w:rPr>
            </w:pPr>
            <w:r>
              <w:rPr>
                <w:spacing w:val="-1"/>
                <w:sz w:val="21"/>
              </w:rPr>
              <w:t>保险合同；</w:t>
            </w:r>
          </w:p>
          <w:p>
            <w:pPr>
              <w:pStyle w:val="TableParagraph"/>
              <w:numPr>
                <w:ilvl w:val="0"/>
                <w:numId w:val="13"/>
              </w:numPr>
              <w:tabs>
                <w:tab w:pos="827" w:val="left" w:leader="none"/>
              </w:tabs>
              <w:spacing w:line="240" w:lineRule="auto" w:before="36" w:after="0"/>
              <w:ind w:left="826" w:right="0" w:hanging="720"/>
              <w:jc w:val="left"/>
              <w:rPr>
                <w:sz w:val="21"/>
              </w:rPr>
            </w:pPr>
            <w:r>
              <w:rPr>
                <w:spacing w:val="-3"/>
                <w:sz w:val="21"/>
              </w:rPr>
              <w:t>受益人的法定身份证明；</w:t>
            </w:r>
          </w:p>
          <w:p>
            <w:pPr>
              <w:pStyle w:val="TableParagraph"/>
              <w:numPr>
                <w:ilvl w:val="0"/>
                <w:numId w:val="13"/>
              </w:numPr>
              <w:tabs>
                <w:tab w:pos="827" w:val="left" w:leader="none"/>
              </w:tabs>
              <w:spacing w:line="273" w:lineRule="auto" w:before="36" w:after="0"/>
              <w:ind w:left="826" w:right="200" w:hanging="720"/>
              <w:jc w:val="left"/>
              <w:rPr>
                <w:sz w:val="21"/>
              </w:rPr>
            </w:pPr>
            <w:r>
              <w:rPr>
                <w:sz w:val="21"/>
              </w:rPr>
              <w:t>国家有关机构认可或具有合法资质的伤残鉴定机构出具的被保险人全残鉴定书；</w:t>
            </w:r>
          </w:p>
          <w:p>
            <w:pPr>
              <w:pStyle w:val="TableParagraph"/>
              <w:numPr>
                <w:ilvl w:val="0"/>
                <w:numId w:val="13"/>
              </w:numPr>
              <w:tabs>
                <w:tab w:pos="827" w:val="left" w:leader="none"/>
              </w:tabs>
              <w:spacing w:line="240" w:lineRule="auto" w:before="7" w:after="0"/>
              <w:ind w:left="826" w:right="0" w:hanging="720"/>
              <w:jc w:val="left"/>
              <w:rPr>
                <w:sz w:val="21"/>
              </w:rPr>
            </w:pPr>
            <w:r>
              <w:rPr>
                <w:spacing w:val="-3"/>
                <w:sz w:val="21"/>
              </w:rPr>
              <w:t>与确认保险事故的性质、原因、经过等有关的其它证明和资料。</w:t>
            </w:r>
          </w:p>
        </w:tc>
      </w:tr>
      <w:tr>
        <w:trPr>
          <w:trHeight w:val="4247" w:hRule="atLeast"/>
        </w:trPr>
        <w:tc>
          <w:tcPr>
            <w:tcW w:w="1512" w:type="dxa"/>
          </w:tcPr>
          <w:p>
            <w:pPr>
              <w:pStyle w:val="TableParagraph"/>
              <w:spacing w:line="273" w:lineRule="auto" w:before="93"/>
              <w:ind w:right="255"/>
              <w:rPr>
                <w:b/>
                <w:sz w:val="21"/>
              </w:rPr>
            </w:pPr>
            <w:r>
              <w:rPr>
                <w:b/>
                <w:sz w:val="21"/>
              </w:rPr>
              <w:t>身故保险金申请</w:t>
            </w:r>
          </w:p>
        </w:tc>
        <w:tc>
          <w:tcPr>
            <w:tcW w:w="7837" w:type="dxa"/>
          </w:tcPr>
          <w:p>
            <w:pPr>
              <w:pStyle w:val="TableParagraph"/>
              <w:spacing w:line="273" w:lineRule="auto" w:before="93"/>
              <w:ind w:left="106" w:right="209"/>
              <w:rPr>
                <w:sz w:val="21"/>
              </w:rPr>
            </w:pPr>
            <w:r>
              <w:rPr>
                <w:sz w:val="21"/>
              </w:rPr>
              <w:t>由身故保险金受益人作为申请人填写保险金给付申请书，并须提供下列证明和资料：</w:t>
            </w:r>
          </w:p>
          <w:p>
            <w:pPr>
              <w:pStyle w:val="TableParagraph"/>
              <w:numPr>
                <w:ilvl w:val="0"/>
                <w:numId w:val="14"/>
              </w:numPr>
              <w:tabs>
                <w:tab w:pos="827" w:val="left" w:leader="none"/>
              </w:tabs>
              <w:spacing w:line="240" w:lineRule="auto" w:before="7" w:after="0"/>
              <w:ind w:left="826" w:right="0" w:hanging="720"/>
              <w:jc w:val="left"/>
              <w:rPr>
                <w:sz w:val="21"/>
              </w:rPr>
            </w:pPr>
            <w:r>
              <w:rPr>
                <w:spacing w:val="-1"/>
                <w:sz w:val="21"/>
              </w:rPr>
              <w:t>保险合同；</w:t>
            </w:r>
          </w:p>
          <w:p>
            <w:pPr>
              <w:pStyle w:val="TableParagraph"/>
              <w:numPr>
                <w:ilvl w:val="0"/>
                <w:numId w:val="14"/>
              </w:numPr>
              <w:tabs>
                <w:tab w:pos="827" w:val="left" w:leader="none"/>
              </w:tabs>
              <w:spacing w:line="240" w:lineRule="auto" w:before="37" w:after="0"/>
              <w:ind w:left="826" w:right="0" w:hanging="720"/>
              <w:jc w:val="left"/>
              <w:rPr>
                <w:sz w:val="21"/>
              </w:rPr>
            </w:pPr>
            <w:r>
              <w:rPr>
                <w:spacing w:val="-3"/>
                <w:sz w:val="21"/>
              </w:rPr>
              <w:t>受益人的法定身份证明；</w:t>
            </w:r>
          </w:p>
          <w:p>
            <w:pPr>
              <w:pStyle w:val="TableParagraph"/>
              <w:numPr>
                <w:ilvl w:val="0"/>
                <w:numId w:val="14"/>
              </w:numPr>
              <w:tabs>
                <w:tab w:pos="827" w:val="left" w:leader="none"/>
              </w:tabs>
              <w:spacing w:line="273" w:lineRule="auto" w:before="37" w:after="0"/>
              <w:ind w:left="826" w:right="207" w:hanging="720"/>
              <w:jc w:val="left"/>
              <w:rPr>
                <w:sz w:val="21"/>
              </w:rPr>
            </w:pPr>
            <w:r>
              <w:rPr>
                <w:sz w:val="21"/>
              </w:rPr>
              <w:t>国务院卫生行政部门规定的医疗机构或公安部门出具的被保险人死亡证明</w:t>
            </w:r>
            <w:r>
              <w:rPr>
                <w:spacing w:val="-2"/>
                <w:sz w:val="21"/>
              </w:rPr>
              <w:t>书或验尸证明；</w:t>
            </w:r>
          </w:p>
          <w:p>
            <w:pPr>
              <w:pStyle w:val="TableParagraph"/>
              <w:numPr>
                <w:ilvl w:val="0"/>
                <w:numId w:val="14"/>
              </w:numPr>
              <w:tabs>
                <w:tab w:pos="827" w:val="left" w:leader="none"/>
              </w:tabs>
              <w:spacing w:line="240" w:lineRule="auto" w:before="7" w:after="0"/>
              <w:ind w:left="826" w:right="0" w:hanging="720"/>
              <w:jc w:val="left"/>
              <w:rPr>
                <w:sz w:val="21"/>
              </w:rPr>
            </w:pPr>
            <w:r>
              <w:rPr>
                <w:spacing w:val="-3"/>
                <w:sz w:val="21"/>
              </w:rPr>
              <w:t>如被保险人为宣告死亡，受益人须提供人民法院出具的宣告死亡判决书；</w:t>
            </w:r>
          </w:p>
          <w:p>
            <w:pPr>
              <w:pStyle w:val="TableParagraph"/>
              <w:numPr>
                <w:ilvl w:val="0"/>
                <w:numId w:val="14"/>
              </w:numPr>
              <w:tabs>
                <w:tab w:pos="827" w:val="left" w:leader="none"/>
              </w:tabs>
              <w:spacing w:line="240" w:lineRule="auto" w:before="37" w:after="0"/>
              <w:ind w:left="826" w:right="0" w:hanging="720"/>
              <w:jc w:val="left"/>
              <w:rPr>
                <w:sz w:val="21"/>
              </w:rPr>
            </w:pPr>
            <w:r>
              <w:rPr>
                <w:spacing w:val="-3"/>
                <w:sz w:val="21"/>
              </w:rPr>
              <w:t>公安部门出具的被保险人户籍注销证明；</w:t>
            </w:r>
          </w:p>
          <w:p>
            <w:pPr>
              <w:pStyle w:val="TableParagraph"/>
              <w:numPr>
                <w:ilvl w:val="0"/>
                <w:numId w:val="14"/>
              </w:numPr>
              <w:tabs>
                <w:tab w:pos="827" w:val="left" w:leader="none"/>
              </w:tabs>
              <w:spacing w:line="240" w:lineRule="auto" w:before="37" w:after="0"/>
              <w:ind w:left="826" w:right="0" w:hanging="720"/>
              <w:jc w:val="left"/>
              <w:rPr>
                <w:sz w:val="21"/>
              </w:rPr>
            </w:pPr>
            <w:r>
              <w:rPr>
                <w:spacing w:val="-3"/>
                <w:sz w:val="21"/>
              </w:rPr>
              <w:t>与确认保险事故的性质、原因、经过等有关的其他证明和资料。</w:t>
            </w:r>
          </w:p>
          <w:p>
            <w:pPr>
              <w:pStyle w:val="TableParagraph"/>
              <w:spacing w:before="9"/>
              <w:ind w:left="0"/>
              <w:rPr>
                <w:sz w:val="14"/>
              </w:rPr>
            </w:pPr>
          </w:p>
          <w:p>
            <w:pPr>
              <w:pStyle w:val="TableParagraph"/>
              <w:spacing w:line="273" w:lineRule="auto" w:before="1"/>
              <w:ind w:left="106" w:right="198"/>
              <w:rPr>
                <w:sz w:val="21"/>
              </w:rPr>
            </w:pPr>
            <w:r>
              <w:rPr>
                <w:spacing w:val="-6"/>
                <w:sz w:val="21"/>
              </w:rPr>
              <w:t>保险金作为被保险人遗产时，除上述证明和资料外，被保险人的继承人还必须提供</w:t>
            </w:r>
            <w:r>
              <w:rPr>
                <w:spacing w:val="-4"/>
                <w:sz w:val="21"/>
              </w:rPr>
              <w:t>可证明合法继承权的相关权利文件。</w:t>
            </w:r>
          </w:p>
          <w:p>
            <w:pPr>
              <w:pStyle w:val="TableParagraph"/>
              <w:spacing w:before="164"/>
              <w:ind w:left="106"/>
              <w:rPr>
                <w:sz w:val="21"/>
              </w:rPr>
            </w:pPr>
            <w:r>
              <w:rPr>
                <w:sz w:val="21"/>
              </w:rPr>
              <w:t>如果被保险人身故，本公司有权要求司法鉴定机构对保险事故进行鉴定。</w:t>
            </w:r>
          </w:p>
        </w:tc>
      </w:tr>
      <w:tr>
        <w:trPr>
          <w:trHeight w:val="2031" w:hRule="atLeast"/>
        </w:trPr>
        <w:tc>
          <w:tcPr>
            <w:tcW w:w="1512" w:type="dxa"/>
          </w:tcPr>
          <w:p>
            <w:pPr>
              <w:pStyle w:val="TableParagraph"/>
              <w:spacing w:line="273" w:lineRule="auto" w:before="58"/>
              <w:ind w:right="255"/>
              <w:jc w:val="both"/>
              <w:rPr>
                <w:b/>
                <w:sz w:val="21"/>
              </w:rPr>
            </w:pPr>
            <w:r>
              <w:rPr>
                <w:b/>
                <w:sz w:val="21"/>
              </w:rPr>
              <w:t>被保险人轻症疾病豁免保险费的申请</w:t>
            </w:r>
          </w:p>
        </w:tc>
        <w:tc>
          <w:tcPr>
            <w:tcW w:w="7837" w:type="dxa"/>
          </w:tcPr>
          <w:p>
            <w:pPr>
              <w:pStyle w:val="TableParagraph"/>
              <w:spacing w:before="58"/>
              <w:ind w:left="106"/>
              <w:rPr>
                <w:sz w:val="21"/>
              </w:rPr>
            </w:pPr>
            <w:r>
              <w:rPr>
                <w:sz w:val="21"/>
              </w:rPr>
              <w:t>由被保险人作为申请人书面提出豁免保险费申请，并提供下列证明和资料：</w:t>
            </w:r>
          </w:p>
          <w:p>
            <w:pPr>
              <w:pStyle w:val="TableParagraph"/>
              <w:numPr>
                <w:ilvl w:val="0"/>
                <w:numId w:val="15"/>
              </w:numPr>
              <w:tabs>
                <w:tab w:pos="827" w:val="left" w:leader="none"/>
              </w:tabs>
              <w:spacing w:line="240" w:lineRule="auto" w:before="36" w:after="0"/>
              <w:ind w:left="826" w:right="0" w:hanging="720"/>
              <w:jc w:val="left"/>
              <w:rPr>
                <w:sz w:val="21"/>
              </w:rPr>
            </w:pPr>
            <w:r>
              <w:rPr>
                <w:spacing w:val="-1"/>
                <w:sz w:val="21"/>
              </w:rPr>
              <w:t>保险合同；</w:t>
            </w:r>
          </w:p>
          <w:p>
            <w:pPr>
              <w:pStyle w:val="TableParagraph"/>
              <w:numPr>
                <w:ilvl w:val="0"/>
                <w:numId w:val="15"/>
              </w:numPr>
              <w:tabs>
                <w:tab w:pos="827" w:val="left" w:leader="none"/>
              </w:tabs>
              <w:spacing w:line="240" w:lineRule="auto" w:before="36" w:after="0"/>
              <w:ind w:left="826" w:right="0" w:hanging="720"/>
              <w:jc w:val="left"/>
              <w:rPr>
                <w:sz w:val="21"/>
              </w:rPr>
            </w:pPr>
            <w:r>
              <w:rPr>
                <w:spacing w:val="-3"/>
                <w:sz w:val="21"/>
              </w:rPr>
              <w:t>被保险人的法定身份证明；</w:t>
            </w:r>
          </w:p>
          <w:p>
            <w:pPr>
              <w:pStyle w:val="TableParagraph"/>
              <w:numPr>
                <w:ilvl w:val="0"/>
                <w:numId w:val="15"/>
              </w:numPr>
              <w:tabs>
                <w:tab w:pos="827" w:val="left" w:leader="none"/>
              </w:tabs>
              <w:spacing w:line="273" w:lineRule="auto" w:before="36" w:after="0"/>
              <w:ind w:left="826" w:right="207" w:hanging="720"/>
              <w:jc w:val="left"/>
              <w:rPr>
                <w:sz w:val="21"/>
              </w:rPr>
            </w:pPr>
            <w:r>
              <w:rPr>
                <w:sz w:val="21"/>
              </w:rPr>
              <w:t>由医院出具的附有病历、必要病理检验、血液检验及其它科学方法检验报</w:t>
            </w:r>
            <w:r>
              <w:rPr>
                <w:spacing w:val="-3"/>
                <w:sz w:val="21"/>
              </w:rPr>
              <w:t>告的疾病诊断书；</w:t>
            </w:r>
          </w:p>
          <w:p>
            <w:pPr>
              <w:pStyle w:val="TableParagraph"/>
              <w:numPr>
                <w:ilvl w:val="0"/>
                <w:numId w:val="15"/>
              </w:numPr>
              <w:tabs>
                <w:tab w:pos="827" w:val="left" w:leader="none"/>
              </w:tabs>
              <w:spacing w:line="240" w:lineRule="auto" w:before="7" w:after="0"/>
              <w:ind w:left="826" w:right="0" w:hanging="720"/>
              <w:jc w:val="left"/>
              <w:rPr>
                <w:sz w:val="21"/>
              </w:rPr>
            </w:pPr>
            <w:r>
              <w:rPr>
                <w:spacing w:val="-3"/>
                <w:sz w:val="21"/>
              </w:rPr>
              <w:t>与确认保险事故的性质、原因、经过等有关的其它证明和资料。</w:t>
            </w:r>
          </w:p>
        </w:tc>
      </w:tr>
      <w:tr>
        <w:trPr>
          <w:trHeight w:val="1724" w:hRule="atLeast"/>
        </w:trPr>
        <w:tc>
          <w:tcPr>
            <w:tcW w:w="1512" w:type="dxa"/>
          </w:tcPr>
          <w:p>
            <w:pPr>
              <w:pStyle w:val="TableParagraph"/>
              <w:spacing w:line="273" w:lineRule="auto" w:before="61"/>
              <w:ind w:right="255"/>
              <w:jc w:val="both"/>
              <w:rPr>
                <w:b/>
                <w:sz w:val="21"/>
              </w:rPr>
            </w:pPr>
            <w:r>
              <w:rPr>
                <w:b/>
                <w:sz w:val="21"/>
              </w:rPr>
              <w:t>委托他人代为申请保险金</w:t>
            </w:r>
          </w:p>
        </w:tc>
        <w:tc>
          <w:tcPr>
            <w:tcW w:w="7837" w:type="dxa"/>
          </w:tcPr>
          <w:p>
            <w:pPr>
              <w:pStyle w:val="TableParagraph"/>
              <w:spacing w:line="273" w:lineRule="auto" w:before="61"/>
              <w:ind w:left="106" w:right="198"/>
              <w:jc w:val="both"/>
              <w:rPr>
                <w:sz w:val="21"/>
              </w:rPr>
            </w:pPr>
            <w:r>
              <w:rPr>
                <w:spacing w:val="-6"/>
                <w:sz w:val="21"/>
              </w:rPr>
              <w:t>如果委托他人代为申请，除上述证明和资料外，还须提供相关保险金受益人的授权</w:t>
            </w:r>
            <w:r>
              <w:rPr>
                <w:spacing w:val="-8"/>
                <w:sz w:val="21"/>
              </w:rPr>
              <w:t>委托书、受托人有效身份证件等相关证明文件。受益人或继承人为限制民事行为能力人或无民事行为能力人时，由其合法监护人代其申请领取保险金，其合法监护人</w:t>
            </w:r>
            <w:r>
              <w:rPr>
                <w:sz w:val="21"/>
              </w:rPr>
              <w:t>还必须提供受益人或继承人为限制民事行为能力人或无民事行为能力人的证明和</w:t>
            </w:r>
            <w:r>
              <w:rPr>
                <w:spacing w:val="-3"/>
                <w:sz w:val="21"/>
              </w:rPr>
              <w:t>监护人具有合法监护权的证明。</w:t>
            </w:r>
          </w:p>
        </w:tc>
      </w:tr>
      <w:tr>
        <w:trPr>
          <w:trHeight w:val="817" w:hRule="atLeast"/>
        </w:trPr>
        <w:tc>
          <w:tcPr>
            <w:tcW w:w="1512" w:type="dxa"/>
          </w:tcPr>
          <w:p>
            <w:pPr>
              <w:pStyle w:val="TableParagraph"/>
              <w:spacing w:before="64"/>
              <w:rPr>
                <w:b/>
                <w:sz w:val="21"/>
              </w:rPr>
            </w:pPr>
            <w:r>
              <w:rPr>
                <w:b/>
                <w:sz w:val="21"/>
              </w:rPr>
              <w:t>补充通知</w:t>
            </w:r>
          </w:p>
        </w:tc>
        <w:tc>
          <w:tcPr>
            <w:tcW w:w="7837" w:type="dxa"/>
          </w:tcPr>
          <w:p>
            <w:pPr>
              <w:pStyle w:val="TableParagraph"/>
              <w:spacing w:line="273" w:lineRule="auto" w:before="64"/>
              <w:ind w:left="106" w:right="198"/>
              <w:rPr>
                <w:sz w:val="21"/>
              </w:rPr>
            </w:pPr>
            <w:r>
              <w:rPr>
                <w:spacing w:val="-6"/>
                <w:sz w:val="21"/>
              </w:rPr>
              <w:t>以上证明和资料不完整的，本公司将及时一次性通知申请人补充提供有关的证明和资料。</w:t>
            </w:r>
          </w:p>
        </w:tc>
      </w:tr>
      <w:tr>
        <w:trPr>
          <w:trHeight w:val="682" w:hRule="atLeast"/>
        </w:trPr>
        <w:tc>
          <w:tcPr>
            <w:tcW w:w="1512" w:type="dxa"/>
          </w:tcPr>
          <w:p>
            <w:pPr>
              <w:pStyle w:val="TableParagraph"/>
              <w:spacing w:line="310" w:lineRule="atLeast" w:before="55"/>
              <w:ind w:right="108"/>
              <w:rPr>
                <w:b/>
                <w:sz w:val="21"/>
              </w:rPr>
            </w:pPr>
            <w:r>
              <w:rPr>
                <w:b/>
                <w:sz w:val="21"/>
              </w:rPr>
              <w:t>特 别注意事项</w:t>
            </w:r>
          </w:p>
        </w:tc>
        <w:tc>
          <w:tcPr>
            <w:tcW w:w="7837" w:type="dxa"/>
          </w:tcPr>
          <w:p>
            <w:pPr>
              <w:pStyle w:val="TableParagraph"/>
              <w:spacing w:line="310" w:lineRule="atLeast" w:before="55"/>
              <w:ind w:left="106" w:right="198"/>
              <w:rPr>
                <w:sz w:val="21"/>
              </w:rPr>
            </w:pPr>
            <w:r>
              <w:rPr>
                <w:spacing w:val="-6"/>
                <w:sz w:val="21"/>
              </w:rPr>
              <w:t>除上述相关证明和资料外，本公司如认为必要，在保险事故发生后可以对被保险人</w:t>
            </w:r>
            <w:r>
              <w:rPr>
                <w:spacing w:val="-4"/>
                <w:sz w:val="21"/>
              </w:rPr>
              <w:t>的身体状况进行检查或鉴定。</w:t>
            </w:r>
          </w:p>
        </w:tc>
      </w:tr>
    </w:tbl>
    <w:p>
      <w:pPr>
        <w:spacing w:after="0" w:line="310" w:lineRule="atLeast"/>
        <w:rPr>
          <w:sz w:val="21"/>
        </w:rPr>
        <w:sectPr>
          <w:pgSz w:w="11910" w:h="16840"/>
          <w:pgMar w:header="0" w:footer="377" w:top="1340" w:bottom="560" w:left="1520" w:right="8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5"/>
        <w:gridCol w:w="7814"/>
      </w:tblGrid>
      <w:tr>
        <w:trPr>
          <w:trHeight w:val="2395" w:hRule="atLeast"/>
        </w:trPr>
        <w:tc>
          <w:tcPr>
            <w:tcW w:w="625" w:type="dxa"/>
          </w:tcPr>
          <w:p>
            <w:pPr>
              <w:pStyle w:val="TableParagraph"/>
              <w:spacing w:line="205" w:lineRule="exact" w:before="0"/>
              <w:ind w:left="110"/>
              <w:rPr>
                <w:b/>
                <w:sz w:val="21"/>
              </w:rPr>
            </w:pPr>
            <w:r>
              <w:rPr>
                <w:b/>
                <w:sz w:val="21"/>
              </w:rPr>
              <w:t>3.4</w:t>
            </w:r>
          </w:p>
        </w:tc>
        <w:tc>
          <w:tcPr>
            <w:tcW w:w="1435" w:type="dxa"/>
          </w:tcPr>
          <w:p>
            <w:pPr>
              <w:pStyle w:val="TableParagraph"/>
              <w:spacing w:line="205" w:lineRule="exact" w:before="0"/>
              <w:ind w:left="198"/>
              <w:rPr>
                <w:b/>
                <w:sz w:val="21"/>
              </w:rPr>
            </w:pPr>
            <w:r>
              <w:rPr>
                <w:b/>
                <w:sz w:val="21"/>
              </w:rPr>
              <w:t>保险金给付</w:t>
            </w:r>
          </w:p>
        </w:tc>
        <w:tc>
          <w:tcPr>
            <w:tcW w:w="7814" w:type="dxa"/>
          </w:tcPr>
          <w:p>
            <w:pPr>
              <w:pStyle w:val="TableParagraph"/>
              <w:spacing w:line="205" w:lineRule="exact" w:before="0"/>
              <w:ind w:left="182"/>
              <w:rPr>
                <w:sz w:val="21"/>
              </w:rPr>
            </w:pPr>
            <w:r>
              <w:rPr>
                <w:sz w:val="21"/>
              </w:rPr>
              <w:t>本公司在收到保险金给付申请书及上述完整齐全的有关证明和资料后，会及时做出</w:t>
            </w:r>
          </w:p>
          <w:p>
            <w:pPr>
              <w:pStyle w:val="TableParagraph"/>
              <w:spacing w:line="273" w:lineRule="auto"/>
              <w:ind w:left="182" w:right="100"/>
              <w:jc w:val="both"/>
              <w:rPr>
                <w:sz w:val="21"/>
              </w:rPr>
            </w:pPr>
            <w:r>
              <w:rPr>
                <w:spacing w:val="-6"/>
                <w:sz w:val="21"/>
              </w:rPr>
              <w:t>核定，对确定属于保险责任的，在与被保险人或受益人达成有关给付保险金数额的</w:t>
            </w:r>
            <w:r>
              <w:rPr>
                <w:spacing w:val="-8"/>
                <w:sz w:val="21"/>
              </w:rPr>
              <w:t>协议后十日内，履行给付保险金责任。对不属于保险责任的，自做出核定之日起三</w:t>
            </w:r>
            <w:r>
              <w:rPr>
                <w:spacing w:val="-5"/>
                <w:sz w:val="21"/>
              </w:rPr>
              <w:t>日内向被保险人或受益人发出拒绝给付保险金通知书并说明理由。</w:t>
            </w:r>
          </w:p>
          <w:p>
            <w:pPr>
              <w:pStyle w:val="TableParagraph"/>
              <w:spacing w:line="273" w:lineRule="auto" w:before="163"/>
              <w:ind w:left="182" w:right="-15"/>
              <w:jc w:val="both"/>
              <w:rPr>
                <w:sz w:val="21"/>
              </w:rPr>
            </w:pPr>
            <w:r>
              <w:rPr>
                <w:sz w:val="21"/>
              </w:rPr>
              <w:t>本公司在收到保险金给付申请书及上述完整齐全的有关证明和资料之日起六十日 </w:t>
            </w:r>
            <w:r>
              <w:rPr>
                <w:spacing w:val="-7"/>
                <w:sz w:val="21"/>
              </w:rPr>
              <w:t>内，对属于保险责任而给付保险金的数额不能确定的，根据已有证明和资料，按可</w:t>
            </w:r>
            <w:r>
              <w:rPr>
                <w:spacing w:val="-14"/>
                <w:sz w:val="21"/>
              </w:rPr>
              <w:t>以确定的数额先予以支付；本公司最终确定给付保险金的数额后，给付相应的差额。</w:t>
            </w:r>
          </w:p>
        </w:tc>
      </w:tr>
      <w:tr>
        <w:trPr>
          <w:trHeight w:val="1588" w:hRule="atLeast"/>
        </w:trPr>
        <w:tc>
          <w:tcPr>
            <w:tcW w:w="625" w:type="dxa"/>
          </w:tcPr>
          <w:p>
            <w:pPr>
              <w:pStyle w:val="TableParagraph"/>
              <w:spacing w:before="86"/>
              <w:ind w:left="110"/>
              <w:rPr>
                <w:b/>
                <w:sz w:val="21"/>
              </w:rPr>
            </w:pPr>
            <w:r>
              <w:rPr>
                <w:b/>
                <w:sz w:val="21"/>
              </w:rPr>
              <w:t>3.5</w:t>
            </w:r>
          </w:p>
        </w:tc>
        <w:tc>
          <w:tcPr>
            <w:tcW w:w="1435" w:type="dxa"/>
          </w:tcPr>
          <w:p>
            <w:pPr>
              <w:pStyle w:val="TableParagraph"/>
              <w:spacing w:line="273" w:lineRule="auto" w:before="86"/>
              <w:ind w:left="198" w:right="178"/>
              <w:rPr>
                <w:b/>
                <w:sz w:val="21"/>
              </w:rPr>
            </w:pPr>
            <w:r>
              <w:rPr>
                <w:b/>
                <w:sz w:val="21"/>
              </w:rPr>
              <w:t>保险金申请时效</w:t>
            </w:r>
          </w:p>
        </w:tc>
        <w:tc>
          <w:tcPr>
            <w:tcW w:w="7814" w:type="dxa"/>
          </w:tcPr>
          <w:p>
            <w:pPr>
              <w:pStyle w:val="TableParagraph"/>
              <w:spacing w:line="273" w:lineRule="auto" w:before="86"/>
              <w:ind w:left="182" w:right="104"/>
              <w:rPr>
                <w:sz w:val="21"/>
              </w:rPr>
            </w:pPr>
            <w:r>
              <w:rPr>
                <w:sz w:val="21"/>
              </w:rPr>
              <w:t>被保险人或受益人向本公司请求给付身故保险金和全残保险金的诉讼时效期间为五年，自其知道或者应当知道保险事故发生之日起计算。</w:t>
            </w:r>
          </w:p>
          <w:p>
            <w:pPr>
              <w:pStyle w:val="TableParagraph"/>
              <w:spacing w:line="273" w:lineRule="auto" w:before="164"/>
              <w:ind w:left="182" w:right="58"/>
              <w:rPr>
                <w:sz w:val="21"/>
              </w:rPr>
            </w:pPr>
            <w:r>
              <w:rPr>
                <w:sz w:val="21"/>
              </w:rPr>
              <w:t>被保险人或受益人向本公司请求给付其他保险金的诉讼时效期间为二年，自其知道或者应当知道保险事故发生之日起计算。</w:t>
            </w:r>
          </w:p>
        </w:tc>
      </w:tr>
      <w:tr>
        <w:trPr>
          <w:trHeight w:val="1921" w:hRule="atLeast"/>
        </w:trPr>
        <w:tc>
          <w:tcPr>
            <w:tcW w:w="625" w:type="dxa"/>
          </w:tcPr>
          <w:p>
            <w:pPr>
              <w:pStyle w:val="TableParagraph"/>
              <w:spacing w:before="58"/>
              <w:ind w:left="110"/>
              <w:rPr>
                <w:b/>
                <w:sz w:val="21"/>
              </w:rPr>
            </w:pPr>
            <w:r>
              <w:rPr>
                <w:b/>
                <w:sz w:val="21"/>
              </w:rPr>
              <w:t>3.6</w:t>
            </w:r>
          </w:p>
        </w:tc>
        <w:tc>
          <w:tcPr>
            <w:tcW w:w="1435" w:type="dxa"/>
          </w:tcPr>
          <w:p>
            <w:pPr>
              <w:pStyle w:val="TableParagraph"/>
              <w:spacing w:line="273" w:lineRule="auto" w:before="58"/>
              <w:ind w:left="198" w:right="178"/>
              <w:rPr>
                <w:b/>
                <w:sz w:val="21"/>
              </w:rPr>
            </w:pPr>
            <w:r>
              <w:rPr>
                <w:b/>
                <w:sz w:val="21"/>
              </w:rPr>
              <w:t>宣告死亡处理</w:t>
            </w:r>
          </w:p>
        </w:tc>
        <w:tc>
          <w:tcPr>
            <w:tcW w:w="7814" w:type="dxa"/>
          </w:tcPr>
          <w:p>
            <w:pPr>
              <w:pStyle w:val="TableParagraph"/>
              <w:spacing w:line="273" w:lineRule="auto" w:before="58"/>
              <w:ind w:left="182" w:right="100"/>
              <w:jc w:val="both"/>
              <w:rPr>
                <w:sz w:val="21"/>
              </w:rPr>
            </w:pPr>
            <w:r>
              <w:rPr>
                <w:spacing w:val="-5"/>
                <w:sz w:val="21"/>
              </w:rPr>
              <w:t>如果被保险人在本合同有效期内下落不明，后经人民法院宣告死亡的，本公司以判</w:t>
            </w:r>
            <w:r>
              <w:rPr>
                <w:spacing w:val="-4"/>
                <w:sz w:val="21"/>
              </w:rPr>
              <w:t>决书生效之日为准，按本合同的约定给付身故保险金。</w:t>
            </w:r>
          </w:p>
          <w:p>
            <w:pPr>
              <w:pStyle w:val="TableParagraph"/>
              <w:spacing w:line="273" w:lineRule="auto" w:before="163"/>
              <w:ind w:left="182" w:right="99"/>
              <w:jc w:val="both"/>
              <w:rPr>
                <w:sz w:val="21"/>
              </w:rPr>
            </w:pPr>
            <w:r>
              <w:rPr>
                <w:spacing w:val="-6"/>
                <w:sz w:val="21"/>
              </w:rPr>
              <w:t>如果被保险人在宣告死亡后生还，身故保险金受益人应于知道或应当知道被保险人</w:t>
            </w:r>
            <w:r>
              <w:rPr>
                <w:spacing w:val="-7"/>
                <w:sz w:val="21"/>
              </w:rPr>
              <w:t>生还后三十日内向本公司退还已给付的保险金。退还保险金后，本合同的效力由投</w:t>
            </w:r>
            <w:r>
              <w:rPr>
                <w:spacing w:val="-5"/>
                <w:sz w:val="21"/>
              </w:rPr>
              <w:t>保人与本公司协商处理。</w:t>
            </w:r>
          </w:p>
        </w:tc>
      </w:tr>
      <w:tr>
        <w:trPr>
          <w:trHeight w:val="651" w:hRule="atLeast"/>
        </w:trPr>
        <w:tc>
          <w:tcPr>
            <w:tcW w:w="625" w:type="dxa"/>
            <w:tcBorders>
              <w:bottom w:val="single" w:sz="4" w:space="0" w:color="000000"/>
            </w:tcBorders>
          </w:tcPr>
          <w:p>
            <w:pPr>
              <w:pStyle w:val="TableParagraph"/>
              <w:spacing w:before="72"/>
              <w:ind w:left="148"/>
              <w:rPr>
                <w:b/>
                <w:sz w:val="32"/>
              </w:rPr>
            </w:pPr>
            <w:r>
              <w:rPr>
                <w:b/>
                <w:w w:val="98"/>
                <w:sz w:val="32"/>
              </w:rPr>
              <w:t>4</w:t>
            </w:r>
          </w:p>
        </w:tc>
        <w:tc>
          <w:tcPr>
            <w:tcW w:w="9249" w:type="dxa"/>
            <w:gridSpan w:val="2"/>
            <w:tcBorders>
              <w:bottom w:val="single" w:sz="4" w:space="0" w:color="000000"/>
            </w:tcBorders>
          </w:tcPr>
          <w:p>
            <w:pPr>
              <w:pStyle w:val="TableParagraph"/>
              <w:spacing w:before="137"/>
              <w:ind w:left="198"/>
              <w:rPr>
                <w:b/>
                <w:sz w:val="24"/>
              </w:rPr>
            </w:pPr>
            <w:r>
              <w:rPr>
                <w:b/>
                <w:w w:val="95"/>
                <w:sz w:val="24"/>
              </w:rPr>
              <w:t>如何交纳保险费</w:t>
            </w:r>
          </w:p>
        </w:tc>
      </w:tr>
      <w:tr>
        <w:trPr>
          <w:trHeight w:val="1657" w:hRule="atLeast"/>
        </w:trPr>
        <w:tc>
          <w:tcPr>
            <w:tcW w:w="625" w:type="dxa"/>
            <w:tcBorders>
              <w:top w:val="single" w:sz="4" w:space="0" w:color="000000"/>
            </w:tcBorders>
          </w:tcPr>
          <w:p>
            <w:pPr>
              <w:pStyle w:val="TableParagraph"/>
              <w:spacing w:before="164"/>
              <w:ind w:left="110"/>
              <w:rPr>
                <w:b/>
                <w:sz w:val="21"/>
              </w:rPr>
            </w:pPr>
            <w:r>
              <w:rPr>
                <w:b/>
                <w:sz w:val="21"/>
              </w:rPr>
              <w:t>4.1</w:t>
            </w:r>
          </w:p>
        </w:tc>
        <w:tc>
          <w:tcPr>
            <w:tcW w:w="1435" w:type="dxa"/>
            <w:tcBorders>
              <w:top w:val="single" w:sz="4" w:space="0" w:color="000000"/>
            </w:tcBorders>
          </w:tcPr>
          <w:p>
            <w:pPr>
              <w:pStyle w:val="TableParagraph"/>
              <w:spacing w:line="326" w:lineRule="auto" w:before="164"/>
              <w:ind w:left="198" w:right="178"/>
              <w:rPr>
                <w:b/>
                <w:sz w:val="21"/>
              </w:rPr>
            </w:pPr>
            <w:r>
              <w:rPr>
                <w:b/>
                <w:sz w:val="21"/>
              </w:rPr>
              <w:t>保险费的交纳</w:t>
            </w:r>
          </w:p>
        </w:tc>
        <w:tc>
          <w:tcPr>
            <w:tcW w:w="7814" w:type="dxa"/>
            <w:tcBorders>
              <w:top w:val="single" w:sz="4" w:space="0" w:color="000000"/>
            </w:tcBorders>
          </w:tcPr>
          <w:p>
            <w:pPr>
              <w:pStyle w:val="TableParagraph"/>
              <w:spacing w:line="273" w:lineRule="auto" w:before="133"/>
              <w:ind w:left="182" w:right="63"/>
              <w:jc w:val="both"/>
              <w:rPr>
                <w:sz w:val="21"/>
              </w:rPr>
            </w:pPr>
            <w:r>
              <w:rPr>
                <w:spacing w:val="-3"/>
                <w:sz w:val="21"/>
              </w:rPr>
              <w:t>本合同的保险费采取趸交、期交两种方式，可选择的期交交费期限为五年、十年、</w:t>
            </w:r>
            <w:r>
              <w:rPr>
                <w:spacing w:val="-7"/>
                <w:sz w:val="21"/>
              </w:rPr>
              <w:t>十五年和二十年，按照本公司的相关规定，由投保人和本公司约定并在保险单上载明。</w:t>
            </w:r>
          </w:p>
          <w:p>
            <w:pPr>
              <w:pStyle w:val="TableParagraph"/>
              <w:spacing w:before="178"/>
              <w:ind w:left="182"/>
              <w:jc w:val="both"/>
              <w:rPr>
                <w:sz w:val="21"/>
              </w:rPr>
            </w:pPr>
            <w:r>
              <w:rPr>
                <w:sz w:val="21"/>
              </w:rPr>
              <w:t>在交纳首期保险费后，投保人应当在每个保险费应交日交纳其余各期的保险费。</w:t>
            </w:r>
          </w:p>
        </w:tc>
      </w:tr>
      <w:tr>
        <w:trPr>
          <w:trHeight w:val="1984" w:hRule="atLeast"/>
        </w:trPr>
        <w:tc>
          <w:tcPr>
            <w:tcW w:w="625" w:type="dxa"/>
          </w:tcPr>
          <w:p>
            <w:pPr>
              <w:pStyle w:val="TableParagraph"/>
              <w:spacing w:before="98"/>
              <w:ind w:left="110"/>
              <w:rPr>
                <w:b/>
                <w:sz w:val="21"/>
              </w:rPr>
            </w:pPr>
            <w:r>
              <w:rPr>
                <w:b/>
                <w:sz w:val="21"/>
              </w:rPr>
              <w:t>4.2</w:t>
            </w:r>
          </w:p>
        </w:tc>
        <w:tc>
          <w:tcPr>
            <w:tcW w:w="1435" w:type="dxa"/>
          </w:tcPr>
          <w:p>
            <w:pPr>
              <w:pStyle w:val="TableParagraph"/>
              <w:spacing w:before="98"/>
              <w:ind w:left="198"/>
              <w:rPr>
                <w:b/>
                <w:sz w:val="21"/>
              </w:rPr>
            </w:pPr>
            <w:r>
              <w:rPr>
                <w:b/>
                <w:sz w:val="21"/>
              </w:rPr>
              <w:t>宽限期</w:t>
            </w:r>
          </w:p>
        </w:tc>
        <w:tc>
          <w:tcPr>
            <w:tcW w:w="7814" w:type="dxa"/>
          </w:tcPr>
          <w:p>
            <w:pPr>
              <w:pStyle w:val="TableParagraph"/>
              <w:spacing w:line="273" w:lineRule="auto" w:before="67"/>
              <w:ind w:left="182" w:right="-15"/>
              <w:jc w:val="both"/>
              <w:rPr>
                <w:rFonts w:ascii="黑体" w:eastAsia="黑体" w:hint="eastAsia"/>
                <w:sz w:val="21"/>
              </w:rPr>
            </w:pPr>
            <w:r>
              <w:rPr>
                <w:spacing w:val="-7"/>
                <w:sz w:val="21"/>
              </w:rPr>
              <w:t>分期支付保险费的，投保人支付首期保险费后，除本合同另有约定外，如果投保人</w:t>
            </w:r>
            <w:r>
              <w:rPr>
                <w:spacing w:val="-8"/>
                <w:sz w:val="21"/>
              </w:rPr>
              <w:t>到期未交纳保险费，自保险费应交日的次日起六十日为宽限期。</w:t>
            </w:r>
            <w:r>
              <w:rPr>
                <w:rFonts w:ascii="黑体" w:eastAsia="黑体" w:hint="eastAsia"/>
                <w:spacing w:val="-3"/>
                <w:sz w:val="21"/>
              </w:rPr>
              <w:t>宽限期内发</w:t>
            </w:r>
            <w:r>
              <w:rPr>
                <w:rFonts w:ascii="黑体" w:eastAsia="黑体" w:hint="eastAsia"/>
                <w:sz w:val="21"/>
              </w:rPr>
              <w:t>Th的保</w:t>
            </w:r>
            <w:r>
              <w:rPr>
                <w:rFonts w:ascii="黑体" w:eastAsia="黑体" w:hint="eastAsia"/>
                <w:spacing w:val="-14"/>
                <w:sz w:val="21"/>
              </w:rPr>
              <w:t>险事故，本公司仍会承担保险责任，但在给付保险金时会扣除投保人欠交的保险费。</w:t>
            </w:r>
          </w:p>
          <w:p>
            <w:pPr>
              <w:pStyle w:val="TableParagraph"/>
              <w:spacing w:line="300" w:lineRule="auto" w:before="178"/>
              <w:ind w:left="182" w:right="58"/>
              <w:rPr>
                <w:sz w:val="21"/>
              </w:rPr>
            </w:pPr>
            <w:r>
              <w:rPr>
                <w:sz w:val="21"/>
              </w:rPr>
              <w:t>如果宽限期结束之后投保人仍未交纳保险费，则本合同自宽限期满的次日零时起中止，但本合同另有约定的除外。</w:t>
            </w:r>
          </w:p>
        </w:tc>
      </w:tr>
      <w:tr>
        <w:trPr>
          <w:trHeight w:val="659" w:hRule="atLeast"/>
        </w:trPr>
        <w:tc>
          <w:tcPr>
            <w:tcW w:w="625" w:type="dxa"/>
            <w:tcBorders>
              <w:bottom w:val="single" w:sz="4" w:space="0" w:color="000000"/>
            </w:tcBorders>
          </w:tcPr>
          <w:p>
            <w:pPr>
              <w:pStyle w:val="TableParagraph"/>
              <w:spacing w:before="81"/>
              <w:ind w:left="148"/>
              <w:rPr>
                <w:b/>
                <w:sz w:val="32"/>
              </w:rPr>
            </w:pPr>
            <w:r>
              <w:rPr>
                <w:b/>
                <w:w w:val="98"/>
                <w:sz w:val="32"/>
              </w:rPr>
              <w:t>5</w:t>
            </w:r>
          </w:p>
        </w:tc>
        <w:tc>
          <w:tcPr>
            <w:tcW w:w="9249" w:type="dxa"/>
            <w:gridSpan w:val="2"/>
            <w:tcBorders>
              <w:bottom w:val="single" w:sz="4" w:space="0" w:color="000000"/>
            </w:tcBorders>
          </w:tcPr>
          <w:p>
            <w:pPr>
              <w:pStyle w:val="TableParagraph"/>
              <w:spacing w:before="145"/>
              <w:ind w:left="198"/>
              <w:rPr>
                <w:b/>
                <w:sz w:val="24"/>
              </w:rPr>
            </w:pPr>
            <w:r>
              <w:rPr>
                <w:b/>
                <w:w w:val="95"/>
                <w:sz w:val="24"/>
              </w:rPr>
              <w:t>现金价值权益</w:t>
            </w:r>
          </w:p>
        </w:tc>
      </w:tr>
      <w:tr>
        <w:trPr>
          <w:trHeight w:val="1326" w:hRule="atLeast"/>
        </w:trPr>
        <w:tc>
          <w:tcPr>
            <w:tcW w:w="625" w:type="dxa"/>
            <w:tcBorders>
              <w:top w:val="single" w:sz="4" w:space="0" w:color="000000"/>
            </w:tcBorders>
          </w:tcPr>
          <w:p>
            <w:pPr>
              <w:pStyle w:val="TableParagraph"/>
              <w:spacing w:line="256" w:lineRule="exact" w:before="0"/>
              <w:ind w:left="110"/>
              <w:rPr>
                <w:b/>
                <w:sz w:val="21"/>
              </w:rPr>
            </w:pPr>
            <w:r>
              <w:rPr>
                <w:b/>
                <w:sz w:val="21"/>
              </w:rPr>
              <w:t>5.1</w:t>
            </w:r>
          </w:p>
        </w:tc>
        <w:tc>
          <w:tcPr>
            <w:tcW w:w="1435" w:type="dxa"/>
            <w:tcBorders>
              <w:top w:val="single" w:sz="4" w:space="0" w:color="000000"/>
            </w:tcBorders>
          </w:tcPr>
          <w:p>
            <w:pPr>
              <w:pStyle w:val="TableParagraph"/>
              <w:spacing w:line="256" w:lineRule="exact" w:before="0"/>
              <w:ind w:left="198"/>
              <w:rPr>
                <w:b/>
                <w:sz w:val="21"/>
              </w:rPr>
            </w:pPr>
            <w:r>
              <w:rPr>
                <w:b/>
                <w:sz w:val="21"/>
              </w:rPr>
              <w:t>现金价值</w:t>
            </w:r>
          </w:p>
        </w:tc>
        <w:tc>
          <w:tcPr>
            <w:tcW w:w="7814" w:type="dxa"/>
            <w:tcBorders>
              <w:top w:val="single" w:sz="4" w:space="0" w:color="000000"/>
            </w:tcBorders>
          </w:tcPr>
          <w:p>
            <w:pPr>
              <w:pStyle w:val="TableParagraph"/>
              <w:spacing w:line="256" w:lineRule="exact" w:before="0"/>
              <w:ind w:left="182"/>
              <w:rPr>
                <w:sz w:val="21"/>
              </w:rPr>
            </w:pPr>
            <w:r>
              <w:rPr>
                <w:sz w:val="21"/>
              </w:rPr>
              <w:t>指保险单所具有的价值，通常体现为解除保险合同时，根据精算原理计算的，由本</w:t>
            </w:r>
          </w:p>
          <w:p>
            <w:pPr>
              <w:pStyle w:val="TableParagraph"/>
              <w:spacing w:line="273" w:lineRule="auto"/>
              <w:ind w:left="182" w:right="99"/>
              <w:jc w:val="both"/>
              <w:rPr>
                <w:sz w:val="21"/>
              </w:rPr>
            </w:pPr>
            <w:r>
              <w:rPr>
                <w:spacing w:val="-6"/>
                <w:sz w:val="21"/>
              </w:rPr>
              <w:t>公司向投保人退还的那部分金额。本合同保单年度末基本保险金额对应的现金价值</w:t>
            </w:r>
            <w:r>
              <w:rPr>
                <w:spacing w:val="-7"/>
                <w:sz w:val="21"/>
              </w:rPr>
              <w:t>会在保险单或批注上载明。保单年度中现金价值的金额基于保单年度末现金价值的</w:t>
            </w:r>
            <w:r>
              <w:rPr>
                <w:spacing w:val="-5"/>
                <w:sz w:val="21"/>
              </w:rPr>
              <w:t>金额根据合理的方法计算而得，投保人可以向本公司咨询。</w:t>
            </w:r>
          </w:p>
        </w:tc>
      </w:tr>
      <w:tr>
        <w:trPr>
          <w:trHeight w:val="2055" w:hRule="atLeast"/>
        </w:trPr>
        <w:tc>
          <w:tcPr>
            <w:tcW w:w="625" w:type="dxa"/>
          </w:tcPr>
          <w:p>
            <w:pPr>
              <w:pStyle w:val="TableParagraph"/>
              <w:spacing w:before="58"/>
              <w:ind w:left="110"/>
              <w:rPr>
                <w:b/>
                <w:sz w:val="21"/>
              </w:rPr>
            </w:pPr>
            <w:r>
              <w:rPr>
                <w:b/>
                <w:sz w:val="21"/>
              </w:rPr>
              <w:t>5.2</w:t>
            </w:r>
          </w:p>
        </w:tc>
        <w:tc>
          <w:tcPr>
            <w:tcW w:w="1435" w:type="dxa"/>
          </w:tcPr>
          <w:p>
            <w:pPr>
              <w:pStyle w:val="TableParagraph"/>
              <w:spacing w:before="58"/>
              <w:ind w:left="198"/>
              <w:rPr>
                <w:b/>
                <w:sz w:val="21"/>
              </w:rPr>
            </w:pPr>
            <w:r>
              <w:rPr>
                <w:b/>
                <w:sz w:val="21"/>
              </w:rPr>
              <w:t>保单贷款</w:t>
            </w:r>
          </w:p>
        </w:tc>
        <w:tc>
          <w:tcPr>
            <w:tcW w:w="7814" w:type="dxa"/>
          </w:tcPr>
          <w:p>
            <w:pPr>
              <w:pStyle w:val="TableParagraph"/>
              <w:spacing w:line="273" w:lineRule="auto" w:before="58"/>
              <w:ind w:left="182" w:right="-15"/>
              <w:rPr>
                <w:sz w:val="21"/>
              </w:rPr>
            </w:pPr>
            <w:r>
              <w:rPr>
                <w:spacing w:val="-6"/>
                <w:sz w:val="21"/>
              </w:rPr>
              <w:t>在本合同有效期内且在犹豫期之后，如果本合同具有现金价值，经被保险人书面同</w:t>
            </w:r>
            <w:r>
              <w:rPr>
                <w:spacing w:val="-4"/>
                <w:sz w:val="21"/>
              </w:rPr>
              <w:t>意，投保人可以向本公司申请贷款，经本公司同意后投保人可办理保单质押贷款。</w:t>
            </w:r>
            <w:r>
              <w:rPr>
                <w:spacing w:val="-3"/>
                <w:sz w:val="21"/>
              </w:rPr>
              <w:t>保单贷款的最高金额不超过本合同当时所具有的</w:t>
            </w:r>
            <w:r>
              <w:rPr>
                <w:b/>
                <w:spacing w:val="-4"/>
                <w:sz w:val="21"/>
              </w:rPr>
              <w:t>现金价值净额</w:t>
            </w:r>
            <w:r>
              <w:rPr>
                <w:sz w:val="21"/>
              </w:rPr>
              <w:t>（</w:t>
            </w:r>
            <w:r>
              <w:rPr>
                <w:spacing w:val="-20"/>
                <w:sz w:val="21"/>
              </w:rPr>
              <w:t>见 </w:t>
            </w:r>
            <w:r>
              <w:rPr>
                <w:spacing w:val="-5"/>
                <w:sz w:val="21"/>
              </w:rPr>
              <w:t>9.27）</w:t>
            </w:r>
            <w:r>
              <w:rPr>
                <w:spacing w:val="-20"/>
                <w:sz w:val="21"/>
              </w:rPr>
              <w:t>的 </w:t>
            </w:r>
            <w:r>
              <w:rPr>
                <w:sz w:val="21"/>
              </w:rPr>
              <w:t>80％， </w:t>
            </w:r>
            <w:r>
              <w:rPr>
                <w:spacing w:val="-6"/>
                <w:sz w:val="21"/>
              </w:rPr>
              <w:t>具体额度需经本公司审批。每次贷款期限最长不超过六个月，贷款利率按投保人申</w:t>
            </w:r>
            <w:r>
              <w:rPr>
                <w:spacing w:val="-4"/>
                <w:sz w:val="21"/>
              </w:rPr>
              <w:t>请贷款当时本公司确定的</w:t>
            </w:r>
            <w:r>
              <w:rPr>
                <w:b/>
                <w:sz w:val="21"/>
              </w:rPr>
              <w:t>约定利率</w:t>
            </w:r>
            <w:r>
              <w:rPr>
                <w:spacing w:val="-3"/>
                <w:sz w:val="21"/>
              </w:rPr>
              <w:t>（</w:t>
            </w:r>
            <w:r>
              <w:rPr>
                <w:spacing w:val="-12"/>
                <w:sz w:val="21"/>
              </w:rPr>
              <w:t>见 </w:t>
            </w:r>
            <w:r>
              <w:rPr>
                <w:sz w:val="21"/>
              </w:rPr>
              <w:t>9.28）</w:t>
            </w:r>
            <w:r>
              <w:rPr>
                <w:spacing w:val="-3"/>
                <w:sz w:val="21"/>
              </w:rPr>
              <w:t>执行，并在贷款协议中载明。</w:t>
            </w:r>
          </w:p>
          <w:p>
            <w:pPr>
              <w:pStyle w:val="TableParagraph"/>
              <w:spacing w:line="261" w:lineRule="exact" w:before="163"/>
              <w:ind w:left="182"/>
              <w:rPr>
                <w:sz w:val="21"/>
              </w:rPr>
            </w:pPr>
            <w:r>
              <w:rPr>
                <w:sz w:val="21"/>
              </w:rPr>
              <w:t>保单贷款期满时，如果投保人未能全部偿还贷款本金及利息，且本合同的现金价值</w:t>
            </w:r>
          </w:p>
        </w:tc>
      </w:tr>
    </w:tbl>
    <w:p>
      <w:pPr>
        <w:spacing w:after="0" w:line="261" w:lineRule="exact"/>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330"/>
        <w:gridCol w:w="7919"/>
      </w:tblGrid>
      <w:tr>
        <w:trPr>
          <w:trHeight w:val="1899" w:hRule="atLeast"/>
        </w:trPr>
        <w:tc>
          <w:tcPr>
            <w:tcW w:w="626" w:type="dxa"/>
          </w:tcPr>
          <w:p>
            <w:pPr>
              <w:pStyle w:val="TableParagraph"/>
              <w:spacing w:before="0"/>
              <w:ind w:left="0"/>
              <w:rPr>
                <w:rFonts w:ascii="Times New Roman"/>
                <w:sz w:val="20"/>
              </w:rPr>
            </w:pPr>
          </w:p>
        </w:tc>
        <w:tc>
          <w:tcPr>
            <w:tcW w:w="1330" w:type="dxa"/>
          </w:tcPr>
          <w:p>
            <w:pPr>
              <w:pStyle w:val="TableParagraph"/>
              <w:spacing w:before="0"/>
              <w:ind w:left="0"/>
              <w:rPr>
                <w:rFonts w:ascii="Times New Roman"/>
                <w:sz w:val="20"/>
              </w:rPr>
            </w:pPr>
          </w:p>
        </w:tc>
        <w:tc>
          <w:tcPr>
            <w:tcW w:w="7919" w:type="dxa"/>
          </w:tcPr>
          <w:p>
            <w:pPr>
              <w:pStyle w:val="TableParagraph"/>
              <w:spacing w:line="205" w:lineRule="exact" w:before="0"/>
              <w:ind w:left="286"/>
              <w:rPr>
                <w:sz w:val="21"/>
              </w:rPr>
            </w:pPr>
            <w:r>
              <w:rPr>
                <w:spacing w:val="-7"/>
                <w:sz w:val="21"/>
              </w:rPr>
              <w:t>净额大于零，未偿还的贷款本金及利息将构成新一期的保单贷款，贷款期限为 </w:t>
            </w:r>
            <w:r>
              <w:rPr>
                <w:sz w:val="21"/>
              </w:rPr>
              <w:t>6</w:t>
            </w:r>
            <w:r>
              <w:rPr>
                <w:spacing w:val="-16"/>
                <w:sz w:val="21"/>
              </w:rPr>
              <w:t> 个</w:t>
            </w:r>
          </w:p>
          <w:p>
            <w:pPr>
              <w:pStyle w:val="TableParagraph"/>
              <w:ind w:left="286"/>
              <w:rPr>
                <w:sz w:val="21"/>
              </w:rPr>
            </w:pPr>
            <w:r>
              <w:rPr>
                <w:sz w:val="21"/>
              </w:rPr>
              <w:t>月，并按本公司最近一次确定的约定利率计息。</w:t>
            </w:r>
          </w:p>
          <w:p>
            <w:pPr>
              <w:pStyle w:val="TableParagraph"/>
              <w:spacing w:before="9"/>
              <w:ind w:left="0"/>
              <w:rPr>
                <w:sz w:val="14"/>
              </w:rPr>
            </w:pPr>
          </w:p>
          <w:p>
            <w:pPr>
              <w:pStyle w:val="TableParagraph"/>
              <w:spacing w:before="0"/>
              <w:ind w:left="286"/>
              <w:rPr>
                <w:sz w:val="21"/>
              </w:rPr>
            </w:pPr>
            <w:r>
              <w:rPr>
                <w:sz w:val="21"/>
              </w:rPr>
              <w:t>当本合同的现金价值净额小于或等于零时，本合同的效力中止。</w:t>
            </w:r>
          </w:p>
          <w:p>
            <w:pPr>
              <w:pStyle w:val="TableParagraph"/>
              <w:spacing w:before="9"/>
              <w:ind w:left="0"/>
              <w:rPr>
                <w:sz w:val="14"/>
              </w:rPr>
            </w:pPr>
          </w:p>
          <w:p>
            <w:pPr>
              <w:pStyle w:val="TableParagraph"/>
              <w:spacing w:line="273" w:lineRule="auto" w:before="0"/>
              <w:ind w:left="286" w:right="59"/>
              <w:rPr>
                <w:sz w:val="21"/>
              </w:rPr>
            </w:pPr>
            <w:r>
              <w:rPr>
                <w:sz w:val="21"/>
              </w:rPr>
              <w:t>保单贷款须填写保单贷款申请书及其他相关文件，并凭保险合同、最后一次交费凭证及投保人的法定身份证明办理。</w:t>
            </w:r>
          </w:p>
        </w:tc>
      </w:tr>
      <w:tr>
        <w:trPr>
          <w:trHeight w:val="2422" w:hRule="atLeast"/>
        </w:trPr>
        <w:tc>
          <w:tcPr>
            <w:tcW w:w="626" w:type="dxa"/>
          </w:tcPr>
          <w:p>
            <w:pPr>
              <w:pStyle w:val="TableParagraph"/>
              <w:spacing w:before="58"/>
              <w:ind w:left="110"/>
              <w:rPr>
                <w:b/>
                <w:sz w:val="21"/>
              </w:rPr>
            </w:pPr>
            <w:r>
              <w:rPr>
                <w:b/>
                <w:sz w:val="21"/>
              </w:rPr>
              <w:t>5.3</w:t>
            </w:r>
          </w:p>
        </w:tc>
        <w:tc>
          <w:tcPr>
            <w:tcW w:w="1330" w:type="dxa"/>
          </w:tcPr>
          <w:p>
            <w:pPr>
              <w:pStyle w:val="TableParagraph"/>
              <w:spacing w:before="58"/>
              <w:ind w:left="197"/>
              <w:rPr>
                <w:b/>
                <w:sz w:val="21"/>
              </w:rPr>
            </w:pPr>
            <w:r>
              <w:rPr>
                <w:b/>
                <w:sz w:val="21"/>
              </w:rPr>
              <w:t>减保</w:t>
            </w:r>
          </w:p>
        </w:tc>
        <w:tc>
          <w:tcPr>
            <w:tcW w:w="7919" w:type="dxa"/>
          </w:tcPr>
          <w:p>
            <w:pPr>
              <w:pStyle w:val="TableParagraph"/>
              <w:spacing w:line="273" w:lineRule="auto" w:before="58"/>
              <w:ind w:left="286" w:right="59"/>
              <w:rPr>
                <w:sz w:val="21"/>
              </w:rPr>
            </w:pPr>
            <w:r>
              <w:rPr>
                <w:sz w:val="21"/>
              </w:rPr>
              <w:t>本合同已交足二年以上保险费且生效二年后，投保人可以申请减保，但减保后的基本保险金额不得低于申请减保时本公司规定的最低标准。</w:t>
            </w:r>
          </w:p>
          <w:p>
            <w:pPr>
              <w:pStyle w:val="TableParagraph"/>
              <w:spacing w:line="273" w:lineRule="auto" w:before="163"/>
              <w:ind w:left="286" w:right="-15"/>
              <w:rPr>
                <w:sz w:val="21"/>
              </w:rPr>
            </w:pPr>
            <w:r>
              <w:rPr>
                <w:spacing w:val="-14"/>
                <w:sz w:val="21"/>
              </w:rPr>
              <w:t>减保后，基本保险金额同比例减少，同时，投保人将领取减少部分对应的现金价值。</w:t>
            </w:r>
            <w:r>
              <w:rPr>
                <w:spacing w:val="-7"/>
                <w:sz w:val="21"/>
              </w:rPr>
              <w:t>减保后的保险费按下列公式计算：</w:t>
            </w:r>
          </w:p>
          <w:p>
            <w:pPr>
              <w:pStyle w:val="TableParagraph"/>
              <w:spacing w:line="408" w:lineRule="auto" w:before="8"/>
              <w:ind w:left="286" w:right="2695"/>
              <w:rPr>
                <w:sz w:val="21"/>
              </w:rPr>
            </w:pPr>
            <w:r>
              <w:rPr>
                <w:sz w:val="21"/>
              </w:rPr>
              <w:t>减保后的保险费=本次减保前的保险费</w:t>
            </w:r>
            <w:r>
              <w:rPr>
                <w:rFonts w:ascii="宋体" w:hAnsi="宋体" w:eastAsia="宋体" w:hint="eastAsia"/>
                <w:sz w:val="21"/>
              </w:rPr>
              <w:t>×</w:t>
            </w:r>
            <w:r>
              <w:rPr>
                <w:sz w:val="21"/>
              </w:rPr>
              <w:t>(1-减保比例) 本公司按减保后的基本保险金额承担保险责任。</w:t>
            </w:r>
          </w:p>
        </w:tc>
      </w:tr>
      <w:tr>
        <w:trPr>
          <w:trHeight w:val="683" w:hRule="atLeast"/>
        </w:trPr>
        <w:tc>
          <w:tcPr>
            <w:tcW w:w="626" w:type="dxa"/>
            <w:tcBorders>
              <w:bottom w:val="single" w:sz="4" w:space="0" w:color="000000"/>
            </w:tcBorders>
          </w:tcPr>
          <w:p>
            <w:pPr>
              <w:pStyle w:val="TableParagraph"/>
              <w:spacing w:before="105"/>
              <w:ind w:left="148"/>
              <w:rPr>
                <w:b/>
                <w:sz w:val="32"/>
              </w:rPr>
            </w:pPr>
            <w:r>
              <w:rPr>
                <w:b/>
                <w:w w:val="98"/>
                <w:sz w:val="32"/>
              </w:rPr>
              <w:t>6</w:t>
            </w:r>
          </w:p>
        </w:tc>
        <w:tc>
          <w:tcPr>
            <w:tcW w:w="9249" w:type="dxa"/>
            <w:gridSpan w:val="2"/>
            <w:tcBorders>
              <w:bottom w:val="single" w:sz="4" w:space="0" w:color="000000"/>
            </w:tcBorders>
          </w:tcPr>
          <w:p>
            <w:pPr>
              <w:pStyle w:val="TableParagraph"/>
              <w:spacing w:before="172"/>
              <w:ind w:left="197"/>
              <w:rPr>
                <w:b/>
                <w:sz w:val="24"/>
              </w:rPr>
            </w:pPr>
            <w:r>
              <w:rPr>
                <w:b/>
                <w:w w:val="95"/>
                <w:sz w:val="24"/>
              </w:rPr>
              <w:t>合同效力的中止及恢复</w:t>
            </w:r>
          </w:p>
        </w:tc>
      </w:tr>
      <w:tr>
        <w:trPr>
          <w:trHeight w:val="543" w:hRule="atLeast"/>
        </w:trPr>
        <w:tc>
          <w:tcPr>
            <w:tcW w:w="626" w:type="dxa"/>
            <w:tcBorders>
              <w:top w:val="single" w:sz="4" w:space="0" w:color="000000"/>
            </w:tcBorders>
          </w:tcPr>
          <w:p>
            <w:pPr>
              <w:pStyle w:val="TableParagraph"/>
              <w:spacing w:before="132"/>
              <w:ind w:left="110"/>
              <w:rPr>
                <w:b/>
                <w:sz w:val="21"/>
              </w:rPr>
            </w:pPr>
            <w:r>
              <w:rPr>
                <w:b/>
                <w:sz w:val="21"/>
              </w:rPr>
              <w:t>6.1</w:t>
            </w:r>
          </w:p>
        </w:tc>
        <w:tc>
          <w:tcPr>
            <w:tcW w:w="1330" w:type="dxa"/>
            <w:tcBorders>
              <w:top w:val="single" w:sz="4" w:space="0" w:color="000000"/>
            </w:tcBorders>
          </w:tcPr>
          <w:p>
            <w:pPr>
              <w:pStyle w:val="TableParagraph"/>
              <w:spacing w:before="132"/>
              <w:ind w:left="197"/>
              <w:rPr>
                <w:b/>
                <w:sz w:val="21"/>
              </w:rPr>
            </w:pPr>
            <w:r>
              <w:rPr>
                <w:b/>
                <w:sz w:val="21"/>
              </w:rPr>
              <w:t>效力中止</w:t>
            </w:r>
          </w:p>
        </w:tc>
        <w:tc>
          <w:tcPr>
            <w:tcW w:w="7919" w:type="dxa"/>
            <w:tcBorders>
              <w:top w:val="single" w:sz="4" w:space="0" w:color="000000"/>
            </w:tcBorders>
          </w:tcPr>
          <w:p>
            <w:pPr>
              <w:pStyle w:val="TableParagraph"/>
              <w:spacing w:before="132"/>
              <w:ind w:left="286"/>
              <w:rPr>
                <w:rFonts w:ascii="黑体" w:eastAsia="黑体" w:hint="eastAsia"/>
                <w:sz w:val="21"/>
              </w:rPr>
            </w:pPr>
            <w:r>
              <w:rPr>
                <w:rFonts w:ascii="黑体" w:eastAsia="黑体" w:hint="eastAsia"/>
                <w:sz w:val="21"/>
              </w:rPr>
              <w:t>在本合同效力中止期间，本公司不负保险责任。</w:t>
            </w:r>
          </w:p>
        </w:tc>
      </w:tr>
      <w:tr>
        <w:trPr>
          <w:trHeight w:val="3483" w:hRule="atLeast"/>
        </w:trPr>
        <w:tc>
          <w:tcPr>
            <w:tcW w:w="626" w:type="dxa"/>
          </w:tcPr>
          <w:p>
            <w:pPr>
              <w:pStyle w:val="TableParagraph"/>
              <w:spacing w:before="60"/>
              <w:ind w:left="110"/>
              <w:rPr>
                <w:b/>
                <w:sz w:val="21"/>
              </w:rPr>
            </w:pPr>
            <w:r>
              <w:rPr>
                <w:b/>
                <w:sz w:val="21"/>
              </w:rPr>
              <w:t>6.2</w:t>
            </w:r>
          </w:p>
        </w:tc>
        <w:tc>
          <w:tcPr>
            <w:tcW w:w="1330" w:type="dxa"/>
          </w:tcPr>
          <w:p>
            <w:pPr>
              <w:pStyle w:val="TableParagraph"/>
              <w:spacing w:before="60"/>
              <w:ind w:left="197"/>
              <w:rPr>
                <w:b/>
                <w:sz w:val="21"/>
              </w:rPr>
            </w:pPr>
            <w:r>
              <w:rPr>
                <w:b/>
                <w:sz w:val="21"/>
              </w:rPr>
              <w:t>效力恢复</w:t>
            </w:r>
          </w:p>
        </w:tc>
        <w:tc>
          <w:tcPr>
            <w:tcW w:w="7919" w:type="dxa"/>
          </w:tcPr>
          <w:p>
            <w:pPr>
              <w:pStyle w:val="TableParagraph"/>
              <w:spacing w:before="60"/>
              <w:ind w:left="286"/>
              <w:rPr>
                <w:sz w:val="21"/>
              </w:rPr>
            </w:pPr>
            <w:r>
              <w:rPr>
                <w:sz w:val="21"/>
              </w:rPr>
              <w:t>本合同效力中止后二年内，投保人可以申请恢复合同效力。</w:t>
            </w:r>
          </w:p>
          <w:p>
            <w:pPr>
              <w:pStyle w:val="TableParagraph"/>
              <w:spacing w:before="10"/>
              <w:ind w:left="0"/>
              <w:rPr>
                <w:sz w:val="14"/>
              </w:rPr>
            </w:pPr>
          </w:p>
          <w:p>
            <w:pPr>
              <w:pStyle w:val="TableParagraph"/>
              <w:spacing w:line="273" w:lineRule="auto" w:before="0"/>
              <w:ind w:left="286" w:right="101"/>
              <w:jc w:val="both"/>
              <w:rPr>
                <w:sz w:val="21"/>
              </w:rPr>
            </w:pPr>
            <w:r>
              <w:rPr>
                <w:spacing w:val="-6"/>
                <w:sz w:val="21"/>
              </w:rPr>
              <w:t>因欠交保险费导致本合同效力中止的，经本公司与投保人协商并达成协议，在投保</w:t>
            </w:r>
            <w:r>
              <w:rPr>
                <w:spacing w:val="-7"/>
                <w:sz w:val="21"/>
              </w:rPr>
              <w:t>人补交保险费及累积利息次日零时起，本合同效力恢复。累积利息按本合同约定利</w:t>
            </w:r>
            <w:r>
              <w:rPr>
                <w:spacing w:val="-5"/>
                <w:sz w:val="21"/>
              </w:rPr>
              <w:t>率计算，但本合同另有约定的除外。</w:t>
            </w:r>
          </w:p>
          <w:p>
            <w:pPr>
              <w:pStyle w:val="TableParagraph"/>
              <w:spacing w:line="273" w:lineRule="auto" w:before="163"/>
              <w:ind w:left="286" w:right="101"/>
              <w:jc w:val="both"/>
              <w:rPr>
                <w:sz w:val="21"/>
              </w:rPr>
            </w:pPr>
            <w:r>
              <w:rPr>
                <w:spacing w:val="-6"/>
                <w:sz w:val="21"/>
              </w:rPr>
              <w:t>因保单贷款导致本合同效力中止的，经本公司与投保人协商并达成协议，在投保人</w:t>
            </w:r>
            <w:r>
              <w:rPr>
                <w:spacing w:val="-8"/>
                <w:sz w:val="21"/>
              </w:rPr>
              <w:t>偿还保单贷款、累积利息及其他未还款项次日零时起，本合同效力恢复。累积利息</w:t>
            </w:r>
            <w:r>
              <w:rPr>
                <w:spacing w:val="-5"/>
                <w:sz w:val="21"/>
              </w:rPr>
              <w:t>按本合同约定利率计算，但本合同另有约定的除外。</w:t>
            </w:r>
          </w:p>
          <w:p>
            <w:pPr>
              <w:pStyle w:val="TableParagraph"/>
              <w:spacing w:line="273" w:lineRule="auto" w:before="163"/>
              <w:ind w:left="286" w:right="100"/>
              <w:jc w:val="both"/>
              <w:rPr>
                <w:sz w:val="21"/>
              </w:rPr>
            </w:pPr>
            <w:r>
              <w:rPr>
                <w:spacing w:val="-5"/>
                <w:sz w:val="21"/>
              </w:rPr>
              <w:t>自合同效力中止之日起满二年双方未达成协议的，本公司有权解除合同，并向投保</w:t>
            </w:r>
            <w:r>
              <w:rPr>
                <w:spacing w:val="-4"/>
                <w:sz w:val="21"/>
              </w:rPr>
              <w:t>人退还本合同宽限期开始前一日的现金价值。</w:t>
            </w:r>
          </w:p>
        </w:tc>
      </w:tr>
      <w:tr>
        <w:trPr>
          <w:trHeight w:val="648" w:hRule="atLeast"/>
        </w:trPr>
        <w:tc>
          <w:tcPr>
            <w:tcW w:w="626" w:type="dxa"/>
            <w:tcBorders>
              <w:bottom w:val="single" w:sz="4" w:space="0" w:color="000000"/>
            </w:tcBorders>
          </w:tcPr>
          <w:p>
            <w:pPr>
              <w:pStyle w:val="TableParagraph"/>
              <w:spacing w:before="72"/>
              <w:ind w:left="148"/>
              <w:rPr>
                <w:b/>
                <w:sz w:val="32"/>
              </w:rPr>
            </w:pPr>
            <w:r>
              <w:rPr>
                <w:b/>
                <w:w w:val="98"/>
                <w:sz w:val="32"/>
              </w:rPr>
              <w:t>7</w:t>
            </w:r>
          </w:p>
        </w:tc>
        <w:tc>
          <w:tcPr>
            <w:tcW w:w="9249" w:type="dxa"/>
            <w:gridSpan w:val="2"/>
            <w:tcBorders>
              <w:bottom w:val="single" w:sz="4" w:space="0" w:color="000000"/>
            </w:tcBorders>
          </w:tcPr>
          <w:p>
            <w:pPr>
              <w:pStyle w:val="TableParagraph"/>
              <w:spacing w:before="137"/>
              <w:ind w:left="197"/>
              <w:rPr>
                <w:b/>
                <w:sz w:val="24"/>
              </w:rPr>
            </w:pPr>
            <w:r>
              <w:rPr>
                <w:b/>
                <w:w w:val="95"/>
                <w:sz w:val="24"/>
              </w:rPr>
              <w:t>如何解除保险合同</w:t>
            </w:r>
          </w:p>
        </w:tc>
      </w:tr>
      <w:tr>
        <w:trPr>
          <w:trHeight w:val="3372" w:hRule="atLeast"/>
        </w:trPr>
        <w:tc>
          <w:tcPr>
            <w:tcW w:w="626" w:type="dxa"/>
            <w:tcBorders>
              <w:top w:val="single" w:sz="4" w:space="0" w:color="000000"/>
            </w:tcBorders>
          </w:tcPr>
          <w:p>
            <w:pPr>
              <w:pStyle w:val="TableParagraph"/>
              <w:spacing w:before="131"/>
              <w:ind w:left="110"/>
              <w:rPr>
                <w:b/>
                <w:sz w:val="21"/>
              </w:rPr>
            </w:pPr>
            <w:r>
              <w:rPr>
                <w:b/>
                <w:sz w:val="21"/>
              </w:rPr>
              <w:t>7.1</w:t>
            </w:r>
          </w:p>
        </w:tc>
        <w:tc>
          <w:tcPr>
            <w:tcW w:w="1330" w:type="dxa"/>
            <w:tcBorders>
              <w:top w:val="single" w:sz="4" w:space="0" w:color="000000"/>
            </w:tcBorders>
          </w:tcPr>
          <w:p>
            <w:pPr>
              <w:pStyle w:val="TableParagraph"/>
              <w:spacing w:before="131"/>
              <w:ind w:left="197"/>
              <w:rPr>
                <w:b/>
                <w:sz w:val="21"/>
              </w:rPr>
            </w:pPr>
            <w:r>
              <w:rPr>
                <w:b/>
                <w:sz w:val="21"/>
              </w:rPr>
              <w:t>合同解除</w:t>
            </w:r>
          </w:p>
        </w:tc>
        <w:tc>
          <w:tcPr>
            <w:tcW w:w="7919" w:type="dxa"/>
            <w:tcBorders>
              <w:top w:val="single" w:sz="4" w:space="0" w:color="000000"/>
            </w:tcBorders>
          </w:tcPr>
          <w:p>
            <w:pPr>
              <w:pStyle w:val="TableParagraph"/>
              <w:spacing w:line="273" w:lineRule="auto" w:before="131"/>
              <w:ind w:left="286" w:right="101"/>
              <w:rPr>
                <w:sz w:val="21"/>
              </w:rPr>
            </w:pPr>
            <w:r>
              <w:rPr>
                <w:spacing w:val="-6"/>
                <w:sz w:val="21"/>
              </w:rPr>
              <w:t>投保人在犹豫期后，可以书面通知要求解除本合同，并向本公司提供下列证明和资料：</w:t>
            </w:r>
          </w:p>
          <w:p>
            <w:pPr>
              <w:pStyle w:val="TableParagraph"/>
              <w:numPr>
                <w:ilvl w:val="0"/>
                <w:numId w:val="16"/>
              </w:numPr>
              <w:tabs>
                <w:tab w:pos="863" w:val="left" w:leader="none"/>
              </w:tabs>
              <w:spacing w:line="240" w:lineRule="auto" w:before="8" w:after="0"/>
              <w:ind w:left="862" w:right="0" w:hanging="576"/>
              <w:jc w:val="left"/>
              <w:rPr>
                <w:sz w:val="21"/>
              </w:rPr>
            </w:pPr>
            <w:r>
              <w:rPr>
                <w:spacing w:val="-1"/>
                <w:sz w:val="21"/>
              </w:rPr>
              <w:t>保险合同；</w:t>
            </w:r>
          </w:p>
          <w:p>
            <w:pPr>
              <w:pStyle w:val="TableParagraph"/>
              <w:numPr>
                <w:ilvl w:val="0"/>
                <w:numId w:val="16"/>
              </w:numPr>
              <w:tabs>
                <w:tab w:pos="863" w:val="left" w:leader="none"/>
              </w:tabs>
              <w:spacing w:line="240" w:lineRule="auto" w:before="37" w:after="0"/>
              <w:ind w:left="862" w:right="0" w:hanging="576"/>
              <w:jc w:val="left"/>
              <w:rPr>
                <w:sz w:val="21"/>
              </w:rPr>
            </w:pPr>
            <w:r>
              <w:rPr>
                <w:spacing w:val="-3"/>
                <w:sz w:val="21"/>
              </w:rPr>
              <w:t>解除合同申请书；</w:t>
            </w:r>
          </w:p>
          <w:p>
            <w:pPr>
              <w:pStyle w:val="TableParagraph"/>
              <w:numPr>
                <w:ilvl w:val="0"/>
                <w:numId w:val="16"/>
              </w:numPr>
              <w:tabs>
                <w:tab w:pos="863" w:val="left" w:leader="none"/>
              </w:tabs>
              <w:spacing w:line="240" w:lineRule="auto" w:before="37" w:after="0"/>
              <w:ind w:left="862" w:right="0" w:hanging="576"/>
              <w:jc w:val="left"/>
              <w:rPr>
                <w:sz w:val="21"/>
              </w:rPr>
            </w:pPr>
            <w:r>
              <w:rPr>
                <w:spacing w:val="-3"/>
                <w:sz w:val="21"/>
              </w:rPr>
              <w:t>投保人的法定身份证明；</w:t>
            </w:r>
          </w:p>
          <w:p>
            <w:pPr>
              <w:pStyle w:val="TableParagraph"/>
              <w:numPr>
                <w:ilvl w:val="0"/>
                <w:numId w:val="16"/>
              </w:numPr>
              <w:tabs>
                <w:tab w:pos="863" w:val="left" w:leader="none"/>
              </w:tabs>
              <w:spacing w:line="240" w:lineRule="auto" w:before="37" w:after="0"/>
              <w:ind w:left="862" w:right="0" w:hanging="576"/>
              <w:jc w:val="left"/>
              <w:rPr>
                <w:sz w:val="21"/>
              </w:rPr>
            </w:pPr>
            <w:r>
              <w:rPr>
                <w:spacing w:val="-3"/>
                <w:sz w:val="21"/>
              </w:rPr>
              <w:t>本公司要求的其他证明和资料。</w:t>
            </w:r>
          </w:p>
          <w:p>
            <w:pPr>
              <w:pStyle w:val="TableParagraph"/>
              <w:spacing w:before="9"/>
              <w:ind w:left="0"/>
              <w:rPr>
                <w:sz w:val="14"/>
              </w:rPr>
            </w:pPr>
          </w:p>
          <w:p>
            <w:pPr>
              <w:pStyle w:val="TableParagraph"/>
              <w:spacing w:line="273" w:lineRule="auto" w:before="0"/>
              <w:ind w:left="286" w:right="101"/>
              <w:rPr>
                <w:sz w:val="21"/>
              </w:rPr>
            </w:pPr>
            <w:r>
              <w:rPr>
                <w:spacing w:val="-6"/>
                <w:sz w:val="21"/>
              </w:rPr>
              <w:t>自本公司收到解除合同申请书之日起，本合同终止。本公司在收到上述证明和资料</w:t>
            </w:r>
            <w:r>
              <w:rPr>
                <w:spacing w:val="-14"/>
                <w:sz w:val="21"/>
              </w:rPr>
              <w:t>之日起 </w:t>
            </w:r>
            <w:r>
              <w:rPr>
                <w:sz w:val="21"/>
              </w:rPr>
              <w:t>30</w:t>
            </w:r>
            <w:r>
              <w:rPr>
                <w:spacing w:val="-8"/>
                <w:sz w:val="21"/>
              </w:rPr>
              <w:t> 日内退还本合同的现金价值。</w:t>
            </w:r>
          </w:p>
          <w:p>
            <w:pPr>
              <w:pStyle w:val="TableParagraph"/>
              <w:spacing w:before="163"/>
              <w:ind w:left="286"/>
              <w:rPr>
                <w:rFonts w:ascii="黑体" w:eastAsia="黑体" w:hint="eastAsia"/>
                <w:sz w:val="21"/>
              </w:rPr>
            </w:pPr>
            <w:r>
              <w:rPr>
                <w:rFonts w:ascii="黑体" w:eastAsia="黑体" w:hint="eastAsia"/>
                <w:sz w:val="21"/>
              </w:rPr>
              <w:t>投保人在犹豫期后解除合同会遭受一定的损失。</w:t>
            </w:r>
          </w:p>
        </w:tc>
      </w:tr>
      <w:tr>
        <w:trPr>
          <w:trHeight w:val="621" w:hRule="atLeast"/>
        </w:trPr>
        <w:tc>
          <w:tcPr>
            <w:tcW w:w="626" w:type="dxa"/>
            <w:tcBorders>
              <w:bottom w:val="single" w:sz="4" w:space="0" w:color="000000"/>
            </w:tcBorders>
          </w:tcPr>
          <w:p>
            <w:pPr>
              <w:pStyle w:val="TableParagraph"/>
              <w:spacing w:before="47"/>
              <w:ind w:left="148"/>
              <w:rPr>
                <w:b/>
                <w:sz w:val="32"/>
              </w:rPr>
            </w:pPr>
            <w:r>
              <w:rPr>
                <w:b/>
                <w:w w:val="98"/>
                <w:sz w:val="32"/>
              </w:rPr>
              <w:t>8</w:t>
            </w:r>
          </w:p>
        </w:tc>
        <w:tc>
          <w:tcPr>
            <w:tcW w:w="9249" w:type="dxa"/>
            <w:gridSpan w:val="2"/>
            <w:tcBorders>
              <w:bottom w:val="single" w:sz="4" w:space="0" w:color="000000"/>
            </w:tcBorders>
          </w:tcPr>
          <w:p>
            <w:pPr>
              <w:pStyle w:val="TableParagraph"/>
              <w:spacing w:before="110"/>
              <w:ind w:left="197"/>
              <w:rPr>
                <w:b/>
                <w:sz w:val="24"/>
              </w:rPr>
            </w:pPr>
            <w:r>
              <w:rPr>
                <w:b/>
                <w:w w:val="95"/>
                <w:sz w:val="24"/>
              </w:rPr>
              <w:t>其他需要关注的事项</w:t>
            </w:r>
          </w:p>
        </w:tc>
      </w:tr>
      <w:tr>
        <w:trPr>
          <w:trHeight w:val="413" w:hRule="atLeast"/>
        </w:trPr>
        <w:tc>
          <w:tcPr>
            <w:tcW w:w="626" w:type="dxa"/>
            <w:tcBorders>
              <w:top w:val="single" w:sz="4" w:space="0" w:color="000000"/>
            </w:tcBorders>
          </w:tcPr>
          <w:p>
            <w:pPr>
              <w:pStyle w:val="TableParagraph"/>
              <w:spacing w:line="261" w:lineRule="exact" w:before="132"/>
              <w:ind w:left="110"/>
              <w:rPr>
                <w:b/>
                <w:sz w:val="21"/>
              </w:rPr>
            </w:pPr>
            <w:r>
              <w:rPr>
                <w:b/>
                <w:sz w:val="21"/>
              </w:rPr>
              <w:t>8.1</w:t>
            </w:r>
          </w:p>
        </w:tc>
        <w:tc>
          <w:tcPr>
            <w:tcW w:w="1330" w:type="dxa"/>
            <w:tcBorders>
              <w:top w:val="single" w:sz="4" w:space="0" w:color="000000"/>
            </w:tcBorders>
          </w:tcPr>
          <w:p>
            <w:pPr>
              <w:pStyle w:val="TableParagraph"/>
              <w:spacing w:line="261" w:lineRule="exact" w:before="132"/>
              <w:ind w:left="197"/>
              <w:rPr>
                <w:b/>
                <w:sz w:val="21"/>
              </w:rPr>
            </w:pPr>
            <w:r>
              <w:rPr>
                <w:b/>
                <w:sz w:val="21"/>
              </w:rPr>
              <w:t>如实告知</w:t>
            </w:r>
          </w:p>
        </w:tc>
        <w:tc>
          <w:tcPr>
            <w:tcW w:w="7919" w:type="dxa"/>
            <w:tcBorders>
              <w:top w:val="single" w:sz="4" w:space="0" w:color="000000"/>
            </w:tcBorders>
          </w:tcPr>
          <w:p>
            <w:pPr>
              <w:pStyle w:val="TableParagraph"/>
              <w:spacing w:line="261" w:lineRule="exact" w:before="132"/>
              <w:ind w:left="286"/>
              <w:rPr>
                <w:sz w:val="21"/>
              </w:rPr>
            </w:pPr>
            <w:r>
              <w:rPr>
                <w:sz w:val="21"/>
              </w:rPr>
              <w:t>订立本合同或申请恢复本合同效力时，本公司应向投保人明确说明本合同的内容，</w:t>
            </w:r>
          </w:p>
        </w:tc>
      </w:tr>
    </w:tbl>
    <w:p>
      <w:pPr>
        <w:spacing w:after="0" w:line="261" w:lineRule="exact"/>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435"/>
        <w:gridCol w:w="7812"/>
      </w:tblGrid>
      <w:tr>
        <w:trPr>
          <w:trHeight w:val="4552" w:hRule="atLeast"/>
        </w:trPr>
        <w:tc>
          <w:tcPr>
            <w:tcW w:w="626" w:type="dxa"/>
          </w:tcPr>
          <w:p>
            <w:pPr>
              <w:pStyle w:val="TableParagraph"/>
              <w:spacing w:before="0"/>
              <w:ind w:left="0"/>
              <w:rPr>
                <w:rFonts w:ascii="Times New Roman"/>
                <w:sz w:val="20"/>
              </w:rPr>
            </w:pPr>
          </w:p>
        </w:tc>
        <w:tc>
          <w:tcPr>
            <w:tcW w:w="1435" w:type="dxa"/>
          </w:tcPr>
          <w:p>
            <w:pPr>
              <w:pStyle w:val="TableParagraph"/>
              <w:spacing w:before="0"/>
              <w:ind w:left="0"/>
              <w:rPr>
                <w:rFonts w:ascii="Times New Roman"/>
                <w:sz w:val="20"/>
              </w:rPr>
            </w:pPr>
          </w:p>
        </w:tc>
        <w:tc>
          <w:tcPr>
            <w:tcW w:w="7812" w:type="dxa"/>
          </w:tcPr>
          <w:p>
            <w:pPr>
              <w:pStyle w:val="TableParagraph"/>
              <w:spacing w:line="205" w:lineRule="exact" w:before="0"/>
              <w:ind w:left="181"/>
              <w:rPr>
                <w:sz w:val="21"/>
              </w:rPr>
            </w:pPr>
            <w:r>
              <w:rPr>
                <w:sz w:val="21"/>
              </w:rPr>
              <w:t>并可以就投保人、被保险人的有关情况提出询问，投保人应当如实告知。</w:t>
            </w:r>
          </w:p>
          <w:p>
            <w:pPr>
              <w:pStyle w:val="TableParagraph"/>
              <w:spacing w:before="9"/>
              <w:ind w:left="0"/>
              <w:rPr>
                <w:sz w:val="14"/>
              </w:rPr>
            </w:pPr>
          </w:p>
          <w:p>
            <w:pPr>
              <w:pStyle w:val="TableParagraph"/>
              <w:spacing w:line="273" w:lineRule="auto" w:before="1"/>
              <w:ind w:left="181" w:right="99"/>
              <w:jc w:val="both"/>
              <w:rPr>
                <w:rFonts w:ascii="黑体" w:eastAsia="黑体" w:hint="eastAsia"/>
                <w:sz w:val="21"/>
              </w:rPr>
            </w:pPr>
            <w:r>
              <w:rPr>
                <w:rFonts w:ascii="黑体" w:eastAsia="黑体" w:hint="eastAsia"/>
                <w:spacing w:val="-5"/>
                <w:sz w:val="21"/>
              </w:rPr>
              <w:t>投保人故意或者因重大过失未履行前款规定的如实告知义务，足以影响本公司决定</w:t>
            </w:r>
            <w:r>
              <w:rPr>
                <w:rFonts w:ascii="黑体" w:eastAsia="黑体" w:hint="eastAsia"/>
                <w:spacing w:val="-4"/>
                <w:sz w:val="21"/>
              </w:rPr>
              <w:t>是否同意承保或者提高保险费率的，本公司有权解除本合同。</w:t>
            </w:r>
          </w:p>
          <w:p>
            <w:pPr>
              <w:pStyle w:val="TableParagraph"/>
              <w:spacing w:line="273" w:lineRule="auto" w:before="164"/>
              <w:ind w:left="181" w:right="62"/>
              <w:jc w:val="both"/>
              <w:rPr>
                <w:sz w:val="21"/>
              </w:rPr>
            </w:pPr>
            <w:r>
              <w:rPr>
                <w:spacing w:val="-6"/>
                <w:sz w:val="21"/>
              </w:rPr>
              <w:t>前款规定的合同解除权，自本公司知道有解除事由之日起，超过三十日不行使而消</w:t>
            </w:r>
            <w:r>
              <w:rPr>
                <w:spacing w:val="-4"/>
                <w:sz w:val="21"/>
              </w:rPr>
              <w:t>灭。自本合同成立之日起超过二年的，本公司不得解除本合同；发生保险事故的， </w:t>
            </w:r>
            <w:r>
              <w:rPr>
                <w:spacing w:val="-3"/>
                <w:sz w:val="21"/>
              </w:rPr>
              <w:t>本公司承担给付保险金的责任。</w:t>
            </w:r>
          </w:p>
          <w:p>
            <w:pPr>
              <w:pStyle w:val="TableParagraph"/>
              <w:spacing w:line="273" w:lineRule="auto" w:before="164"/>
              <w:ind w:left="181" w:right="98"/>
              <w:jc w:val="both"/>
              <w:rPr>
                <w:rFonts w:ascii="黑体" w:eastAsia="黑体" w:hint="eastAsia"/>
                <w:sz w:val="21"/>
              </w:rPr>
            </w:pPr>
            <w:r>
              <w:rPr>
                <w:rFonts w:ascii="黑体" w:eastAsia="黑体" w:hint="eastAsia"/>
                <w:spacing w:val="-5"/>
                <w:sz w:val="21"/>
              </w:rPr>
              <w:t>投保人故意不履行如实告知义务的，本公司对于合同解除前发</w:t>
            </w:r>
            <w:r>
              <w:rPr>
                <w:rFonts w:ascii="黑体" w:eastAsia="黑体" w:hint="eastAsia"/>
                <w:sz w:val="21"/>
              </w:rPr>
              <w:t>Th</w:t>
            </w:r>
            <w:r>
              <w:rPr>
                <w:rFonts w:ascii="黑体" w:eastAsia="黑体" w:hint="eastAsia"/>
                <w:spacing w:val="-6"/>
                <w:sz w:val="21"/>
              </w:rPr>
              <w:t>的保险事故，不承</w:t>
            </w:r>
            <w:r>
              <w:rPr>
                <w:rFonts w:ascii="黑体" w:eastAsia="黑体" w:hint="eastAsia"/>
                <w:spacing w:val="-4"/>
                <w:sz w:val="21"/>
              </w:rPr>
              <w:t>担给付保险金的责任，并不退还保险费。</w:t>
            </w:r>
          </w:p>
          <w:p>
            <w:pPr>
              <w:pStyle w:val="TableParagraph"/>
              <w:spacing w:line="273" w:lineRule="auto" w:before="164"/>
              <w:ind w:left="181" w:right="99"/>
              <w:jc w:val="both"/>
              <w:rPr>
                <w:rFonts w:ascii="黑体" w:eastAsia="黑体" w:hint="eastAsia"/>
                <w:sz w:val="21"/>
              </w:rPr>
            </w:pPr>
            <w:r>
              <w:rPr>
                <w:rFonts w:ascii="黑体" w:eastAsia="黑体" w:hint="eastAsia"/>
                <w:spacing w:val="-4"/>
                <w:sz w:val="21"/>
              </w:rPr>
              <w:t>投保人因重大过失未履行如实告知义务，对保险事故的发</w:t>
            </w:r>
            <w:r>
              <w:rPr>
                <w:rFonts w:ascii="黑体" w:eastAsia="黑体" w:hint="eastAsia"/>
                <w:sz w:val="21"/>
              </w:rPr>
              <w:t>Th</w:t>
            </w:r>
            <w:r>
              <w:rPr>
                <w:rFonts w:ascii="黑体" w:eastAsia="黑体" w:hint="eastAsia"/>
                <w:spacing w:val="-6"/>
                <w:sz w:val="21"/>
              </w:rPr>
              <w:t>有严重影响的，本公司</w:t>
            </w:r>
            <w:r>
              <w:rPr>
                <w:rFonts w:ascii="黑体" w:eastAsia="黑体" w:hint="eastAsia"/>
                <w:spacing w:val="-3"/>
                <w:sz w:val="21"/>
              </w:rPr>
              <w:t>对于合同解除前发</w:t>
            </w:r>
            <w:r>
              <w:rPr>
                <w:rFonts w:ascii="黑体" w:eastAsia="黑体" w:hint="eastAsia"/>
                <w:sz w:val="21"/>
              </w:rPr>
              <w:t>Th</w:t>
            </w:r>
            <w:r>
              <w:rPr>
                <w:rFonts w:ascii="黑体" w:eastAsia="黑体" w:hint="eastAsia"/>
                <w:spacing w:val="-3"/>
                <w:sz w:val="21"/>
              </w:rPr>
              <w:t>的保险事故，不承担给付保险金的责任，但退还保险费。</w:t>
            </w:r>
          </w:p>
          <w:p>
            <w:pPr>
              <w:pStyle w:val="TableParagraph"/>
              <w:spacing w:line="273" w:lineRule="auto" w:before="164"/>
              <w:ind w:left="181" w:right="98"/>
              <w:jc w:val="both"/>
              <w:rPr>
                <w:sz w:val="21"/>
              </w:rPr>
            </w:pPr>
            <w:r>
              <w:rPr>
                <w:spacing w:val="-5"/>
                <w:sz w:val="21"/>
              </w:rPr>
              <w:t>本公司在本合同订立时已经知道投保人未如实告知的情况的，本公司不得解除本合</w:t>
            </w:r>
            <w:r>
              <w:rPr>
                <w:spacing w:val="-4"/>
                <w:sz w:val="21"/>
              </w:rPr>
              <w:t>同；发生保险事故的，本公司承担给付保险金的责任。</w:t>
            </w:r>
          </w:p>
        </w:tc>
      </w:tr>
      <w:tr>
        <w:trPr>
          <w:trHeight w:val="3277" w:hRule="atLeast"/>
        </w:trPr>
        <w:tc>
          <w:tcPr>
            <w:tcW w:w="626" w:type="dxa"/>
          </w:tcPr>
          <w:p>
            <w:pPr>
              <w:pStyle w:val="TableParagraph"/>
              <w:spacing w:before="58"/>
              <w:ind w:left="110"/>
              <w:rPr>
                <w:b/>
                <w:sz w:val="21"/>
              </w:rPr>
            </w:pPr>
            <w:r>
              <w:rPr>
                <w:b/>
                <w:sz w:val="21"/>
              </w:rPr>
              <w:t>8.2</w:t>
            </w:r>
          </w:p>
        </w:tc>
        <w:tc>
          <w:tcPr>
            <w:tcW w:w="1435" w:type="dxa"/>
          </w:tcPr>
          <w:p>
            <w:pPr>
              <w:pStyle w:val="TableParagraph"/>
              <w:spacing w:line="273" w:lineRule="auto" w:before="58"/>
              <w:ind w:left="197" w:right="179"/>
              <w:rPr>
                <w:b/>
                <w:sz w:val="21"/>
              </w:rPr>
            </w:pPr>
            <w:r>
              <w:rPr>
                <w:b/>
                <w:sz w:val="21"/>
              </w:rPr>
              <w:t>年龄确定与错误处理</w:t>
            </w:r>
          </w:p>
        </w:tc>
        <w:tc>
          <w:tcPr>
            <w:tcW w:w="7812" w:type="dxa"/>
          </w:tcPr>
          <w:p>
            <w:pPr>
              <w:pStyle w:val="TableParagraph"/>
              <w:spacing w:line="273" w:lineRule="auto" w:before="58"/>
              <w:ind w:left="181" w:right="98"/>
              <w:rPr>
                <w:sz w:val="21"/>
              </w:rPr>
            </w:pPr>
            <w:r>
              <w:rPr>
                <w:spacing w:val="-6"/>
                <w:sz w:val="21"/>
              </w:rPr>
              <w:t>被保险人的投保年龄按周岁计算。投保人应在投保本保险时将被保险人的真实年龄</w:t>
            </w:r>
            <w:r>
              <w:rPr>
                <w:spacing w:val="-4"/>
                <w:sz w:val="21"/>
              </w:rPr>
              <w:t>在投保单上填明，如果发生错误，本公司按照下列规定办理：</w:t>
            </w:r>
          </w:p>
          <w:p>
            <w:pPr>
              <w:pStyle w:val="TableParagraph"/>
              <w:numPr>
                <w:ilvl w:val="0"/>
                <w:numId w:val="17"/>
              </w:numPr>
              <w:tabs>
                <w:tab w:pos="806" w:val="left" w:leader="none"/>
              </w:tabs>
              <w:spacing w:line="273" w:lineRule="auto" w:before="7" w:after="0"/>
              <w:ind w:left="805" w:right="98" w:hanging="624"/>
              <w:jc w:val="both"/>
              <w:rPr>
                <w:rFonts w:ascii="黑体" w:eastAsia="黑体" w:hint="eastAsia"/>
                <w:sz w:val="21"/>
              </w:rPr>
            </w:pPr>
            <w:r>
              <w:rPr>
                <w:rFonts w:ascii="黑体" w:eastAsia="黑体" w:hint="eastAsia"/>
                <w:spacing w:val="-5"/>
                <w:sz w:val="21"/>
              </w:rPr>
              <w:t>投保人申报的被保险人年龄不真实，并且其真实年龄不符合本合同约定的年</w:t>
            </w:r>
            <w:r>
              <w:rPr>
                <w:rFonts w:ascii="黑体" w:eastAsia="黑体" w:hint="eastAsia"/>
                <w:spacing w:val="-7"/>
                <w:sz w:val="21"/>
              </w:rPr>
              <w:t>龄限制的，本公司有权在知道有解除事由之日起三十日内解除本合同，并向</w:t>
            </w:r>
            <w:r>
              <w:rPr>
                <w:rFonts w:ascii="黑体" w:eastAsia="黑体" w:hint="eastAsia"/>
                <w:spacing w:val="-5"/>
                <w:sz w:val="21"/>
              </w:rPr>
              <w:t>投保人退还本合同的现金价值，但自本合同成立之日起超过二年的除外。</w:t>
            </w:r>
          </w:p>
          <w:p>
            <w:pPr>
              <w:pStyle w:val="TableParagraph"/>
              <w:numPr>
                <w:ilvl w:val="0"/>
                <w:numId w:val="17"/>
              </w:numPr>
              <w:tabs>
                <w:tab w:pos="806" w:val="left" w:leader="none"/>
              </w:tabs>
              <w:spacing w:line="273" w:lineRule="auto" w:before="7" w:after="0"/>
              <w:ind w:left="805" w:right="98" w:hanging="624"/>
              <w:jc w:val="both"/>
              <w:rPr>
                <w:rFonts w:ascii="黑体" w:eastAsia="黑体" w:hint="eastAsia"/>
                <w:sz w:val="21"/>
              </w:rPr>
            </w:pPr>
            <w:r>
              <w:rPr>
                <w:rFonts w:ascii="黑体" w:eastAsia="黑体" w:hint="eastAsia"/>
                <w:spacing w:val="-5"/>
                <w:sz w:val="21"/>
              </w:rPr>
              <w:t>投保人申报的被保险人年龄不真实，致使投保人支付的保险费少于应付保险</w:t>
            </w:r>
            <w:r>
              <w:rPr>
                <w:rFonts w:ascii="黑体" w:eastAsia="黑体" w:hint="eastAsia"/>
                <w:spacing w:val="-7"/>
                <w:sz w:val="21"/>
              </w:rPr>
              <w:t>费的，本公司有权更正并要求投保人补交保险费，或在给付保险金时按照实</w:t>
            </w:r>
            <w:r>
              <w:rPr>
                <w:rFonts w:ascii="黑体" w:eastAsia="黑体" w:hint="eastAsia"/>
                <w:spacing w:val="-5"/>
                <w:sz w:val="21"/>
              </w:rPr>
              <w:t>付保险费与应付保险费的比例支付。</w:t>
            </w:r>
          </w:p>
          <w:p>
            <w:pPr>
              <w:pStyle w:val="TableParagraph"/>
              <w:numPr>
                <w:ilvl w:val="0"/>
                <w:numId w:val="17"/>
              </w:numPr>
              <w:tabs>
                <w:tab w:pos="806" w:val="left" w:leader="none"/>
              </w:tabs>
              <w:spacing w:line="273" w:lineRule="auto" w:before="7" w:after="0"/>
              <w:ind w:left="805" w:right="98" w:hanging="624"/>
              <w:jc w:val="both"/>
              <w:rPr>
                <w:sz w:val="21"/>
              </w:rPr>
            </w:pPr>
            <w:r>
              <w:rPr>
                <w:spacing w:val="-5"/>
                <w:sz w:val="21"/>
              </w:rPr>
              <w:t>投保人申报的被保险人年龄不真实，致使投保人支付的保险费多于应付保险</w:t>
            </w:r>
            <w:r>
              <w:rPr>
                <w:spacing w:val="-4"/>
                <w:sz w:val="21"/>
              </w:rPr>
              <w:t>费的，本公司应将多收的保险费无息退还投保人。</w:t>
            </w:r>
          </w:p>
        </w:tc>
      </w:tr>
      <w:tr>
        <w:trPr>
          <w:trHeight w:val="1095" w:hRule="atLeast"/>
        </w:trPr>
        <w:tc>
          <w:tcPr>
            <w:tcW w:w="626" w:type="dxa"/>
          </w:tcPr>
          <w:p>
            <w:pPr>
              <w:pStyle w:val="TableParagraph"/>
              <w:spacing w:before="60"/>
              <w:ind w:left="110"/>
              <w:rPr>
                <w:b/>
                <w:sz w:val="21"/>
              </w:rPr>
            </w:pPr>
            <w:r>
              <w:rPr>
                <w:b/>
                <w:sz w:val="21"/>
              </w:rPr>
              <w:t>8.3</w:t>
            </w:r>
          </w:p>
        </w:tc>
        <w:tc>
          <w:tcPr>
            <w:tcW w:w="1435" w:type="dxa"/>
          </w:tcPr>
          <w:p>
            <w:pPr>
              <w:pStyle w:val="TableParagraph"/>
              <w:spacing w:before="60"/>
              <w:ind w:left="197"/>
              <w:rPr>
                <w:b/>
                <w:sz w:val="21"/>
              </w:rPr>
            </w:pPr>
            <w:r>
              <w:rPr>
                <w:b/>
                <w:sz w:val="21"/>
              </w:rPr>
              <w:t>未还款项</w:t>
            </w:r>
          </w:p>
        </w:tc>
        <w:tc>
          <w:tcPr>
            <w:tcW w:w="7812" w:type="dxa"/>
          </w:tcPr>
          <w:p>
            <w:pPr>
              <w:pStyle w:val="TableParagraph"/>
              <w:spacing w:line="273" w:lineRule="auto" w:before="60"/>
              <w:ind w:left="181" w:right="98"/>
              <w:jc w:val="both"/>
              <w:rPr>
                <w:sz w:val="21"/>
              </w:rPr>
            </w:pPr>
            <w:r>
              <w:rPr>
                <w:spacing w:val="-6"/>
                <w:sz w:val="21"/>
              </w:rPr>
              <w:t>本公司在给付各项保险金、退还现金价值或返还保险费时，如果投保人有欠交的保</w:t>
            </w:r>
            <w:r>
              <w:rPr>
                <w:spacing w:val="-7"/>
                <w:sz w:val="21"/>
              </w:rPr>
              <w:t>险费或其他未还清款项，本公司会在扣除上述欠款及应付利息后给付。应付利息按</w:t>
            </w:r>
            <w:r>
              <w:rPr>
                <w:spacing w:val="-5"/>
                <w:sz w:val="21"/>
              </w:rPr>
              <w:t>本条款约定利率计算，但本合同另有约定的除外。</w:t>
            </w:r>
          </w:p>
        </w:tc>
      </w:tr>
      <w:tr>
        <w:trPr>
          <w:trHeight w:val="1565" w:hRule="atLeast"/>
        </w:trPr>
        <w:tc>
          <w:tcPr>
            <w:tcW w:w="626" w:type="dxa"/>
          </w:tcPr>
          <w:p>
            <w:pPr>
              <w:pStyle w:val="TableParagraph"/>
              <w:spacing w:before="61"/>
              <w:ind w:left="110"/>
              <w:rPr>
                <w:b/>
                <w:sz w:val="21"/>
              </w:rPr>
            </w:pPr>
            <w:r>
              <w:rPr>
                <w:b/>
                <w:sz w:val="21"/>
              </w:rPr>
              <w:t>8.4</w:t>
            </w:r>
          </w:p>
        </w:tc>
        <w:tc>
          <w:tcPr>
            <w:tcW w:w="1435" w:type="dxa"/>
          </w:tcPr>
          <w:p>
            <w:pPr>
              <w:pStyle w:val="TableParagraph"/>
              <w:spacing w:line="273" w:lineRule="auto" w:before="61"/>
              <w:ind w:left="197" w:right="179"/>
              <w:rPr>
                <w:b/>
                <w:sz w:val="21"/>
              </w:rPr>
            </w:pPr>
            <w:r>
              <w:rPr>
                <w:b/>
                <w:sz w:val="21"/>
              </w:rPr>
              <w:t>合同内容变更</w:t>
            </w:r>
          </w:p>
        </w:tc>
        <w:tc>
          <w:tcPr>
            <w:tcW w:w="7812" w:type="dxa"/>
          </w:tcPr>
          <w:p>
            <w:pPr>
              <w:pStyle w:val="TableParagraph"/>
              <w:spacing w:line="273" w:lineRule="auto" w:before="61"/>
              <w:ind w:left="181" w:right="98"/>
              <w:jc w:val="both"/>
              <w:rPr>
                <w:sz w:val="21"/>
              </w:rPr>
            </w:pPr>
            <w:r>
              <w:rPr>
                <w:spacing w:val="-5"/>
                <w:sz w:val="21"/>
              </w:rPr>
              <w:t>投保人和本公司可以协商变更本合同的内容。变更本合同的，应当由本公司在保险</w:t>
            </w:r>
            <w:r>
              <w:rPr>
                <w:spacing w:val="-6"/>
                <w:sz w:val="21"/>
              </w:rPr>
              <w:t>单或者其他保险凭证上批注或者附贴批单，或者由投保人与本公司订立书面的变更协议。</w:t>
            </w:r>
          </w:p>
          <w:p>
            <w:pPr>
              <w:pStyle w:val="TableParagraph"/>
              <w:spacing w:before="164"/>
              <w:ind w:left="181"/>
              <w:jc w:val="both"/>
              <w:rPr>
                <w:sz w:val="21"/>
              </w:rPr>
            </w:pPr>
            <w:r>
              <w:rPr>
                <w:sz w:val="21"/>
              </w:rPr>
              <w:t>若被保险人身故，则本公司不接受本合同内容的任何变更申请。</w:t>
            </w:r>
          </w:p>
        </w:tc>
      </w:tr>
      <w:tr>
        <w:trPr>
          <w:trHeight w:val="1407" w:hRule="atLeast"/>
        </w:trPr>
        <w:tc>
          <w:tcPr>
            <w:tcW w:w="626" w:type="dxa"/>
          </w:tcPr>
          <w:p>
            <w:pPr>
              <w:pStyle w:val="TableParagraph"/>
              <w:spacing w:before="61"/>
              <w:ind w:left="110"/>
              <w:rPr>
                <w:b/>
                <w:sz w:val="21"/>
              </w:rPr>
            </w:pPr>
            <w:r>
              <w:rPr>
                <w:b/>
                <w:sz w:val="21"/>
              </w:rPr>
              <w:t>8.5</w:t>
            </w:r>
          </w:p>
        </w:tc>
        <w:tc>
          <w:tcPr>
            <w:tcW w:w="1435" w:type="dxa"/>
          </w:tcPr>
          <w:p>
            <w:pPr>
              <w:pStyle w:val="TableParagraph"/>
              <w:spacing w:line="273" w:lineRule="auto" w:before="61"/>
              <w:ind w:left="197" w:right="179"/>
              <w:rPr>
                <w:b/>
                <w:sz w:val="21"/>
              </w:rPr>
            </w:pPr>
            <w:r>
              <w:rPr>
                <w:b/>
                <w:sz w:val="21"/>
              </w:rPr>
              <w:t>联系方式变更</w:t>
            </w:r>
          </w:p>
        </w:tc>
        <w:tc>
          <w:tcPr>
            <w:tcW w:w="7812" w:type="dxa"/>
          </w:tcPr>
          <w:p>
            <w:pPr>
              <w:pStyle w:val="TableParagraph"/>
              <w:spacing w:line="273" w:lineRule="auto" w:before="61"/>
              <w:ind w:left="181" w:right="99"/>
              <w:jc w:val="both"/>
              <w:rPr>
                <w:sz w:val="21"/>
              </w:rPr>
            </w:pPr>
            <w:r>
              <w:rPr>
                <w:spacing w:val="-6"/>
                <w:sz w:val="21"/>
              </w:rPr>
              <w:t>投保人住所、通讯地址或电话等联系方式变更时，应及时以书面形式或双方认可的</w:t>
            </w:r>
            <w:r>
              <w:rPr>
                <w:spacing w:val="-7"/>
                <w:sz w:val="21"/>
              </w:rPr>
              <w:t>其他形式通知本公司。投保人未以书面形式或双方认可的其他形式通知的，本公司将按本合同载明的最后住所或通讯地址等联系方式发送有关通知，并视为已送达给</w:t>
            </w:r>
            <w:r>
              <w:rPr>
                <w:spacing w:val="-5"/>
                <w:sz w:val="21"/>
              </w:rPr>
              <w:t>投保人。</w:t>
            </w:r>
          </w:p>
        </w:tc>
      </w:tr>
      <w:tr>
        <w:trPr>
          <w:trHeight w:val="1769" w:hRule="atLeast"/>
        </w:trPr>
        <w:tc>
          <w:tcPr>
            <w:tcW w:w="626" w:type="dxa"/>
          </w:tcPr>
          <w:p>
            <w:pPr>
              <w:pStyle w:val="TableParagraph"/>
              <w:spacing w:before="60"/>
              <w:ind w:left="110"/>
              <w:rPr>
                <w:b/>
                <w:sz w:val="21"/>
              </w:rPr>
            </w:pPr>
            <w:r>
              <w:rPr>
                <w:b/>
                <w:sz w:val="21"/>
              </w:rPr>
              <w:t>8.6</w:t>
            </w:r>
          </w:p>
        </w:tc>
        <w:tc>
          <w:tcPr>
            <w:tcW w:w="1435" w:type="dxa"/>
          </w:tcPr>
          <w:p>
            <w:pPr>
              <w:pStyle w:val="TableParagraph"/>
              <w:spacing w:before="60"/>
              <w:ind w:left="197"/>
              <w:rPr>
                <w:b/>
                <w:sz w:val="21"/>
              </w:rPr>
            </w:pPr>
            <w:r>
              <w:rPr>
                <w:b/>
                <w:sz w:val="21"/>
              </w:rPr>
              <w:t>争议处理</w:t>
            </w:r>
          </w:p>
        </w:tc>
        <w:tc>
          <w:tcPr>
            <w:tcW w:w="7812" w:type="dxa"/>
          </w:tcPr>
          <w:p>
            <w:pPr>
              <w:pStyle w:val="TableParagraph"/>
              <w:spacing w:before="60"/>
              <w:ind w:left="181"/>
              <w:rPr>
                <w:sz w:val="21"/>
              </w:rPr>
            </w:pPr>
            <w:r>
              <w:rPr>
                <w:sz w:val="21"/>
              </w:rPr>
              <w:t>本合同争议的解决方式，由当事人在合同中约定从下列两种方式中选择一种：</w:t>
            </w:r>
          </w:p>
          <w:p>
            <w:pPr>
              <w:pStyle w:val="TableParagraph"/>
              <w:numPr>
                <w:ilvl w:val="0"/>
                <w:numId w:val="18"/>
              </w:numPr>
              <w:tabs>
                <w:tab w:pos="902" w:val="left" w:leader="none"/>
              </w:tabs>
              <w:spacing w:line="240" w:lineRule="auto" w:before="37" w:after="0"/>
              <w:ind w:left="901" w:right="0" w:hanging="720"/>
              <w:jc w:val="left"/>
              <w:rPr>
                <w:sz w:val="21"/>
              </w:rPr>
            </w:pPr>
            <w:r>
              <w:rPr>
                <w:spacing w:val="3"/>
                <w:sz w:val="21"/>
              </w:rPr>
              <w:t>因履行本合同发生的争议，由当事人协商解决，协商不成的，提交仲裁</w:t>
            </w:r>
          </w:p>
          <w:p>
            <w:pPr>
              <w:pStyle w:val="TableParagraph"/>
              <w:tabs>
                <w:tab w:pos="1532" w:val="left" w:leader="none"/>
              </w:tabs>
              <w:ind w:left="901"/>
              <w:rPr>
                <w:sz w:val="21"/>
              </w:rPr>
            </w:pPr>
            <w:r>
              <w:rPr>
                <w:rFonts w:ascii="Times New Roman" w:eastAsia="Times New Roman"/>
                <w:w w:val="100"/>
                <w:sz w:val="21"/>
                <w:u w:val="single"/>
              </w:rPr>
              <w:t> </w:t>
            </w:r>
            <w:r>
              <w:rPr>
                <w:rFonts w:ascii="Times New Roman" w:eastAsia="Times New Roman"/>
                <w:sz w:val="21"/>
                <w:u w:val="single"/>
              </w:rPr>
              <w:tab/>
            </w:r>
            <w:r>
              <w:rPr>
                <w:spacing w:val="-3"/>
                <w:sz w:val="21"/>
              </w:rPr>
              <w:t>委员会仲裁；</w:t>
            </w:r>
          </w:p>
          <w:p>
            <w:pPr>
              <w:pStyle w:val="TableParagraph"/>
              <w:numPr>
                <w:ilvl w:val="0"/>
                <w:numId w:val="18"/>
              </w:numPr>
              <w:tabs>
                <w:tab w:pos="902" w:val="left" w:leader="none"/>
              </w:tabs>
              <w:spacing w:line="273" w:lineRule="auto" w:before="37" w:after="0"/>
              <w:ind w:left="901" w:right="101" w:hanging="720"/>
              <w:jc w:val="left"/>
              <w:rPr>
                <w:sz w:val="21"/>
              </w:rPr>
            </w:pPr>
            <w:r>
              <w:rPr>
                <w:sz w:val="21"/>
              </w:rPr>
              <w:t>因履行本合同发生的争议，由当事人协商解决，协商不成的，依法向人民</w:t>
            </w:r>
            <w:r>
              <w:rPr>
                <w:spacing w:val="-2"/>
                <w:sz w:val="21"/>
              </w:rPr>
              <w:t>法院提起诉讼。</w:t>
            </w:r>
          </w:p>
        </w:tc>
      </w:tr>
      <w:tr>
        <w:trPr>
          <w:trHeight w:val="622" w:hRule="atLeast"/>
        </w:trPr>
        <w:tc>
          <w:tcPr>
            <w:tcW w:w="626" w:type="dxa"/>
            <w:tcBorders>
              <w:bottom w:val="single" w:sz="4" w:space="0" w:color="000000"/>
            </w:tcBorders>
          </w:tcPr>
          <w:p>
            <w:pPr>
              <w:pStyle w:val="TableParagraph"/>
              <w:spacing w:before="75"/>
              <w:ind w:left="148"/>
              <w:rPr>
                <w:b/>
                <w:sz w:val="32"/>
              </w:rPr>
            </w:pPr>
            <w:r>
              <w:rPr>
                <w:b/>
                <w:w w:val="98"/>
                <w:sz w:val="32"/>
              </w:rPr>
              <w:t>9</w:t>
            </w:r>
          </w:p>
        </w:tc>
        <w:tc>
          <w:tcPr>
            <w:tcW w:w="1435" w:type="dxa"/>
            <w:tcBorders>
              <w:bottom w:val="single" w:sz="4" w:space="0" w:color="000000"/>
            </w:tcBorders>
          </w:tcPr>
          <w:p>
            <w:pPr>
              <w:pStyle w:val="TableParagraph"/>
              <w:spacing w:before="125"/>
              <w:ind w:left="197"/>
              <w:rPr>
                <w:b/>
                <w:sz w:val="24"/>
              </w:rPr>
            </w:pPr>
            <w:r>
              <w:rPr>
                <w:b/>
                <w:sz w:val="24"/>
              </w:rPr>
              <w:t>释义</w:t>
            </w:r>
          </w:p>
        </w:tc>
        <w:tc>
          <w:tcPr>
            <w:tcW w:w="7812" w:type="dxa"/>
            <w:tcBorders>
              <w:bottom w:val="single" w:sz="4"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header="0" w:footer="377" w:top="1340" w:bottom="560" w:left="900" w:right="9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383"/>
        <w:gridCol w:w="8017"/>
      </w:tblGrid>
      <w:tr>
        <w:trPr>
          <w:trHeight w:val="340" w:hRule="atLeast"/>
        </w:trPr>
        <w:tc>
          <w:tcPr>
            <w:tcW w:w="768" w:type="dxa"/>
          </w:tcPr>
          <w:p>
            <w:pPr>
              <w:pStyle w:val="TableParagraph"/>
              <w:spacing w:line="205" w:lineRule="exact" w:before="0"/>
              <w:ind w:left="76" w:right="125"/>
              <w:jc w:val="center"/>
              <w:rPr>
                <w:b/>
                <w:sz w:val="21"/>
              </w:rPr>
            </w:pPr>
            <w:r>
              <w:rPr>
                <w:b/>
                <w:sz w:val="21"/>
              </w:rPr>
              <w:t>9.1</w:t>
            </w:r>
          </w:p>
        </w:tc>
        <w:tc>
          <w:tcPr>
            <w:tcW w:w="1383" w:type="dxa"/>
          </w:tcPr>
          <w:p>
            <w:pPr>
              <w:pStyle w:val="TableParagraph"/>
              <w:spacing w:line="205" w:lineRule="exact" w:before="0"/>
              <w:ind w:left="145"/>
              <w:rPr>
                <w:b/>
                <w:sz w:val="21"/>
              </w:rPr>
            </w:pPr>
            <w:r>
              <w:rPr>
                <w:b/>
                <w:sz w:val="21"/>
              </w:rPr>
              <w:t>本公司</w:t>
            </w:r>
          </w:p>
        </w:tc>
        <w:tc>
          <w:tcPr>
            <w:tcW w:w="8017" w:type="dxa"/>
          </w:tcPr>
          <w:p>
            <w:pPr>
              <w:pStyle w:val="TableParagraph"/>
              <w:spacing w:line="205" w:lineRule="exact" w:before="0"/>
              <w:ind w:left="180"/>
              <w:rPr>
                <w:sz w:val="21"/>
              </w:rPr>
            </w:pPr>
            <w:r>
              <w:rPr>
                <w:sz w:val="21"/>
              </w:rPr>
              <w:t>君康人寿保险股份有限公司。</w:t>
            </w:r>
          </w:p>
        </w:tc>
      </w:tr>
      <w:tr>
        <w:trPr>
          <w:trHeight w:val="783" w:hRule="atLeast"/>
        </w:trPr>
        <w:tc>
          <w:tcPr>
            <w:tcW w:w="768" w:type="dxa"/>
          </w:tcPr>
          <w:p>
            <w:pPr>
              <w:pStyle w:val="TableParagraph"/>
              <w:spacing w:before="60"/>
              <w:ind w:left="76" w:right="125"/>
              <w:jc w:val="center"/>
              <w:rPr>
                <w:b/>
                <w:sz w:val="21"/>
              </w:rPr>
            </w:pPr>
            <w:r>
              <w:rPr>
                <w:b/>
                <w:sz w:val="21"/>
              </w:rPr>
              <w:t>9.2</w:t>
            </w:r>
          </w:p>
        </w:tc>
        <w:tc>
          <w:tcPr>
            <w:tcW w:w="1383" w:type="dxa"/>
          </w:tcPr>
          <w:p>
            <w:pPr>
              <w:pStyle w:val="TableParagraph"/>
              <w:spacing w:before="60"/>
              <w:ind w:left="145"/>
              <w:rPr>
                <w:b/>
                <w:sz w:val="21"/>
              </w:rPr>
            </w:pPr>
            <w:r>
              <w:rPr>
                <w:b/>
                <w:sz w:val="21"/>
              </w:rPr>
              <w:t>保单年度</w:t>
            </w:r>
          </w:p>
        </w:tc>
        <w:tc>
          <w:tcPr>
            <w:tcW w:w="8017" w:type="dxa"/>
          </w:tcPr>
          <w:p>
            <w:pPr>
              <w:pStyle w:val="TableParagraph"/>
              <w:spacing w:line="273" w:lineRule="auto" w:before="60"/>
              <w:ind w:left="180" w:right="314"/>
              <w:rPr>
                <w:sz w:val="21"/>
              </w:rPr>
            </w:pPr>
            <w:r>
              <w:rPr>
                <w:sz w:val="21"/>
              </w:rPr>
              <w:t>从保险合同生效日或生效对应日的零时起至下一年度保险合同生效对应日的前一日 24 时止为一个保单年度。</w:t>
            </w:r>
          </w:p>
        </w:tc>
      </w:tr>
      <w:tr>
        <w:trPr>
          <w:trHeight w:val="782" w:hRule="atLeast"/>
        </w:trPr>
        <w:tc>
          <w:tcPr>
            <w:tcW w:w="768" w:type="dxa"/>
          </w:tcPr>
          <w:p>
            <w:pPr>
              <w:pStyle w:val="TableParagraph"/>
              <w:spacing w:before="61"/>
              <w:ind w:left="76" w:right="125"/>
              <w:jc w:val="center"/>
              <w:rPr>
                <w:b/>
                <w:sz w:val="21"/>
              </w:rPr>
            </w:pPr>
            <w:r>
              <w:rPr>
                <w:b/>
                <w:sz w:val="21"/>
              </w:rPr>
              <w:t>9.3</w:t>
            </w:r>
          </w:p>
        </w:tc>
        <w:tc>
          <w:tcPr>
            <w:tcW w:w="1383" w:type="dxa"/>
          </w:tcPr>
          <w:p>
            <w:pPr>
              <w:pStyle w:val="TableParagraph"/>
              <w:spacing w:line="273" w:lineRule="auto" w:before="61"/>
              <w:ind w:left="145" w:right="179"/>
              <w:rPr>
                <w:b/>
                <w:sz w:val="21"/>
              </w:rPr>
            </w:pPr>
            <w:r>
              <w:rPr>
                <w:b/>
                <w:sz w:val="21"/>
              </w:rPr>
              <w:t>保险费应交日</w:t>
            </w:r>
          </w:p>
        </w:tc>
        <w:tc>
          <w:tcPr>
            <w:tcW w:w="8017" w:type="dxa"/>
          </w:tcPr>
          <w:p>
            <w:pPr>
              <w:pStyle w:val="TableParagraph"/>
              <w:spacing w:line="273" w:lineRule="auto" w:before="61"/>
              <w:ind w:left="180" w:right="263"/>
              <w:rPr>
                <w:sz w:val="21"/>
              </w:rPr>
            </w:pPr>
            <w:r>
              <w:rPr>
                <w:sz w:val="21"/>
              </w:rPr>
              <w:t>保险合同生效日在每年的对应日的前一日。如果当月无对应的同一日，以该月最后一日为对应日。</w:t>
            </w:r>
          </w:p>
        </w:tc>
      </w:tr>
      <w:tr>
        <w:trPr>
          <w:trHeight w:val="784" w:hRule="atLeast"/>
        </w:trPr>
        <w:tc>
          <w:tcPr>
            <w:tcW w:w="768" w:type="dxa"/>
          </w:tcPr>
          <w:p>
            <w:pPr>
              <w:pStyle w:val="TableParagraph"/>
              <w:spacing w:before="90"/>
              <w:ind w:left="76" w:right="125"/>
              <w:jc w:val="center"/>
              <w:rPr>
                <w:b/>
                <w:sz w:val="21"/>
              </w:rPr>
            </w:pPr>
            <w:r>
              <w:rPr>
                <w:b/>
                <w:sz w:val="21"/>
              </w:rPr>
              <w:t>9.4</w:t>
            </w:r>
          </w:p>
        </w:tc>
        <w:tc>
          <w:tcPr>
            <w:tcW w:w="1383" w:type="dxa"/>
          </w:tcPr>
          <w:p>
            <w:pPr>
              <w:pStyle w:val="TableParagraph"/>
              <w:spacing w:before="90"/>
              <w:ind w:left="145"/>
              <w:rPr>
                <w:b/>
                <w:sz w:val="21"/>
              </w:rPr>
            </w:pPr>
            <w:r>
              <w:rPr>
                <w:b/>
                <w:sz w:val="21"/>
              </w:rPr>
              <w:t>周岁</w:t>
            </w:r>
          </w:p>
        </w:tc>
        <w:tc>
          <w:tcPr>
            <w:tcW w:w="8017" w:type="dxa"/>
          </w:tcPr>
          <w:p>
            <w:pPr>
              <w:pStyle w:val="TableParagraph"/>
              <w:spacing w:line="273" w:lineRule="auto" w:before="58"/>
              <w:ind w:left="180" w:right="263"/>
              <w:rPr>
                <w:sz w:val="21"/>
              </w:rPr>
            </w:pPr>
            <w:r>
              <w:rPr>
                <w:sz w:val="21"/>
              </w:rPr>
              <w:t>以法定有效身份证件中记载的出生日期为计算基础，自出生之日起为零周岁，每经过一年增加一岁，不足一年的不计。</w:t>
            </w:r>
          </w:p>
        </w:tc>
      </w:tr>
      <w:tr>
        <w:trPr>
          <w:trHeight w:val="788" w:hRule="atLeast"/>
        </w:trPr>
        <w:tc>
          <w:tcPr>
            <w:tcW w:w="768" w:type="dxa"/>
          </w:tcPr>
          <w:p>
            <w:pPr>
              <w:pStyle w:val="TableParagraph"/>
              <w:spacing w:before="94"/>
              <w:ind w:left="76" w:right="125"/>
              <w:jc w:val="center"/>
              <w:rPr>
                <w:b/>
                <w:sz w:val="21"/>
              </w:rPr>
            </w:pPr>
            <w:r>
              <w:rPr>
                <w:b/>
                <w:sz w:val="21"/>
              </w:rPr>
              <w:t>9.5</w:t>
            </w:r>
          </w:p>
        </w:tc>
        <w:tc>
          <w:tcPr>
            <w:tcW w:w="1383" w:type="dxa"/>
          </w:tcPr>
          <w:p>
            <w:pPr>
              <w:pStyle w:val="TableParagraph"/>
              <w:spacing w:before="94"/>
              <w:ind w:left="145"/>
              <w:rPr>
                <w:b/>
                <w:sz w:val="21"/>
              </w:rPr>
            </w:pPr>
            <w:r>
              <w:rPr>
                <w:b/>
                <w:sz w:val="21"/>
              </w:rPr>
              <w:t>特殊群体</w:t>
            </w:r>
          </w:p>
        </w:tc>
        <w:tc>
          <w:tcPr>
            <w:tcW w:w="8017" w:type="dxa"/>
          </w:tcPr>
          <w:p>
            <w:pPr>
              <w:pStyle w:val="TableParagraph"/>
              <w:spacing w:line="273" w:lineRule="auto" w:before="63"/>
              <w:ind w:left="180" w:right="304"/>
              <w:rPr>
                <w:sz w:val="21"/>
              </w:rPr>
            </w:pPr>
            <w:r>
              <w:rPr>
                <w:spacing w:val="-6"/>
                <w:sz w:val="21"/>
              </w:rPr>
              <w:t>特殊群体主要针对部分年长、残疾、低收入者设定，本公司对特殊群体的认定以各</w:t>
            </w:r>
            <w:r>
              <w:rPr>
                <w:spacing w:val="-4"/>
                <w:sz w:val="21"/>
              </w:rPr>
              <w:t>地方保险监管机构的统一规范标准为依据。</w:t>
            </w:r>
          </w:p>
        </w:tc>
      </w:tr>
      <w:tr>
        <w:trPr>
          <w:trHeight w:val="747" w:hRule="atLeast"/>
        </w:trPr>
        <w:tc>
          <w:tcPr>
            <w:tcW w:w="768" w:type="dxa"/>
          </w:tcPr>
          <w:p>
            <w:pPr>
              <w:pStyle w:val="TableParagraph"/>
              <w:spacing w:before="62"/>
              <w:ind w:left="76" w:right="125"/>
              <w:jc w:val="center"/>
              <w:rPr>
                <w:b/>
                <w:sz w:val="21"/>
              </w:rPr>
            </w:pPr>
            <w:r>
              <w:rPr>
                <w:b/>
                <w:sz w:val="21"/>
              </w:rPr>
              <w:t>9.6</w:t>
            </w:r>
          </w:p>
        </w:tc>
        <w:tc>
          <w:tcPr>
            <w:tcW w:w="1383" w:type="dxa"/>
          </w:tcPr>
          <w:p>
            <w:pPr>
              <w:pStyle w:val="TableParagraph"/>
              <w:spacing w:before="62"/>
              <w:ind w:left="145"/>
              <w:rPr>
                <w:b/>
                <w:sz w:val="21"/>
              </w:rPr>
            </w:pPr>
            <w:r>
              <w:rPr>
                <w:b/>
                <w:sz w:val="21"/>
              </w:rPr>
              <w:t>意外伤害</w:t>
            </w:r>
          </w:p>
        </w:tc>
        <w:tc>
          <w:tcPr>
            <w:tcW w:w="8017" w:type="dxa"/>
          </w:tcPr>
          <w:p>
            <w:pPr>
              <w:pStyle w:val="TableParagraph"/>
              <w:spacing w:line="273" w:lineRule="auto" w:before="62"/>
              <w:ind w:left="180" w:right="304"/>
              <w:rPr>
                <w:rFonts w:ascii="黑体" w:eastAsia="黑体" w:hint="eastAsia"/>
                <w:sz w:val="21"/>
              </w:rPr>
            </w:pPr>
            <w:r>
              <w:rPr>
                <w:spacing w:val="-6"/>
                <w:sz w:val="21"/>
              </w:rPr>
              <w:t>指以外来的、突发的、非本意的、非疾病的客观事件为直接且主要原因导致的身体</w:t>
            </w:r>
            <w:r>
              <w:rPr>
                <w:spacing w:val="-1"/>
                <w:sz w:val="21"/>
              </w:rPr>
              <w:t>伤害。</w:t>
            </w:r>
            <w:r>
              <w:rPr>
                <w:rFonts w:ascii="黑体" w:eastAsia="黑体" w:hint="eastAsia"/>
                <w:spacing w:val="-3"/>
                <w:sz w:val="21"/>
              </w:rPr>
              <w:t>猝死、自杀以及自伤均不属于意外伤害。</w:t>
            </w:r>
          </w:p>
        </w:tc>
      </w:tr>
      <w:tr>
        <w:trPr>
          <w:trHeight w:val="1327" w:hRule="atLeast"/>
        </w:trPr>
        <w:tc>
          <w:tcPr>
            <w:tcW w:w="768" w:type="dxa"/>
          </w:tcPr>
          <w:p>
            <w:pPr>
              <w:pStyle w:val="TableParagraph"/>
              <w:spacing w:before="54"/>
              <w:ind w:left="76" w:right="125"/>
              <w:jc w:val="center"/>
              <w:rPr>
                <w:b/>
                <w:sz w:val="21"/>
              </w:rPr>
            </w:pPr>
            <w:r>
              <w:rPr>
                <w:b/>
                <w:sz w:val="21"/>
              </w:rPr>
              <w:t>9.7</w:t>
            </w:r>
          </w:p>
        </w:tc>
        <w:tc>
          <w:tcPr>
            <w:tcW w:w="1383" w:type="dxa"/>
          </w:tcPr>
          <w:p>
            <w:pPr>
              <w:pStyle w:val="TableParagraph"/>
              <w:spacing w:before="54"/>
              <w:ind w:left="145"/>
              <w:rPr>
                <w:b/>
                <w:sz w:val="21"/>
              </w:rPr>
            </w:pPr>
            <w:r>
              <w:rPr>
                <w:b/>
                <w:sz w:val="21"/>
              </w:rPr>
              <w:t>医院</w:t>
            </w:r>
          </w:p>
        </w:tc>
        <w:tc>
          <w:tcPr>
            <w:tcW w:w="8017" w:type="dxa"/>
          </w:tcPr>
          <w:p>
            <w:pPr>
              <w:pStyle w:val="TableParagraph"/>
              <w:spacing w:line="273" w:lineRule="auto" w:before="22"/>
              <w:ind w:left="180" w:right="303"/>
              <w:jc w:val="both"/>
              <w:rPr>
                <w:sz w:val="21"/>
              </w:rPr>
            </w:pPr>
            <w:r>
              <w:rPr>
                <w:spacing w:val="-5"/>
                <w:sz w:val="21"/>
              </w:rPr>
              <w:t>指经国家卫生部门审核的二级或二级以上的综合性医院和专科医院，</w:t>
            </w:r>
            <w:r>
              <w:rPr>
                <w:rFonts w:ascii="黑体" w:eastAsia="黑体" w:hint="eastAsia"/>
                <w:spacing w:val="-3"/>
                <w:sz w:val="21"/>
              </w:rPr>
              <w:t>但不包括作为</w:t>
            </w:r>
            <w:r>
              <w:rPr>
                <w:rFonts w:ascii="黑体" w:eastAsia="黑体" w:hint="eastAsia"/>
                <w:spacing w:val="-7"/>
                <w:sz w:val="21"/>
              </w:rPr>
              <w:t>诊所、康复、联合病房、家庭病床、护理、修养或戒酒、戒毒等医疗机构。</w:t>
            </w:r>
            <w:r>
              <w:rPr>
                <w:sz w:val="21"/>
              </w:rPr>
              <w:t>该医院</w:t>
            </w:r>
            <w:r>
              <w:rPr>
                <w:spacing w:val="-3"/>
                <w:sz w:val="21"/>
              </w:rPr>
              <w:t>必须具有系统的、充分的诊断设备，全套外科手术设备并提供 </w:t>
            </w:r>
            <w:r>
              <w:rPr>
                <w:sz w:val="21"/>
              </w:rPr>
              <w:t>24</w:t>
            </w:r>
            <w:r>
              <w:rPr>
                <w:spacing w:val="-3"/>
                <w:sz w:val="21"/>
              </w:rPr>
              <w:t> 小时的医疗与护理服务。</w:t>
            </w:r>
          </w:p>
        </w:tc>
      </w:tr>
      <w:tr>
        <w:trPr>
          <w:trHeight w:val="1363" w:hRule="atLeast"/>
        </w:trPr>
        <w:tc>
          <w:tcPr>
            <w:tcW w:w="768" w:type="dxa"/>
          </w:tcPr>
          <w:p>
            <w:pPr>
              <w:pStyle w:val="TableParagraph"/>
              <w:spacing w:before="18"/>
              <w:ind w:left="76" w:right="125"/>
              <w:jc w:val="center"/>
              <w:rPr>
                <w:b/>
                <w:sz w:val="21"/>
              </w:rPr>
            </w:pPr>
            <w:r>
              <w:rPr>
                <w:b/>
                <w:sz w:val="21"/>
              </w:rPr>
              <w:t>9.8</w:t>
            </w:r>
          </w:p>
        </w:tc>
        <w:tc>
          <w:tcPr>
            <w:tcW w:w="1383" w:type="dxa"/>
          </w:tcPr>
          <w:p>
            <w:pPr>
              <w:pStyle w:val="TableParagraph"/>
              <w:spacing w:before="18"/>
              <w:ind w:left="145"/>
              <w:rPr>
                <w:b/>
                <w:sz w:val="21"/>
              </w:rPr>
            </w:pPr>
            <w:r>
              <w:rPr>
                <w:b/>
                <w:sz w:val="21"/>
              </w:rPr>
              <w:t>专科医生</w:t>
            </w:r>
          </w:p>
        </w:tc>
        <w:tc>
          <w:tcPr>
            <w:tcW w:w="8017" w:type="dxa"/>
          </w:tcPr>
          <w:p>
            <w:pPr>
              <w:pStyle w:val="TableParagraph"/>
              <w:spacing w:line="273" w:lineRule="auto" w:before="18"/>
              <w:ind w:left="180" w:right="304"/>
              <w:jc w:val="both"/>
              <w:rPr>
                <w:sz w:val="21"/>
              </w:rPr>
            </w:pPr>
            <w:r>
              <w:rPr>
                <w:spacing w:val="-3"/>
                <w:w w:val="100"/>
                <w:sz w:val="21"/>
              </w:rPr>
              <w:t>专科医生应当同时满足以下四项资格条件</w:t>
            </w:r>
            <w:r>
              <w:rPr>
                <w:spacing w:val="-118"/>
                <w:w w:val="100"/>
                <w:sz w:val="21"/>
              </w:rPr>
              <w:t>：</w:t>
            </w:r>
            <w:r>
              <w:rPr>
                <w:w w:val="100"/>
                <w:sz w:val="21"/>
              </w:rPr>
              <w:t>（</w:t>
            </w:r>
            <w:r>
              <w:rPr>
                <w:spacing w:val="-3"/>
                <w:w w:val="100"/>
                <w:sz w:val="21"/>
              </w:rPr>
              <w:t>1</w:t>
            </w:r>
            <w:r>
              <w:rPr>
                <w:spacing w:val="-13"/>
                <w:w w:val="100"/>
                <w:sz w:val="21"/>
              </w:rPr>
              <w:t>）</w:t>
            </w:r>
            <w:r>
              <w:rPr>
                <w:spacing w:val="-4"/>
                <w:w w:val="100"/>
                <w:sz w:val="21"/>
              </w:rPr>
              <w:t>具有有效的中华人民共和国《医师</w:t>
            </w:r>
            <w:r>
              <w:rPr>
                <w:spacing w:val="-40"/>
                <w:w w:val="100"/>
                <w:sz w:val="21"/>
              </w:rPr>
              <w:t>资格证书》；</w:t>
            </w:r>
            <w:r>
              <w:rPr>
                <w:w w:val="100"/>
                <w:sz w:val="21"/>
              </w:rPr>
              <w:t>（2</w:t>
            </w:r>
            <w:r>
              <w:rPr>
                <w:spacing w:val="-13"/>
                <w:w w:val="100"/>
                <w:sz w:val="21"/>
              </w:rPr>
              <w:t>）</w:t>
            </w:r>
            <w:r>
              <w:rPr>
                <w:spacing w:val="-11"/>
                <w:w w:val="100"/>
                <w:sz w:val="21"/>
              </w:rPr>
              <w:t>具有有效的中华人民共和国《医师执业证书》，并按期到相关部门</w:t>
            </w:r>
            <w:r>
              <w:rPr>
                <w:spacing w:val="-30"/>
                <w:w w:val="100"/>
                <w:sz w:val="21"/>
              </w:rPr>
              <w:t>登记注册；</w:t>
            </w:r>
            <w:r>
              <w:rPr>
                <w:w w:val="100"/>
                <w:sz w:val="21"/>
              </w:rPr>
              <w:t>（3</w:t>
            </w:r>
            <w:r>
              <w:rPr>
                <w:spacing w:val="-15"/>
                <w:w w:val="100"/>
                <w:sz w:val="21"/>
              </w:rPr>
              <w:t>）</w:t>
            </w:r>
            <w:r>
              <w:rPr>
                <w:spacing w:val="-4"/>
                <w:w w:val="100"/>
                <w:sz w:val="21"/>
              </w:rPr>
              <w:t>具有有效的中华人民共和国主治医师或主治医师以上职称的《医师</w:t>
            </w:r>
            <w:r>
              <w:rPr>
                <w:spacing w:val="-38"/>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092" w:hRule="atLeast"/>
        </w:trPr>
        <w:tc>
          <w:tcPr>
            <w:tcW w:w="768" w:type="dxa"/>
          </w:tcPr>
          <w:p>
            <w:pPr>
              <w:pStyle w:val="TableParagraph"/>
              <w:spacing w:before="58"/>
              <w:ind w:left="76" w:right="125"/>
              <w:jc w:val="center"/>
              <w:rPr>
                <w:b/>
                <w:sz w:val="21"/>
              </w:rPr>
            </w:pPr>
            <w:r>
              <w:rPr>
                <w:b/>
                <w:sz w:val="21"/>
              </w:rPr>
              <w:t>9.9</w:t>
            </w:r>
          </w:p>
        </w:tc>
        <w:tc>
          <w:tcPr>
            <w:tcW w:w="1383" w:type="dxa"/>
          </w:tcPr>
          <w:p>
            <w:pPr>
              <w:pStyle w:val="TableParagraph"/>
              <w:spacing w:before="58"/>
              <w:ind w:left="145"/>
              <w:rPr>
                <w:b/>
                <w:sz w:val="21"/>
              </w:rPr>
            </w:pPr>
            <w:r>
              <w:rPr>
                <w:b/>
                <w:sz w:val="21"/>
              </w:rPr>
              <w:t>初次罹患</w:t>
            </w:r>
          </w:p>
        </w:tc>
        <w:tc>
          <w:tcPr>
            <w:tcW w:w="8017" w:type="dxa"/>
          </w:tcPr>
          <w:p>
            <w:pPr>
              <w:pStyle w:val="TableParagraph"/>
              <w:spacing w:line="273" w:lineRule="auto" w:before="58"/>
              <w:ind w:left="180" w:right="306"/>
              <w:jc w:val="both"/>
              <w:rPr>
                <w:sz w:val="21"/>
              </w:rPr>
            </w:pPr>
            <w:r>
              <w:rPr>
                <w:spacing w:val="-5"/>
                <w:sz w:val="21"/>
              </w:rPr>
              <w:t>指被保险人在等待期后初次患有本合同所指的重大疾病，不包括被保险人在本合同</w:t>
            </w:r>
            <w:r>
              <w:rPr>
                <w:sz w:val="21"/>
              </w:rPr>
              <w:t>生效前所患或出现的疾病（或其并发症</w:t>
            </w:r>
            <w:r>
              <w:rPr>
                <w:spacing w:val="-106"/>
                <w:sz w:val="21"/>
              </w:rPr>
              <w:t>）</w:t>
            </w:r>
            <w:r>
              <w:rPr>
                <w:sz w:val="21"/>
              </w:rPr>
              <w:t>、症状、体征、生理缺陷、残疾，但本公</w:t>
            </w:r>
            <w:r>
              <w:rPr>
                <w:spacing w:val="-3"/>
                <w:sz w:val="21"/>
              </w:rPr>
              <w:t>司在同意承保时或复效时已知晓并书面认可的不在此限。</w:t>
            </w:r>
          </w:p>
        </w:tc>
      </w:tr>
      <w:tr>
        <w:trPr>
          <w:trHeight w:val="467" w:hRule="atLeast"/>
        </w:trPr>
        <w:tc>
          <w:tcPr>
            <w:tcW w:w="768" w:type="dxa"/>
          </w:tcPr>
          <w:p>
            <w:pPr>
              <w:pStyle w:val="TableParagraph"/>
              <w:spacing w:before="58"/>
              <w:ind w:left="179" w:right="125"/>
              <w:jc w:val="center"/>
              <w:rPr>
                <w:b/>
                <w:sz w:val="21"/>
              </w:rPr>
            </w:pPr>
            <w:r>
              <w:rPr>
                <w:b/>
                <w:sz w:val="21"/>
              </w:rPr>
              <w:t>9.10</w:t>
            </w:r>
          </w:p>
        </w:tc>
        <w:tc>
          <w:tcPr>
            <w:tcW w:w="1383" w:type="dxa"/>
          </w:tcPr>
          <w:p>
            <w:pPr>
              <w:pStyle w:val="TableParagraph"/>
              <w:spacing w:before="58"/>
              <w:ind w:left="145"/>
              <w:rPr>
                <w:b/>
                <w:sz w:val="21"/>
              </w:rPr>
            </w:pPr>
            <w:r>
              <w:rPr>
                <w:b/>
                <w:sz w:val="21"/>
              </w:rPr>
              <w:t>轻症疾病</w:t>
            </w:r>
          </w:p>
        </w:tc>
        <w:tc>
          <w:tcPr>
            <w:tcW w:w="8017" w:type="dxa"/>
          </w:tcPr>
          <w:p>
            <w:pPr>
              <w:pStyle w:val="TableParagraph"/>
              <w:spacing w:before="0"/>
              <w:ind w:left="0"/>
              <w:rPr>
                <w:rFonts w:ascii="Times New Roman"/>
                <w:sz w:val="20"/>
              </w:rPr>
            </w:pPr>
          </w:p>
        </w:tc>
      </w:tr>
      <w:tr>
        <w:trPr>
          <w:trHeight w:val="2652" w:hRule="atLeast"/>
        </w:trPr>
        <w:tc>
          <w:tcPr>
            <w:tcW w:w="768" w:type="dxa"/>
          </w:tcPr>
          <w:p>
            <w:pPr>
              <w:pStyle w:val="TableParagraph"/>
              <w:spacing w:before="0"/>
              <w:ind w:left="0"/>
              <w:rPr>
                <w:rFonts w:ascii="Times New Roman"/>
                <w:sz w:val="20"/>
              </w:rPr>
            </w:pPr>
          </w:p>
        </w:tc>
        <w:tc>
          <w:tcPr>
            <w:tcW w:w="1383" w:type="dxa"/>
          </w:tcPr>
          <w:p>
            <w:pPr>
              <w:pStyle w:val="TableParagraph"/>
              <w:spacing w:line="273" w:lineRule="auto" w:before="58"/>
              <w:ind w:left="145" w:right="179"/>
              <w:jc w:val="both"/>
              <w:rPr>
                <w:b/>
                <w:sz w:val="21"/>
              </w:rPr>
            </w:pPr>
            <w:r>
              <w:rPr>
                <w:b/>
                <w:sz w:val="21"/>
              </w:rPr>
              <w:t>1.极早期恶性肿瘤或者恶性病变</w:t>
            </w:r>
          </w:p>
        </w:tc>
        <w:tc>
          <w:tcPr>
            <w:tcW w:w="8017" w:type="dxa"/>
          </w:tcPr>
          <w:p>
            <w:pPr>
              <w:pStyle w:val="TableParagraph"/>
              <w:spacing w:before="58"/>
              <w:ind w:left="180"/>
              <w:rPr>
                <w:sz w:val="21"/>
              </w:rPr>
            </w:pPr>
            <w:r>
              <w:rPr>
                <w:sz w:val="21"/>
              </w:rPr>
              <w:t>指经组织病理学检查被明确诊断为下列恶性病变，并且接受了相应的治疗。</w:t>
            </w:r>
          </w:p>
          <w:p>
            <w:pPr>
              <w:pStyle w:val="TableParagraph"/>
              <w:numPr>
                <w:ilvl w:val="0"/>
                <w:numId w:val="19"/>
              </w:numPr>
              <w:tabs>
                <w:tab w:pos="902" w:val="left" w:leader="none"/>
              </w:tabs>
              <w:spacing w:line="240" w:lineRule="auto" w:before="36" w:after="0"/>
              <w:ind w:left="901" w:right="0" w:hanging="721"/>
              <w:jc w:val="left"/>
              <w:rPr>
                <w:sz w:val="21"/>
              </w:rPr>
            </w:pPr>
            <w:r>
              <w:rPr>
                <w:spacing w:val="-1"/>
                <w:sz w:val="21"/>
              </w:rPr>
              <w:t>原位癌；</w:t>
            </w:r>
          </w:p>
          <w:p>
            <w:pPr>
              <w:pStyle w:val="TableParagraph"/>
              <w:numPr>
                <w:ilvl w:val="0"/>
                <w:numId w:val="19"/>
              </w:numPr>
              <w:tabs>
                <w:tab w:pos="902" w:val="left" w:leader="none"/>
              </w:tabs>
              <w:spacing w:line="240" w:lineRule="auto" w:before="36" w:after="0"/>
              <w:ind w:left="901" w:right="0" w:hanging="721"/>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TableParagraph"/>
              <w:numPr>
                <w:ilvl w:val="0"/>
                <w:numId w:val="19"/>
              </w:numPr>
              <w:tabs>
                <w:tab w:pos="902" w:val="left" w:leader="none"/>
              </w:tabs>
              <w:spacing w:line="240" w:lineRule="auto" w:before="36" w:after="0"/>
              <w:ind w:left="901" w:right="0" w:hanging="72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9"/>
              </w:numPr>
              <w:tabs>
                <w:tab w:pos="902" w:val="left" w:leader="none"/>
              </w:tabs>
              <w:spacing w:line="240" w:lineRule="auto" w:before="37" w:after="0"/>
              <w:ind w:left="901" w:right="0" w:hanging="721"/>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19"/>
              </w:numPr>
              <w:tabs>
                <w:tab w:pos="902" w:val="left" w:leader="none"/>
              </w:tabs>
              <w:spacing w:line="240" w:lineRule="auto" w:before="37" w:after="0"/>
              <w:ind w:left="901" w:right="0" w:hanging="721"/>
              <w:jc w:val="left"/>
              <w:rPr>
                <w:sz w:val="21"/>
              </w:rPr>
            </w:pPr>
            <w:r>
              <w:rPr>
                <w:sz w:val="21"/>
              </w:rPr>
              <w:t>TNM</w:t>
            </w:r>
            <w:r>
              <w:rPr>
                <w:spacing w:val="-20"/>
                <w:sz w:val="21"/>
              </w:rPr>
              <w:t> 分期为 </w:t>
            </w:r>
            <w:r>
              <w:rPr>
                <w:sz w:val="21"/>
              </w:rPr>
              <w:t>T1N0M0</w:t>
            </w:r>
            <w:r>
              <w:rPr>
                <w:spacing w:val="-8"/>
                <w:sz w:val="21"/>
              </w:rPr>
              <w:t> 期或者更轻分期的前列腺癌。</w:t>
            </w:r>
          </w:p>
          <w:p>
            <w:pPr>
              <w:pStyle w:val="TableParagraph"/>
              <w:spacing w:line="273" w:lineRule="auto"/>
              <w:ind w:left="180" w:right="311"/>
              <w:rPr>
                <w:rFonts w:ascii="黑体" w:eastAsia="黑体" w:hint="eastAsia"/>
                <w:sz w:val="21"/>
              </w:rPr>
            </w:pPr>
            <w:r>
              <w:rPr>
                <w:rFonts w:ascii="黑体" w:eastAsia="黑体" w:hint="eastAsia"/>
                <w:sz w:val="21"/>
              </w:rPr>
              <w:t>感染艾滋病毒或者患艾滋病期间所患极早期恶性肿瘤或者恶性病变不在保障范围之内。</w:t>
            </w:r>
          </w:p>
        </w:tc>
      </w:tr>
      <w:tr>
        <w:trPr>
          <w:trHeight w:val="2028" w:hRule="atLeast"/>
        </w:trPr>
        <w:tc>
          <w:tcPr>
            <w:tcW w:w="768" w:type="dxa"/>
          </w:tcPr>
          <w:p>
            <w:pPr>
              <w:pStyle w:val="TableParagraph"/>
              <w:spacing w:before="0"/>
              <w:ind w:left="0"/>
              <w:rPr>
                <w:rFonts w:ascii="Times New Roman"/>
                <w:sz w:val="20"/>
              </w:rPr>
            </w:pPr>
          </w:p>
        </w:tc>
        <w:tc>
          <w:tcPr>
            <w:tcW w:w="1383" w:type="dxa"/>
          </w:tcPr>
          <w:p>
            <w:pPr>
              <w:pStyle w:val="TableParagraph"/>
              <w:spacing w:line="273" w:lineRule="auto" w:before="58"/>
              <w:ind w:left="145" w:right="179"/>
              <w:jc w:val="both"/>
              <w:rPr>
                <w:b/>
                <w:sz w:val="21"/>
              </w:rPr>
            </w:pPr>
            <w:r>
              <w:rPr>
                <w:b/>
                <w:sz w:val="21"/>
              </w:rPr>
              <w:t>2.不典型的急性心肌梗塞</w:t>
            </w:r>
          </w:p>
        </w:tc>
        <w:tc>
          <w:tcPr>
            <w:tcW w:w="8017" w:type="dxa"/>
          </w:tcPr>
          <w:p>
            <w:pPr>
              <w:pStyle w:val="TableParagraph"/>
              <w:spacing w:line="273" w:lineRule="auto" w:before="58"/>
              <w:ind w:left="180" w:right="268"/>
              <w:rPr>
                <w:sz w:val="21"/>
              </w:rPr>
            </w:pPr>
            <w:r>
              <w:rPr>
                <w:sz w:val="21"/>
              </w:rPr>
              <w:t>指被临床诊断为急性心肌梗塞并接受了急性心肌梗塞治疗，且满足下列全部条件， 但未达到本合同所指重大疾病“急性心肌梗塞”的标准：</w:t>
            </w:r>
          </w:p>
          <w:p>
            <w:pPr>
              <w:pStyle w:val="TableParagraph"/>
              <w:numPr>
                <w:ilvl w:val="0"/>
                <w:numId w:val="20"/>
              </w:numPr>
              <w:tabs>
                <w:tab w:pos="902" w:val="left" w:leader="none"/>
              </w:tabs>
              <w:spacing w:line="240" w:lineRule="auto" w:before="7" w:after="0"/>
              <w:ind w:left="901" w:right="0" w:hanging="721"/>
              <w:jc w:val="left"/>
              <w:rPr>
                <w:sz w:val="21"/>
              </w:rPr>
            </w:pPr>
            <w:r>
              <w:rPr>
                <w:spacing w:val="-3"/>
                <w:sz w:val="21"/>
              </w:rPr>
              <w:t>心肌酶或肌钙蛋白有诊断意义的升高；</w:t>
            </w:r>
          </w:p>
          <w:p>
            <w:pPr>
              <w:pStyle w:val="TableParagraph"/>
              <w:numPr>
                <w:ilvl w:val="0"/>
                <w:numId w:val="20"/>
              </w:numPr>
              <w:tabs>
                <w:tab w:pos="902" w:val="left" w:leader="none"/>
              </w:tabs>
              <w:spacing w:line="240" w:lineRule="auto" w:before="37" w:after="0"/>
              <w:ind w:left="901" w:right="0" w:hanging="721"/>
              <w:jc w:val="left"/>
              <w:rPr>
                <w:sz w:val="21"/>
              </w:rPr>
            </w:pPr>
            <w:r>
              <w:rPr>
                <w:spacing w:val="-9"/>
                <w:sz w:val="21"/>
              </w:rPr>
              <w:t>心电图有损伤性的 </w:t>
            </w:r>
            <w:r>
              <w:rPr>
                <w:sz w:val="21"/>
              </w:rPr>
              <w:t>ST</w:t>
            </w:r>
            <w:r>
              <w:rPr>
                <w:spacing w:val="-8"/>
                <w:sz w:val="21"/>
              </w:rPr>
              <w:t> 段改变但未出现病理 </w:t>
            </w:r>
            <w:r>
              <w:rPr>
                <w:sz w:val="21"/>
              </w:rPr>
              <w:t>Q</w:t>
            </w:r>
            <w:r>
              <w:rPr>
                <w:spacing w:val="-1"/>
                <w:sz w:val="21"/>
              </w:rPr>
              <w:t> 波。</w:t>
            </w:r>
          </w:p>
          <w:p>
            <w:pPr>
              <w:pStyle w:val="TableParagraph"/>
              <w:numPr>
                <w:ilvl w:val="0"/>
                <w:numId w:val="20"/>
              </w:numPr>
              <w:tabs>
                <w:tab w:pos="902" w:val="left" w:leader="none"/>
              </w:tabs>
              <w:spacing w:line="273" w:lineRule="auto" w:before="37" w:after="0"/>
              <w:ind w:left="901" w:right="313" w:hanging="721"/>
              <w:jc w:val="left"/>
              <w:rPr>
                <w:sz w:val="21"/>
              </w:rPr>
            </w:pPr>
            <w:r>
              <w:rPr>
                <w:sz w:val="21"/>
              </w:rPr>
              <w:t>若被保险人因同一原因导致其同时满足不典型的急性心肌梗塞和冠状动脉</w:t>
            </w:r>
            <w:r>
              <w:rPr>
                <w:spacing w:val="-1"/>
                <w:sz w:val="21"/>
              </w:rPr>
              <w:t>介入手术</w:t>
            </w:r>
            <w:r>
              <w:rPr>
                <w:spacing w:val="-3"/>
                <w:sz w:val="21"/>
              </w:rPr>
              <w:t>（非开胸手术）的，仅按其中一项给付。</w:t>
            </w:r>
          </w:p>
        </w:tc>
      </w:tr>
      <w:tr>
        <w:trPr>
          <w:trHeight w:val="1275" w:hRule="atLeast"/>
        </w:trPr>
        <w:tc>
          <w:tcPr>
            <w:tcW w:w="768" w:type="dxa"/>
          </w:tcPr>
          <w:p>
            <w:pPr>
              <w:pStyle w:val="TableParagraph"/>
              <w:spacing w:before="0"/>
              <w:ind w:left="0"/>
              <w:rPr>
                <w:rFonts w:ascii="Times New Roman"/>
                <w:sz w:val="20"/>
              </w:rPr>
            </w:pPr>
          </w:p>
        </w:tc>
        <w:tc>
          <w:tcPr>
            <w:tcW w:w="1383" w:type="dxa"/>
          </w:tcPr>
          <w:p>
            <w:pPr>
              <w:pStyle w:val="TableParagraph"/>
              <w:spacing w:line="273" w:lineRule="auto" w:before="59"/>
              <w:ind w:left="145" w:right="179"/>
              <w:rPr>
                <w:b/>
                <w:sz w:val="21"/>
              </w:rPr>
            </w:pPr>
            <w:r>
              <w:rPr>
                <w:b/>
                <w:sz w:val="21"/>
              </w:rPr>
              <w:t>3.轻微脑中风后遗症</w:t>
            </w:r>
          </w:p>
        </w:tc>
        <w:tc>
          <w:tcPr>
            <w:tcW w:w="8017" w:type="dxa"/>
          </w:tcPr>
          <w:p>
            <w:pPr>
              <w:pStyle w:val="TableParagraph"/>
              <w:spacing w:line="310" w:lineRule="atLeast" w:before="23"/>
              <w:ind w:left="180" w:right="198"/>
              <w:rPr>
                <w:sz w:val="21"/>
              </w:rPr>
            </w:pPr>
            <w:r>
              <w:rPr>
                <w:spacing w:val="-5"/>
                <w:sz w:val="21"/>
              </w:rPr>
              <w:t>指被保险人实际发生了脑血管的突发病变并出现神经系统功能障碍表现，头颅断层</w:t>
            </w:r>
            <w:r>
              <w:rPr>
                <w:spacing w:val="-17"/>
                <w:w w:val="100"/>
                <w:sz w:val="21"/>
              </w:rPr>
              <w:t>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spacing w:val="-1"/>
                <w:w w:val="100"/>
                <w:sz w:val="21"/>
              </w:rPr>
              <w:t>（</w:t>
            </w:r>
            <w:r>
              <w:rPr>
                <w:w w:val="100"/>
                <w:sz w:val="21"/>
              </w:rPr>
              <w:t>MRI</w:t>
            </w:r>
            <w:r>
              <w:rPr>
                <w:spacing w:val="-32"/>
                <w:w w:val="100"/>
                <w:sz w:val="21"/>
              </w:rPr>
              <w:t>）</w:t>
            </w:r>
            <w:r>
              <w:rPr>
                <w:spacing w:val="-5"/>
                <w:w w:val="100"/>
                <w:sz w:val="21"/>
              </w:rPr>
              <w:t>等影像学检查证实存在对应病灶，确诊为脑出血、</w:t>
            </w:r>
            <w:r>
              <w:rPr>
                <w:spacing w:val="-9"/>
                <w:sz w:val="21"/>
              </w:rPr>
              <w:t>脑栓塞或者脑梗塞，在确诊 </w:t>
            </w:r>
            <w:r>
              <w:rPr>
                <w:sz w:val="21"/>
              </w:rPr>
              <w:t>180</w:t>
            </w:r>
            <w:r>
              <w:rPr>
                <w:spacing w:val="-9"/>
                <w:sz w:val="21"/>
              </w:rPr>
              <w:t> 天后遗留神经系统功能障碍，但未达到本合同所指重大疾病“脑中风后遗症”的标准。遗留的神经系统功能障碍须满足下列一种或者</w:t>
            </w:r>
          </w:p>
        </w:tc>
      </w:tr>
    </w:tbl>
    <w:p>
      <w:pPr>
        <w:spacing w:after="0" w:line="310" w:lineRule="atLeast"/>
        <w:rPr>
          <w:sz w:val="21"/>
        </w:rPr>
        <w:sectPr>
          <w:pgSz w:w="11910" w:h="16840"/>
          <w:pgMar w:header="0" w:footer="377" w:top="1340" w:bottom="560" w:left="8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34"/>
      </w:tblGrid>
      <w:tr>
        <w:trPr>
          <w:trHeight w:val="1899" w:hRule="atLeast"/>
        </w:trPr>
        <w:tc>
          <w:tcPr>
            <w:tcW w:w="1512" w:type="dxa"/>
          </w:tcPr>
          <w:p>
            <w:pPr>
              <w:pStyle w:val="TableParagraph"/>
              <w:spacing w:before="0"/>
              <w:ind w:left="0"/>
              <w:rPr>
                <w:rFonts w:ascii="Times New Roman"/>
                <w:sz w:val="20"/>
              </w:rPr>
            </w:pPr>
          </w:p>
        </w:tc>
        <w:tc>
          <w:tcPr>
            <w:tcW w:w="7934" w:type="dxa"/>
          </w:tcPr>
          <w:p>
            <w:pPr>
              <w:pStyle w:val="TableParagraph"/>
              <w:spacing w:line="205" w:lineRule="exact" w:before="0"/>
              <w:ind w:left="106"/>
              <w:rPr>
                <w:sz w:val="21"/>
              </w:rPr>
            </w:pPr>
            <w:r>
              <w:rPr>
                <w:sz w:val="21"/>
              </w:rPr>
              <w:t>一种以上障碍：</w:t>
            </w:r>
          </w:p>
          <w:p>
            <w:pPr>
              <w:pStyle w:val="TableParagraph"/>
              <w:numPr>
                <w:ilvl w:val="0"/>
                <w:numId w:val="21"/>
              </w:numPr>
              <w:tabs>
                <w:tab w:pos="739" w:val="left" w:leader="none"/>
              </w:tabs>
              <w:spacing w:line="240" w:lineRule="auto" w:before="37" w:after="0"/>
              <w:ind w:left="106" w:right="0" w:firstLine="0"/>
              <w:jc w:val="left"/>
              <w:rPr>
                <w:sz w:val="21"/>
              </w:rPr>
            </w:pPr>
            <w:r>
              <w:rPr>
                <w:spacing w:val="-3"/>
                <w:sz w:val="21"/>
              </w:rPr>
              <w:t>一肢或者一肢以上肢体机能部分丧失，其肢体肌力为Ⅲ级,或者小于Ⅲ级；</w:t>
            </w:r>
          </w:p>
          <w:p>
            <w:pPr>
              <w:pStyle w:val="TableParagraph"/>
              <w:numPr>
                <w:ilvl w:val="0"/>
                <w:numId w:val="21"/>
              </w:numPr>
              <w:tabs>
                <w:tab w:pos="722" w:val="left" w:leader="none"/>
              </w:tabs>
              <w:spacing w:line="273" w:lineRule="auto" w:before="37" w:after="0"/>
              <w:ind w:left="106" w:right="295" w:firstLine="0"/>
              <w:jc w:val="left"/>
              <w:rPr>
                <w:sz w:val="21"/>
              </w:rPr>
            </w:pPr>
            <w:r>
              <w:rPr>
                <w:spacing w:val="-5"/>
                <w:sz w:val="21"/>
              </w:rPr>
              <w:t>自主生活能力部分丧失，无法独立完成六项基本日常生活活动中的两项或者</w:t>
            </w:r>
            <w:r>
              <w:rPr>
                <w:spacing w:val="-4"/>
                <w:sz w:val="21"/>
              </w:rPr>
              <w:t>两项以上。</w:t>
            </w:r>
          </w:p>
          <w:p>
            <w:pPr>
              <w:pStyle w:val="TableParagraph"/>
              <w:spacing w:line="273" w:lineRule="auto" w:before="7"/>
              <w:ind w:left="106" w:right="254"/>
              <w:rPr>
                <w:rFonts w:ascii="黑体" w:eastAsia="黑体" w:hint="eastAsia"/>
                <w:sz w:val="21"/>
              </w:rPr>
            </w:pPr>
            <w:r>
              <w:rPr>
                <w:rFonts w:ascii="黑体" w:eastAsia="黑体" w:hint="eastAsia"/>
                <w:sz w:val="21"/>
              </w:rPr>
              <w:t>若被保险人因同一原因导致其满足轻微脑中风后遗症和轻度颅脑手术、植入大脑内分流器的，仅按其中一项给付。</w:t>
            </w:r>
          </w:p>
        </w:tc>
      </w:tr>
      <w:tr>
        <w:trPr>
          <w:trHeight w:val="2652" w:hRule="atLeast"/>
        </w:trPr>
        <w:tc>
          <w:tcPr>
            <w:tcW w:w="1512" w:type="dxa"/>
          </w:tcPr>
          <w:p>
            <w:pPr>
              <w:pStyle w:val="TableParagraph"/>
              <w:spacing w:line="273" w:lineRule="auto" w:before="58"/>
              <w:ind w:right="255"/>
              <w:rPr>
                <w:b/>
                <w:sz w:val="21"/>
              </w:rPr>
            </w:pPr>
            <w:r>
              <w:rPr>
                <w:b/>
                <w:sz w:val="21"/>
              </w:rPr>
              <w:t>4.微创冠状动脉搭桥术</w:t>
            </w:r>
          </w:p>
        </w:tc>
        <w:tc>
          <w:tcPr>
            <w:tcW w:w="7934" w:type="dxa"/>
          </w:tcPr>
          <w:p>
            <w:pPr>
              <w:pStyle w:val="TableParagraph"/>
              <w:spacing w:line="273" w:lineRule="auto" w:before="58"/>
              <w:ind w:left="106" w:right="295"/>
              <w:jc w:val="both"/>
              <w:rPr>
                <w:sz w:val="21"/>
              </w:rPr>
            </w:pPr>
            <w:r>
              <w:rPr>
                <w:w w:val="100"/>
                <w:sz w:val="21"/>
              </w:rPr>
              <w:t>指确实透过微型的胸壁锁孔（于肋骨之间开一个细小的切口</w:t>
            </w:r>
            <w:r>
              <w:rPr>
                <w:spacing w:val="-106"/>
                <w:w w:val="100"/>
                <w:sz w:val="21"/>
              </w:rPr>
              <w:t>）</w:t>
            </w:r>
            <w:r>
              <w:rPr>
                <w:w w:val="100"/>
                <w:sz w:val="21"/>
              </w:rPr>
              <w:t>，进行非体外循环下</w:t>
            </w:r>
            <w:r>
              <w:rPr>
                <w:spacing w:val="-6"/>
                <w:sz w:val="21"/>
              </w:rPr>
              <w:t>的冠状动脉搭桥手术，以矫正一条或以上冠状动脉狭窄或闭塞。微创进行直接的冠</w:t>
            </w:r>
            <w:r>
              <w:rPr>
                <w:spacing w:val="-7"/>
                <w:sz w:val="21"/>
              </w:rPr>
              <w:t>状动脉搭桥手术亦可称“锁孔”式冠状动脉手术。有关程序为医疗所需及由本公司</w:t>
            </w:r>
            <w:r>
              <w:rPr>
                <w:spacing w:val="-5"/>
                <w:sz w:val="21"/>
              </w:rPr>
              <w:t>认可医院的心脏专科医生进行。</w:t>
            </w:r>
          </w:p>
          <w:p>
            <w:pPr>
              <w:pStyle w:val="TableParagraph"/>
              <w:spacing w:line="273" w:lineRule="auto" w:before="7"/>
              <w:ind w:left="106" w:right="199"/>
              <w:jc w:val="both"/>
              <w:rPr>
                <w:rFonts w:ascii="黑体" w:hAnsi="黑体" w:eastAsia="黑体" w:hint="eastAsia"/>
                <w:sz w:val="21"/>
              </w:rPr>
            </w:pPr>
            <w:r>
              <w:rPr>
                <w:rFonts w:ascii="黑体" w:hAnsi="黑体" w:eastAsia="黑体" w:hint="eastAsia"/>
                <w:spacing w:val="-3"/>
                <w:sz w:val="21"/>
              </w:rPr>
              <w:t>被保险人已达到本合同所指重大疾病“急性心肌梗塞”或“严重冠心病”标准的， 本公司不承担本项手术保险责任。本公司对“冠状动脉介入手术（非开胸手术</w:t>
            </w:r>
            <w:r>
              <w:rPr>
                <w:rFonts w:ascii="黑体" w:hAnsi="黑体" w:eastAsia="黑体" w:hint="eastAsia"/>
                <w:spacing w:val="-105"/>
                <w:sz w:val="21"/>
              </w:rPr>
              <w:t>）</w:t>
            </w:r>
            <w:r>
              <w:rPr>
                <w:rFonts w:ascii="黑体" w:hAnsi="黑体" w:eastAsia="黑体" w:hint="eastAsia"/>
                <w:spacing w:val="-53"/>
                <w:sz w:val="21"/>
              </w:rPr>
              <w:t>”、</w:t>
            </w:r>
          </w:p>
          <w:p>
            <w:pPr>
              <w:pStyle w:val="TableParagraph"/>
              <w:spacing w:line="273" w:lineRule="auto" w:before="7"/>
              <w:ind w:left="106" w:right="295"/>
              <w:jc w:val="both"/>
              <w:rPr>
                <w:rFonts w:ascii="黑体" w:hAnsi="黑体" w:eastAsia="黑体" w:hint="eastAsia"/>
                <w:sz w:val="21"/>
              </w:rPr>
            </w:pPr>
            <w:r>
              <w:rPr>
                <w:rFonts w:ascii="黑体" w:hAnsi="黑体" w:eastAsia="黑体" w:hint="eastAsia"/>
                <w:spacing w:val="-7"/>
                <w:sz w:val="21"/>
              </w:rPr>
              <w:t>“微创冠状动脉搭桥术”和“激光心肌血运重建术”三项中的其中一项承担保险责</w:t>
            </w:r>
            <w:r>
              <w:rPr>
                <w:rFonts w:ascii="黑体" w:hAnsi="黑体" w:eastAsia="黑体" w:hint="eastAsia"/>
                <w:spacing w:val="-5"/>
                <w:sz w:val="21"/>
              </w:rPr>
              <w:t>任，给付其中一项保险金后，对其他两项轻症疾病保险责任同时终止。</w:t>
            </w:r>
          </w:p>
        </w:tc>
      </w:tr>
      <w:tr>
        <w:trPr>
          <w:trHeight w:val="2028" w:hRule="atLeast"/>
        </w:trPr>
        <w:tc>
          <w:tcPr>
            <w:tcW w:w="1512" w:type="dxa"/>
          </w:tcPr>
          <w:p>
            <w:pPr>
              <w:pStyle w:val="TableParagraph"/>
              <w:spacing w:line="273" w:lineRule="auto" w:before="58"/>
              <w:ind w:right="105"/>
              <w:rPr>
                <w:b/>
                <w:sz w:val="21"/>
              </w:rPr>
            </w:pPr>
            <w:r>
              <w:rPr>
                <w:b/>
                <w:sz w:val="21"/>
              </w:rPr>
              <w:t>5.冠状动脉</w:t>
            </w:r>
            <w:r>
              <w:rPr>
                <w:b/>
                <w:spacing w:val="-16"/>
                <w:sz w:val="21"/>
              </w:rPr>
              <w:t>介入手术</w:t>
            </w:r>
            <w:r>
              <w:rPr>
                <w:b/>
                <w:sz w:val="21"/>
              </w:rPr>
              <w:t>（非开胸手术）</w:t>
            </w:r>
          </w:p>
        </w:tc>
        <w:tc>
          <w:tcPr>
            <w:tcW w:w="7934" w:type="dxa"/>
          </w:tcPr>
          <w:p>
            <w:pPr>
              <w:pStyle w:val="TableParagraph"/>
              <w:spacing w:line="273" w:lineRule="auto" w:before="58"/>
              <w:ind w:left="106" w:right="259"/>
              <w:rPr>
                <w:sz w:val="21"/>
              </w:rPr>
            </w:pPr>
            <w:r>
              <w:rPr>
                <w:sz w:val="21"/>
              </w:rPr>
              <w:t>为了治疗明显的冠状动脉狭窄性疾病，首次实际实施了冠状动脉球囊扩张成形术、冠状动脉支架植入术、冠状动脉粥肿斑块切除术或者激光冠状动脉成形术。</w:t>
            </w:r>
          </w:p>
          <w:p>
            <w:pPr>
              <w:pStyle w:val="TableParagraph"/>
              <w:spacing w:line="273" w:lineRule="auto" w:before="7"/>
              <w:ind w:left="106" w:right="199"/>
              <w:rPr>
                <w:rFonts w:ascii="黑体" w:hAnsi="黑体" w:eastAsia="黑体" w:hint="eastAsia"/>
                <w:sz w:val="21"/>
              </w:rPr>
            </w:pPr>
            <w:r>
              <w:rPr>
                <w:rFonts w:ascii="黑体" w:hAnsi="黑体" w:eastAsia="黑体" w:hint="eastAsia"/>
                <w:spacing w:val="-3"/>
                <w:sz w:val="21"/>
              </w:rPr>
              <w:t>被保险人已达到本合同所指重大疾病“急性心肌梗塞”或“严重冠心病”标准的， 本公司不承担本项手术保险责任。本公司对“冠状动脉介入手术（非开胸手术</w:t>
            </w:r>
            <w:r>
              <w:rPr>
                <w:rFonts w:ascii="黑体" w:hAnsi="黑体" w:eastAsia="黑体" w:hint="eastAsia"/>
                <w:spacing w:val="-105"/>
                <w:sz w:val="21"/>
              </w:rPr>
              <w:t>）</w:t>
            </w:r>
            <w:r>
              <w:rPr>
                <w:rFonts w:ascii="黑体" w:hAnsi="黑体" w:eastAsia="黑体" w:hint="eastAsia"/>
                <w:spacing w:val="-53"/>
                <w:sz w:val="21"/>
              </w:rPr>
              <w:t>”、</w:t>
            </w:r>
          </w:p>
          <w:p>
            <w:pPr>
              <w:pStyle w:val="TableParagraph"/>
              <w:spacing w:line="273" w:lineRule="auto" w:before="7"/>
              <w:ind w:left="106" w:right="295"/>
              <w:rPr>
                <w:rFonts w:ascii="黑体" w:hAnsi="黑体" w:eastAsia="黑体" w:hint="eastAsia"/>
                <w:sz w:val="21"/>
              </w:rPr>
            </w:pPr>
            <w:r>
              <w:rPr>
                <w:rFonts w:ascii="黑体" w:hAnsi="黑体" w:eastAsia="黑体" w:hint="eastAsia"/>
                <w:spacing w:val="-7"/>
                <w:sz w:val="21"/>
              </w:rPr>
              <w:t>“微创冠状动脉搭桥术”和“激光心肌血运重建术”三项中的其中一项承担保险责</w:t>
            </w:r>
            <w:r>
              <w:rPr>
                <w:rFonts w:ascii="黑体" w:hAnsi="黑体" w:eastAsia="黑体" w:hint="eastAsia"/>
                <w:spacing w:val="-5"/>
                <w:sz w:val="21"/>
              </w:rPr>
              <w:t>任，给付其中一项保险金后，对其他两项轻症疾病保险责任同时终止。</w:t>
            </w:r>
          </w:p>
        </w:tc>
      </w:tr>
      <w:tr>
        <w:trPr>
          <w:trHeight w:val="2340" w:hRule="atLeast"/>
        </w:trPr>
        <w:tc>
          <w:tcPr>
            <w:tcW w:w="1512" w:type="dxa"/>
          </w:tcPr>
          <w:p>
            <w:pPr>
              <w:pStyle w:val="TableParagraph"/>
              <w:spacing w:line="273" w:lineRule="auto" w:before="59"/>
              <w:ind w:right="254"/>
              <w:rPr>
                <w:b/>
                <w:sz w:val="21"/>
              </w:rPr>
            </w:pPr>
            <w:r>
              <w:rPr>
                <w:b/>
                <w:sz w:val="21"/>
              </w:rPr>
              <w:t>6.激光心肌血运重建术</w:t>
            </w:r>
          </w:p>
        </w:tc>
        <w:tc>
          <w:tcPr>
            <w:tcW w:w="7934" w:type="dxa"/>
          </w:tcPr>
          <w:p>
            <w:pPr>
              <w:pStyle w:val="TableParagraph"/>
              <w:spacing w:line="273" w:lineRule="auto" w:before="59"/>
              <w:ind w:left="106" w:right="295"/>
              <w:jc w:val="both"/>
              <w:rPr>
                <w:sz w:val="21"/>
              </w:rPr>
            </w:pPr>
            <w:r>
              <w:rPr>
                <w:spacing w:val="-6"/>
                <w:sz w:val="21"/>
              </w:rPr>
              <w:t>指患有顽固性心绞痛，经持续药物治疗后无改善，冠状动脉搭桥手术及经皮血管成形手术已失败或者被认为不者被认为不适合。在本公司认可医院内实际进行了开胸</w:t>
            </w:r>
            <w:r>
              <w:rPr>
                <w:spacing w:val="-4"/>
                <w:sz w:val="21"/>
              </w:rPr>
              <w:t>手术下或者胸腔镜下的激光心肌血运重建术。</w:t>
            </w:r>
          </w:p>
          <w:p>
            <w:pPr>
              <w:pStyle w:val="TableParagraph"/>
              <w:spacing w:line="273" w:lineRule="auto" w:before="8"/>
              <w:ind w:left="106" w:right="199"/>
              <w:jc w:val="both"/>
              <w:rPr>
                <w:rFonts w:ascii="黑体" w:hAnsi="黑体" w:eastAsia="黑体" w:hint="eastAsia"/>
                <w:sz w:val="21"/>
              </w:rPr>
            </w:pPr>
            <w:r>
              <w:rPr>
                <w:rFonts w:ascii="黑体" w:hAnsi="黑体" w:eastAsia="黑体" w:hint="eastAsia"/>
                <w:spacing w:val="-3"/>
                <w:sz w:val="21"/>
              </w:rPr>
              <w:t>被保险人已达到本合同所指重大疾病“急性心肌梗塞”或“严重冠心病”标准的， 本公司不承担本项手术保险责任。本公司对“冠状动脉介入手术（非开胸手术</w:t>
            </w:r>
            <w:r>
              <w:rPr>
                <w:rFonts w:ascii="黑体" w:hAnsi="黑体" w:eastAsia="黑体" w:hint="eastAsia"/>
                <w:spacing w:val="-105"/>
                <w:sz w:val="21"/>
              </w:rPr>
              <w:t>）</w:t>
            </w:r>
            <w:r>
              <w:rPr>
                <w:rFonts w:ascii="黑体" w:hAnsi="黑体" w:eastAsia="黑体" w:hint="eastAsia"/>
                <w:spacing w:val="-53"/>
                <w:sz w:val="21"/>
              </w:rPr>
              <w:t>”、</w:t>
            </w:r>
          </w:p>
          <w:p>
            <w:pPr>
              <w:pStyle w:val="TableParagraph"/>
              <w:spacing w:line="273" w:lineRule="auto" w:before="8"/>
              <w:ind w:left="106" w:right="295"/>
              <w:jc w:val="both"/>
              <w:rPr>
                <w:rFonts w:ascii="黑体" w:hAnsi="黑体" w:eastAsia="黑体" w:hint="eastAsia"/>
                <w:sz w:val="21"/>
              </w:rPr>
            </w:pPr>
            <w:r>
              <w:rPr>
                <w:rFonts w:ascii="黑体" w:hAnsi="黑体" w:eastAsia="黑体" w:hint="eastAsia"/>
                <w:spacing w:val="-7"/>
                <w:sz w:val="21"/>
              </w:rPr>
              <w:t>“微创冠状动脉搭桥术”和“激光心肌血运重建术”三项中的其中一项承担保险责</w:t>
            </w:r>
            <w:r>
              <w:rPr>
                <w:rFonts w:ascii="黑体" w:hAnsi="黑体" w:eastAsia="黑体" w:hint="eastAsia"/>
                <w:spacing w:val="-5"/>
                <w:sz w:val="21"/>
              </w:rPr>
              <w:t>任，给付其中一项保险金后，对其他两项轻症疾病保险责任同时终止。</w:t>
            </w:r>
          </w:p>
        </w:tc>
      </w:tr>
      <w:tr>
        <w:trPr>
          <w:trHeight w:val="2028" w:hRule="atLeast"/>
        </w:trPr>
        <w:tc>
          <w:tcPr>
            <w:tcW w:w="1512" w:type="dxa"/>
          </w:tcPr>
          <w:p>
            <w:pPr>
              <w:pStyle w:val="TableParagraph"/>
              <w:spacing w:line="273" w:lineRule="auto" w:before="58"/>
              <w:ind w:right="254"/>
              <w:rPr>
                <w:b/>
                <w:sz w:val="21"/>
              </w:rPr>
            </w:pPr>
            <w:r>
              <w:rPr>
                <w:b/>
                <w:sz w:val="21"/>
              </w:rPr>
              <w:t>7.慢性肾功能衰竭</w:t>
            </w:r>
          </w:p>
        </w:tc>
        <w:tc>
          <w:tcPr>
            <w:tcW w:w="7934" w:type="dxa"/>
          </w:tcPr>
          <w:p>
            <w:pPr>
              <w:pStyle w:val="TableParagraph"/>
              <w:spacing w:line="273" w:lineRule="auto" w:before="58"/>
              <w:ind w:left="106" w:right="295"/>
              <w:jc w:val="both"/>
              <w:rPr>
                <w:sz w:val="21"/>
              </w:rPr>
            </w:pPr>
            <w:r>
              <w:rPr>
                <w:spacing w:val="-5"/>
                <w:sz w:val="21"/>
              </w:rPr>
              <w:t>指被保险人因双肾功能慢性不可逆性损害达到肾功能衰竭期，但未达到本合同所指</w:t>
            </w:r>
            <w:r>
              <w:rPr>
                <w:w w:val="100"/>
                <w:sz w:val="21"/>
              </w:rPr>
              <w:t>重大疾病“终末期肾病（或称慢性肾功能衰竭尿毒症期</w:t>
            </w:r>
            <w:r>
              <w:rPr>
                <w:spacing w:val="-104"/>
                <w:w w:val="100"/>
                <w:sz w:val="21"/>
              </w:rPr>
              <w:t>）</w:t>
            </w:r>
            <w:r>
              <w:rPr>
                <w:w w:val="100"/>
                <w:sz w:val="21"/>
              </w:rPr>
              <w:t>”的标准。诊断必须满足</w:t>
            </w:r>
            <w:r>
              <w:rPr>
                <w:spacing w:val="-2"/>
                <w:sz w:val="21"/>
              </w:rPr>
              <w:t>所有以下标准。</w:t>
            </w:r>
          </w:p>
          <w:p>
            <w:pPr>
              <w:pStyle w:val="TableParagraph"/>
              <w:spacing w:before="7"/>
              <w:ind w:left="106"/>
              <w:jc w:val="both"/>
              <w:rPr>
                <w:sz w:val="21"/>
              </w:rPr>
            </w:pPr>
            <w:r>
              <w:rPr>
                <w:sz w:val="21"/>
              </w:rPr>
              <w:t>（1） GFR &lt; 25%；</w:t>
            </w:r>
          </w:p>
          <w:p>
            <w:pPr>
              <w:pStyle w:val="TableParagraph"/>
              <w:numPr>
                <w:ilvl w:val="0"/>
                <w:numId w:val="22"/>
              </w:numPr>
              <w:tabs>
                <w:tab w:pos="739" w:val="left" w:leader="none"/>
              </w:tabs>
              <w:spacing w:line="240" w:lineRule="auto" w:before="36" w:after="0"/>
              <w:ind w:left="738" w:right="0" w:hanging="632"/>
              <w:jc w:val="both"/>
              <w:rPr>
                <w:sz w:val="21"/>
              </w:rPr>
            </w:pPr>
            <w:r>
              <w:rPr>
                <w:sz w:val="21"/>
              </w:rPr>
              <w:t>Scr&gt;</w:t>
            </w:r>
            <w:r>
              <w:rPr>
                <w:spacing w:val="-1"/>
                <w:sz w:val="21"/>
              </w:rPr>
              <w:t> </w:t>
            </w:r>
            <w:r>
              <w:rPr>
                <w:sz w:val="21"/>
              </w:rPr>
              <w:t>5mg/dl</w:t>
            </w:r>
            <w:r>
              <w:rPr>
                <w:spacing w:val="-19"/>
                <w:sz w:val="21"/>
              </w:rPr>
              <w:t> 或&gt;</w:t>
            </w:r>
            <w:r>
              <w:rPr>
                <w:sz w:val="21"/>
              </w:rPr>
              <w:t>442umol/L；</w:t>
            </w:r>
          </w:p>
          <w:p>
            <w:pPr>
              <w:pStyle w:val="TableParagraph"/>
              <w:numPr>
                <w:ilvl w:val="0"/>
                <w:numId w:val="22"/>
              </w:numPr>
              <w:tabs>
                <w:tab w:pos="739" w:val="left" w:leader="none"/>
              </w:tabs>
              <w:spacing w:line="240" w:lineRule="auto" w:before="36" w:after="0"/>
              <w:ind w:left="738" w:right="0" w:hanging="632"/>
              <w:jc w:val="both"/>
              <w:rPr>
                <w:sz w:val="21"/>
              </w:rPr>
            </w:pPr>
            <w:r>
              <w:rPr>
                <w:spacing w:val="-18"/>
                <w:sz w:val="21"/>
              </w:rPr>
              <w:t>持续 </w:t>
            </w:r>
            <w:r>
              <w:rPr>
                <w:sz w:val="21"/>
              </w:rPr>
              <w:t>180</w:t>
            </w:r>
            <w:r>
              <w:rPr>
                <w:spacing w:val="-18"/>
                <w:sz w:val="21"/>
              </w:rPr>
              <w:t> 天。</w:t>
            </w:r>
          </w:p>
        </w:tc>
      </w:tr>
      <w:tr>
        <w:trPr>
          <w:trHeight w:val="789" w:hRule="atLeast"/>
        </w:trPr>
        <w:tc>
          <w:tcPr>
            <w:tcW w:w="1512" w:type="dxa"/>
          </w:tcPr>
          <w:p>
            <w:pPr>
              <w:pStyle w:val="TableParagraph"/>
              <w:spacing w:before="58"/>
              <w:rPr>
                <w:b/>
                <w:sz w:val="21"/>
              </w:rPr>
            </w:pPr>
            <w:r>
              <w:rPr>
                <w:b/>
                <w:sz w:val="21"/>
              </w:rPr>
              <w:t>8.肾脏切除</w:t>
            </w:r>
          </w:p>
        </w:tc>
        <w:tc>
          <w:tcPr>
            <w:tcW w:w="7934" w:type="dxa"/>
          </w:tcPr>
          <w:p>
            <w:pPr>
              <w:pStyle w:val="TableParagraph"/>
              <w:spacing w:before="58"/>
              <w:ind w:left="106"/>
              <w:rPr>
                <w:sz w:val="21"/>
              </w:rPr>
            </w:pPr>
            <w:r>
              <w:rPr>
                <w:sz w:val="21"/>
              </w:rPr>
              <w:t>因疾病或者意外伤害导致至少单侧肾切除。</w:t>
            </w:r>
          </w:p>
          <w:p>
            <w:pPr>
              <w:pStyle w:val="TableParagraph"/>
              <w:spacing w:before="36"/>
              <w:ind w:left="106"/>
              <w:rPr>
                <w:rFonts w:ascii="黑体" w:eastAsia="黑体" w:hint="eastAsia"/>
                <w:sz w:val="21"/>
              </w:rPr>
            </w:pPr>
            <w:r>
              <w:rPr>
                <w:rFonts w:ascii="黑体" w:eastAsia="黑体" w:hint="eastAsia"/>
                <w:sz w:val="21"/>
              </w:rPr>
              <w:t>因捐赠肾脏而所需的肾脏切除不在保障范围内。</w:t>
            </w:r>
          </w:p>
        </w:tc>
      </w:tr>
      <w:tr>
        <w:trPr>
          <w:trHeight w:val="1101" w:hRule="atLeast"/>
        </w:trPr>
        <w:tc>
          <w:tcPr>
            <w:tcW w:w="1512" w:type="dxa"/>
          </w:tcPr>
          <w:p>
            <w:pPr>
              <w:pStyle w:val="TableParagraph"/>
              <w:spacing w:line="273" w:lineRule="auto" w:before="68"/>
              <w:ind w:right="254"/>
              <w:rPr>
                <w:b/>
                <w:sz w:val="21"/>
              </w:rPr>
            </w:pPr>
            <w:r>
              <w:rPr>
                <w:b/>
                <w:sz w:val="21"/>
              </w:rPr>
              <w:t>9.单个肢体缺失</w:t>
            </w:r>
          </w:p>
        </w:tc>
        <w:tc>
          <w:tcPr>
            <w:tcW w:w="7934" w:type="dxa"/>
          </w:tcPr>
          <w:p>
            <w:pPr>
              <w:pStyle w:val="TableParagraph"/>
              <w:spacing w:line="273" w:lineRule="auto" w:before="68"/>
              <w:ind w:left="106" w:right="245"/>
              <w:rPr>
                <w:sz w:val="21"/>
              </w:rPr>
            </w:pPr>
            <w:r>
              <w:rPr>
                <w:sz w:val="21"/>
              </w:rPr>
              <w:t>指一个肢体自腕关节或踝关节近端（靠近躯干端）以上完全性断离，但未达到本合同所指重大疾病“多个肢体缺失”的标准。</w:t>
            </w:r>
          </w:p>
          <w:p>
            <w:pPr>
              <w:pStyle w:val="TableParagraph"/>
              <w:spacing w:before="7"/>
              <w:ind w:left="106"/>
              <w:rPr>
                <w:rFonts w:ascii="黑体" w:hAnsi="黑体" w:eastAsia="黑体" w:hint="eastAsia"/>
                <w:sz w:val="21"/>
              </w:rPr>
            </w:pPr>
            <w:r>
              <w:rPr>
                <w:rFonts w:ascii="黑体" w:hAnsi="黑体" w:eastAsia="黑体" w:hint="eastAsia"/>
                <w:sz w:val="21"/>
              </w:rPr>
              <w:t>因“糖尿病导致单足切除”导致的单个肢体缺失不在本项保障范围内。</w:t>
            </w:r>
          </w:p>
        </w:tc>
      </w:tr>
      <w:tr>
        <w:trPr>
          <w:trHeight w:val="1588" w:hRule="atLeast"/>
        </w:trPr>
        <w:tc>
          <w:tcPr>
            <w:tcW w:w="1512" w:type="dxa"/>
          </w:tcPr>
          <w:p>
            <w:pPr>
              <w:pStyle w:val="TableParagraph"/>
              <w:spacing w:line="273" w:lineRule="auto" w:before="58"/>
              <w:ind w:right="148"/>
              <w:rPr>
                <w:b/>
                <w:sz w:val="21"/>
              </w:rPr>
            </w:pPr>
            <w:r>
              <w:rPr>
                <w:b/>
                <w:sz w:val="21"/>
              </w:rPr>
              <w:t>10.病毒性肝炎导致的肝硬化</w:t>
            </w:r>
          </w:p>
        </w:tc>
        <w:tc>
          <w:tcPr>
            <w:tcW w:w="7934" w:type="dxa"/>
          </w:tcPr>
          <w:p>
            <w:pPr>
              <w:pStyle w:val="TableParagraph"/>
              <w:spacing w:before="58"/>
              <w:ind w:left="106"/>
              <w:rPr>
                <w:sz w:val="21"/>
              </w:rPr>
            </w:pPr>
            <w:r>
              <w:rPr>
                <w:sz w:val="21"/>
              </w:rPr>
              <w:t>因肝炎病毒感染的肝脏慢性炎症并发展为肝硬化。理赔时须满足下列全部条件：</w:t>
            </w:r>
          </w:p>
          <w:p>
            <w:pPr>
              <w:pStyle w:val="TableParagraph"/>
              <w:numPr>
                <w:ilvl w:val="0"/>
                <w:numId w:val="23"/>
              </w:numPr>
              <w:tabs>
                <w:tab w:pos="739" w:val="left" w:leader="none"/>
              </w:tabs>
              <w:spacing w:line="240" w:lineRule="auto" w:before="37" w:after="0"/>
              <w:ind w:left="106" w:right="0" w:firstLine="0"/>
              <w:jc w:val="left"/>
              <w:rPr>
                <w:sz w:val="21"/>
              </w:rPr>
            </w:pPr>
            <w:r>
              <w:rPr>
                <w:spacing w:val="-3"/>
                <w:sz w:val="21"/>
              </w:rPr>
              <w:t>被保人有感染慢性肝炎病毒的血清学及实验室检查报告等临床证据；</w:t>
            </w:r>
          </w:p>
          <w:p>
            <w:pPr>
              <w:pStyle w:val="TableParagraph"/>
              <w:numPr>
                <w:ilvl w:val="0"/>
                <w:numId w:val="23"/>
              </w:numPr>
              <w:tabs>
                <w:tab w:pos="722" w:val="left" w:leader="none"/>
              </w:tabs>
              <w:spacing w:line="273" w:lineRule="auto" w:before="37" w:after="0"/>
              <w:ind w:left="106" w:right="295" w:firstLine="0"/>
              <w:jc w:val="left"/>
              <w:rPr>
                <w:sz w:val="21"/>
              </w:rPr>
            </w:pPr>
            <w:r>
              <w:rPr>
                <w:spacing w:val="-4"/>
                <w:sz w:val="21"/>
              </w:rPr>
              <w:t>必须由本公司认可医院的消化科专科医生基于肝脏组织病理学检查报告、临</w:t>
            </w:r>
            <w:r>
              <w:rPr>
                <w:spacing w:val="-3"/>
                <w:sz w:val="21"/>
              </w:rPr>
              <w:t>床表现及病史对肝炎病毒感染导致肝硬化作出明确诊断；</w:t>
            </w:r>
          </w:p>
          <w:p>
            <w:pPr>
              <w:pStyle w:val="TableParagraph"/>
              <w:numPr>
                <w:ilvl w:val="0"/>
                <w:numId w:val="23"/>
              </w:numPr>
              <w:tabs>
                <w:tab w:pos="703" w:val="left" w:leader="none"/>
              </w:tabs>
              <w:spacing w:line="261" w:lineRule="exact" w:before="7" w:after="0"/>
              <w:ind w:left="702" w:right="0" w:hanging="596"/>
              <w:jc w:val="left"/>
              <w:rPr>
                <w:sz w:val="21"/>
              </w:rPr>
            </w:pPr>
            <w:r>
              <w:rPr>
                <w:spacing w:val="-7"/>
                <w:sz w:val="21"/>
              </w:rPr>
              <w:t>病理学检查报告证明肝脏病变按 </w:t>
            </w:r>
            <w:r>
              <w:rPr>
                <w:sz w:val="21"/>
              </w:rPr>
              <w:t>Metavir</w:t>
            </w:r>
            <w:r>
              <w:rPr>
                <w:spacing w:val="-9"/>
                <w:sz w:val="21"/>
              </w:rPr>
              <w:t> 分级表中属 </w:t>
            </w:r>
            <w:r>
              <w:rPr>
                <w:sz w:val="21"/>
              </w:rPr>
              <w:t>F4</w:t>
            </w:r>
            <w:r>
              <w:rPr>
                <w:spacing w:val="-11"/>
                <w:sz w:val="21"/>
              </w:rPr>
              <w:t> 阶段或 </w:t>
            </w:r>
            <w:r>
              <w:rPr>
                <w:sz w:val="21"/>
              </w:rPr>
              <w:t>Knodell</w:t>
            </w:r>
            <w:r>
              <w:rPr>
                <w:spacing w:val="-26"/>
                <w:sz w:val="21"/>
              </w:rPr>
              <w:t> 肝</w:t>
            </w:r>
          </w:p>
        </w:tc>
      </w:tr>
    </w:tbl>
    <w:p>
      <w:pPr>
        <w:spacing w:after="0" w:line="261" w:lineRule="exact"/>
        <w:jc w:val="left"/>
        <w:rPr>
          <w:sz w:val="21"/>
        </w:rPr>
        <w:sectPr>
          <w:pgSz w:w="11910" w:h="16840"/>
          <w:pgMar w:header="0" w:footer="377" w:top="1340" w:bottom="560" w:left="152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7840"/>
      </w:tblGrid>
      <w:tr>
        <w:trPr>
          <w:trHeight w:val="1275" w:hRule="atLeast"/>
        </w:trPr>
        <w:tc>
          <w:tcPr>
            <w:tcW w:w="1543" w:type="dxa"/>
          </w:tcPr>
          <w:p>
            <w:pPr>
              <w:pStyle w:val="TableParagraph"/>
              <w:spacing w:before="0"/>
              <w:ind w:left="0"/>
              <w:rPr>
                <w:rFonts w:ascii="Times New Roman"/>
                <w:sz w:val="20"/>
              </w:rPr>
            </w:pPr>
          </w:p>
        </w:tc>
        <w:tc>
          <w:tcPr>
            <w:tcW w:w="7840" w:type="dxa"/>
          </w:tcPr>
          <w:p>
            <w:pPr>
              <w:pStyle w:val="TableParagraph"/>
              <w:spacing w:line="205" w:lineRule="exact" w:before="0"/>
              <w:ind w:left="75"/>
              <w:rPr>
                <w:sz w:val="21"/>
              </w:rPr>
            </w:pPr>
            <w:r>
              <w:rPr>
                <w:sz w:val="21"/>
              </w:rPr>
              <w:t>纤维化标准达到 4 分。</w:t>
            </w:r>
          </w:p>
          <w:p>
            <w:pPr>
              <w:pStyle w:val="TableParagraph"/>
              <w:ind w:left="75"/>
              <w:rPr>
                <w:rFonts w:ascii="黑体" w:eastAsia="黑体" w:hint="eastAsia"/>
                <w:sz w:val="21"/>
              </w:rPr>
            </w:pPr>
            <w:r>
              <w:rPr>
                <w:rFonts w:ascii="黑体" w:eastAsia="黑体" w:hint="eastAsia"/>
                <w:sz w:val="21"/>
              </w:rPr>
              <w:t>由酒精或药物滥用而引起的本疾病不在保障范围内。</w:t>
            </w:r>
          </w:p>
          <w:p>
            <w:pPr>
              <w:pStyle w:val="TableParagraph"/>
              <w:spacing w:line="273" w:lineRule="auto"/>
              <w:ind w:left="75" w:right="232"/>
              <w:rPr>
                <w:rFonts w:ascii="黑体" w:hAnsi="黑体" w:eastAsia="黑体" w:hint="eastAsia"/>
                <w:sz w:val="21"/>
              </w:rPr>
            </w:pPr>
            <w:r>
              <w:rPr>
                <w:rFonts w:ascii="黑体" w:hAnsi="黑体" w:eastAsia="黑体" w:hint="eastAsia"/>
                <w:spacing w:val="-7"/>
                <w:sz w:val="21"/>
              </w:rPr>
              <w:t>本公司对“病毒性肝炎导致的肝硬化”和“慢性肝功能衰竭”两项中的其中一项承</w:t>
            </w:r>
            <w:r>
              <w:rPr>
                <w:rFonts w:ascii="黑体" w:hAnsi="黑体" w:eastAsia="黑体" w:hint="eastAsia"/>
                <w:spacing w:val="-5"/>
                <w:sz w:val="21"/>
              </w:rPr>
              <w:t>担保险责任，给付其中一项保险金后，对另一项轻症疾病保险责任同时终止。</w:t>
            </w:r>
          </w:p>
        </w:tc>
      </w:tr>
      <w:tr>
        <w:trPr>
          <w:trHeight w:val="2663" w:hRule="atLeast"/>
        </w:trPr>
        <w:tc>
          <w:tcPr>
            <w:tcW w:w="1543" w:type="dxa"/>
          </w:tcPr>
          <w:p>
            <w:pPr>
              <w:pStyle w:val="TableParagraph"/>
              <w:spacing w:line="273" w:lineRule="auto" w:before="58"/>
              <w:ind w:right="73"/>
              <w:rPr>
                <w:b/>
                <w:sz w:val="21"/>
              </w:rPr>
            </w:pPr>
            <w:r>
              <w:rPr>
                <w:b/>
                <w:sz w:val="21"/>
              </w:rPr>
              <w:t>11.脑垂体  瘤、脑囊肿、脑动脉瘤及 脑血管瘤</w:t>
            </w:r>
          </w:p>
        </w:tc>
        <w:tc>
          <w:tcPr>
            <w:tcW w:w="7840" w:type="dxa"/>
          </w:tcPr>
          <w:p>
            <w:pPr>
              <w:pStyle w:val="TableParagraph"/>
              <w:spacing w:line="273" w:lineRule="auto" w:before="58"/>
              <w:ind w:left="75" w:right="232"/>
              <w:rPr>
                <w:sz w:val="21"/>
              </w:rPr>
            </w:pPr>
            <w:r>
              <w:rPr>
                <w:spacing w:val="-4"/>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3"/>
                <w:w w:val="100"/>
                <w:sz w:val="21"/>
              </w:rPr>
              <w:t>）</w:t>
            </w:r>
            <w:r>
              <w:rPr>
                <w:spacing w:val="-3"/>
                <w:w w:val="100"/>
                <w:sz w:val="21"/>
              </w:rPr>
              <w:t>或者其他影像学检查被确诊为下列</w:t>
            </w:r>
            <w:r>
              <w:rPr>
                <w:spacing w:val="-3"/>
                <w:sz w:val="21"/>
              </w:rPr>
              <w:t>病变，并实际接受了手术或者放射治疗。</w:t>
            </w:r>
          </w:p>
          <w:p>
            <w:pPr>
              <w:pStyle w:val="TableParagraph"/>
              <w:numPr>
                <w:ilvl w:val="0"/>
                <w:numId w:val="24"/>
              </w:numPr>
              <w:tabs>
                <w:tab w:pos="708" w:val="left" w:leader="none"/>
              </w:tabs>
              <w:spacing w:line="240" w:lineRule="auto" w:before="7" w:after="0"/>
              <w:ind w:left="707" w:right="0" w:hanging="632"/>
              <w:jc w:val="left"/>
              <w:rPr>
                <w:sz w:val="21"/>
              </w:rPr>
            </w:pPr>
            <w:r>
              <w:rPr>
                <w:spacing w:val="-3"/>
                <w:sz w:val="21"/>
              </w:rPr>
              <w:t>脑垂体瘤；</w:t>
            </w:r>
          </w:p>
          <w:p>
            <w:pPr>
              <w:pStyle w:val="TableParagraph"/>
              <w:numPr>
                <w:ilvl w:val="0"/>
                <w:numId w:val="24"/>
              </w:numPr>
              <w:tabs>
                <w:tab w:pos="708" w:val="left" w:leader="none"/>
              </w:tabs>
              <w:spacing w:line="240" w:lineRule="auto" w:before="37" w:after="0"/>
              <w:ind w:left="707" w:right="0" w:hanging="632"/>
              <w:jc w:val="left"/>
              <w:rPr>
                <w:sz w:val="21"/>
              </w:rPr>
            </w:pPr>
            <w:r>
              <w:rPr>
                <w:spacing w:val="-2"/>
                <w:sz w:val="21"/>
              </w:rPr>
              <w:t>脑囊肿；</w:t>
            </w:r>
          </w:p>
          <w:p>
            <w:pPr>
              <w:pStyle w:val="TableParagraph"/>
              <w:numPr>
                <w:ilvl w:val="0"/>
                <w:numId w:val="24"/>
              </w:numPr>
              <w:tabs>
                <w:tab w:pos="708" w:val="left" w:leader="none"/>
              </w:tabs>
              <w:spacing w:line="240" w:lineRule="auto" w:before="37" w:after="0"/>
              <w:ind w:left="707" w:right="0" w:hanging="632"/>
              <w:jc w:val="left"/>
              <w:rPr>
                <w:sz w:val="21"/>
              </w:rPr>
            </w:pPr>
            <w:r>
              <w:rPr>
                <w:spacing w:val="-3"/>
                <w:sz w:val="21"/>
              </w:rPr>
              <w:t>脑动脉瘤、脑血管瘤。</w:t>
            </w:r>
          </w:p>
          <w:p>
            <w:pPr>
              <w:pStyle w:val="TableParagraph"/>
              <w:spacing w:line="273" w:lineRule="auto"/>
              <w:ind w:left="75" w:right="232"/>
              <w:jc w:val="both"/>
              <w:rPr>
                <w:rFonts w:ascii="黑体" w:hAnsi="黑体" w:eastAsia="黑体" w:hint="eastAsia"/>
                <w:sz w:val="21"/>
              </w:rPr>
            </w:pPr>
            <w:r>
              <w:rPr>
                <w:rFonts w:ascii="黑体" w:hAnsi="黑体" w:eastAsia="黑体" w:hint="eastAsia"/>
                <w:spacing w:val="-17"/>
                <w:sz w:val="21"/>
              </w:rPr>
              <w:t>本公司对“轻微脑中风后遗症”、“微创颅脑手术”和“脑垂体瘤、脑囊肿、脑动脉</w:t>
            </w:r>
            <w:r>
              <w:rPr>
                <w:rFonts w:ascii="黑体" w:hAnsi="黑体" w:eastAsia="黑体" w:hint="eastAsia"/>
                <w:spacing w:val="-10"/>
                <w:sz w:val="21"/>
              </w:rPr>
              <w:t>瘤及脑血管瘤”三项中的其中一项承担保险责任，给付其中一项保险金后，对其他</w:t>
            </w:r>
            <w:r>
              <w:rPr>
                <w:rFonts w:ascii="黑体" w:hAnsi="黑体" w:eastAsia="黑体" w:hint="eastAsia"/>
                <w:spacing w:val="-5"/>
                <w:sz w:val="21"/>
              </w:rPr>
              <w:t>两项轻症疾病保险责任同时终止。</w:t>
            </w:r>
          </w:p>
        </w:tc>
      </w:tr>
      <w:tr>
        <w:trPr>
          <w:trHeight w:val="2975" w:hRule="atLeast"/>
        </w:trPr>
        <w:tc>
          <w:tcPr>
            <w:tcW w:w="1543" w:type="dxa"/>
          </w:tcPr>
          <w:p>
            <w:pPr>
              <w:pStyle w:val="TableParagraph"/>
              <w:spacing w:line="273" w:lineRule="auto" w:before="69"/>
              <w:ind w:right="179"/>
              <w:rPr>
                <w:b/>
                <w:sz w:val="21"/>
              </w:rPr>
            </w:pPr>
            <w:r>
              <w:rPr>
                <w:b/>
                <w:sz w:val="21"/>
              </w:rPr>
              <w:t>12.慢性肝功能衰竭</w:t>
            </w:r>
          </w:p>
        </w:tc>
        <w:tc>
          <w:tcPr>
            <w:tcW w:w="7840" w:type="dxa"/>
          </w:tcPr>
          <w:p>
            <w:pPr>
              <w:pStyle w:val="TableParagraph"/>
              <w:spacing w:line="273" w:lineRule="auto" w:before="69"/>
              <w:ind w:left="75" w:right="232"/>
              <w:rPr>
                <w:sz w:val="21"/>
              </w:rPr>
            </w:pPr>
            <w:r>
              <w:rPr>
                <w:spacing w:val="-6"/>
                <w:sz w:val="21"/>
              </w:rPr>
              <w:t>指因慢性肝脏疾病导致肝功能衰竭，但未达到本合同所指重大疾病“慢性肝功能衰</w:t>
            </w:r>
            <w:r>
              <w:rPr>
                <w:spacing w:val="-4"/>
                <w:sz w:val="21"/>
              </w:rPr>
              <w:t>竭失代偿期”的标准。须满足下列任意三个条件：</w:t>
            </w:r>
          </w:p>
          <w:p>
            <w:pPr>
              <w:pStyle w:val="TableParagraph"/>
              <w:numPr>
                <w:ilvl w:val="0"/>
                <w:numId w:val="25"/>
              </w:numPr>
              <w:tabs>
                <w:tab w:pos="708" w:val="left" w:leader="none"/>
              </w:tabs>
              <w:spacing w:line="240" w:lineRule="auto" w:before="7" w:after="0"/>
              <w:ind w:left="707" w:right="0" w:hanging="632"/>
              <w:jc w:val="left"/>
              <w:rPr>
                <w:sz w:val="21"/>
              </w:rPr>
            </w:pPr>
            <w:r>
              <w:rPr>
                <w:spacing w:val="-3"/>
                <w:sz w:val="21"/>
              </w:rPr>
              <w:t>持续性黄疸；</w:t>
            </w:r>
          </w:p>
          <w:p>
            <w:pPr>
              <w:pStyle w:val="TableParagraph"/>
              <w:numPr>
                <w:ilvl w:val="0"/>
                <w:numId w:val="25"/>
              </w:numPr>
              <w:tabs>
                <w:tab w:pos="708" w:val="left" w:leader="none"/>
              </w:tabs>
              <w:spacing w:line="240" w:lineRule="auto" w:before="37" w:after="0"/>
              <w:ind w:left="707" w:right="0" w:hanging="632"/>
              <w:jc w:val="left"/>
              <w:rPr>
                <w:sz w:val="21"/>
              </w:rPr>
            </w:pPr>
            <w:r>
              <w:rPr>
                <w:spacing w:val="-2"/>
                <w:sz w:val="21"/>
              </w:rPr>
              <w:t>腹水；</w:t>
            </w:r>
          </w:p>
          <w:p>
            <w:pPr>
              <w:pStyle w:val="TableParagraph"/>
              <w:numPr>
                <w:ilvl w:val="0"/>
                <w:numId w:val="25"/>
              </w:numPr>
              <w:tabs>
                <w:tab w:pos="708" w:val="left" w:leader="none"/>
              </w:tabs>
              <w:spacing w:line="240" w:lineRule="auto" w:before="37" w:after="0"/>
              <w:ind w:left="707" w:right="0" w:hanging="632"/>
              <w:jc w:val="left"/>
              <w:rPr>
                <w:sz w:val="21"/>
              </w:rPr>
            </w:pPr>
            <w:r>
              <w:rPr>
                <w:spacing w:val="-2"/>
                <w:sz w:val="21"/>
              </w:rPr>
              <w:t>肝性脑病</w:t>
            </w:r>
          </w:p>
          <w:p>
            <w:pPr>
              <w:pStyle w:val="TableParagraph"/>
              <w:numPr>
                <w:ilvl w:val="0"/>
                <w:numId w:val="25"/>
              </w:numPr>
              <w:tabs>
                <w:tab w:pos="708" w:val="left" w:leader="none"/>
              </w:tabs>
              <w:spacing w:line="240" w:lineRule="auto" w:before="37" w:after="0"/>
              <w:ind w:left="707" w:right="0" w:hanging="632"/>
              <w:jc w:val="left"/>
              <w:rPr>
                <w:sz w:val="21"/>
              </w:rPr>
            </w:pPr>
            <w:r>
              <w:rPr>
                <w:spacing w:val="-3"/>
                <w:sz w:val="21"/>
              </w:rPr>
              <w:t>充血性脾肿大伴脾功能亢进或食管胃底静脉曲张。</w:t>
            </w:r>
          </w:p>
          <w:p>
            <w:pPr>
              <w:pStyle w:val="TableParagraph"/>
              <w:ind w:left="75"/>
              <w:rPr>
                <w:rFonts w:ascii="黑体" w:eastAsia="黑体" w:hint="eastAsia"/>
                <w:sz w:val="21"/>
              </w:rPr>
            </w:pPr>
            <w:r>
              <w:rPr>
                <w:rFonts w:ascii="黑体" w:eastAsia="黑体" w:hint="eastAsia"/>
                <w:sz w:val="21"/>
              </w:rPr>
              <w:t>因酗酒或药物滥用导致的肝功能衰竭不在保障范围内。</w:t>
            </w:r>
          </w:p>
          <w:p>
            <w:pPr>
              <w:pStyle w:val="TableParagraph"/>
              <w:spacing w:line="273" w:lineRule="auto"/>
              <w:ind w:left="75" w:right="232"/>
              <w:rPr>
                <w:rFonts w:ascii="黑体" w:hAnsi="黑体" w:eastAsia="黑体" w:hint="eastAsia"/>
                <w:sz w:val="21"/>
              </w:rPr>
            </w:pPr>
            <w:r>
              <w:rPr>
                <w:rFonts w:ascii="黑体" w:hAnsi="黑体" w:eastAsia="黑体" w:hint="eastAsia"/>
                <w:spacing w:val="-7"/>
                <w:sz w:val="21"/>
              </w:rPr>
              <w:t>本公司对“病毒性肝炎导致的肝硬化”和“慢性肝功能衰竭”两项中的其中一项承</w:t>
            </w:r>
            <w:r>
              <w:rPr>
                <w:rFonts w:ascii="黑体" w:hAnsi="黑体" w:eastAsia="黑体" w:hint="eastAsia"/>
                <w:spacing w:val="-5"/>
                <w:sz w:val="21"/>
              </w:rPr>
              <w:t>担保险责任，给付其中一项保险金后，对另一项轻症疾病保险责任同时终止。</w:t>
            </w:r>
          </w:p>
        </w:tc>
      </w:tr>
      <w:tr>
        <w:trPr>
          <w:trHeight w:val="2313" w:hRule="atLeast"/>
        </w:trPr>
        <w:tc>
          <w:tcPr>
            <w:tcW w:w="1543" w:type="dxa"/>
          </w:tcPr>
          <w:p>
            <w:pPr>
              <w:pStyle w:val="TableParagraph"/>
              <w:spacing w:before="58"/>
              <w:rPr>
                <w:b/>
                <w:sz w:val="21"/>
              </w:rPr>
            </w:pPr>
            <w:r>
              <w:rPr>
                <w:b/>
                <w:sz w:val="21"/>
              </w:rPr>
              <w:t>13.单耳失聪</w:t>
            </w:r>
          </w:p>
        </w:tc>
        <w:tc>
          <w:tcPr>
            <w:tcW w:w="7840" w:type="dxa"/>
          </w:tcPr>
          <w:p>
            <w:pPr>
              <w:pStyle w:val="TableParagraph"/>
              <w:spacing w:line="273" w:lineRule="auto" w:before="58"/>
              <w:ind w:left="75" w:right="232"/>
              <w:rPr>
                <w:sz w:val="21"/>
              </w:rPr>
            </w:pPr>
            <w:r>
              <w:rPr>
                <w:spacing w:val="-5"/>
                <w:sz w:val="21"/>
              </w:rPr>
              <w:t>指因疾病或者意外伤害导致单耳听力永久不可逆性丧失，未达到重大疾病“双耳失</w:t>
            </w:r>
            <w:r>
              <w:rPr>
                <w:spacing w:val="-7"/>
                <w:sz w:val="21"/>
              </w:rPr>
              <w:t>聪”的给付标准，但满足以下条件：在 </w:t>
            </w:r>
            <w:r>
              <w:rPr>
                <w:sz w:val="21"/>
              </w:rPr>
              <w:t>500</w:t>
            </w:r>
            <w:r>
              <w:rPr>
                <w:spacing w:val="-13"/>
                <w:sz w:val="21"/>
              </w:rPr>
              <w:t> 赫兹、</w:t>
            </w:r>
            <w:r>
              <w:rPr>
                <w:sz w:val="21"/>
              </w:rPr>
              <w:t>1000</w:t>
            </w:r>
            <w:r>
              <w:rPr>
                <w:spacing w:val="-19"/>
                <w:sz w:val="21"/>
              </w:rPr>
              <w:t> 赫兹和 </w:t>
            </w:r>
            <w:r>
              <w:rPr>
                <w:sz w:val="21"/>
              </w:rPr>
              <w:t>2000</w:t>
            </w:r>
            <w:r>
              <w:rPr>
                <w:spacing w:val="-9"/>
                <w:sz w:val="21"/>
              </w:rPr>
              <w:t> 赫兹语音频率</w:t>
            </w:r>
          </w:p>
          <w:p>
            <w:pPr>
              <w:pStyle w:val="TableParagraph"/>
              <w:spacing w:line="273" w:lineRule="auto" w:before="7"/>
              <w:ind w:left="75" w:right="178"/>
              <w:rPr>
                <w:sz w:val="21"/>
              </w:rPr>
            </w:pPr>
            <w:r>
              <w:rPr>
                <w:sz w:val="21"/>
              </w:rPr>
              <w:t>下，平均听阈大于 90 分贝，且经纯音听力测试、声导抗检测或者听觉诱发电位检测等证实。</w:t>
            </w:r>
          </w:p>
          <w:p>
            <w:pPr>
              <w:pStyle w:val="TableParagraph"/>
              <w:spacing w:before="7"/>
              <w:ind w:left="75"/>
              <w:rPr>
                <w:rFonts w:ascii="黑体" w:eastAsia="黑体" w:hint="eastAsia"/>
                <w:sz w:val="21"/>
              </w:rPr>
            </w:pPr>
            <w:r>
              <w:rPr>
                <w:rFonts w:ascii="黑体" w:eastAsia="黑体" w:hint="eastAsia"/>
                <w:sz w:val="21"/>
              </w:rPr>
              <w:t>被保险人在 3 周岁之前因疾病导致的单耳失聪不在保障范围内。</w:t>
            </w:r>
          </w:p>
          <w:p>
            <w:pPr>
              <w:pStyle w:val="TableParagraph"/>
              <w:spacing w:line="273" w:lineRule="auto" w:before="36"/>
              <w:ind w:left="75" w:right="198"/>
              <w:rPr>
                <w:rFonts w:ascii="黑体" w:hAnsi="黑体" w:eastAsia="黑体" w:hint="eastAsia"/>
                <w:sz w:val="21"/>
              </w:rPr>
            </w:pPr>
            <w:r>
              <w:rPr>
                <w:rFonts w:ascii="黑体" w:hAnsi="黑体" w:eastAsia="黑体" w:hint="eastAsia"/>
                <w:spacing w:val="-17"/>
                <w:sz w:val="21"/>
              </w:rPr>
              <w:t>本公司对“单耳失聪”、“听力严重受损”和“人工耳蜗植入术”三项中的其中一项</w:t>
            </w:r>
            <w:r>
              <w:rPr>
                <w:rFonts w:ascii="黑体" w:hAnsi="黑体" w:eastAsia="黑体" w:hint="eastAsia"/>
                <w:spacing w:val="-7"/>
                <w:sz w:val="21"/>
              </w:rPr>
              <w:t>承担保险责任，给付其中一项保险金后，对其它两项轻症疾病保险责任同时终止。</w:t>
            </w:r>
          </w:p>
        </w:tc>
      </w:tr>
      <w:tr>
        <w:trPr>
          <w:trHeight w:val="1985" w:hRule="atLeast"/>
        </w:trPr>
        <w:tc>
          <w:tcPr>
            <w:tcW w:w="1543" w:type="dxa"/>
          </w:tcPr>
          <w:p>
            <w:pPr>
              <w:pStyle w:val="TableParagraph"/>
              <w:spacing w:line="273" w:lineRule="auto" w:before="32"/>
              <w:ind w:right="179"/>
              <w:rPr>
                <w:b/>
                <w:sz w:val="21"/>
              </w:rPr>
            </w:pPr>
            <w:r>
              <w:rPr>
                <w:b/>
                <w:sz w:val="21"/>
              </w:rPr>
              <w:t>14.人工耳蜗植入术</w:t>
            </w:r>
          </w:p>
        </w:tc>
        <w:tc>
          <w:tcPr>
            <w:tcW w:w="7840" w:type="dxa"/>
          </w:tcPr>
          <w:p>
            <w:pPr>
              <w:pStyle w:val="TableParagraph"/>
              <w:spacing w:line="273" w:lineRule="auto" w:before="32"/>
              <w:ind w:left="75" w:right="191"/>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8"/>
              <w:ind w:left="75"/>
              <w:rPr>
                <w:sz w:val="21"/>
              </w:rPr>
            </w:pPr>
            <w:r>
              <w:rPr>
                <w:sz w:val="21"/>
              </w:rPr>
              <w:t>1.双耳持续 12 个月以上重度感音神经性耳聋；</w:t>
            </w:r>
          </w:p>
          <w:p>
            <w:pPr>
              <w:pStyle w:val="TableParagraph"/>
              <w:ind w:left="75"/>
              <w:rPr>
                <w:sz w:val="21"/>
              </w:rPr>
            </w:pPr>
            <w:r>
              <w:rPr>
                <w:sz w:val="21"/>
              </w:rPr>
              <w:t>2.使用相应的听力辅助设备效果不佳。</w:t>
            </w:r>
          </w:p>
          <w:p>
            <w:pPr>
              <w:pStyle w:val="TableParagraph"/>
              <w:spacing w:line="273" w:lineRule="auto"/>
              <w:ind w:left="75" w:right="198"/>
              <w:rPr>
                <w:rFonts w:ascii="黑体" w:hAnsi="黑体" w:eastAsia="黑体" w:hint="eastAsia"/>
                <w:sz w:val="21"/>
              </w:rPr>
            </w:pPr>
            <w:r>
              <w:rPr>
                <w:rFonts w:ascii="黑体" w:hAnsi="黑体" w:eastAsia="黑体" w:hint="eastAsia"/>
                <w:spacing w:val="-17"/>
                <w:sz w:val="21"/>
              </w:rPr>
              <w:t>本公司对“单耳失聪”、“听力严重受损”和“人工耳蜗植入术”三项中的其中一项</w:t>
            </w:r>
            <w:r>
              <w:rPr>
                <w:rFonts w:ascii="黑体" w:hAnsi="黑体" w:eastAsia="黑体" w:hint="eastAsia"/>
                <w:spacing w:val="-7"/>
                <w:sz w:val="21"/>
              </w:rPr>
              <w:t>承担保险责任，给付其中一项保险金后，对其它两项轻症疾病保险责任同时终止。</w:t>
            </w:r>
          </w:p>
        </w:tc>
      </w:tr>
      <w:tr>
        <w:trPr>
          <w:trHeight w:val="2323" w:hRule="atLeast"/>
        </w:trPr>
        <w:tc>
          <w:tcPr>
            <w:tcW w:w="1543" w:type="dxa"/>
          </w:tcPr>
          <w:p>
            <w:pPr>
              <w:pStyle w:val="TableParagraph"/>
              <w:spacing w:line="273" w:lineRule="auto" w:before="42"/>
              <w:ind w:right="179"/>
              <w:rPr>
                <w:b/>
                <w:sz w:val="21"/>
              </w:rPr>
            </w:pPr>
            <w:r>
              <w:rPr>
                <w:b/>
                <w:sz w:val="21"/>
              </w:rPr>
              <w:t>15.听力严重受损</w:t>
            </w:r>
          </w:p>
        </w:tc>
        <w:tc>
          <w:tcPr>
            <w:tcW w:w="7840" w:type="dxa"/>
          </w:tcPr>
          <w:p>
            <w:pPr>
              <w:pStyle w:val="TableParagraph"/>
              <w:spacing w:before="42"/>
              <w:ind w:left="75"/>
              <w:rPr>
                <w:sz w:val="21"/>
              </w:rPr>
            </w:pPr>
            <w:r>
              <w:rPr>
                <w:sz w:val="21"/>
              </w:rPr>
              <w:t>指因疾病或意外伤害导致双耳听力永久不可逆性丧失，在 500 赫兹、1000 赫兹和</w:t>
            </w:r>
          </w:p>
          <w:p>
            <w:pPr>
              <w:pStyle w:val="TableParagraph"/>
              <w:spacing w:line="273" w:lineRule="auto"/>
              <w:ind w:left="75" w:right="232"/>
              <w:rPr>
                <w:sz w:val="21"/>
              </w:rPr>
            </w:pPr>
            <w:r>
              <w:rPr>
                <w:sz w:val="21"/>
              </w:rPr>
              <w:t>2000</w:t>
            </w:r>
            <w:r>
              <w:rPr>
                <w:spacing w:val="-9"/>
                <w:sz w:val="21"/>
              </w:rPr>
              <w:t> 赫兹语音频率下，平均听阈大于 </w:t>
            </w:r>
            <w:r>
              <w:rPr>
                <w:sz w:val="21"/>
              </w:rPr>
              <w:t>70</w:t>
            </w:r>
            <w:r>
              <w:rPr>
                <w:spacing w:val="-7"/>
                <w:sz w:val="21"/>
              </w:rPr>
              <w:t> 分贝，且经纯音听力测试、声导抗检测或</w:t>
            </w:r>
            <w:r>
              <w:rPr>
                <w:spacing w:val="-5"/>
                <w:sz w:val="21"/>
              </w:rPr>
              <w:t>听觉诱发电位检测等证实。</w:t>
            </w:r>
          </w:p>
          <w:p>
            <w:pPr>
              <w:pStyle w:val="TableParagraph"/>
              <w:spacing w:line="273" w:lineRule="auto" w:before="7"/>
              <w:ind w:left="75" w:right="191"/>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p>
            <w:pPr>
              <w:pStyle w:val="TableParagraph"/>
              <w:spacing w:line="273" w:lineRule="auto" w:before="7"/>
              <w:ind w:left="75" w:right="198"/>
              <w:rPr>
                <w:rFonts w:ascii="黑体" w:hAnsi="黑体" w:eastAsia="黑体" w:hint="eastAsia"/>
                <w:sz w:val="21"/>
              </w:rPr>
            </w:pPr>
            <w:r>
              <w:rPr>
                <w:rFonts w:ascii="黑体" w:hAnsi="黑体" w:eastAsia="黑体" w:hint="eastAsia"/>
                <w:spacing w:val="-17"/>
                <w:sz w:val="21"/>
              </w:rPr>
              <w:t>本公司对“单耳失聪”、“听力严重受损”和“人工耳蜗植入术”三项中的其中一项</w:t>
            </w:r>
            <w:r>
              <w:rPr>
                <w:rFonts w:ascii="黑体" w:hAnsi="黑体" w:eastAsia="黑体" w:hint="eastAsia"/>
                <w:spacing w:val="-7"/>
                <w:sz w:val="21"/>
              </w:rPr>
              <w:t>承担保险责任，给付其中一项保险金后，对其它两项轻症疾病保险责任同时终止。</w:t>
            </w:r>
          </w:p>
        </w:tc>
      </w:tr>
      <w:tr>
        <w:trPr>
          <w:trHeight w:val="963" w:hRule="atLeast"/>
        </w:trPr>
        <w:tc>
          <w:tcPr>
            <w:tcW w:w="1543" w:type="dxa"/>
          </w:tcPr>
          <w:p>
            <w:pPr>
              <w:pStyle w:val="TableParagraph"/>
              <w:spacing w:line="273" w:lineRule="auto" w:before="58"/>
              <w:ind w:right="179"/>
              <w:rPr>
                <w:b/>
                <w:sz w:val="21"/>
              </w:rPr>
            </w:pPr>
            <w:r>
              <w:rPr>
                <w:b/>
                <w:sz w:val="21"/>
              </w:rPr>
              <w:t>16.视力严重受损</w:t>
            </w:r>
          </w:p>
        </w:tc>
        <w:tc>
          <w:tcPr>
            <w:tcW w:w="7840" w:type="dxa"/>
          </w:tcPr>
          <w:p>
            <w:pPr>
              <w:pStyle w:val="TableParagraph"/>
              <w:spacing w:line="273" w:lineRule="auto" w:before="58"/>
              <w:ind w:left="75" w:right="191"/>
              <w:rPr>
                <w:sz w:val="21"/>
              </w:rPr>
            </w:pPr>
            <w:r>
              <w:rPr>
                <w:sz w:val="21"/>
              </w:rPr>
              <w:t>指因疾病或者意外伤害导致双眼视力永久不可逆性丧失，虽然未达到重大疾病“双目失明”的给付标准，但满足下列条件之一：</w:t>
            </w:r>
          </w:p>
          <w:p>
            <w:pPr>
              <w:pStyle w:val="TableParagraph"/>
              <w:spacing w:line="261" w:lineRule="exact" w:before="7"/>
              <w:ind w:left="75"/>
              <w:rPr>
                <w:sz w:val="21"/>
              </w:rPr>
            </w:pPr>
            <w:r>
              <w:rPr>
                <w:sz w:val="21"/>
              </w:rPr>
              <w:t>（1） 双眼中较好眼矫正视力低于 0.1（采用国际标准视力表，如果使用其他视力</w:t>
            </w:r>
          </w:p>
        </w:tc>
      </w:tr>
    </w:tbl>
    <w:p>
      <w:pPr>
        <w:spacing w:after="0" w:line="261" w:lineRule="exact"/>
        <w:rPr>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1899" w:hRule="atLeast"/>
        </w:trPr>
        <w:tc>
          <w:tcPr>
            <w:tcW w:w="1490" w:type="dxa"/>
          </w:tcPr>
          <w:p>
            <w:pPr>
              <w:pStyle w:val="TableParagraph"/>
              <w:spacing w:before="0"/>
              <w:ind w:left="0"/>
              <w:rPr>
                <w:rFonts w:ascii="Times New Roman"/>
                <w:sz w:val="20"/>
              </w:rPr>
            </w:pPr>
          </w:p>
        </w:tc>
        <w:tc>
          <w:tcPr>
            <w:tcW w:w="7964" w:type="dxa"/>
          </w:tcPr>
          <w:p>
            <w:pPr>
              <w:pStyle w:val="TableParagraph"/>
              <w:spacing w:line="205" w:lineRule="exact" w:before="0"/>
              <w:ind w:left="128"/>
              <w:rPr>
                <w:sz w:val="21"/>
              </w:rPr>
            </w:pPr>
            <w:r>
              <w:rPr>
                <w:spacing w:val="-2"/>
                <w:w w:val="100"/>
                <w:sz w:val="21"/>
              </w:rPr>
              <w:t>表应进行换算</w:t>
            </w:r>
            <w:r>
              <w:rPr>
                <w:spacing w:val="-108"/>
                <w:w w:val="100"/>
                <w:sz w:val="21"/>
              </w:rPr>
              <w:t>）</w:t>
            </w:r>
            <w:r>
              <w:rPr>
                <w:w w:val="100"/>
                <w:sz w:val="21"/>
              </w:rPr>
              <w:t>；</w:t>
            </w:r>
          </w:p>
          <w:p>
            <w:pPr>
              <w:pStyle w:val="TableParagraph"/>
              <w:ind w:left="128"/>
              <w:rPr>
                <w:sz w:val="21"/>
              </w:rPr>
            </w:pPr>
            <w:r>
              <w:rPr>
                <w:sz w:val="21"/>
              </w:rPr>
              <w:t>（2） 双眼中较好眼视野半径小于 20 度。</w:t>
            </w:r>
          </w:p>
          <w:p>
            <w:pPr>
              <w:pStyle w:val="TableParagraph"/>
              <w:spacing w:line="273" w:lineRule="auto"/>
              <w:ind w:left="128" w:right="262"/>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p>
            <w:pPr>
              <w:pStyle w:val="TableParagraph"/>
              <w:spacing w:line="273" w:lineRule="auto" w:before="7"/>
              <w:ind w:left="128" w:right="305"/>
              <w:rPr>
                <w:rFonts w:ascii="黑体" w:hAnsi="黑体" w:eastAsia="黑体" w:hint="eastAsia"/>
                <w:sz w:val="21"/>
              </w:rPr>
            </w:pPr>
            <w:r>
              <w:rPr>
                <w:rFonts w:ascii="黑体" w:hAnsi="黑体" w:eastAsia="黑体" w:hint="eastAsia"/>
                <w:spacing w:val="-17"/>
                <w:sz w:val="21"/>
              </w:rPr>
              <w:t>本公司对“视力严重受损”、“单目失明”和“角膜移植”三项中的其中一项承担保</w:t>
            </w:r>
            <w:r>
              <w:rPr>
                <w:rFonts w:ascii="黑体" w:hAnsi="黑体" w:eastAsia="黑体" w:hint="eastAsia"/>
                <w:spacing w:val="-7"/>
                <w:sz w:val="21"/>
              </w:rPr>
              <w:t>险责任，给付其中一项保险金后，对其它两项轻症疾病保险责任同时终止。</w:t>
            </w:r>
          </w:p>
        </w:tc>
      </w:tr>
      <w:tr>
        <w:trPr>
          <w:trHeight w:val="1404" w:hRule="atLeast"/>
        </w:trPr>
        <w:tc>
          <w:tcPr>
            <w:tcW w:w="1490" w:type="dxa"/>
          </w:tcPr>
          <w:p>
            <w:pPr>
              <w:pStyle w:val="TableParagraph"/>
              <w:spacing w:before="58"/>
              <w:rPr>
                <w:b/>
                <w:sz w:val="21"/>
              </w:rPr>
            </w:pPr>
            <w:r>
              <w:rPr>
                <w:b/>
                <w:sz w:val="21"/>
              </w:rPr>
              <w:t>17.角膜移植</w:t>
            </w:r>
          </w:p>
        </w:tc>
        <w:tc>
          <w:tcPr>
            <w:tcW w:w="7964" w:type="dxa"/>
          </w:tcPr>
          <w:p>
            <w:pPr>
              <w:pStyle w:val="TableParagraph"/>
              <w:spacing w:before="58"/>
              <w:ind w:left="128"/>
              <w:rPr>
                <w:sz w:val="21"/>
              </w:rPr>
            </w:pPr>
            <w:r>
              <w:rPr>
                <w:sz w:val="21"/>
              </w:rPr>
              <w:t>指为增进视力或治疗某些角膜疾患，已经实施了异体的角膜移植手术。</w:t>
            </w:r>
          </w:p>
          <w:p>
            <w:pPr>
              <w:pStyle w:val="TableParagraph"/>
              <w:spacing w:before="36"/>
              <w:ind w:left="128"/>
              <w:rPr>
                <w:sz w:val="21"/>
              </w:rPr>
            </w:pPr>
            <w:r>
              <w:rPr>
                <w:sz w:val="21"/>
              </w:rPr>
              <w:t>此手术必须在本公司认可医院内由专科医生认为是医疗必须的情况下进行。</w:t>
            </w:r>
          </w:p>
          <w:p>
            <w:pPr>
              <w:pStyle w:val="TableParagraph"/>
              <w:spacing w:line="273" w:lineRule="auto" w:before="36"/>
              <w:ind w:left="128" w:right="305"/>
              <w:rPr>
                <w:rFonts w:ascii="黑体" w:hAnsi="黑体" w:eastAsia="黑体" w:hint="eastAsia"/>
                <w:sz w:val="21"/>
              </w:rPr>
            </w:pPr>
            <w:r>
              <w:rPr>
                <w:rFonts w:ascii="黑体" w:hAnsi="黑体" w:eastAsia="黑体" w:hint="eastAsia"/>
                <w:spacing w:val="-17"/>
                <w:sz w:val="21"/>
              </w:rPr>
              <w:t>本公司对“视力严重受损”、“单目失明”和“角膜移植”三项中的其中一项承担保</w:t>
            </w:r>
            <w:r>
              <w:rPr>
                <w:rFonts w:ascii="黑体" w:hAnsi="黑体" w:eastAsia="黑体" w:hint="eastAsia"/>
                <w:spacing w:val="-7"/>
                <w:sz w:val="21"/>
              </w:rPr>
              <w:t>险责任，给付其中一项保险金后，对其它两项轻症疾病保险责任同时终止。</w:t>
            </w:r>
          </w:p>
        </w:tc>
      </w:tr>
      <w:tr>
        <w:trPr>
          <w:trHeight w:val="3588" w:hRule="atLeast"/>
        </w:trPr>
        <w:tc>
          <w:tcPr>
            <w:tcW w:w="1490" w:type="dxa"/>
          </w:tcPr>
          <w:p>
            <w:pPr>
              <w:pStyle w:val="TableParagraph"/>
              <w:spacing w:before="59"/>
              <w:rPr>
                <w:b/>
                <w:sz w:val="21"/>
              </w:rPr>
            </w:pPr>
            <w:r>
              <w:rPr>
                <w:b/>
                <w:sz w:val="21"/>
              </w:rPr>
              <w:t>18.单目失明</w:t>
            </w:r>
          </w:p>
        </w:tc>
        <w:tc>
          <w:tcPr>
            <w:tcW w:w="7964" w:type="dxa"/>
          </w:tcPr>
          <w:p>
            <w:pPr>
              <w:pStyle w:val="TableParagraph"/>
              <w:spacing w:line="273" w:lineRule="auto" w:before="59"/>
              <w:ind w:left="128" w:right="263"/>
              <w:rPr>
                <w:sz w:val="21"/>
              </w:rPr>
            </w:pPr>
            <w:r>
              <w:rPr>
                <w:sz w:val="21"/>
              </w:rPr>
              <w:t>指因疾病或意外伤害导致单眼视力永久不可逆性丧失，患眼须满足下列至少一项条件：</w:t>
            </w:r>
          </w:p>
          <w:p>
            <w:pPr>
              <w:pStyle w:val="TableParagraph"/>
              <w:spacing w:before="7"/>
              <w:ind w:left="128"/>
              <w:rPr>
                <w:sz w:val="21"/>
              </w:rPr>
            </w:pPr>
            <w:r>
              <w:rPr>
                <w:sz w:val="21"/>
              </w:rPr>
              <w:t>（1）眼球缺失或摘除；</w:t>
            </w:r>
          </w:p>
          <w:p>
            <w:pPr>
              <w:pStyle w:val="TableParagraph"/>
              <w:spacing w:before="36"/>
              <w:ind w:left="128"/>
              <w:rPr>
                <w:sz w:val="21"/>
              </w:rPr>
            </w:pPr>
            <w:r>
              <w:rPr>
                <w:w w:val="100"/>
                <w:sz w:val="21"/>
              </w:rPr>
              <w:t>（2</w:t>
            </w:r>
            <w:r>
              <w:rPr>
                <w:spacing w:val="-68"/>
                <w:w w:val="100"/>
                <w:sz w:val="21"/>
              </w:rPr>
              <w:t>）</w:t>
            </w:r>
            <w:r>
              <w:rPr>
                <w:spacing w:val="-3"/>
                <w:w w:val="100"/>
                <w:sz w:val="21"/>
              </w:rPr>
              <w:t>矫正视力低于</w:t>
            </w:r>
            <w:r>
              <w:rPr>
                <w:spacing w:val="-52"/>
                <w:sz w:val="21"/>
              </w:rPr>
              <w:t> </w:t>
            </w:r>
            <w:r>
              <w:rPr>
                <w:spacing w:val="-3"/>
                <w:w w:val="100"/>
                <w:sz w:val="21"/>
              </w:rPr>
              <w:t>0</w:t>
            </w:r>
            <w:r>
              <w:rPr>
                <w:w w:val="100"/>
                <w:sz w:val="21"/>
              </w:rPr>
              <w:t>.0</w:t>
            </w:r>
            <w:r>
              <w:rPr>
                <w:spacing w:val="-68"/>
                <w:w w:val="100"/>
                <w:sz w:val="21"/>
              </w:rPr>
              <w:t>2</w:t>
            </w:r>
            <w:r>
              <w:rPr>
                <w:spacing w:val="-3"/>
                <w:w w:val="100"/>
                <w:sz w:val="21"/>
              </w:rPr>
              <w:t>（</w:t>
            </w:r>
            <w:r>
              <w:rPr>
                <w:spacing w:val="-10"/>
                <w:w w:val="100"/>
                <w:sz w:val="21"/>
              </w:rPr>
              <w:t>采用国际标准视力表，如果使用其它视力表应进行换算</w:t>
            </w:r>
            <w:r>
              <w:rPr>
                <w:spacing w:val="-106"/>
                <w:w w:val="100"/>
                <w:sz w:val="21"/>
              </w:rPr>
              <w:t>）</w:t>
            </w:r>
            <w:r>
              <w:rPr>
                <w:w w:val="100"/>
                <w:sz w:val="21"/>
              </w:rPr>
              <w:t>；</w:t>
            </w:r>
          </w:p>
          <w:p>
            <w:pPr>
              <w:pStyle w:val="TableParagraph"/>
              <w:spacing w:before="36"/>
              <w:ind w:left="128"/>
              <w:rPr>
                <w:sz w:val="21"/>
              </w:rPr>
            </w:pPr>
            <w:r>
              <w:rPr>
                <w:sz w:val="21"/>
              </w:rPr>
              <w:t>（3）视野半径小于 5 度。</w:t>
            </w:r>
          </w:p>
          <w:p>
            <w:pPr>
              <w:pStyle w:val="TableParagraph"/>
              <w:spacing w:line="273" w:lineRule="auto" w:before="36"/>
              <w:ind w:left="128" w:right="262"/>
              <w:rPr>
                <w:sz w:val="21"/>
              </w:rPr>
            </w:pPr>
            <w:r>
              <w:rPr>
                <w:sz w:val="21"/>
              </w:rPr>
              <w:t>诊断须在本公司认可的医院内由眼科专科医生确认，并且提供理赔当时的视力丧失诊断及检查证据。</w:t>
            </w:r>
          </w:p>
          <w:p>
            <w:pPr>
              <w:pStyle w:val="TableParagraph"/>
              <w:spacing w:line="273" w:lineRule="auto" w:before="7"/>
              <w:ind w:left="128" w:right="262"/>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p>
            <w:pPr>
              <w:pStyle w:val="TableParagraph"/>
              <w:spacing w:line="273" w:lineRule="auto" w:before="7"/>
              <w:ind w:left="128" w:right="305"/>
              <w:rPr>
                <w:rFonts w:ascii="黑体" w:hAnsi="黑体" w:eastAsia="黑体" w:hint="eastAsia"/>
                <w:sz w:val="21"/>
              </w:rPr>
            </w:pPr>
            <w:r>
              <w:rPr>
                <w:rFonts w:ascii="黑体" w:hAnsi="黑体" w:eastAsia="黑体" w:hint="eastAsia"/>
                <w:spacing w:val="-17"/>
                <w:sz w:val="21"/>
              </w:rPr>
              <w:t>本公司对“视力严重受损”、“单目失明”和“角膜移植”三项中的其中一项承担保</w:t>
            </w:r>
            <w:r>
              <w:rPr>
                <w:rFonts w:ascii="黑体" w:hAnsi="黑体" w:eastAsia="黑体" w:hint="eastAsia"/>
                <w:spacing w:val="-7"/>
                <w:sz w:val="21"/>
              </w:rPr>
              <w:t>险责任，给付其中一项保险金后，对其它两项轻症疾病保险责任同时终止。</w:t>
            </w:r>
          </w:p>
        </w:tc>
      </w:tr>
      <w:tr>
        <w:trPr>
          <w:trHeight w:val="1091" w:hRule="atLeast"/>
        </w:trPr>
        <w:tc>
          <w:tcPr>
            <w:tcW w:w="1490" w:type="dxa"/>
          </w:tcPr>
          <w:p>
            <w:pPr>
              <w:pStyle w:val="TableParagraph"/>
              <w:spacing w:before="58"/>
              <w:rPr>
                <w:b/>
                <w:sz w:val="21"/>
              </w:rPr>
            </w:pPr>
            <w:r>
              <w:rPr>
                <w:b/>
                <w:sz w:val="21"/>
              </w:rPr>
              <w:t>19.中度瘫痪</w:t>
            </w:r>
          </w:p>
        </w:tc>
        <w:tc>
          <w:tcPr>
            <w:tcW w:w="7964" w:type="dxa"/>
          </w:tcPr>
          <w:p>
            <w:pPr>
              <w:pStyle w:val="TableParagraph"/>
              <w:spacing w:line="273" w:lineRule="auto" w:before="58"/>
              <w:ind w:left="128" w:right="303"/>
              <w:rPr>
                <w:sz w:val="21"/>
              </w:rPr>
            </w:pPr>
            <w:r>
              <w:rPr>
                <w:spacing w:val="-5"/>
                <w:sz w:val="21"/>
              </w:rPr>
              <w:t>指因疾病或者意外伤害导致一肢或一肢以上肢体机能永久完全丧失，且未达到重大</w:t>
            </w:r>
            <w:r>
              <w:rPr>
                <w:spacing w:val="-9"/>
                <w:sz w:val="21"/>
              </w:rPr>
              <w:t>疾病“瘫痪”的给付标准。肢体机能永久完全丧失，指疾病确诊 </w:t>
            </w:r>
            <w:r>
              <w:rPr>
                <w:sz w:val="21"/>
              </w:rPr>
              <w:t>180</w:t>
            </w:r>
            <w:r>
              <w:rPr>
                <w:spacing w:val="-7"/>
                <w:sz w:val="21"/>
              </w:rPr>
              <w:t> 天后或意外伤</w:t>
            </w:r>
          </w:p>
          <w:p>
            <w:pPr>
              <w:pStyle w:val="TableParagraph"/>
              <w:spacing w:before="7"/>
              <w:ind w:left="128"/>
              <w:rPr>
                <w:sz w:val="21"/>
              </w:rPr>
            </w:pPr>
            <w:r>
              <w:rPr>
                <w:sz w:val="21"/>
              </w:rPr>
              <w:t>害发生 180 天后，每肢三大关节中的两大关节仍然完全僵硬，或不能随意识活动。</w:t>
            </w:r>
          </w:p>
        </w:tc>
      </w:tr>
      <w:tr>
        <w:trPr>
          <w:trHeight w:val="1326" w:hRule="atLeast"/>
        </w:trPr>
        <w:tc>
          <w:tcPr>
            <w:tcW w:w="1490" w:type="dxa"/>
          </w:tcPr>
          <w:p>
            <w:pPr>
              <w:pStyle w:val="TableParagraph"/>
              <w:spacing w:line="273" w:lineRule="auto" w:before="58"/>
              <w:ind w:right="233"/>
              <w:rPr>
                <w:b/>
                <w:sz w:val="21"/>
              </w:rPr>
            </w:pPr>
            <w:r>
              <w:rPr>
                <w:b/>
                <w:sz w:val="21"/>
              </w:rPr>
              <w:t>20. 心脏瓣膜介入手术</w:t>
            </w:r>
          </w:p>
          <w:p>
            <w:pPr>
              <w:pStyle w:val="TableParagraph"/>
              <w:spacing w:line="273" w:lineRule="auto" w:before="7"/>
              <w:ind w:right="233"/>
              <w:rPr>
                <w:b/>
                <w:sz w:val="21"/>
              </w:rPr>
            </w:pPr>
            <w:r>
              <w:rPr>
                <w:b/>
                <w:sz w:val="21"/>
              </w:rPr>
              <w:t>（非开胸手术）</w:t>
            </w:r>
          </w:p>
        </w:tc>
        <w:tc>
          <w:tcPr>
            <w:tcW w:w="7964" w:type="dxa"/>
          </w:tcPr>
          <w:p>
            <w:pPr>
              <w:pStyle w:val="TableParagraph"/>
              <w:spacing w:line="273" w:lineRule="auto" w:before="58"/>
              <w:ind w:left="128" w:right="303"/>
              <w:rPr>
                <w:sz w:val="21"/>
              </w:rPr>
            </w:pPr>
            <w:r>
              <w:rPr>
                <w:spacing w:val="-7"/>
                <w:sz w:val="21"/>
              </w:rPr>
              <w:t>为了治疗心脏瓣膜疾病，实际实施了非开胸的经胸壁打孔内镜手术或者经皮经导管</w:t>
            </w:r>
            <w:r>
              <w:rPr>
                <w:spacing w:val="-5"/>
                <w:sz w:val="21"/>
              </w:rPr>
              <w:t>介入手术进行的心脏瓣膜置换或者修复手术。</w:t>
            </w:r>
          </w:p>
        </w:tc>
      </w:tr>
      <w:tr>
        <w:trPr>
          <w:trHeight w:val="2548" w:hRule="atLeast"/>
        </w:trPr>
        <w:tc>
          <w:tcPr>
            <w:tcW w:w="1490" w:type="dxa"/>
          </w:tcPr>
          <w:p>
            <w:pPr>
              <w:pStyle w:val="TableParagraph"/>
              <w:spacing w:line="256" w:lineRule="exact" w:before="0"/>
              <w:rPr>
                <w:b/>
                <w:sz w:val="21"/>
              </w:rPr>
            </w:pPr>
            <w:r>
              <w:rPr>
                <w:b/>
                <w:sz w:val="21"/>
              </w:rPr>
              <w:t>21.中度阿尔</w:t>
            </w:r>
          </w:p>
          <w:p>
            <w:pPr>
              <w:pStyle w:val="TableParagraph"/>
              <w:rPr>
                <w:b/>
                <w:sz w:val="21"/>
              </w:rPr>
            </w:pPr>
            <w:r>
              <w:rPr>
                <w:b/>
                <w:sz w:val="21"/>
              </w:rPr>
              <w:t>茨海默病</w:t>
            </w:r>
          </w:p>
        </w:tc>
        <w:tc>
          <w:tcPr>
            <w:tcW w:w="7964" w:type="dxa"/>
          </w:tcPr>
          <w:p>
            <w:pPr>
              <w:pStyle w:val="TableParagraph"/>
              <w:spacing w:line="256" w:lineRule="exact" w:before="0"/>
              <w:ind w:left="128"/>
              <w:rPr>
                <w:sz w:val="21"/>
              </w:rPr>
            </w:pPr>
            <w:r>
              <w:rPr>
                <w:sz w:val="21"/>
              </w:rPr>
              <w:t>指因大脑进行性、不可逆性改变导致智能严重衰退或丧失，临床表现为明显的认知</w:t>
            </w:r>
          </w:p>
          <w:p>
            <w:pPr>
              <w:pStyle w:val="TableParagraph"/>
              <w:spacing w:line="273" w:lineRule="auto"/>
              <w:ind w:left="128" w:right="198"/>
              <w:rPr>
                <w:sz w:val="21"/>
              </w:rPr>
            </w:pPr>
            <w:r>
              <w:rPr>
                <w:spacing w:val="-6"/>
                <w:sz w:val="21"/>
              </w:rPr>
              <w:t>能力障碍、行为异常和社交能力减退，其日常生活必须持续受到他人监护。须由头</w:t>
            </w:r>
            <w:r>
              <w:rPr>
                <w:spacing w:val="-4"/>
                <w:sz w:val="21"/>
              </w:rPr>
              <w:t>颅断层扫描</w:t>
            </w:r>
            <w:r>
              <w:rPr>
                <w:sz w:val="21"/>
              </w:rPr>
              <w:t>(CT</w:t>
            </w:r>
            <w:r>
              <w:rPr>
                <w:spacing w:val="-4"/>
                <w:sz w:val="21"/>
              </w:rPr>
              <w:t>)、核磁共振检查</w:t>
            </w:r>
            <w:r>
              <w:rPr>
                <w:spacing w:val="-3"/>
                <w:sz w:val="21"/>
              </w:rPr>
              <w:t>（MRI）</w:t>
            </w:r>
            <w:r>
              <w:rPr>
                <w:spacing w:val="-4"/>
                <w:sz w:val="21"/>
              </w:rPr>
              <w:t>或正电子发射断层扫描</w:t>
            </w:r>
            <w:r>
              <w:rPr>
                <w:spacing w:val="-3"/>
                <w:sz w:val="21"/>
              </w:rPr>
              <w:t>（PET）等影像学检</w:t>
            </w:r>
            <w:r>
              <w:rPr>
                <w:spacing w:val="-14"/>
                <w:sz w:val="21"/>
              </w:rPr>
              <w:t>查证实，且自主生活能力严重丧失，无法独立完成六项基本日常生活活动中的两项， </w:t>
            </w:r>
            <w:r>
              <w:rPr>
                <w:spacing w:val="-7"/>
                <w:sz w:val="21"/>
              </w:rPr>
              <w:t>但未达到重大疾病“严重阿尔茨海默病”的给付标准。</w:t>
            </w:r>
          </w:p>
          <w:p>
            <w:pPr>
              <w:pStyle w:val="TableParagraph"/>
              <w:spacing w:before="7"/>
              <w:ind w:left="128"/>
              <w:rPr>
                <w:sz w:val="21"/>
              </w:rPr>
            </w:pPr>
            <w:r>
              <w:rPr>
                <w:sz w:val="21"/>
              </w:rPr>
              <w:t>以下情况不在保障范围内：</w:t>
            </w:r>
          </w:p>
          <w:p>
            <w:pPr>
              <w:pStyle w:val="TableParagraph"/>
              <w:numPr>
                <w:ilvl w:val="0"/>
                <w:numId w:val="26"/>
              </w:numPr>
              <w:tabs>
                <w:tab w:pos="761" w:val="left" w:leader="none"/>
              </w:tabs>
              <w:spacing w:line="240" w:lineRule="auto" w:before="36" w:after="0"/>
              <w:ind w:left="760" w:right="0" w:hanging="632"/>
              <w:jc w:val="left"/>
              <w:rPr>
                <w:sz w:val="21"/>
              </w:rPr>
            </w:pPr>
            <w:r>
              <w:rPr>
                <w:spacing w:val="-3"/>
                <w:sz w:val="21"/>
              </w:rPr>
              <w:t>存在酒精滥用、药物滥用或获得性免疫缺陷综合征</w:t>
            </w:r>
            <w:r>
              <w:rPr>
                <w:sz w:val="21"/>
              </w:rPr>
              <w:t>（AIDS）</w:t>
            </w:r>
            <w:r>
              <w:rPr>
                <w:spacing w:val="-3"/>
                <w:sz w:val="21"/>
              </w:rPr>
              <w:t>情况下的痴呆；</w:t>
            </w:r>
          </w:p>
          <w:p>
            <w:pPr>
              <w:pStyle w:val="TableParagraph"/>
              <w:numPr>
                <w:ilvl w:val="0"/>
                <w:numId w:val="26"/>
              </w:numPr>
              <w:tabs>
                <w:tab w:pos="761" w:val="left" w:leader="none"/>
              </w:tabs>
              <w:spacing w:line="240" w:lineRule="auto" w:before="36" w:after="0"/>
              <w:ind w:left="760" w:right="0" w:hanging="632"/>
              <w:jc w:val="left"/>
              <w:rPr>
                <w:sz w:val="21"/>
              </w:rPr>
            </w:pPr>
            <w:r>
              <w:rPr>
                <w:spacing w:val="-3"/>
                <w:sz w:val="21"/>
              </w:rPr>
              <w:t>神经官能症和精神疾病。</w:t>
            </w:r>
          </w:p>
        </w:tc>
      </w:tr>
      <w:tr>
        <w:trPr>
          <w:trHeight w:val="2497" w:hRule="atLeast"/>
        </w:trPr>
        <w:tc>
          <w:tcPr>
            <w:tcW w:w="1490" w:type="dxa"/>
          </w:tcPr>
          <w:p>
            <w:pPr>
              <w:pStyle w:val="TableParagraph"/>
              <w:spacing w:before="32"/>
              <w:rPr>
                <w:b/>
                <w:sz w:val="21"/>
              </w:rPr>
            </w:pPr>
            <w:r>
              <w:rPr>
                <w:b/>
                <w:sz w:val="21"/>
              </w:rPr>
              <w:t>22.脑损伤</w:t>
            </w:r>
          </w:p>
        </w:tc>
        <w:tc>
          <w:tcPr>
            <w:tcW w:w="7964" w:type="dxa"/>
          </w:tcPr>
          <w:p>
            <w:pPr>
              <w:pStyle w:val="TableParagraph"/>
              <w:spacing w:line="273" w:lineRule="auto" w:before="32"/>
              <w:ind w:left="128" w:right="200"/>
              <w:rPr>
                <w:sz w:val="21"/>
              </w:rPr>
            </w:pPr>
            <w:r>
              <w:rPr>
                <w:spacing w:val="-6"/>
                <w:sz w:val="21"/>
              </w:rPr>
              <w:t>指因头部遭受机械性外力，引起脑重要部位损伤，导致神经系统的功能障碍。须由</w:t>
            </w:r>
            <w:r>
              <w:rPr>
                <w:w w:val="100"/>
                <w:sz w:val="21"/>
              </w:rPr>
              <w:t>头颅断层扫描</w:t>
            </w:r>
            <w:r>
              <w:rPr>
                <w:spacing w:val="2"/>
                <w:w w:val="100"/>
                <w:sz w:val="21"/>
              </w:rPr>
              <w:t>（</w:t>
            </w:r>
            <w:r>
              <w:rPr>
                <w:w w:val="100"/>
                <w:sz w:val="21"/>
              </w:rPr>
              <w:t>CT</w:t>
            </w:r>
            <w:r>
              <w:rPr>
                <w:spacing w:val="-104"/>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spacing w:val="1"/>
                <w:w w:val="100"/>
                <w:sz w:val="21"/>
              </w:rPr>
              <w:t>）</w:t>
            </w:r>
            <w:r>
              <w:rPr>
                <w:w w:val="100"/>
                <w:sz w:val="21"/>
              </w:rPr>
              <w:t>或正电子发射断层扫描</w:t>
            </w:r>
            <w:r>
              <w:rPr>
                <w:spacing w:val="3"/>
                <w:w w:val="100"/>
                <w:sz w:val="21"/>
              </w:rPr>
              <w:t>（</w:t>
            </w:r>
            <w:r>
              <w:rPr>
                <w:w w:val="100"/>
                <w:sz w:val="21"/>
              </w:rPr>
              <w:t>PET）等影像</w:t>
            </w:r>
            <w:r>
              <w:rPr>
                <w:spacing w:val="-12"/>
                <w:sz w:val="21"/>
              </w:rPr>
              <w:t>学检查证实。头部外伤导致神经系统功能障碍，虽然未达到重大疾病“严重脑损伤” </w:t>
            </w:r>
            <w:r>
              <w:rPr>
                <w:spacing w:val="-6"/>
                <w:sz w:val="21"/>
              </w:rPr>
              <w:t>的给付标准，但是符合以下条件：</w:t>
            </w:r>
          </w:p>
          <w:p>
            <w:pPr>
              <w:pStyle w:val="TableParagraph"/>
              <w:spacing w:before="8"/>
              <w:ind w:left="128"/>
              <w:rPr>
                <w:sz w:val="21"/>
              </w:rPr>
            </w:pPr>
            <w:r>
              <w:rPr>
                <w:sz w:val="21"/>
              </w:rPr>
              <w:t>脑损伤 30 天后，仍遗留下列一种或一种以上障碍：</w:t>
            </w:r>
          </w:p>
          <w:p>
            <w:pPr>
              <w:pStyle w:val="TableParagraph"/>
              <w:ind w:left="128"/>
              <w:rPr>
                <w:sz w:val="21"/>
              </w:rPr>
            </w:pPr>
            <w:r>
              <w:rPr>
                <w:sz w:val="21"/>
              </w:rPr>
              <w:t>（1）一肢或一肢以上肢体机能完全丧失；</w:t>
            </w:r>
          </w:p>
          <w:p>
            <w:pPr>
              <w:pStyle w:val="TableParagraph"/>
              <w:ind w:left="128"/>
              <w:rPr>
                <w:sz w:val="21"/>
              </w:rPr>
            </w:pPr>
            <w:r>
              <w:rPr>
                <w:sz w:val="21"/>
              </w:rPr>
              <w:t>（2）语言能力或咀嚼吞咽能力完全丧失；</w:t>
            </w:r>
          </w:p>
          <w:p>
            <w:pPr>
              <w:pStyle w:val="TableParagraph"/>
              <w:spacing w:line="261" w:lineRule="exact"/>
              <w:ind w:left="128"/>
              <w:rPr>
                <w:sz w:val="21"/>
              </w:rPr>
            </w:pPr>
            <w:r>
              <w:rPr>
                <w:sz w:val="21"/>
              </w:rPr>
              <w:t>（3）自主生活能力完全丧失，无法独立完成六项基本日常生活活动中的一项或一</w:t>
            </w:r>
          </w:p>
        </w:tc>
      </w:tr>
    </w:tbl>
    <w:p>
      <w:pPr>
        <w:spacing w:after="0" w:line="261"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873"/>
      </w:tblGrid>
      <w:tr>
        <w:trPr>
          <w:trHeight w:val="1275" w:hRule="atLeast"/>
        </w:trPr>
        <w:tc>
          <w:tcPr>
            <w:tcW w:w="1512" w:type="dxa"/>
          </w:tcPr>
          <w:p>
            <w:pPr>
              <w:pStyle w:val="TableParagraph"/>
              <w:spacing w:before="0"/>
              <w:ind w:left="0"/>
              <w:rPr>
                <w:rFonts w:ascii="Times New Roman"/>
                <w:sz w:val="20"/>
              </w:rPr>
            </w:pPr>
          </w:p>
        </w:tc>
        <w:tc>
          <w:tcPr>
            <w:tcW w:w="7873" w:type="dxa"/>
          </w:tcPr>
          <w:p>
            <w:pPr>
              <w:pStyle w:val="TableParagraph"/>
              <w:spacing w:line="205" w:lineRule="exact" w:before="0"/>
              <w:ind w:left="106"/>
              <w:rPr>
                <w:sz w:val="21"/>
              </w:rPr>
            </w:pPr>
            <w:r>
              <w:rPr>
                <w:sz w:val="21"/>
              </w:rPr>
              <w:t>项以上。</w:t>
            </w:r>
          </w:p>
          <w:p>
            <w:pPr>
              <w:pStyle w:val="TableParagraph"/>
              <w:spacing w:line="273" w:lineRule="auto"/>
              <w:ind w:left="106" w:right="234"/>
              <w:jc w:val="both"/>
              <w:rPr>
                <w:rFonts w:ascii="黑体" w:hAnsi="黑体" w:eastAsia="黑体" w:hint="eastAsia"/>
                <w:sz w:val="21"/>
              </w:rPr>
            </w:pPr>
            <w:r>
              <w:rPr>
                <w:rFonts w:ascii="黑体" w:hAnsi="黑体" w:eastAsia="黑体" w:hint="eastAsia"/>
                <w:spacing w:val="-17"/>
                <w:sz w:val="21"/>
              </w:rPr>
              <w:t>本公司对“轻微脑中风后遗症”、“微创颅脑手术”和“脑垂体瘤、脑囊肿、脑动脉</w:t>
            </w:r>
            <w:r>
              <w:rPr>
                <w:rFonts w:ascii="黑体" w:hAnsi="黑体" w:eastAsia="黑体" w:hint="eastAsia"/>
                <w:spacing w:val="-10"/>
                <w:sz w:val="21"/>
              </w:rPr>
              <w:t>瘤及脑血管瘤”三项中的其中一项承担保险责任，给付其中一项保险金后，对其他</w:t>
            </w:r>
            <w:r>
              <w:rPr>
                <w:rFonts w:ascii="黑体" w:hAnsi="黑体" w:eastAsia="黑体" w:hint="eastAsia"/>
                <w:spacing w:val="-5"/>
                <w:sz w:val="21"/>
              </w:rPr>
              <w:t>两项轻症疾病保险责任同时终止。</w:t>
            </w:r>
          </w:p>
        </w:tc>
      </w:tr>
      <w:tr>
        <w:trPr>
          <w:trHeight w:val="2028" w:hRule="atLeast"/>
        </w:trPr>
        <w:tc>
          <w:tcPr>
            <w:tcW w:w="1512" w:type="dxa"/>
          </w:tcPr>
          <w:p>
            <w:pPr>
              <w:pStyle w:val="TableParagraph"/>
              <w:spacing w:line="273" w:lineRule="auto" w:before="58"/>
              <w:ind w:right="148"/>
              <w:rPr>
                <w:b/>
                <w:sz w:val="21"/>
              </w:rPr>
            </w:pPr>
            <w:r>
              <w:rPr>
                <w:b/>
                <w:sz w:val="21"/>
              </w:rPr>
              <w:t>23.中度帕金森氏病</w:t>
            </w:r>
          </w:p>
        </w:tc>
        <w:tc>
          <w:tcPr>
            <w:tcW w:w="7873" w:type="dxa"/>
          </w:tcPr>
          <w:p>
            <w:pPr>
              <w:pStyle w:val="TableParagraph"/>
              <w:spacing w:line="273" w:lineRule="auto" w:before="58"/>
              <w:ind w:left="106" w:right="234"/>
              <w:rPr>
                <w:sz w:val="21"/>
              </w:rPr>
            </w:pPr>
            <w:r>
              <w:rPr>
                <w:spacing w:val="-6"/>
                <w:sz w:val="21"/>
              </w:rPr>
              <w:t>是一种中枢神经系统的退行性疾病，临床表现为震颤麻痹、共济失调等。须同时符</w:t>
            </w:r>
            <w:r>
              <w:rPr>
                <w:spacing w:val="-4"/>
                <w:sz w:val="21"/>
              </w:rPr>
              <w:t>合下列所有条件，但未达到本合同所指重大疾病“严重帕金森病”的标准：</w:t>
            </w:r>
          </w:p>
          <w:p>
            <w:pPr>
              <w:pStyle w:val="TableParagraph"/>
              <w:spacing w:before="7"/>
              <w:ind w:left="106"/>
              <w:rPr>
                <w:sz w:val="21"/>
              </w:rPr>
            </w:pPr>
            <w:r>
              <w:rPr>
                <w:sz w:val="21"/>
              </w:rPr>
              <w:t>（1）无法通过药物控制；</w:t>
            </w:r>
          </w:p>
          <w:p>
            <w:pPr>
              <w:pStyle w:val="TableParagraph"/>
              <w:ind w:left="106"/>
              <w:rPr>
                <w:sz w:val="21"/>
              </w:rPr>
            </w:pPr>
            <w:r>
              <w:rPr>
                <w:sz w:val="21"/>
              </w:rPr>
              <w:t>（2）出现逐步退化客观征状；</w:t>
            </w:r>
          </w:p>
          <w:p>
            <w:pPr>
              <w:pStyle w:val="TableParagraph"/>
              <w:ind w:left="106"/>
              <w:rPr>
                <w:sz w:val="21"/>
              </w:rPr>
            </w:pPr>
            <w:r>
              <w:rPr>
                <w:sz w:val="21"/>
              </w:rPr>
              <w:t>（3）至少 180 天无法独立完成六项基本日常生活活动中的二项。</w:t>
            </w:r>
          </w:p>
          <w:p>
            <w:pPr>
              <w:pStyle w:val="TableParagraph"/>
              <w:ind w:left="106"/>
              <w:rPr>
                <w:rFonts w:ascii="黑体" w:eastAsia="黑体" w:hint="eastAsia"/>
                <w:sz w:val="21"/>
              </w:rPr>
            </w:pPr>
            <w:r>
              <w:rPr>
                <w:rFonts w:ascii="黑体" w:eastAsia="黑体" w:hint="eastAsia"/>
                <w:sz w:val="21"/>
              </w:rPr>
              <w:t>继发性帕金森综合征不在保障范围内。</w:t>
            </w:r>
          </w:p>
        </w:tc>
      </w:tr>
      <w:tr>
        <w:trPr>
          <w:trHeight w:val="1404" w:hRule="atLeast"/>
        </w:trPr>
        <w:tc>
          <w:tcPr>
            <w:tcW w:w="1512" w:type="dxa"/>
          </w:tcPr>
          <w:p>
            <w:pPr>
              <w:pStyle w:val="TableParagraph"/>
              <w:spacing w:line="273" w:lineRule="auto" w:before="59"/>
              <w:ind w:right="148"/>
              <w:rPr>
                <w:b/>
                <w:sz w:val="21"/>
              </w:rPr>
            </w:pPr>
            <w:r>
              <w:rPr>
                <w:b/>
                <w:sz w:val="21"/>
              </w:rPr>
              <w:t>24.全身较小面积Ⅲ度烧伤</w:t>
            </w:r>
          </w:p>
        </w:tc>
        <w:tc>
          <w:tcPr>
            <w:tcW w:w="7873" w:type="dxa"/>
          </w:tcPr>
          <w:p>
            <w:pPr>
              <w:pStyle w:val="TableParagraph"/>
              <w:spacing w:line="273" w:lineRule="auto" w:before="59"/>
              <w:ind w:left="106" w:right="180"/>
              <w:rPr>
                <w:sz w:val="21"/>
              </w:rPr>
            </w:pPr>
            <w:r>
              <w:rPr>
                <w:sz w:val="21"/>
              </w:rPr>
              <w:t>指烧伤程度为Ⅲ度，且Ⅲ度烧伤面积为全身体表面积的 10%或者 10%以上，但尚未达到 20%。体表面积根据《中国新九分法》计算。</w:t>
            </w:r>
          </w:p>
          <w:p>
            <w:pPr>
              <w:pStyle w:val="TableParagraph"/>
              <w:spacing w:line="273" w:lineRule="auto" w:before="7"/>
              <w:ind w:left="106" w:right="247"/>
              <w:rPr>
                <w:rFonts w:ascii="黑体" w:hAnsi="黑体" w:eastAsia="黑体" w:hint="eastAsia"/>
                <w:sz w:val="21"/>
              </w:rPr>
            </w:pPr>
            <w:r>
              <w:rPr>
                <w:rFonts w:ascii="黑体" w:hAnsi="黑体" w:eastAsia="黑体" w:hint="eastAsia"/>
                <w:spacing w:val="-8"/>
                <w:sz w:val="21"/>
              </w:rPr>
              <w:t>若被保险人因同一原因导致其同时满足“全身较小面积Ⅲ度烧伤”、“轻度面部烧</w:t>
            </w:r>
            <w:r>
              <w:rPr>
                <w:rFonts w:ascii="黑体" w:hAnsi="黑体" w:eastAsia="黑体" w:hint="eastAsia"/>
                <w:spacing w:val="-13"/>
                <w:w w:val="100"/>
                <w:sz w:val="21"/>
              </w:rPr>
              <w:t>伤”，的，仅按其中一项给付。</w:t>
            </w:r>
          </w:p>
        </w:tc>
      </w:tr>
      <w:tr>
        <w:trPr>
          <w:trHeight w:val="1092" w:hRule="atLeast"/>
        </w:trPr>
        <w:tc>
          <w:tcPr>
            <w:tcW w:w="1512" w:type="dxa"/>
          </w:tcPr>
          <w:p>
            <w:pPr>
              <w:pStyle w:val="TableParagraph"/>
              <w:spacing w:line="273" w:lineRule="auto" w:before="58"/>
              <w:ind w:right="148"/>
              <w:rPr>
                <w:b/>
                <w:sz w:val="21"/>
              </w:rPr>
            </w:pPr>
            <w:r>
              <w:rPr>
                <w:b/>
                <w:sz w:val="21"/>
              </w:rPr>
              <w:t>25.原发性肺动脉高压</w:t>
            </w:r>
          </w:p>
        </w:tc>
        <w:tc>
          <w:tcPr>
            <w:tcW w:w="7873" w:type="dxa"/>
          </w:tcPr>
          <w:p>
            <w:pPr>
              <w:pStyle w:val="TableParagraph"/>
              <w:spacing w:line="273" w:lineRule="auto" w:before="58"/>
              <w:ind w:left="106" w:right="234"/>
              <w:jc w:val="both"/>
              <w:rPr>
                <w:sz w:val="21"/>
              </w:rPr>
            </w:pPr>
            <w:r>
              <w:rPr>
                <w:spacing w:val="-5"/>
                <w:sz w:val="21"/>
              </w:rPr>
              <w:t>指由于原发性肺动脉高压进行性发展而导致右心室肥厚，已经造成永久不可逆性的</w:t>
            </w:r>
            <w:r>
              <w:rPr>
                <w:spacing w:val="-11"/>
                <w:sz w:val="21"/>
              </w:rPr>
              <w:t>体力活动能力受限，达到美国纽约心脏病学会心功能状态分级 </w:t>
            </w:r>
            <w:r>
              <w:rPr>
                <w:sz w:val="21"/>
              </w:rPr>
              <w:t>III</w:t>
            </w:r>
            <w:r>
              <w:rPr>
                <w:spacing w:val="-7"/>
                <w:sz w:val="21"/>
              </w:rPr>
              <w:t> 级及以上，但尚</w:t>
            </w:r>
            <w:r>
              <w:rPr>
                <w:spacing w:val="-15"/>
                <w:sz w:val="21"/>
              </w:rPr>
              <w:t>未达到 </w:t>
            </w:r>
            <w:r>
              <w:rPr>
                <w:sz w:val="21"/>
              </w:rPr>
              <w:t>IV</w:t>
            </w:r>
            <w:r>
              <w:rPr>
                <w:spacing w:val="-6"/>
                <w:sz w:val="21"/>
              </w:rPr>
              <w:t> 级，且静息状态下肺动脉平均压超过 </w:t>
            </w:r>
            <w:r>
              <w:rPr>
                <w:sz w:val="21"/>
              </w:rPr>
              <w:t>25mmHg</w:t>
            </w:r>
            <w:r>
              <w:rPr>
                <w:spacing w:val="-9"/>
                <w:sz w:val="21"/>
              </w:rPr>
              <w:t>，但尚未超过 </w:t>
            </w:r>
            <w:r>
              <w:rPr>
                <w:sz w:val="21"/>
              </w:rPr>
              <w:t>30mmHg。</w:t>
            </w:r>
          </w:p>
        </w:tc>
      </w:tr>
      <w:tr>
        <w:trPr>
          <w:trHeight w:val="1083" w:hRule="atLeast"/>
        </w:trPr>
        <w:tc>
          <w:tcPr>
            <w:tcW w:w="1512" w:type="dxa"/>
          </w:tcPr>
          <w:p>
            <w:pPr>
              <w:pStyle w:val="TableParagraph"/>
              <w:spacing w:line="273" w:lineRule="auto" w:before="58"/>
              <w:ind w:right="148"/>
              <w:rPr>
                <w:b/>
                <w:sz w:val="21"/>
              </w:rPr>
            </w:pPr>
            <w:r>
              <w:rPr>
                <w:b/>
                <w:sz w:val="21"/>
              </w:rPr>
              <w:t>26.早期运动神经元病</w:t>
            </w:r>
          </w:p>
        </w:tc>
        <w:tc>
          <w:tcPr>
            <w:tcW w:w="7873" w:type="dxa"/>
          </w:tcPr>
          <w:p>
            <w:pPr>
              <w:pStyle w:val="TableParagraph"/>
              <w:spacing w:line="273" w:lineRule="auto" w:before="58"/>
              <w:ind w:left="106" w:right="234"/>
              <w:jc w:val="both"/>
              <w:rPr>
                <w:sz w:val="21"/>
              </w:rPr>
            </w:pPr>
            <w:r>
              <w:rPr>
                <w:spacing w:val="-5"/>
                <w:sz w:val="21"/>
              </w:rPr>
              <w:t>指一组中枢神经系统运动神经元的进行性变性疾病，包括进行性脊肌萎缩症、进行</w:t>
            </w:r>
            <w:r>
              <w:rPr>
                <w:spacing w:val="-8"/>
                <w:sz w:val="21"/>
              </w:rPr>
              <w:t>性延髓麻痹症、原发性侧索硬化症、肌萎缩性侧索硬化症。须满足自主生活能力部</w:t>
            </w:r>
            <w:r>
              <w:rPr>
                <w:spacing w:val="-5"/>
                <w:sz w:val="21"/>
              </w:rPr>
              <w:t>分丧失，无法独立完成六项基本日常生活活动中的两项或者两项以上的条件。</w:t>
            </w:r>
          </w:p>
        </w:tc>
      </w:tr>
      <w:tr>
        <w:trPr>
          <w:trHeight w:val="1672" w:hRule="atLeast"/>
        </w:trPr>
        <w:tc>
          <w:tcPr>
            <w:tcW w:w="1512" w:type="dxa"/>
          </w:tcPr>
          <w:p>
            <w:pPr>
              <w:pStyle w:val="TableParagraph"/>
              <w:spacing w:line="273" w:lineRule="auto" w:before="50"/>
              <w:ind w:right="148"/>
              <w:rPr>
                <w:b/>
                <w:sz w:val="21"/>
              </w:rPr>
            </w:pPr>
            <w:r>
              <w:rPr>
                <w:b/>
                <w:sz w:val="21"/>
              </w:rPr>
              <w:t>27.可逆性再生障碍性贫血</w:t>
            </w:r>
          </w:p>
        </w:tc>
        <w:tc>
          <w:tcPr>
            <w:tcW w:w="7873" w:type="dxa"/>
          </w:tcPr>
          <w:p>
            <w:pPr>
              <w:pStyle w:val="TableParagraph"/>
              <w:spacing w:line="273" w:lineRule="auto" w:before="50"/>
              <w:ind w:left="106" w:right="198"/>
              <w:rPr>
                <w:sz w:val="21"/>
              </w:rPr>
            </w:pPr>
            <w:r>
              <w:rPr>
                <w:sz w:val="21"/>
              </w:rPr>
              <w:t>指因急性可逆性的骨髓造血功能衰竭而导致贫血、中性粒细胞减少和血小板减少， 必须由血液科医生的诊断，且病历资料显示接受了下列任一治疗：</w:t>
            </w:r>
          </w:p>
          <w:p>
            <w:pPr>
              <w:pStyle w:val="TableParagraph"/>
              <w:spacing w:before="7"/>
              <w:ind w:left="106"/>
              <w:rPr>
                <w:sz w:val="21"/>
              </w:rPr>
            </w:pPr>
            <w:r>
              <w:rPr>
                <w:sz w:val="21"/>
              </w:rPr>
              <w:t>（1）骨髓刺激疗法至少一个月；</w:t>
            </w:r>
          </w:p>
          <w:p>
            <w:pPr>
              <w:pStyle w:val="TableParagraph"/>
              <w:spacing w:before="36"/>
              <w:ind w:left="106"/>
              <w:rPr>
                <w:sz w:val="21"/>
              </w:rPr>
            </w:pPr>
            <w:r>
              <w:rPr>
                <w:sz w:val="21"/>
              </w:rPr>
              <w:t>（2）免疫抑制剂治疗至少一个月；</w:t>
            </w:r>
          </w:p>
          <w:p>
            <w:pPr>
              <w:pStyle w:val="TableParagraph"/>
              <w:spacing w:before="36"/>
              <w:ind w:left="106"/>
              <w:rPr>
                <w:sz w:val="21"/>
              </w:rPr>
            </w:pPr>
            <w:r>
              <w:rPr>
                <w:sz w:val="21"/>
              </w:rPr>
              <w:t>（3）接受了骨髓移植。</w:t>
            </w:r>
          </w:p>
        </w:tc>
      </w:tr>
      <w:tr>
        <w:trPr>
          <w:trHeight w:val="1033" w:hRule="atLeast"/>
        </w:trPr>
        <w:tc>
          <w:tcPr>
            <w:tcW w:w="1512" w:type="dxa"/>
          </w:tcPr>
          <w:p>
            <w:pPr>
              <w:pStyle w:val="TableParagraph"/>
              <w:spacing w:line="273" w:lineRule="auto" w:before="24"/>
              <w:ind w:right="105"/>
              <w:jc w:val="both"/>
              <w:rPr>
                <w:b/>
                <w:sz w:val="21"/>
              </w:rPr>
            </w:pPr>
            <w:r>
              <w:rPr>
                <w:b/>
                <w:sz w:val="21"/>
              </w:rPr>
              <w:t>28.主动脉内</w:t>
            </w:r>
            <w:r>
              <w:rPr>
                <w:b/>
                <w:spacing w:val="-32"/>
                <w:sz w:val="21"/>
              </w:rPr>
              <w:t>手术</w:t>
            </w:r>
            <w:r>
              <w:rPr>
                <w:b/>
                <w:sz w:val="21"/>
              </w:rPr>
              <w:t>（非开胸手术）</w:t>
            </w:r>
          </w:p>
        </w:tc>
        <w:tc>
          <w:tcPr>
            <w:tcW w:w="7873" w:type="dxa"/>
          </w:tcPr>
          <w:p>
            <w:pPr>
              <w:pStyle w:val="TableParagraph"/>
              <w:spacing w:line="273" w:lineRule="auto" w:before="24"/>
              <w:ind w:left="106" w:right="193"/>
              <w:rPr>
                <w:sz w:val="21"/>
              </w:rPr>
            </w:pPr>
            <w:r>
              <w:rPr>
                <w:sz w:val="21"/>
              </w:rPr>
              <w:t>为了治疗主动脉疾病实际实施了经皮经导管进行的动脉内手术。主动脉指胸主动脉和腹主动脉，不包括胸主动脉和腹主动脉的分支血管。</w:t>
            </w:r>
          </w:p>
        </w:tc>
      </w:tr>
      <w:tr>
        <w:trPr>
          <w:trHeight w:val="756" w:hRule="atLeast"/>
        </w:trPr>
        <w:tc>
          <w:tcPr>
            <w:tcW w:w="1512" w:type="dxa"/>
          </w:tcPr>
          <w:p>
            <w:pPr>
              <w:pStyle w:val="TableParagraph"/>
              <w:spacing w:line="273" w:lineRule="auto" w:before="34"/>
              <w:ind w:right="148"/>
              <w:rPr>
                <w:b/>
                <w:sz w:val="21"/>
              </w:rPr>
            </w:pPr>
            <w:r>
              <w:rPr>
                <w:b/>
                <w:sz w:val="21"/>
              </w:rPr>
              <w:t>29.微创颅脑手术</w:t>
            </w:r>
          </w:p>
        </w:tc>
        <w:tc>
          <w:tcPr>
            <w:tcW w:w="7873" w:type="dxa"/>
          </w:tcPr>
          <w:p>
            <w:pPr>
              <w:pStyle w:val="TableParagraph"/>
              <w:spacing w:line="273" w:lineRule="auto" w:before="34"/>
              <w:ind w:left="106" w:right="193"/>
              <w:rPr>
                <w:sz w:val="21"/>
              </w:rPr>
            </w:pPr>
            <w:r>
              <w:rPr>
                <w:sz w:val="21"/>
              </w:rPr>
              <w:t>因疾病被保险人确已实施全麻下的颅骨钻孔手术或者经鼻蝶窦入颅手术。因外伤而实施的脑外科手术不在保障术不在保障范围内。</w:t>
            </w:r>
          </w:p>
        </w:tc>
      </w:tr>
      <w:tr>
        <w:trPr>
          <w:trHeight w:val="1403" w:hRule="atLeast"/>
        </w:trPr>
        <w:tc>
          <w:tcPr>
            <w:tcW w:w="1512" w:type="dxa"/>
          </w:tcPr>
          <w:p>
            <w:pPr>
              <w:pStyle w:val="TableParagraph"/>
              <w:spacing w:line="273" w:lineRule="auto" w:before="58"/>
              <w:ind w:right="148"/>
              <w:rPr>
                <w:b/>
                <w:sz w:val="21"/>
              </w:rPr>
            </w:pPr>
            <w:r>
              <w:rPr>
                <w:b/>
                <w:sz w:val="21"/>
              </w:rPr>
              <w:t>30.糖尿病导致单足截除</w:t>
            </w:r>
          </w:p>
        </w:tc>
        <w:tc>
          <w:tcPr>
            <w:tcW w:w="7873" w:type="dxa"/>
          </w:tcPr>
          <w:p>
            <w:pPr>
              <w:pStyle w:val="TableParagraph"/>
              <w:spacing w:line="273" w:lineRule="auto" w:before="58"/>
              <w:ind w:left="106" w:right="192"/>
              <w:rPr>
                <w:sz w:val="21"/>
              </w:rPr>
            </w:pPr>
            <w:r>
              <w:rPr>
                <w:sz w:val="21"/>
              </w:rPr>
              <w:t>因糖尿病引起的神经及血管病变累及足部，为了维持生命在本公司认可医院内已经进行了医疗必须的由足踝或以上位置的单足截除手术，且未达到本合同重大疾病</w:t>
            </w:r>
          </w:p>
          <w:p>
            <w:pPr>
              <w:pStyle w:val="TableParagraph"/>
              <w:spacing w:before="7"/>
              <w:ind w:left="106"/>
              <w:rPr>
                <w:sz w:val="21"/>
              </w:rPr>
            </w:pPr>
            <w:r>
              <w:rPr>
                <w:sz w:val="21"/>
              </w:rPr>
              <w:t>“糖尿病导致的双脚截除”的赔付标准。</w:t>
            </w:r>
          </w:p>
          <w:p>
            <w:pPr>
              <w:pStyle w:val="TableParagraph"/>
              <w:ind w:left="106"/>
              <w:rPr>
                <w:rFonts w:ascii="黑体" w:eastAsia="黑体" w:hint="eastAsia"/>
                <w:sz w:val="21"/>
              </w:rPr>
            </w:pPr>
            <w:r>
              <w:rPr>
                <w:rFonts w:ascii="黑体" w:eastAsia="黑体" w:hint="eastAsia"/>
                <w:sz w:val="21"/>
              </w:rPr>
              <w:t>切除多只脚趾或因任何其他原因引起的截除术不在保障范围内。</w:t>
            </w:r>
          </w:p>
        </w:tc>
      </w:tr>
      <w:tr>
        <w:trPr>
          <w:trHeight w:val="1716" w:hRule="atLeast"/>
        </w:trPr>
        <w:tc>
          <w:tcPr>
            <w:tcW w:w="1512" w:type="dxa"/>
          </w:tcPr>
          <w:p>
            <w:pPr>
              <w:pStyle w:val="TableParagraph"/>
              <w:spacing w:line="273" w:lineRule="auto" w:before="58"/>
              <w:ind w:right="148"/>
              <w:rPr>
                <w:b/>
                <w:sz w:val="21"/>
              </w:rPr>
            </w:pPr>
            <w:r>
              <w:rPr>
                <w:b/>
                <w:sz w:val="21"/>
              </w:rPr>
              <w:t>31.中度类风湿性关节炎</w:t>
            </w:r>
          </w:p>
        </w:tc>
        <w:tc>
          <w:tcPr>
            <w:tcW w:w="7873" w:type="dxa"/>
          </w:tcPr>
          <w:p>
            <w:pPr>
              <w:pStyle w:val="TableParagraph"/>
              <w:spacing w:line="273" w:lineRule="auto" w:before="58"/>
              <w:ind w:left="106" w:right="234"/>
              <w:rPr>
                <w:sz w:val="21"/>
              </w:rPr>
            </w:pPr>
            <w:r>
              <w:rPr>
                <w:spacing w:val="-6"/>
                <w:sz w:val="21"/>
              </w:rPr>
              <w:t>根据美国风湿病学院的诊断标准，由风湿科专科医生明确诊断并符合下列所有理赔</w:t>
            </w:r>
            <w:r>
              <w:rPr>
                <w:spacing w:val="-4"/>
                <w:sz w:val="21"/>
              </w:rPr>
              <w:t>条件，但未达到本合同所指重大疾病“严重类风湿性关节炎”的标准：</w:t>
            </w:r>
          </w:p>
          <w:p>
            <w:pPr>
              <w:pStyle w:val="TableParagraph"/>
              <w:spacing w:line="273" w:lineRule="auto" w:before="7"/>
              <w:ind w:left="106" w:right="181"/>
              <w:rPr>
                <w:sz w:val="21"/>
              </w:rPr>
            </w:pPr>
            <w:r>
              <w:rPr>
                <w:sz w:val="21"/>
              </w:rPr>
              <w:t>（1）关节广泛受损，并经临床证实出现最少 2 个下列关节位置严重变形：手部、手腕、肘部、膝部、髋部、踝部、颈椎或脚部；</w:t>
            </w:r>
          </w:p>
          <w:p>
            <w:pPr>
              <w:pStyle w:val="TableParagraph"/>
              <w:spacing w:before="8"/>
              <w:ind w:left="106"/>
              <w:rPr>
                <w:sz w:val="21"/>
              </w:rPr>
            </w:pPr>
            <w:r>
              <w:rPr>
                <w:sz w:val="21"/>
              </w:rPr>
              <w:t>（2）至少 180 天无法独立完成六项基本日常生活活动中的二项或二项以上。</w:t>
            </w:r>
          </w:p>
        </w:tc>
      </w:tr>
      <w:tr>
        <w:trPr>
          <w:trHeight w:val="963" w:hRule="atLeast"/>
        </w:trPr>
        <w:tc>
          <w:tcPr>
            <w:tcW w:w="1512" w:type="dxa"/>
          </w:tcPr>
          <w:p>
            <w:pPr>
              <w:pStyle w:val="TableParagraph"/>
              <w:spacing w:line="273" w:lineRule="auto" w:before="58"/>
              <w:ind w:right="148"/>
              <w:rPr>
                <w:b/>
                <w:sz w:val="21"/>
              </w:rPr>
            </w:pPr>
            <w:r>
              <w:rPr>
                <w:b/>
                <w:sz w:val="21"/>
              </w:rPr>
              <w:t>32.中度重症肌无力</w:t>
            </w:r>
          </w:p>
        </w:tc>
        <w:tc>
          <w:tcPr>
            <w:tcW w:w="7873" w:type="dxa"/>
          </w:tcPr>
          <w:p>
            <w:pPr>
              <w:pStyle w:val="TableParagraph"/>
              <w:spacing w:line="310" w:lineRule="atLeast" w:before="23"/>
              <w:ind w:left="106" w:right="234"/>
              <w:jc w:val="both"/>
              <w:rPr>
                <w:sz w:val="21"/>
              </w:rPr>
            </w:pPr>
            <w:r>
              <w:rPr>
                <w:spacing w:val="-5"/>
                <w:sz w:val="21"/>
              </w:rPr>
              <w:t>是一种神经与肌肉接头部位传递障碍的自身免疫性疾病，临床特征是局部或全身横</w:t>
            </w:r>
            <w:r>
              <w:rPr>
                <w:spacing w:val="-7"/>
                <w:sz w:val="21"/>
              </w:rPr>
              <w:t>纹肌于活动时易于疲劳无力，颅神经眼外肌最易累及，也可涉及呼吸肌、下肢近端</w:t>
            </w:r>
            <w:r>
              <w:rPr>
                <w:spacing w:val="-8"/>
                <w:sz w:val="21"/>
              </w:rPr>
              <w:t>肌群以至全身肌肉。该病必须由本公司认可医院的专科医生明确诊断，且疾病确诊</w:t>
            </w:r>
          </w:p>
        </w:tc>
      </w:tr>
    </w:tbl>
    <w:p>
      <w:pPr>
        <w:spacing w:after="0" w:line="310" w:lineRule="atLeast"/>
        <w:jc w:val="both"/>
        <w:rPr>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651" w:hRule="atLeast"/>
        </w:trPr>
        <w:tc>
          <w:tcPr>
            <w:tcW w:w="1490" w:type="dxa"/>
          </w:tcPr>
          <w:p>
            <w:pPr>
              <w:pStyle w:val="TableParagraph"/>
              <w:spacing w:before="0"/>
              <w:ind w:left="0"/>
              <w:rPr>
                <w:rFonts w:ascii="Times New Roman"/>
                <w:sz w:val="20"/>
              </w:rPr>
            </w:pPr>
          </w:p>
        </w:tc>
        <w:tc>
          <w:tcPr>
            <w:tcW w:w="7964" w:type="dxa"/>
          </w:tcPr>
          <w:p>
            <w:pPr>
              <w:pStyle w:val="TableParagraph"/>
              <w:spacing w:line="205" w:lineRule="exact" w:before="0"/>
              <w:ind w:left="128"/>
              <w:rPr>
                <w:sz w:val="21"/>
              </w:rPr>
            </w:pPr>
            <w:r>
              <w:rPr>
                <w:sz w:val="21"/>
              </w:rPr>
              <w:t>180 天后，仍然存在自主生活能力部分丧失，无法独立完成六项基本日常生活活动</w:t>
            </w:r>
          </w:p>
          <w:p>
            <w:pPr>
              <w:pStyle w:val="TableParagraph"/>
              <w:ind w:left="128"/>
              <w:rPr>
                <w:sz w:val="21"/>
              </w:rPr>
            </w:pPr>
            <w:r>
              <w:rPr>
                <w:sz w:val="21"/>
              </w:rPr>
              <w:t>中的二项，但未达到本合同所指重大疾病“重症肌无力”的标准。</w:t>
            </w:r>
          </w:p>
        </w:tc>
      </w:tr>
      <w:tr>
        <w:trPr>
          <w:trHeight w:val="2340" w:hRule="atLeast"/>
        </w:trPr>
        <w:tc>
          <w:tcPr>
            <w:tcW w:w="1490" w:type="dxa"/>
          </w:tcPr>
          <w:p>
            <w:pPr>
              <w:pStyle w:val="TableParagraph"/>
              <w:spacing w:line="273" w:lineRule="auto" w:before="58"/>
              <w:ind w:right="126"/>
              <w:rPr>
                <w:b/>
                <w:sz w:val="21"/>
              </w:rPr>
            </w:pPr>
            <w:r>
              <w:rPr>
                <w:b/>
                <w:sz w:val="21"/>
              </w:rPr>
              <w:t>33.中度溃疡性结肠炎</w:t>
            </w:r>
          </w:p>
        </w:tc>
        <w:tc>
          <w:tcPr>
            <w:tcW w:w="7964" w:type="dxa"/>
          </w:tcPr>
          <w:p>
            <w:pPr>
              <w:pStyle w:val="TableParagraph"/>
              <w:spacing w:line="273" w:lineRule="auto" w:before="58"/>
              <w:ind w:left="128" w:right="197"/>
              <w:rPr>
                <w:sz w:val="21"/>
              </w:rPr>
            </w:pPr>
            <w:r>
              <w:rPr>
                <w:sz w:val="21"/>
              </w:rPr>
              <w:t>本合同所保障的溃疡性结肠炎是指伴有致命性电解质紊乱的急性暴发性溃疡性结 </w:t>
            </w:r>
            <w:r>
              <w:rPr>
                <w:spacing w:val="-6"/>
                <w:sz w:val="21"/>
              </w:rPr>
              <w:t>肠炎，病变累及全结肠，表现为严重的血便和系统性症状体征和肠破裂的风险，本</w:t>
            </w:r>
            <w:r>
              <w:rPr>
                <w:sz w:val="21"/>
              </w:rPr>
              <w:t>疾病的确诊必须经由内窥镜检查证实该疾病侵犯全部结肠及直肠及活体切片检查 </w:t>
            </w:r>
            <w:r>
              <w:rPr>
                <w:spacing w:val="-7"/>
                <w:sz w:val="21"/>
              </w:rPr>
              <w:t>证实为溃疡性结肠炎。且须经肠胃专科医生连续以系统性免疫抑制剂或免疫调节剂</w:t>
            </w:r>
            <w:r>
              <w:rPr>
                <w:spacing w:val="-10"/>
                <w:sz w:val="21"/>
              </w:rPr>
              <w:t>持续治疗最少 </w:t>
            </w:r>
            <w:r>
              <w:rPr>
                <w:sz w:val="21"/>
              </w:rPr>
              <w:t>90</w:t>
            </w:r>
            <w:r>
              <w:rPr>
                <w:spacing w:val="-11"/>
                <w:sz w:val="21"/>
              </w:rPr>
              <w:t> 天，但未达到本合同所指重大疾病“严重溃疡性结肠炎”的标准， </w:t>
            </w:r>
            <w:r>
              <w:rPr>
                <w:spacing w:val="-6"/>
                <w:sz w:val="21"/>
              </w:rPr>
              <w:t>才符合本保障范围。</w:t>
            </w:r>
          </w:p>
          <w:p>
            <w:pPr>
              <w:pStyle w:val="TableParagraph"/>
              <w:spacing w:before="7"/>
              <w:ind w:left="128"/>
              <w:rPr>
                <w:rFonts w:ascii="黑体" w:eastAsia="黑体" w:hint="eastAsia"/>
                <w:sz w:val="21"/>
              </w:rPr>
            </w:pPr>
            <w:r>
              <w:rPr>
                <w:rFonts w:ascii="黑体" w:eastAsia="黑体" w:hint="eastAsia"/>
                <w:sz w:val="21"/>
              </w:rPr>
              <w:t>其他种类的发炎性结肠炎,只发Th在直肠的溃疡性结肠炎均不在保障范围内。</w:t>
            </w:r>
          </w:p>
        </w:tc>
      </w:tr>
      <w:tr>
        <w:trPr>
          <w:trHeight w:val="3892" w:hRule="atLeast"/>
        </w:trPr>
        <w:tc>
          <w:tcPr>
            <w:tcW w:w="1490" w:type="dxa"/>
          </w:tcPr>
          <w:p>
            <w:pPr>
              <w:pStyle w:val="TableParagraph"/>
              <w:spacing w:line="273" w:lineRule="auto" w:before="58"/>
              <w:ind w:right="126"/>
              <w:rPr>
                <w:b/>
                <w:sz w:val="21"/>
              </w:rPr>
            </w:pPr>
            <w:r>
              <w:rPr>
                <w:b/>
                <w:sz w:val="21"/>
              </w:rPr>
              <w:t>34.早期系统性硬皮病</w:t>
            </w:r>
          </w:p>
        </w:tc>
        <w:tc>
          <w:tcPr>
            <w:tcW w:w="7964" w:type="dxa"/>
          </w:tcPr>
          <w:p>
            <w:pPr>
              <w:pStyle w:val="TableParagraph"/>
              <w:spacing w:line="273" w:lineRule="auto" w:before="58"/>
              <w:ind w:left="128" w:right="303"/>
              <w:jc w:val="both"/>
              <w:rPr>
                <w:sz w:val="21"/>
              </w:rPr>
            </w:pPr>
            <w:r>
              <w:rPr>
                <w:spacing w:val="-5"/>
                <w:sz w:val="21"/>
              </w:rPr>
              <w:t>指一种以局限性或弥漫性皮肤增厚和皮肤、血管、内脏器官异常纤维化为特征的结</w:t>
            </w:r>
            <w:r>
              <w:rPr>
                <w:spacing w:val="-8"/>
                <w:sz w:val="21"/>
              </w:rPr>
              <w:t>缔组织病。本病须经专科医生明确诊断，未达到本合同所指重大疾病“严重系统性</w:t>
            </w:r>
            <w:r>
              <w:rPr>
                <w:spacing w:val="-5"/>
                <w:sz w:val="21"/>
              </w:rPr>
              <w:t>硬皮病”的标准，并须满足下列所有条件：</w:t>
            </w:r>
          </w:p>
          <w:p>
            <w:pPr>
              <w:pStyle w:val="TableParagraph"/>
              <w:numPr>
                <w:ilvl w:val="0"/>
                <w:numId w:val="27"/>
              </w:numPr>
              <w:tabs>
                <w:tab w:pos="768" w:val="left" w:leader="none"/>
              </w:tabs>
              <w:spacing w:line="273" w:lineRule="auto" w:before="7" w:after="0"/>
              <w:ind w:left="128" w:right="303" w:firstLine="0"/>
              <w:jc w:val="both"/>
              <w:rPr>
                <w:sz w:val="21"/>
              </w:rPr>
            </w:pPr>
            <w:r>
              <w:rPr>
                <w:sz w:val="21"/>
              </w:rPr>
              <w:t>必须是经由本公司认可医院的风湿学专科医生根据美国风湿病学会（ACR） 及欧洲抗风湿病联盟(EULAR</w:t>
            </w:r>
            <w:r>
              <w:rPr>
                <w:spacing w:val="8"/>
                <w:sz w:val="21"/>
              </w:rPr>
              <w:t>)在 </w:t>
            </w:r>
            <w:r>
              <w:rPr>
                <w:sz w:val="21"/>
              </w:rPr>
              <w:t>2013 年发布的系统性硬皮病诊断标准确认达到确</w:t>
            </w:r>
            <w:r>
              <w:rPr>
                <w:spacing w:val="-1"/>
                <w:sz w:val="21"/>
              </w:rPr>
              <w:t>诊标准</w:t>
            </w:r>
            <w:r>
              <w:rPr>
                <w:sz w:val="21"/>
              </w:rPr>
              <w:t>（</w:t>
            </w:r>
            <w:r>
              <w:rPr>
                <w:spacing w:val="-3"/>
                <w:sz w:val="21"/>
              </w:rPr>
              <w:t>总分值由每一个分类中的最高比重（</w:t>
            </w:r>
            <w:r>
              <w:rPr>
                <w:spacing w:val="-2"/>
                <w:sz w:val="21"/>
              </w:rPr>
              <w:t>分值</w:t>
            </w:r>
            <w:r>
              <w:rPr>
                <w:sz w:val="21"/>
              </w:rPr>
              <w:t>）</w:t>
            </w:r>
            <w:r>
              <w:rPr>
                <w:spacing w:val="-3"/>
                <w:sz w:val="21"/>
              </w:rPr>
              <w:t>相加而成，总分≥</w:t>
            </w:r>
            <w:r>
              <w:rPr>
                <w:sz w:val="21"/>
              </w:rPr>
              <w:t>9</w:t>
            </w:r>
            <w:r>
              <w:rPr>
                <w:spacing w:val="-3"/>
                <w:sz w:val="21"/>
              </w:rPr>
              <w:t> 分的患者被分类为系统性硬皮病</w:t>
            </w:r>
            <w:r>
              <w:rPr>
                <w:spacing w:val="-108"/>
                <w:sz w:val="21"/>
              </w:rPr>
              <w:t>）</w:t>
            </w:r>
            <w:r>
              <w:rPr>
                <w:sz w:val="21"/>
              </w:rPr>
              <w:t>。</w:t>
            </w:r>
          </w:p>
          <w:p>
            <w:pPr>
              <w:pStyle w:val="TableParagraph"/>
              <w:numPr>
                <w:ilvl w:val="0"/>
                <w:numId w:val="27"/>
              </w:numPr>
              <w:tabs>
                <w:tab w:pos="761" w:val="left" w:leader="none"/>
              </w:tabs>
              <w:spacing w:line="240" w:lineRule="auto" w:before="7" w:after="0"/>
              <w:ind w:left="760" w:right="0" w:hanging="632"/>
              <w:jc w:val="both"/>
              <w:rPr>
                <w:sz w:val="21"/>
              </w:rPr>
            </w:pPr>
            <w:r>
              <w:rPr>
                <w:spacing w:val="-3"/>
                <w:sz w:val="21"/>
              </w:rPr>
              <w:t>须提供明确的病理活检及自身抗体免疫血清学证据支持。</w:t>
            </w:r>
          </w:p>
          <w:p>
            <w:pPr>
              <w:pStyle w:val="TableParagraph"/>
              <w:spacing w:before="36"/>
              <w:ind w:left="128"/>
              <w:jc w:val="both"/>
              <w:rPr>
                <w:rFonts w:ascii="黑体" w:eastAsia="黑体" w:hint="eastAsia"/>
                <w:sz w:val="21"/>
              </w:rPr>
            </w:pPr>
            <w:r>
              <w:rPr>
                <w:rFonts w:ascii="黑体" w:eastAsia="黑体" w:hint="eastAsia"/>
                <w:sz w:val="21"/>
              </w:rPr>
              <w:t>以下情况不在保障范围内：</w:t>
            </w:r>
          </w:p>
          <w:p>
            <w:pPr>
              <w:pStyle w:val="TableParagraph"/>
              <w:numPr>
                <w:ilvl w:val="0"/>
                <w:numId w:val="28"/>
              </w:numPr>
              <w:tabs>
                <w:tab w:pos="761" w:val="left" w:leader="none"/>
              </w:tabs>
              <w:spacing w:line="240" w:lineRule="auto" w:before="36" w:after="0"/>
              <w:ind w:left="760" w:right="0" w:hanging="632"/>
              <w:jc w:val="both"/>
              <w:rPr>
                <w:rFonts w:ascii="黑体" w:eastAsia="黑体" w:hint="eastAsia"/>
                <w:sz w:val="21"/>
              </w:rPr>
            </w:pPr>
            <w:r>
              <w:rPr>
                <w:rFonts w:ascii="黑体" w:eastAsia="黑体" w:hint="eastAsia"/>
                <w:spacing w:val="-3"/>
                <w:sz w:val="21"/>
              </w:rPr>
              <w:t>局限性硬皮病</w:t>
            </w:r>
            <w:r>
              <w:rPr>
                <w:rFonts w:ascii="黑体" w:eastAsia="黑体" w:hint="eastAsia"/>
                <w:sz w:val="21"/>
              </w:rPr>
              <w:t>（</w:t>
            </w:r>
            <w:r>
              <w:rPr>
                <w:rFonts w:ascii="黑体" w:eastAsia="黑体" w:hint="eastAsia"/>
                <w:spacing w:val="-3"/>
                <w:sz w:val="21"/>
              </w:rPr>
              <w:t>带状硬皮病或斑状损害</w:t>
            </w:r>
            <w:r>
              <w:rPr>
                <w:rFonts w:ascii="黑体" w:eastAsia="黑体" w:hint="eastAsia"/>
                <w:sz w:val="21"/>
              </w:rPr>
              <w:t>）</w:t>
            </w:r>
          </w:p>
          <w:p>
            <w:pPr>
              <w:pStyle w:val="TableParagraph"/>
              <w:numPr>
                <w:ilvl w:val="0"/>
                <w:numId w:val="28"/>
              </w:numPr>
              <w:tabs>
                <w:tab w:pos="761" w:val="left" w:leader="none"/>
              </w:tabs>
              <w:spacing w:line="240" w:lineRule="auto" w:before="36" w:after="0"/>
              <w:ind w:left="760" w:right="0" w:hanging="632"/>
              <w:jc w:val="both"/>
              <w:rPr>
                <w:rFonts w:ascii="黑体" w:eastAsia="黑体" w:hint="eastAsia"/>
                <w:sz w:val="21"/>
              </w:rPr>
            </w:pPr>
            <w:r>
              <w:rPr>
                <w:rFonts w:ascii="黑体" w:eastAsia="黑体" w:hint="eastAsia"/>
                <w:spacing w:val="-3"/>
                <w:sz w:val="21"/>
              </w:rPr>
              <w:t>嗜酸性筋膜炎</w:t>
            </w:r>
          </w:p>
          <w:p>
            <w:pPr>
              <w:pStyle w:val="TableParagraph"/>
              <w:numPr>
                <w:ilvl w:val="0"/>
                <w:numId w:val="28"/>
              </w:numPr>
              <w:tabs>
                <w:tab w:pos="761" w:val="left" w:leader="none"/>
              </w:tabs>
              <w:spacing w:line="240" w:lineRule="auto" w:before="37" w:after="0"/>
              <w:ind w:left="760" w:right="0" w:hanging="632"/>
              <w:jc w:val="both"/>
              <w:rPr>
                <w:rFonts w:ascii="黑体" w:eastAsia="黑体" w:hint="eastAsia"/>
                <w:sz w:val="21"/>
              </w:rPr>
            </w:pPr>
            <w:r>
              <w:rPr>
                <w:rFonts w:ascii="黑体" w:eastAsia="黑体" w:hint="eastAsia"/>
                <w:sz w:val="21"/>
              </w:rPr>
              <w:t>CREST 综合征</w:t>
            </w:r>
          </w:p>
        </w:tc>
      </w:tr>
      <w:tr>
        <w:trPr>
          <w:trHeight w:val="1707" w:hRule="atLeast"/>
        </w:trPr>
        <w:tc>
          <w:tcPr>
            <w:tcW w:w="1490" w:type="dxa"/>
          </w:tcPr>
          <w:p>
            <w:pPr>
              <w:pStyle w:val="TableParagraph"/>
              <w:spacing w:line="273" w:lineRule="auto" w:before="50"/>
              <w:ind w:right="126"/>
              <w:rPr>
                <w:b/>
                <w:sz w:val="21"/>
              </w:rPr>
            </w:pPr>
            <w:r>
              <w:rPr>
                <w:b/>
                <w:sz w:val="21"/>
              </w:rPr>
              <w:t>35.早期象皮病</w:t>
            </w:r>
          </w:p>
        </w:tc>
        <w:tc>
          <w:tcPr>
            <w:tcW w:w="7964" w:type="dxa"/>
          </w:tcPr>
          <w:p>
            <w:pPr>
              <w:pStyle w:val="TableParagraph"/>
              <w:spacing w:line="273" w:lineRule="auto" w:before="50"/>
              <w:ind w:left="128" w:right="303"/>
              <w:jc w:val="both"/>
              <w:rPr>
                <w:sz w:val="21"/>
              </w:rPr>
            </w:pPr>
            <w:r>
              <w:rPr>
                <w:spacing w:val="-5"/>
                <w:sz w:val="21"/>
              </w:rPr>
              <w:t>指因丝虫感染导致淋巴管阻塞而造成身体组织出现严重淋巴水肿，但未达到本合同</w:t>
            </w:r>
            <w:r>
              <w:rPr>
                <w:spacing w:val="-8"/>
                <w:sz w:val="21"/>
              </w:rPr>
              <w:t>所指重大疾病“象皮病”的标准。此病症须经本公司认可医院的专科医生根据临床</w:t>
            </w:r>
            <w:r>
              <w:rPr>
                <w:spacing w:val="-5"/>
                <w:sz w:val="21"/>
              </w:rPr>
              <w:t>表现和微丝蚴的化验结果确诊。</w:t>
            </w:r>
          </w:p>
          <w:p>
            <w:pPr>
              <w:pStyle w:val="TableParagraph"/>
              <w:spacing w:line="273" w:lineRule="auto" w:before="7"/>
              <w:ind w:left="128" w:right="269"/>
              <w:jc w:val="both"/>
              <w:rPr>
                <w:rFonts w:ascii="黑体" w:eastAsia="黑体" w:hint="eastAsia"/>
                <w:sz w:val="21"/>
              </w:rPr>
            </w:pPr>
            <w:r>
              <w:rPr>
                <w:rFonts w:ascii="黑体" w:eastAsia="黑体" w:hint="eastAsia"/>
                <w:spacing w:val="-6"/>
                <w:sz w:val="21"/>
              </w:rPr>
              <w:t>由性接触传染的疾病、创伤、手术后疤痕、充血性心力衰竭或先天性淋巴系统异常</w:t>
            </w:r>
            <w:r>
              <w:rPr>
                <w:rFonts w:ascii="黑体" w:eastAsia="黑体" w:hint="eastAsia"/>
                <w:spacing w:val="-4"/>
                <w:sz w:val="21"/>
              </w:rPr>
              <w:t>引起的淋巴水肿，以及急性淋巴管炎或其他原因引起的淋巴水肿不在保障范围内。</w:t>
            </w:r>
          </w:p>
        </w:tc>
      </w:tr>
      <w:tr>
        <w:trPr>
          <w:trHeight w:val="1092" w:hRule="atLeast"/>
        </w:trPr>
        <w:tc>
          <w:tcPr>
            <w:tcW w:w="1490" w:type="dxa"/>
          </w:tcPr>
          <w:p>
            <w:pPr>
              <w:pStyle w:val="TableParagraph"/>
              <w:spacing w:line="273" w:lineRule="auto" w:before="58"/>
              <w:ind w:right="126"/>
              <w:rPr>
                <w:b/>
                <w:sz w:val="21"/>
              </w:rPr>
            </w:pPr>
            <w:r>
              <w:rPr>
                <w:b/>
                <w:sz w:val="21"/>
              </w:rPr>
              <w:t>36.心包膜切除术</w:t>
            </w:r>
          </w:p>
        </w:tc>
        <w:tc>
          <w:tcPr>
            <w:tcW w:w="7964" w:type="dxa"/>
          </w:tcPr>
          <w:p>
            <w:pPr>
              <w:pStyle w:val="TableParagraph"/>
              <w:spacing w:line="273" w:lineRule="auto" w:before="58"/>
              <w:ind w:left="128" w:right="303"/>
              <w:jc w:val="both"/>
              <w:rPr>
                <w:sz w:val="21"/>
              </w:rPr>
            </w:pPr>
            <w:r>
              <w:rPr>
                <w:spacing w:val="-17"/>
                <w:sz w:val="21"/>
              </w:rPr>
              <w:t>指为治疗心包膜疾病，已经实施了心包膜切除术，但未达到本合同所指重大疾病“严</w:t>
            </w:r>
            <w:r>
              <w:rPr>
                <w:spacing w:val="-10"/>
                <w:sz w:val="21"/>
              </w:rPr>
              <w:t>重慢性缩窄型心包炎”的标准。手术必须在心脏科医生认为是医学上必需的情况下进行。</w:t>
            </w:r>
          </w:p>
        </w:tc>
      </w:tr>
      <w:tr>
        <w:trPr>
          <w:trHeight w:val="1716" w:hRule="atLeast"/>
        </w:trPr>
        <w:tc>
          <w:tcPr>
            <w:tcW w:w="1490" w:type="dxa"/>
          </w:tcPr>
          <w:p>
            <w:pPr>
              <w:pStyle w:val="TableParagraph"/>
              <w:spacing w:line="273" w:lineRule="auto" w:before="59"/>
              <w:ind w:right="126"/>
              <w:rPr>
                <w:b/>
                <w:sz w:val="21"/>
              </w:rPr>
            </w:pPr>
            <w:r>
              <w:rPr>
                <w:b/>
                <w:sz w:val="21"/>
              </w:rPr>
              <w:t>37.肺功能衰竭</w:t>
            </w:r>
          </w:p>
        </w:tc>
        <w:tc>
          <w:tcPr>
            <w:tcW w:w="7964" w:type="dxa"/>
          </w:tcPr>
          <w:p>
            <w:pPr>
              <w:pStyle w:val="TableParagraph"/>
              <w:spacing w:line="273" w:lineRule="auto" w:before="59"/>
              <w:ind w:left="128" w:right="262"/>
              <w:rPr>
                <w:sz w:val="21"/>
              </w:rPr>
            </w:pPr>
            <w:r>
              <w:rPr>
                <w:sz w:val="21"/>
              </w:rPr>
              <w:t>指因慢性呼吸系统疾病导致呼吸功能衰竭，未达到本合同所指重大疾病“慢性呼吸功能衰竭”的标准，且诊断必须满足以下所有条件：</w:t>
            </w:r>
          </w:p>
          <w:p>
            <w:pPr>
              <w:pStyle w:val="TableParagraph"/>
              <w:numPr>
                <w:ilvl w:val="0"/>
                <w:numId w:val="29"/>
              </w:numPr>
              <w:tabs>
                <w:tab w:pos="761" w:val="left" w:leader="none"/>
              </w:tabs>
              <w:spacing w:line="240" w:lineRule="auto" w:before="7" w:after="0"/>
              <w:ind w:left="760" w:right="0" w:hanging="632"/>
              <w:jc w:val="left"/>
              <w:rPr>
                <w:sz w:val="21"/>
              </w:rPr>
            </w:pPr>
            <w:r>
              <w:rPr>
                <w:spacing w:val="-3"/>
                <w:sz w:val="21"/>
              </w:rPr>
              <w:t>第一秒末用力呼吸量</w:t>
            </w:r>
            <w:r>
              <w:rPr>
                <w:sz w:val="21"/>
              </w:rPr>
              <w:t>（FEV1）</w:t>
            </w:r>
            <w:r>
              <w:rPr>
                <w:spacing w:val="-17"/>
                <w:sz w:val="21"/>
              </w:rPr>
              <w:t>小于 </w:t>
            </w:r>
            <w:r>
              <w:rPr>
                <w:sz w:val="21"/>
              </w:rPr>
              <w:t>1</w:t>
            </w:r>
            <w:r>
              <w:rPr>
                <w:spacing w:val="-18"/>
                <w:sz w:val="21"/>
              </w:rPr>
              <w:t> 升；</w:t>
            </w:r>
          </w:p>
          <w:p>
            <w:pPr>
              <w:pStyle w:val="TableParagraph"/>
              <w:numPr>
                <w:ilvl w:val="0"/>
                <w:numId w:val="29"/>
              </w:numPr>
              <w:tabs>
                <w:tab w:pos="761" w:val="left" w:leader="none"/>
              </w:tabs>
              <w:spacing w:line="240" w:lineRule="auto" w:before="36" w:after="0"/>
              <w:ind w:left="760" w:right="0" w:hanging="632"/>
              <w:jc w:val="left"/>
              <w:rPr>
                <w:sz w:val="21"/>
              </w:rPr>
            </w:pPr>
            <w:r>
              <w:rPr>
                <w:spacing w:val="-3"/>
                <w:sz w:val="21"/>
              </w:rPr>
              <w:t>残气容积占肺总量</w:t>
            </w:r>
            <w:r>
              <w:rPr>
                <w:sz w:val="21"/>
              </w:rPr>
              <w:t>（TLC）</w:t>
            </w:r>
            <w:r>
              <w:rPr>
                <w:spacing w:val="-21"/>
                <w:sz w:val="21"/>
              </w:rPr>
              <w:t>的 </w:t>
            </w:r>
            <w:r>
              <w:rPr>
                <w:sz w:val="21"/>
              </w:rPr>
              <w:t>50</w:t>
            </w:r>
            <w:r>
              <w:rPr>
                <w:spacing w:val="-1"/>
                <w:sz w:val="21"/>
              </w:rPr>
              <w:t>%以上；</w:t>
            </w:r>
          </w:p>
          <w:p>
            <w:pPr>
              <w:pStyle w:val="TableParagraph"/>
              <w:numPr>
                <w:ilvl w:val="0"/>
                <w:numId w:val="29"/>
              </w:numPr>
              <w:tabs>
                <w:tab w:pos="761" w:val="left" w:leader="none"/>
              </w:tabs>
              <w:spacing w:line="240" w:lineRule="auto" w:before="36" w:after="0"/>
              <w:ind w:left="760" w:right="0" w:hanging="632"/>
              <w:jc w:val="left"/>
              <w:rPr>
                <w:sz w:val="21"/>
              </w:rPr>
            </w:pPr>
            <w:r>
              <w:rPr>
                <w:sz w:val="21"/>
              </w:rPr>
              <w:t>PaO2&lt;60mmHg,</w:t>
            </w:r>
            <w:r>
              <w:rPr>
                <w:spacing w:val="-3"/>
                <w:sz w:val="21"/>
              </w:rPr>
              <w:t> </w:t>
            </w:r>
            <w:r>
              <w:rPr>
                <w:sz w:val="21"/>
              </w:rPr>
              <w:t>PaCO2&gt;50mmHg。</w:t>
            </w:r>
          </w:p>
        </w:tc>
      </w:tr>
      <w:tr>
        <w:trPr>
          <w:trHeight w:val="1275" w:hRule="atLeast"/>
        </w:trPr>
        <w:tc>
          <w:tcPr>
            <w:tcW w:w="1490" w:type="dxa"/>
          </w:tcPr>
          <w:p>
            <w:pPr>
              <w:pStyle w:val="TableParagraph"/>
              <w:spacing w:line="273" w:lineRule="auto" w:before="58"/>
              <w:ind w:right="126"/>
              <w:rPr>
                <w:b/>
                <w:sz w:val="21"/>
              </w:rPr>
            </w:pPr>
            <w:r>
              <w:rPr>
                <w:b/>
                <w:sz w:val="21"/>
              </w:rPr>
              <w:t>38.植入心脏起搏器</w:t>
            </w:r>
          </w:p>
        </w:tc>
        <w:tc>
          <w:tcPr>
            <w:tcW w:w="7964" w:type="dxa"/>
          </w:tcPr>
          <w:p>
            <w:pPr>
              <w:pStyle w:val="TableParagraph"/>
              <w:spacing w:line="310" w:lineRule="atLeast" w:before="23"/>
              <w:ind w:left="128" w:right="303"/>
              <w:jc w:val="both"/>
              <w:rPr>
                <w:sz w:val="21"/>
              </w:rPr>
            </w:pPr>
            <w:r>
              <w:rPr>
                <w:spacing w:val="-5"/>
                <w:sz w:val="21"/>
              </w:rPr>
              <w:t>因严重心律失常而确实已经实施永久性心脏起搏器的植入手术。理赔时须提供完整</w:t>
            </w:r>
            <w:r>
              <w:rPr>
                <w:spacing w:val="-8"/>
                <w:sz w:val="21"/>
              </w:rPr>
              <w:t>病历资料及手术记录，诊断及治疗均须在本公司认可医院专科医生认为是医疗必须</w:t>
            </w:r>
            <w:r>
              <w:rPr>
                <w:spacing w:val="-9"/>
                <w:sz w:val="21"/>
              </w:rPr>
              <w:t>的情况下进行。由于心脏再同步化治疗而实施的植入心脏起博器包括在本项保障范围内。</w:t>
            </w:r>
          </w:p>
        </w:tc>
      </w:tr>
    </w:tbl>
    <w:p>
      <w:pPr>
        <w:spacing w:after="0" w:line="310" w:lineRule="atLeast"/>
        <w:jc w:val="both"/>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3437" w:hRule="atLeast"/>
        </w:trPr>
        <w:tc>
          <w:tcPr>
            <w:tcW w:w="1490" w:type="dxa"/>
          </w:tcPr>
          <w:p>
            <w:pPr>
              <w:pStyle w:val="TableParagraph"/>
              <w:spacing w:line="205" w:lineRule="exact" w:before="0"/>
              <w:rPr>
                <w:b/>
                <w:sz w:val="21"/>
              </w:rPr>
            </w:pPr>
            <w:r>
              <w:rPr>
                <w:b/>
                <w:sz w:val="21"/>
              </w:rPr>
              <w:t>39.早期原发</w:t>
            </w:r>
          </w:p>
          <w:p>
            <w:pPr>
              <w:pStyle w:val="TableParagraph"/>
              <w:rPr>
                <w:b/>
                <w:sz w:val="21"/>
              </w:rPr>
            </w:pPr>
            <w:r>
              <w:rPr>
                <w:b/>
                <w:sz w:val="21"/>
              </w:rPr>
              <w:t>性心脏病</w:t>
            </w:r>
          </w:p>
        </w:tc>
        <w:tc>
          <w:tcPr>
            <w:tcW w:w="7964" w:type="dxa"/>
          </w:tcPr>
          <w:p>
            <w:pPr>
              <w:pStyle w:val="TableParagraph"/>
              <w:spacing w:line="205" w:lineRule="exact" w:before="0"/>
              <w:ind w:left="128"/>
              <w:rPr>
                <w:sz w:val="21"/>
              </w:rPr>
            </w:pPr>
            <w:r>
              <w:rPr>
                <w:sz w:val="21"/>
              </w:rPr>
              <w:t>被诊断为原发性心肌病，并符合下列所有条件，但未达到本合同所指重大疾病“严</w:t>
            </w:r>
          </w:p>
          <w:p>
            <w:pPr>
              <w:pStyle w:val="TableParagraph"/>
              <w:ind w:left="128"/>
              <w:rPr>
                <w:sz w:val="21"/>
              </w:rPr>
            </w:pPr>
            <w:r>
              <w:rPr>
                <w:sz w:val="21"/>
              </w:rPr>
              <w:t>重原发性心肌病”的标准：</w:t>
            </w:r>
          </w:p>
          <w:p>
            <w:pPr>
              <w:pStyle w:val="TableParagraph"/>
              <w:numPr>
                <w:ilvl w:val="0"/>
                <w:numId w:val="30"/>
              </w:numPr>
              <w:tabs>
                <w:tab w:pos="744" w:val="left" w:leader="none"/>
              </w:tabs>
              <w:spacing w:line="273" w:lineRule="auto" w:before="37" w:after="0"/>
              <w:ind w:left="128" w:right="303" w:firstLine="0"/>
              <w:jc w:val="left"/>
              <w:rPr>
                <w:sz w:val="21"/>
              </w:rPr>
            </w:pPr>
            <w:r>
              <w:rPr>
                <w:spacing w:val="-5"/>
                <w:sz w:val="21"/>
              </w:rPr>
              <w:t>导致心室功能受损，其受损程度达到美国纽约心脏病学会心功能状态分级Ⅲ </w:t>
            </w:r>
            <w:r>
              <w:rPr>
                <w:spacing w:val="-5"/>
                <w:w w:val="100"/>
                <w:sz w:val="21"/>
              </w:rPr>
              <w:t>级（</w:t>
            </w:r>
            <w:r>
              <w:rPr>
                <w:spacing w:val="-3"/>
                <w:w w:val="100"/>
                <w:sz w:val="21"/>
              </w:rPr>
              <w:t>注</w:t>
            </w:r>
            <w:r>
              <w:rPr>
                <w:spacing w:val="-106"/>
                <w:w w:val="100"/>
                <w:sz w:val="21"/>
              </w:rPr>
              <w:t>）</w:t>
            </w:r>
            <w:r>
              <w:rPr>
                <w:spacing w:val="-3"/>
                <w:w w:val="100"/>
                <w:sz w:val="21"/>
              </w:rPr>
              <w:t>，或其同等级别。</w:t>
            </w:r>
          </w:p>
          <w:p>
            <w:pPr>
              <w:pStyle w:val="TableParagraph"/>
              <w:numPr>
                <w:ilvl w:val="0"/>
                <w:numId w:val="30"/>
              </w:numPr>
              <w:tabs>
                <w:tab w:pos="761" w:val="left" w:leader="none"/>
              </w:tabs>
              <w:spacing w:line="240" w:lineRule="auto" w:before="7" w:after="0"/>
              <w:ind w:left="760" w:right="0" w:hanging="632"/>
              <w:jc w:val="left"/>
              <w:rPr>
                <w:sz w:val="21"/>
              </w:rPr>
            </w:pPr>
            <w:r>
              <w:rPr>
                <w:spacing w:val="-3"/>
                <w:sz w:val="21"/>
              </w:rPr>
              <w:t>左室射血分数 </w:t>
            </w:r>
            <w:r>
              <w:rPr>
                <w:sz w:val="21"/>
              </w:rPr>
              <w:t>LVEF</w:t>
            </w:r>
            <w:r>
              <w:rPr>
                <w:spacing w:val="0"/>
                <w:sz w:val="21"/>
              </w:rPr>
              <w:t> </w:t>
            </w:r>
            <w:r>
              <w:rPr>
                <w:sz w:val="21"/>
              </w:rPr>
              <w:t>&lt;35%。</w:t>
            </w:r>
          </w:p>
          <w:p>
            <w:pPr>
              <w:pStyle w:val="TableParagraph"/>
              <w:numPr>
                <w:ilvl w:val="0"/>
                <w:numId w:val="30"/>
              </w:numPr>
              <w:tabs>
                <w:tab w:pos="744" w:val="left" w:leader="none"/>
              </w:tabs>
              <w:spacing w:line="273" w:lineRule="auto" w:before="36" w:after="0"/>
              <w:ind w:left="128" w:right="303" w:firstLine="0"/>
              <w:jc w:val="left"/>
              <w:rPr>
                <w:sz w:val="21"/>
              </w:rPr>
            </w:pPr>
            <w:r>
              <w:rPr>
                <w:spacing w:val="-4"/>
                <w:sz w:val="21"/>
              </w:rPr>
              <w:t>原发性心肌病的诊断必须由本公司认可医院的心脏专科医生确认，并提供心</w:t>
            </w:r>
            <w:r>
              <w:rPr>
                <w:spacing w:val="-3"/>
                <w:sz w:val="21"/>
              </w:rPr>
              <w:t>脏超声检查结果报告。</w:t>
            </w:r>
          </w:p>
          <w:p>
            <w:pPr>
              <w:pStyle w:val="TableParagraph"/>
              <w:spacing w:line="273" w:lineRule="auto" w:before="7"/>
              <w:ind w:left="128" w:right="303"/>
              <w:rPr>
                <w:sz w:val="21"/>
              </w:rPr>
            </w:pPr>
            <w:r>
              <w:rPr>
                <w:rFonts w:ascii="黑体" w:hAnsi="黑体" w:eastAsia="黑体" w:hint="eastAsia"/>
                <w:spacing w:val="-5"/>
                <w:sz w:val="21"/>
              </w:rPr>
              <w:t>本保障范围内的心肌病仅包括扩张型心肌病、肥厚型心肌病及限制型心肌病。继发</w:t>
            </w:r>
            <w:r>
              <w:rPr>
                <w:rFonts w:ascii="黑体" w:hAnsi="黑体" w:eastAsia="黑体" w:hint="eastAsia"/>
                <w:spacing w:val="-4"/>
                <w:sz w:val="21"/>
              </w:rPr>
              <w:t>于全身性疾病或其他器官系统疾病及酒精滥用造成的心肌病变不在保障范围内。 </w:t>
            </w:r>
            <w:r>
              <w:rPr>
                <w:spacing w:val="-7"/>
                <w:sz w:val="21"/>
              </w:rPr>
              <w:t>注：美国纽约心脏病学会心功能状态分级Ⅲ级是指体力活动明显受限，休息时无症</w:t>
            </w:r>
            <w:r>
              <w:rPr>
                <w:spacing w:val="-5"/>
                <w:sz w:val="21"/>
              </w:rPr>
              <w:t>状，轻于日常的活动即可引起充血性心力衰竭的症状。</w:t>
            </w:r>
          </w:p>
        </w:tc>
      </w:tr>
      <w:tr>
        <w:trPr>
          <w:trHeight w:val="1381" w:hRule="atLeast"/>
        </w:trPr>
        <w:tc>
          <w:tcPr>
            <w:tcW w:w="1490" w:type="dxa"/>
          </w:tcPr>
          <w:p>
            <w:pPr>
              <w:pStyle w:val="TableParagraph"/>
              <w:spacing w:line="273" w:lineRule="auto" w:before="36"/>
              <w:ind w:right="126"/>
              <w:rPr>
                <w:b/>
                <w:sz w:val="21"/>
              </w:rPr>
            </w:pPr>
            <w:r>
              <w:rPr>
                <w:b/>
                <w:sz w:val="21"/>
              </w:rPr>
              <w:t>40.轻度面部烧伤</w:t>
            </w:r>
          </w:p>
        </w:tc>
        <w:tc>
          <w:tcPr>
            <w:tcW w:w="7964" w:type="dxa"/>
          </w:tcPr>
          <w:p>
            <w:pPr>
              <w:pStyle w:val="TableParagraph"/>
              <w:spacing w:line="273" w:lineRule="auto" w:before="36"/>
              <w:ind w:left="128" w:right="249"/>
              <w:rPr>
                <w:sz w:val="21"/>
              </w:rPr>
            </w:pPr>
            <w:r>
              <w:rPr>
                <w:sz w:val="21"/>
              </w:rPr>
              <w:t>指烧伤程度为Ⅲ度，且Ⅲ度烧伤的面积达到面部表面积的 30％或者 30％以上，但未达到面部表面积的 80%。</w:t>
            </w:r>
          </w:p>
          <w:p>
            <w:pPr>
              <w:pStyle w:val="TableParagraph"/>
              <w:spacing w:line="273" w:lineRule="auto" w:before="7"/>
              <w:ind w:left="128" w:right="198"/>
              <w:rPr>
                <w:rFonts w:ascii="黑体" w:hAnsi="黑体" w:eastAsia="黑体" w:hint="eastAsia"/>
                <w:sz w:val="21"/>
              </w:rPr>
            </w:pPr>
            <w:r>
              <w:rPr>
                <w:rFonts w:ascii="黑体" w:hAnsi="黑体" w:eastAsia="黑体" w:hint="eastAsia"/>
                <w:spacing w:val="-12"/>
                <w:sz w:val="21"/>
              </w:rPr>
              <w:t>若被保险人因同一原因导致其同时满足“全身较小面积Ⅲ度烧伤”</w:t>
            </w:r>
            <w:r>
              <w:rPr>
                <w:rFonts w:ascii="黑体" w:hAnsi="黑体" w:eastAsia="黑体" w:hint="eastAsia"/>
                <w:spacing w:val="-23"/>
                <w:sz w:val="21"/>
              </w:rPr>
              <w:t>、“轻度面部烧伤” </w:t>
            </w:r>
            <w:r>
              <w:rPr>
                <w:rFonts w:ascii="黑体" w:hAnsi="黑体" w:eastAsia="黑体" w:hint="eastAsia"/>
                <w:spacing w:val="-8"/>
                <w:sz w:val="21"/>
              </w:rPr>
              <w:t>的，仅按其中一项给付。</w:t>
            </w:r>
          </w:p>
        </w:tc>
      </w:tr>
      <w:tr>
        <w:trPr>
          <w:trHeight w:val="2964" w:hRule="atLeast"/>
        </w:trPr>
        <w:tc>
          <w:tcPr>
            <w:tcW w:w="1490" w:type="dxa"/>
          </w:tcPr>
          <w:p>
            <w:pPr>
              <w:pStyle w:val="TableParagraph"/>
              <w:spacing w:line="273" w:lineRule="auto" w:before="58"/>
              <w:ind w:right="126"/>
              <w:rPr>
                <w:b/>
                <w:sz w:val="21"/>
              </w:rPr>
            </w:pPr>
            <w:r>
              <w:rPr>
                <w:b/>
                <w:sz w:val="21"/>
              </w:rPr>
              <w:t>41.特定周围动脉疾病的血管介入治疗</w:t>
            </w:r>
          </w:p>
        </w:tc>
        <w:tc>
          <w:tcPr>
            <w:tcW w:w="7964" w:type="dxa"/>
          </w:tcPr>
          <w:p>
            <w:pPr>
              <w:pStyle w:val="TableParagraph"/>
              <w:spacing w:before="58"/>
              <w:ind w:left="128"/>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numPr>
                <w:ilvl w:val="0"/>
                <w:numId w:val="31"/>
              </w:numPr>
              <w:tabs>
                <w:tab w:pos="761" w:val="left" w:leader="none"/>
              </w:tabs>
              <w:spacing w:line="240" w:lineRule="auto" w:before="21" w:after="0"/>
              <w:ind w:left="128" w:right="0" w:firstLine="0"/>
              <w:jc w:val="left"/>
              <w:rPr>
                <w:sz w:val="21"/>
              </w:rPr>
            </w:pPr>
            <w:r>
              <w:rPr>
                <w:spacing w:val="-3"/>
                <w:sz w:val="21"/>
              </w:rPr>
              <w:t>为下肢或者上肢供血的动脉；</w:t>
            </w:r>
          </w:p>
          <w:p>
            <w:pPr>
              <w:pStyle w:val="TableParagraph"/>
              <w:numPr>
                <w:ilvl w:val="0"/>
                <w:numId w:val="31"/>
              </w:numPr>
              <w:tabs>
                <w:tab w:pos="761" w:val="left" w:leader="none"/>
              </w:tabs>
              <w:spacing w:line="240" w:lineRule="auto" w:before="36" w:after="0"/>
              <w:ind w:left="128" w:right="0" w:firstLine="0"/>
              <w:jc w:val="left"/>
              <w:rPr>
                <w:sz w:val="21"/>
              </w:rPr>
            </w:pPr>
            <w:r>
              <w:rPr>
                <w:spacing w:val="-2"/>
                <w:sz w:val="21"/>
              </w:rPr>
              <w:t>肾动脉；</w:t>
            </w:r>
          </w:p>
          <w:p>
            <w:pPr>
              <w:pStyle w:val="TableParagraph"/>
              <w:numPr>
                <w:ilvl w:val="0"/>
                <w:numId w:val="31"/>
              </w:numPr>
              <w:tabs>
                <w:tab w:pos="761" w:val="left" w:leader="none"/>
              </w:tabs>
              <w:spacing w:line="273" w:lineRule="auto" w:before="36" w:after="0"/>
              <w:ind w:left="128" w:right="5730" w:firstLine="0"/>
              <w:jc w:val="left"/>
              <w:rPr>
                <w:sz w:val="21"/>
              </w:rPr>
            </w:pPr>
            <w:r>
              <w:rPr>
                <w:spacing w:val="-3"/>
                <w:sz w:val="21"/>
              </w:rPr>
              <w:t>肠系膜动脉。 须满足下列全部条件：</w:t>
            </w:r>
          </w:p>
          <w:p>
            <w:pPr>
              <w:pStyle w:val="TableParagraph"/>
              <w:numPr>
                <w:ilvl w:val="0"/>
                <w:numId w:val="32"/>
              </w:numPr>
              <w:tabs>
                <w:tab w:pos="761" w:val="left" w:leader="none"/>
              </w:tabs>
              <w:spacing w:line="240" w:lineRule="auto" w:before="7" w:after="0"/>
              <w:ind w:left="128" w:right="0" w:firstLine="0"/>
              <w:jc w:val="left"/>
              <w:rPr>
                <w:sz w:val="21"/>
              </w:rPr>
            </w:pPr>
            <w:r>
              <w:rPr>
                <w:spacing w:val="-4"/>
                <w:sz w:val="21"/>
              </w:rPr>
              <w:t>经血管造影术证实一条或者一条以上的上述动脉狭窄达到 </w:t>
            </w:r>
            <w:r>
              <w:rPr>
                <w:sz w:val="21"/>
              </w:rPr>
              <w:t>50</w:t>
            </w:r>
            <w:r>
              <w:rPr>
                <w:spacing w:val="-3"/>
                <w:sz w:val="21"/>
              </w:rPr>
              <w:t>%或者以上；</w:t>
            </w:r>
          </w:p>
          <w:p>
            <w:pPr>
              <w:pStyle w:val="TableParagraph"/>
              <w:numPr>
                <w:ilvl w:val="0"/>
                <w:numId w:val="32"/>
              </w:numPr>
              <w:tabs>
                <w:tab w:pos="768" w:val="left" w:leader="none"/>
              </w:tabs>
              <w:spacing w:line="273" w:lineRule="auto" w:before="36" w:after="0"/>
              <w:ind w:left="128" w:right="308" w:firstLine="0"/>
              <w:jc w:val="left"/>
              <w:rPr>
                <w:sz w:val="21"/>
              </w:rPr>
            </w:pPr>
            <w:r>
              <w:rPr>
                <w:sz w:val="21"/>
              </w:rPr>
              <w:t>对一条或者一条以上的上述动脉施行了血管介入治疗，如血管成形术及/或</w:t>
            </w:r>
            <w:r>
              <w:rPr>
                <w:spacing w:val="-3"/>
                <w:sz w:val="21"/>
              </w:rPr>
              <w:t>者进行植入支架或者动脉瘤清除手术。</w:t>
            </w:r>
          </w:p>
          <w:p>
            <w:pPr>
              <w:pStyle w:val="TableParagraph"/>
              <w:spacing w:before="7"/>
              <w:ind w:left="128"/>
              <w:rPr>
                <w:sz w:val="21"/>
              </w:rPr>
            </w:pPr>
            <w:r>
              <w:rPr>
                <w:sz w:val="21"/>
              </w:rPr>
              <w:t>上述动脉疾病的诊断以及相关治疗的必要性必须由血管疾病的专科医生确定。</w:t>
            </w:r>
          </w:p>
        </w:tc>
      </w:tr>
      <w:tr>
        <w:trPr>
          <w:trHeight w:val="1950" w:hRule="atLeast"/>
        </w:trPr>
        <w:tc>
          <w:tcPr>
            <w:tcW w:w="1490" w:type="dxa"/>
          </w:tcPr>
          <w:p>
            <w:pPr>
              <w:pStyle w:val="TableParagraph"/>
              <w:spacing w:line="273" w:lineRule="auto" w:before="58"/>
              <w:ind w:right="126"/>
              <w:rPr>
                <w:b/>
                <w:sz w:val="21"/>
              </w:rPr>
            </w:pPr>
            <w:r>
              <w:rPr>
                <w:b/>
                <w:sz w:val="21"/>
              </w:rPr>
              <w:t>42.于颈动脉进行血管成形术或内膜切除术</w:t>
            </w:r>
          </w:p>
        </w:tc>
        <w:tc>
          <w:tcPr>
            <w:tcW w:w="7964" w:type="dxa"/>
          </w:tcPr>
          <w:p>
            <w:pPr>
              <w:pStyle w:val="TableParagraph"/>
              <w:spacing w:line="273" w:lineRule="auto" w:before="58"/>
              <w:ind w:left="128" w:right="303"/>
              <w:jc w:val="both"/>
              <w:rPr>
                <w:sz w:val="21"/>
              </w:rPr>
            </w:pPr>
            <w:r>
              <w:rPr>
                <w:spacing w:val="-6"/>
                <w:sz w:val="21"/>
              </w:rPr>
              <w:t>指根据颈动脉造影检查结果，确诊一条或以上颈动脉存在严重狭窄性病变</w:t>
            </w:r>
            <w:r>
              <w:rPr>
                <w:spacing w:val="-3"/>
                <w:sz w:val="21"/>
              </w:rPr>
              <w:t>（</w:t>
            </w:r>
            <w:r>
              <w:rPr>
                <w:sz w:val="21"/>
              </w:rPr>
              <w:t>至少一</w:t>
            </w:r>
            <w:r>
              <w:rPr>
                <w:spacing w:val="-6"/>
                <w:sz w:val="21"/>
              </w:rPr>
              <w:t>支血管管腔直径减少 </w:t>
            </w:r>
            <w:r>
              <w:rPr>
                <w:sz w:val="21"/>
              </w:rPr>
              <w:t>50％以上</w:t>
            </w:r>
            <w:r>
              <w:rPr>
                <w:spacing w:val="-108"/>
                <w:sz w:val="21"/>
              </w:rPr>
              <w:t>）</w:t>
            </w:r>
            <w:r>
              <w:rPr>
                <w:spacing w:val="-3"/>
                <w:sz w:val="21"/>
              </w:rPr>
              <w:t>。本病须经国家机关认可的有合法资质的专科医生明确诊断，同时必须已经采取以下手术以减轻症状：</w:t>
            </w:r>
          </w:p>
          <w:p>
            <w:pPr>
              <w:pStyle w:val="TableParagraph"/>
              <w:spacing w:before="7"/>
              <w:ind w:left="128"/>
              <w:rPr>
                <w:sz w:val="21"/>
              </w:rPr>
            </w:pPr>
            <w:r>
              <w:rPr>
                <w:sz w:val="21"/>
              </w:rPr>
              <w:t>1.确实进行动脉内膜切除术；</w:t>
            </w:r>
          </w:p>
          <w:p>
            <w:pPr>
              <w:pStyle w:val="TableParagraph"/>
              <w:spacing w:line="273" w:lineRule="auto"/>
              <w:ind w:left="128" w:right="372"/>
              <w:jc w:val="both"/>
              <w:rPr>
                <w:sz w:val="21"/>
              </w:rPr>
            </w:pPr>
            <w:r>
              <w:rPr>
                <w:sz w:val="21"/>
              </w:rPr>
              <w:t>2.确实进行血管介入治疗，例如血管成形术及/或进行植入支架或动脉粥样瘤清除手术。</w:t>
            </w:r>
          </w:p>
        </w:tc>
      </w:tr>
      <w:tr>
        <w:trPr>
          <w:trHeight w:val="1628" w:hRule="atLeast"/>
        </w:trPr>
        <w:tc>
          <w:tcPr>
            <w:tcW w:w="1490" w:type="dxa"/>
          </w:tcPr>
          <w:p>
            <w:pPr>
              <w:pStyle w:val="TableParagraph"/>
              <w:spacing w:line="256" w:lineRule="exact" w:before="0"/>
              <w:rPr>
                <w:b/>
                <w:sz w:val="21"/>
              </w:rPr>
            </w:pPr>
            <w:r>
              <w:rPr>
                <w:b/>
                <w:sz w:val="21"/>
              </w:rPr>
              <w:t>43.面部重建</w:t>
            </w:r>
          </w:p>
          <w:p>
            <w:pPr>
              <w:pStyle w:val="TableParagraph"/>
              <w:rPr>
                <w:b/>
                <w:sz w:val="21"/>
              </w:rPr>
            </w:pPr>
            <w:r>
              <w:rPr>
                <w:b/>
                <w:sz w:val="21"/>
              </w:rPr>
              <w:t>手术</w:t>
            </w:r>
          </w:p>
        </w:tc>
        <w:tc>
          <w:tcPr>
            <w:tcW w:w="7964" w:type="dxa"/>
          </w:tcPr>
          <w:p>
            <w:pPr>
              <w:pStyle w:val="TableParagraph"/>
              <w:spacing w:line="256" w:lineRule="exact" w:before="0"/>
              <w:ind w:left="128"/>
              <w:rPr>
                <w:sz w:val="21"/>
              </w:rPr>
            </w:pPr>
            <w:r>
              <w:rPr>
                <w:sz w:val="21"/>
              </w:rPr>
              <w:t>确实进行整形或者重建手术（颈部以上的面部构造不完整、缺失或者受损而对其形</w:t>
            </w:r>
          </w:p>
          <w:p>
            <w:pPr>
              <w:pStyle w:val="TableParagraph"/>
              <w:spacing w:line="273" w:lineRule="auto"/>
              <w:ind w:left="128" w:right="308"/>
              <w:rPr>
                <w:sz w:val="21"/>
              </w:rPr>
            </w:pPr>
            <w:r>
              <w:rPr>
                <w:w w:val="100"/>
                <w:sz w:val="21"/>
              </w:rPr>
              <w:t>态及外观进行修复或者重建</w:t>
            </w:r>
            <w:r>
              <w:rPr>
                <w:spacing w:val="-106"/>
                <w:w w:val="100"/>
                <w:sz w:val="21"/>
              </w:rPr>
              <w:t>）</w:t>
            </w:r>
            <w:r>
              <w:rPr>
                <w:w w:val="100"/>
                <w:sz w:val="21"/>
              </w:rPr>
              <w:t>，同时必须由专科医生认为该面部毁容是需要接受住</w:t>
            </w:r>
            <w:r>
              <w:rPr>
                <w:spacing w:val="-3"/>
                <w:sz w:val="21"/>
              </w:rPr>
              <w:t>院治疗，及其后接受该手术，而对该面部毁容所进行的治疗亦是医疗所需。</w:t>
            </w:r>
          </w:p>
          <w:p>
            <w:pPr>
              <w:pStyle w:val="TableParagraph"/>
              <w:spacing w:line="273" w:lineRule="auto" w:before="7"/>
              <w:ind w:left="128" w:right="303"/>
              <w:rPr>
                <w:rFonts w:ascii="黑体" w:eastAsia="黑体" w:hint="eastAsia"/>
                <w:sz w:val="21"/>
              </w:rPr>
            </w:pPr>
            <w:r>
              <w:rPr>
                <w:rFonts w:ascii="黑体" w:eastAsia="黑体" w:hint="eastAsia"/>
                <w:spacing w:val="-6"/>
                <w:sz w:val="21"/>
              </w:rPr>
              <w:t>因纯粹整容原因、独立的牙齿修复、独立的鼻骨骨折或者独立的皮肤伤口所进行的</w:t>
            </w:r>
            <w:r>
              <w:rPr>
                <w:rFonts w:ascii="黑体" w:eastAsia="黑体" w:hint="eastAsia"/>
                <w:spacing w:val="-1"/>
                <w:sz w:val="21"/>
              </w:rPr>
              <w:t>手术均</w:t>
            </w:r>
            <w:r>
              <w:rPr>
                <w:rFonts w:ascii="Arial" w:eastAsia="Arial"/>
                <w:w w:val="115"/>
                <w:sz w:val="21"/>
              </w:rPr>
              <w:t>不</w:t>
            </w:r>
            <w:r>
              <w:rPr>
                <w:rFonts w:ascii="黑体" w:eastAsia="黑体" w:hint="eastAsia"/>
                <w:spacing w:val="-3"/>
                <w:sz w:val="21"/>
              </w:rPr>
              <w:t>受此保障。</w:t>
            </w:r>
          </w:p>
        </w:tc>
      </w:tr>
      <w:tr>
        <w:trPr>
          <w:trHeight w:val="1082" w:hRule="atLeast"/>
        </w:trPr>
        <w:tc>
          <w:tcPr>
            <w:tcW w:w="1490" w:type="dxa"/>
          </w:tcPr>
          <w:p>
            <w:pPr>
              <w:pStyle w:val="TableParagraph"/>
              <w:spacing w:before="49"/>
              <w:rPr>
                <w:b/>
                <w:sz w:val="21"/>
              </w:rPr>
            </w:pPr>
            <w:r>
              <w:rPr>
                <w:b/>
                <w:sz w:val="21"/>
              </w:rPr>
              <w:t>44.肝叶切除</w:t>
            </w:r>
          </w:p>
        </w:tc>
        <w:tc>
          <w:tcPr>
            <w:tcW w:w="7964" w:type="dxa"/>
          </w:tcPr>
          <w:p>
            <w:pPr>
              <w:pStyle w:val="TableParagraph"/>
              <w:spacing w:before="49"/>
              <w:ind w:left="128"/>
              <w:rPr>
                <w:sz w:val="21"/>
              </w:rPr>
            </w:pPr>
            <w:r>
              <w:rPr>
                <w:sz w:val="21"/>
              </w:rPr>
              <w:t>因疾病或者意外伤害导致至少一整叶肝脏切除。</w:t>
            </w:r>
          </w:p>
          <w:p>
            <w:pPr>
              <w:pStyle w:val="TableParagraph"/>
              <w:spacing w:line="273" w:lineRule="auto"/>
              <w:ind w:left="128" w:right="314"/>
              <w:rPr>
                <w:rFonts w:ascii="黑体" w:eastAsia="黑体" w:hint="eastAsia"/>
                <w:sz w:val="21"/>
              </w:rPr>
            </w:pPr>
            <w:r>
              <w:rPr>
                <w:rFonts w:ascii="黑体" w:eastAsia="黑体" w:hint="eastAsia"/>
                <w:sz w:val="21"/>
              </w:rPr>
              <w:t>因酒精或者滥用药物引致的疾病或者紊乱及／或者因捐赠肝脏而所需的肝脏手术均不在保障范围内。</w:t>
            </w:r>
          </w:p>
        </w:tc>
      </w:tr>
      <w:tr>
        <w:trPr>
          <w:trHeight w:val="780" w:hRule="atLeast"/>
        </w:trPr>
        <w:tc>
          <w:tcPr>
            <w:tcW w:w="1490" w:type="dxa"/>
          </w:tcPr>
          <w:p>
            <w:pPr>
              <w:pStyle w:val="TableParagraph"/>
              <w:spacing w:line="273" w:lineRule="auto" w:before="58"/>
              <w:ind w:right="126"/>
              <w:rPr>
                <w:b/>
                <w:sz w:val="21"/>
              </w:rPr>
            </w:pPr>
            <w:r>
              <w:rPr>
                <w:b/>
                <w:sz w:val="21"/>
              </w:rPr>
              <w:t>45.单侧肺脏切除</w:t>
            </w:r>
          </w:p>
        </w:tc>
        <w:tc>
          <w:tcPr>
            <w:tcW w:w="7964" w:type="dxa"/>
          </w:tcPr>
          <w:p>
            <w:pPr>
              <w:pStyle w:val="TableParagraph"/>
              <w:spacing w:before="58"/>
              <w:ind w:left="128"/>
              <w:rPr>
                <w:sz w:val="21"/>
              </w:rPr>
            </w:pPr>
            <w:r>
              <w:rPr>
                <w:sz w:val="21"/>
              </w:rPr>
              <w:t>因疾病或意外事故实际实施的一侧肺脏切除术。</w:t>
            </w:r>
          </w:p>
          <w:p>
            <w:pPr>
              <w:pStyle w:val="TableParagraph"/>
              <w:spacing w:before="36"/>
              <w:ind w:left="128"/>
              <w:rPr>
                <w:rFonts w:ascii="黑体" w:eastAsia="黑体" w:hint="eastAsia"/>
                <w:sz w:val="21"/>
              </w:rPr>
            </w:pPr>
            <w:r>
              <w:rPr>
                <w:rFonts w:ascii="黑体" w:eastAsia="黑体" w:hint="eastAsia"/>
                <w:sz w:val="21"/>
              </w:rPr>
              <w:t>部分切除手术和肺脏捐献引起的手术不在保障范围内。</w:t>
            </w:r>
          </w:p>
        </w:tc>
      </w:tr>
      <w:tr>
        <w:trPr>
          <w:trHeight w:val="963" w:hRule="atLeast"/>
        </w:trPr>
        <w:tc>
          <w:tcPr>
            <w:tcW w:w="1490" w:type="dxa"/>
          </w:tcPr>
          <w:p>
            <w:pPr>
              <w:pStyle w:val="TableParagraph"/>
              <w:spacing w:line="310" w:lineRule="atLeast" w:before="23"/>
              <w:ind w:right="126"/>
              <w:rPr>
                <w:b/>
                <w:sz w:val="21"/>
              </w:rPr>
            </w:pPr>
            <w:r>
              <w:rPr>
                <w:b/>
                <w:sz w:val="21"/>
              </w:rPr>
              <w:t>46.双侧卵巢或睾丸切除术</w:t>
            </w:r>
          </w:p>
        </w:tc>
        <w:tc>
          <w:tcPr>
            <w:tcW w:w="7964" w:type="dxa"/>
          </w:tcPr>
          <w:p>
            <w:pPr>
              <w:pStyle w:val="TableParagraph"/>
              <w:spacing w:line="273" w:lineRule="auto" w:before="59"/>
              <w:ind w:left="128" w:right="314"/>
              <w:rPr>
                <w:rFonts w:ascii="黑体" w:eastAsia="黑体" w:hint="eastAsia"/>
                <w:sz w:val="21"/>
              </w:rPr>
            </w:pPr>
            <w:r>
              <w:rPr>
                <w:sz w:val="21"/>
              </w:rPr>
              <w:t>指为治疗疾病实际接受了经腹部切开或腹腔镜进行的双侧卵巢或睾丸完全切除手术。</w:t>
            </w:r>
            <w:r>
              <w:rPr>
                <w:rFonts w:ascii="黑体" w:eastAsia="黑体" w:hint="eastAsia"/>
                <w:sz w:val="21"/>
              </w:rPr>
              <w:t>部分卵巢或睾丸切除不在保障范围。</w:t>
            </w:r>
          </w:p>
        </w:tc>
      </w:tr>
    </w:tbl>
    <w:p>
      <w:pPr>
        <w:spacing w:after="0" w:line="273" w:lineRule="auto"/>
        <w:rPr>
          <w:rFonts w:ascii="黑体" w:eastAsia="黑体" w:hint="eastAsia"/>
          <w:sz w:val="21"/>
        </w:rPr>
        <w:sectPr>
          <w:pgSz w:w="11910" w:h="16840"/>
          <w:pgMar w:header="0" w:footer="377" w:top="1340" w:bottom="560" w:left="15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34"/>
        <w:gridCol w:w="7965"/>
      </w:tblGrid>
      <w:tr>
        <w:trPr>
          <w:trHeight w:val="637" w:hRule="atLeast"/>
        </w:trPr>
        <w:tc>
          <w:tcPr>
            <w:tcW w:w="768" w:type="dxa"/>
          </w:tcPr>
          <w:p>
            <w:pPr>
              <w:pStyle w:val="TableParagraph"/>
              <w:spacing w:before="0"/>
              <w:ind w:left="0"/>
              <w:rPr>
                <w:rFonts w:ascii="Times New Roman"/>
                <w:sz w:val="20"/>
              </w:rPr>
            </w:pPr>
          </w:p>
        </w:tc>
        <w:tc>
          <w:tcPr>
            <w:tcW w:w="1434" w:type="dxa"/>
          </w:tcPr>
          <w:p>
            <w:pPr>
              <w:pStyle w:val="TableParagraph"/>
              <w:spacing w:line="205" w:lineRule="exact" w:before="0"/>
              <w:ind w:left="145"/>
              <w:rPr>
                <w:b/>
                <w:sz w:val="21"/>
              </w:rPr>
            </w:pPr>
            <w:r>
              <w:rPr>
                <w:b/>
                <w:sz w:val="21"/>
              </w:rPr>
              <w:t>47.腔静脉过</w:t>
            </w:r>
          </w:p>
          <w:p>
            <w:pPr>
              <w:pStyle w:val="TableParagraph"/>
              <w:ind w:left="145"/>
              <w:rPr>
                <w:b/>
                <w:sz w:val="21"/>
              </w:rPr>
            </w:pPr>
            <w:r>
              <w:rPr>
                <w:b/>
                <w:sz w:val="21"/>
              </w:rPr>
              <w:t>滤器植入术</w:t>
            </w:r>
          </w:p>
        </w:tc>
        <w:tc>
          <w:tcPr>
            <w:tcW w:w="7965" w:type="dxa"/>
          </w:tcPr>
          <w:p>
            <w:pPr>
              <w:pStyle w:val="TableParagraph"/>
              <w:spacing w:line="205" w:lineRule="exact" w:before="0"/>
              <w:ind w:left="129"/>
              <w:rPr>
                <w:sz w:val="21"/>
              </w:rPr>
            </w:pPr>
            <w:r>
              <w:rPr>
                <w:sz w:val="21"/>
              </w:rPr>
              <w:t>指为治疗反复肺栓塞发作，抗凝血疗法无效，已经实施了腔静脉过滤器植入术。手</w:t>
            </w:r>
          </w:p>
          <w:p>
            <w:pPr>
              <w:pStyle w:val="TableParagraph"/>
              <w:ind w:left="129"/>
              <w:rPr>
                <w:sz w:val="21"/>
              </w:rPr>
            </w:pPr>
            <w:r>
              <w:rPr>
                <w:sz w:val="21"/>
              </w:rPr>
              <w:t>术必须在专科医生认为是医学上必需的情况下进行。</w:t>
            </w:r>
          </w:p>
        </w:tc>
      </w:tr>
      <w:tr>
        <w:trPr>
          <w:trHeight w:val="1077"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44"/>
              <w:ind w:left="145" w:right="125"/>
              <w:rPr>
                <w:b/>
                <w:sz w:val="21"/>
              </w:rPr>
            </w:pPr>
            <w:r>
              <w:rPr>
                <w:b/>
                <w:sz w:val="21"/>
              </w:rPr>
              <w:t>48.硬脑膜下血肿手术</w:t>
            </w:r>
          </w:p>
        </w:tc>
        <w:tc>
          <w:tcPr>
            <w:tcW w:w="7965" w:type="dxa"/>
          </w:tcPr>
          <w:p>
            <w:pPr>
              <w:pStyle w:val="TableParagraph"/>
              <w:spacing w:before="44"/>
              <w:ind w:left="129"/>
              <w:rPr>
                <w:sz w:val="21"/>
              </w:rPr>
            </w:pPr>
            <w:r>
              <w:rPr>
                <w:sz w:val="21"/>
              </w:rPr>
              <w:t>为清除或引流因意外导致的血肿，需于头部进行开颅或钻孔手术。</w:t>
            </w:r>
          </w:p>
          <w:p>
            <w:pPr>
              <w:pStyle w:val="TableParagraph"/>
              <w:spacing w:line="273" w:lineRule="auto"/>
              <w:ind w:left="129" w:right="313"/>
              <w:rPr>
                <w:sz w:val="21"/>
              </w:rPr>
            </w:pPr>
            <w:r>
              <w:rPr>
                <w:sz w:val="21"/>
              </w:rPr>
              <w:t>开颅或钻孔手术必须在本公司认可医院内由专科医生认为是医疗必须的情况下进行。</w:t>
            </w:r>
          </w:p>
        </w:tc>
      </w:tr>
      <w:tr>
        <w:trPr>
          <w:trHeight w:val="1411"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8"/>
              <w:ind w:left="145" w:right="125"/>
              <w:rPr>
                <w:b/>
                <w:sz w:val="21"/>
              </w:rPr>
            </w:pPr>
            <w:r>
              <w:rPr>
                <w:b/>
                <w:sz w:val="21"/>
              </w:rPr>
              <w:t>49.严重阻塞性睡眠窒息症</w:t>
            </w:r>
          </w:p>
        </w:tc>
        <w:tc>
          <w:tcPr>
            <w:tcW w:w="7965" w:type="dxa"/>
          </w:tcPr>
          <w:p>
            <w:pPr>
              <w:pStyle w:val="TableParagraph"/>
              <w:spacing w:line="273" w:lineRule="auto" w:before="58"/>
              <w:ind w:left="129" w:right="303"/>
              <w:rPr>
                <w:sz w:val="21"/>
              </w:rPr>
            </w:pPr>
            <w:r>
              <w:rPr>
                <w:spacing w:val="-6"/>
                <w:sz w:val="21"/>
              </w:rPr>
              <w:t>须有相关医学范畴的注册专科医生，经多导睡眠监测仪监测明确诊断为严重阻塞性</w:t>
            </w:r>
            <w:r>
              <w:rPr>
                <w:spacing w:val="-4"/>
                <w:w w:val="100"/>
                <w:sz w:val="21"/>
              </w:rPr>
              <w:t>睡眠呼吸暂停综合征</w:t>
            </w:r>
            <w:r>
              <w:rPr>
                <w:w w:val="100"/>
                <w:sz w:val="21"/>
              </w:rPr>
              <w:t>（O</w:t>
            </w:r>
            <w:r>
              <w:rPr>
                <w:spacing w:val="-3"/>
                <w:w w:val="100"/>
                <w:sz w:val="21"/>
              </w:rPr>
              <w:t>SA</w:t>
            </w:r>
            <w:r>
              <w:rPr>
                <w:spacing w:val="-106"/>
                <w:w w:val="100"/>
                <w:sz w:val="21"/>
              </w:rPr>
              <w:t>）</w:t>
            </w:r>
            <w:r>
              <w:rPr>
                <w:spacing w:val="-3"/>
                <w:w w:val="100"/>
                <w:sz w:val="21"/>
              </w:rPr>
              <w:t>，并必须符合以下两项条件：</w:t>
            </w:r>
          </w:p>
          <w:p>
            <w:pPr>
              <w:pStyle w:val="TableParagraph"/>
              <w:numPr>
                <w:ilvl w:val="0"/>
                <w:numId w:val="33"/>
              </w:numPr>
              <w:tabs>
                <w:tab w:pos="762" w:val="left" w:leader="none"/>
              </w:tabs>
              <w:spacing w:line="240" w:lineRule="auto" w:before="7" w:after="0"/>
              <w:ind w:left="761" w:right="0" w:hanging="632"/>
              <w:jc w:val="left"/>
              <w:rPr>
                <w:sz w:val="21"/>
              </w:rPr>
            </w:pPr>
            <w:r>
              <w:rPr>
                <w:spacing w:val="-3"/>
                <w:sz w:val="21"/>
              </w:rPr>
              <w:t>被保险人必须现正介绍持续气道正压呼吸器</w:t>
            </w:r>
            <w:r>
              <w:rPr>
                <w:sz w:val="21"/>
              </w:rPr>
              <w:t>（CPAP）</w:t>
            </w:r>
            <w:r>
              <w:rPr>
                <w:spacing w:val="-3"/>
                <w:sz w:val="21"/>
              </w:rPr>
              <w:t>之夜间治疗；</w:t>
            </w:r>
          </w:p>
          <w:p>
            <w:pPr>
              <w:pStyle w:val="TableParagraph"/>
              <w:numPr>
                <w:ilvl w:val="0"/>
                <w:numId w:val="33"/>
              </w:numPr>
              <w:tabs>
                <w:tab w:pos="762" w:val="left" w:leader="none"/>
              </w:tabs>
              <w:spacing w:line="240" w:lineRule="auto" w:before="37" w:after="0"/>
              <w:ind w:left="761" w:right="0" w:hanging="632"/>
              <w:jc w:val="left"/>
              <w:rPr>
                <w:sz w:val="21"/>
              </w:rPr>
            </w:pPr>
            <w:r>
              <w:rPr>
                <w:spacing w:val="-6"/>
                <w:sz w:val="21"/>
              </w:rPr>
              <w:t>必须提供睡眠测试的文件证明，显示 </w:t>
            </w:r>
            <w:r>
              <w:rPr>
                <w:sz w:val="21"/>
              </w:rPr>
              <w:t>AHI</w:t>
            </w:r>
            <w:r>
              <w:rPr>
                <w:rFonts w:ascii="Arial" w:hAnsi="Arial" w:eastAsia="Arial"/>
                <w:sz w:val="21"/>
              </w:rPr>
              <w:t>˃</w:t>
            </w:r>
            <w:r>
              <w:rPr>
                <w:sz w:val="21"/>
              </w:rPr>
              <w:t>30</w:t>
            </w:r>
            <w:r>
              <w:rPr>
                <w:spacing w:val="-8"/>
                <w:sz w:val="21"/>
              </w:rPr>
              <w:t> 及夜间血氧饱和平均值</w:t>
            </w:r>
            <w:r>
              <w:rPr>
                <w:rFonts w:ascii="Arial" w:hAnsi="Arial" w:eastAsia="Arial"/>
                <w:sz w:val="21"/>
              </w:rPr>
              <w:t>˂</w:t>
            </w:r>
            <w:r>
              <w:rPr>
                <w:sz w:val="21"/>
              </w:rPr>
              <w:t>85。</w:t>
            </w:r>
          </w:p>
        </w:tc>
      </w:tr>
      <w:tr>
        <w:trPr>
          <w:trHeight w:val="1099"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1"/>
              <w:ind w:left="145" w:right="125"/>
              <w:rPr>
                <w:b/>
                <w:sz w:val="21"/>
              </w:rPr>
            </w:pPr>
            <w:r>
              <w:rPr>
                <w:b/>
                <w:sz w:val="21"/>
              </w:rPr>
              <w:t>50.因肾上腺皮脂腺瘤切除肾上腺</w:t>
            </w:r>
          </w:p>
        </w:tc>
        <w:tc>
          <w:tcPr>
            <w:tcW w:w="7965" w:type="dxa"/>
          </w:tcPr>
          <w:p>
            <w:pPr>
              <w:pStyle w:val="TableParagraph"/>
              <w:spacing w:line="273" w:lineRule="auto" w:before="51"/>
              <w:ind w:left="129" w:right="303"/>
              <w:jc w:val="both"/>
              <w:rPr>
                <w:sz w:val="21"/>
              </w:rPr>
            </w:pPr>
            <w:r>
              <w:rPr>
                <w:sz w:val="21"/>
              </w:rPr>
              <w:t>因肾上腺皮质腺瘤所导致的醛固酮分泌过多而产生的继发性恶性高血压而实际接</w:t>
            </w:r>
            <w:r>
              <w:rPr>
                <w:spacing w:val="-7"/>
                <w:sz w:val="21"/>
              </w:rPr>
              <w:t>受了肾上腺切除术治疗。诊断及治疗均须在本公司认可医院内由专科医生认为是医</w:t>
            </w:r>
            <w:r>
              <w:rPr>
                <w:spacing w:val="-5"/>
                <w:sz w:val="21"/>
              </w:rPr>
              <w:t>疗必须的情况下进行。</w:t>
            </w:r>
          </w:p>
        </w:tc>
      </w:tr>
      <w:tr>
        <w:trPr>
          <w:trHeight w:val="1117" w:hRule="atLeast"/>
        </w:trPr>
        <w:tc>
          <w:tcPr>
            <w:tcW w:w="768" w:type="dxa"/>
          </w:tcPr>
          <w:p>
            <w:pPr>
              <w:pStyle w:val="TableParagraph"/>
              <w:spacing w:before="104"/>
              <w:rPr>
                <w:b/>
                <w:sz w:val="21"/>
              </w:rPr>
            </w:pPr>
            <w:r>
              <w:rPr>
                <w:b/>
                <w:sz w:val="21"/>
              </w:rPr>
              <w:t>9.11</w:t>
            </w:r>
          </w:p>
        </w:tc>
        <w:tc>
          <w:tcPr>
            <w:tcW w:w="1434" w:type="dxa"/>
          </w:tcPr>
          <w:p>
            <w:pPr>
              <w:pStyle w:val="TableParagraph"/>
              <w:spacing w:before="104"/>
              <w:ind w:left="145"/>
              <w:rPr>
                <w:b/>
                <w:sz w:val="21"/>
              </w:rPr>
            </w:pPr>
            <w:r>
              <w:rPr>
                <w:b/>
                <w:sz w:val="21"/>
              </w:rPr>
              <w:t>重大疾病</w:t>
            </w:r>
          </w:p>
        </w:tc>
        <w:tc>
          <w:tcPr>
            <w:tcW w:w="7965" w:type="dxa"/>
          </w:tcPr>
          <w:p>
            <w:pPr>
              <w:pStyle w:val="TableParagraph"/>
              <w:spacing w:before="73"/>
              <w:ind w:left="129"/>
              <w:rPr>
                <w:sz w:val="21"/>
              </w:rPr>
            </w:pPr>
            <w:r>
              <w:rPr>
                <w:sz w:val="21"/>
              </w:rPr>
              <w:t>被保险人发生符合以下疾病定义所述条件的疾病，应当由专科医生明确诊断。</w:t>
            </w:r>
          </w:p>
          <w:p>
            <w:pPr>
              <w:pStyle w:val="TableParagraph"/>
              <w:spacing w:line="273" w:lineRule="auto"/>
              <w:ind w:left="129" w:right="302"/>
              <w:rPr>
                <w:sz w:val="21"/>
              </w:rPr>
            </w:pPr>
            <w:r>
              <w:rPr>
                <w:spacing w:val="-7"/>
                <w:sz w:val="21"/>
              </w:rPr>
              <w:t>其中，</w:t>
            </w:r>
            <w:r>
              <w:rPr>
                <w:spacing w:val="-16"/>
                <w:sz w:val="21"/>
              </w:rPr>
              <w:t>25</w:t>
            </w:r>
            <w:r>
              <w:rPr>
                <w:spacing w:val="-7"/>
                <w:sz w:val="21"/>
              </w:rPr>
              <w:t> 种重大疾病定义完全采用了中国保险行业协会制定的《重大疾病保险的疾</w:t>
            </w:r>
            <w:r>
              <w:rPr>
                <w:spacing w:val="-5"/>
                <w:sz w:val="21"/>
              </w:rPr>
              <w:t>病定义使用规范》中的疾病定义，其他为本公司增加的疾病。</w:t>
            </w:r>
          </w:p>
        </w:tc>
      </w:tr>
      <w:tr>
        <w:trPr>
          <w:trHeight w:val="3402" w:hRule="atLeast"/>
        </w:trPr>
        <w:tc>
          <w:tcPr>
            <w:tcW w:w="768" w:type="dxa"/>
          </w:tcPr>
          <w:p>
            <w:pPr>
              <w:pStyle w:val="TableParagraph"/>
              <w:spacing w:before="0"/>
              <w:ind w:left="0"/>
              <w:rPr>
                <w:rFonts w:ascii="Times New Roman"/>
                <w:sz w:val="20"/>
              </w:rPr>
            </w:pPr>
          </w:p>
        </w:tc>
        <w:tc>
          <w:tcPr>
            <w:tcW w:w="1434" w:type="dxa"/>
          </w:tcPr>
          <w:p>
            <w:pPr>
              <w:pStyle w:val="TableParagraph"/>
              <w:spacing w:before="69"/>
              <w:ind w:left="145"/>
              <w:rPr>
                <w:b/>
                <w:sz w:val="21"/>
              </w:rPr>
            </w:pPr>
            <w:r>
              <w:rPr>
                <w:b/>
                <w:sz w:val="21"/>
              </w:rPr>
              <w:t>1.恶性肿瘤</w:t>
            </w:r>
          </w:p>
        </w:tc>
        <w:tc>
          <w:tcPr>
            <w:tcW w:w="7965" w:type="dxa"/>
          </w:tcPr>
          <w:p>
            <w:pPr>
              <w:pStyle w:val="TableParagraph"/>
              <w:spacing w:line="273" w:lineRule="auto" w:before="69"/>
              <w:ind w:left="129" w:right="197"/>
              <w:rPr>
                <w:sz w:val="21"/>
              </w:rPr>
            </w:pPr>
            <w:r>
              <w:rPr>
                <w:spacing w:val="-10"/>
                <w:sz w:val="21"/>
              </w:rPr>
              <w:t>指恶性细胞不受控制的进行性增长和扩散，浸润和破坏周围正常组织，可以经血管、</w:t>
            </w:r>
            <w:r>
              <w:rPr>
                <w:spacing w:val="-7"/>
                <w:sz w:val="21"/>
              </w:rPr>
              <w:t>淋巴管和体腔扩散转移到身体其它部位的疾病。经病理学检查结果明确诊断，临床</w:t>
            </w:r>
            <w:r>
              <w:rPr>
                <w:spacing w:val="-9"/>
                <w:sz w:val="21"/>
              </w:rPr>
              <w:t>诊断属于世界卫生组织《疾病和有关健康问题的国际统计分类》</w:t>
            </w:r>
            <w:r>
              <w:rPr>
                <w:sz w:val="21"/>
              </w:rPr>
              <w:t>（ICD-10）</w:t>
            </w:r>
            <w:r>
              <w:rPr>
                <w:spacing w:val="-2"/>
                <w:sz w:val="21"/>
              </w:rPr>
              <w:t>的恶性 </w:t>
            </w:r>
            <w:r>
              <w:rPr>
                <w:spacing w:val="-3"/>
                <w:sz w:val="21"/>
              </w:rPr>
              <w:t>肿瘤范畴。</w:t>
            </w:r>
          </w:p>
          <w:p>
            <w:pPr>
              <w:pStyle w:val="TableParagraph"/>
              <w:spacing w:before="7"/>
              <w:ind w:left="129"/>
              <w:rPr>
                <w:rFonts w:ascii="黑体" w:eastAsia="黑体" w:hint="eastAsia"/>
                <w:sz w:val="21"/>
              </w:rPr>
            </w:pPr>
            <w:r>
              <w:rPr>
                <w:rFonts w:ascii="黑体" w:eastAsia="黑体" w:hint="eastAsia"/>
                <w:sz w:val="21"/>
              </w:rPr>
              <w:t>下列疾病不在保障范围内：</w:t>
            </w:r>
          </w:p>
          <w:p>
            <w:pPr>
              <w:pStyle w:val="TableParagraph"/>
              <w:numPr>
                <w:ilvl w:val="0"/>
                <w:numId w:val="34"/>
              </w:numPr>
              <w:tabs>
                <w:tab w:pos="548" w:val="left" w:leader="none"/>
              </w:tabs>
              <w:spacing w:line="274" w:lineRule="exact" w:before="15" w:after="0"/>
              <w:ind w:left="547" w:right="0" w:hanging="420"/>
              <w:jc w:val="left"/>
              <w:rPr>
                <w:rFonts w:ascii="黑体" w:eastAsia="黑体" w:hint="eastAsia"/>
                <w:sz w:val="21"/>
              </w:rPr>
            </w:pPr>
            <w:r>
              <w:rPr>
                <w:rFonts w:ascii="黑体" w:eastAsia="黑体" w:hint="eastAsia"/>
                <w:spacing w:val="-1"/>
                <w:sz w:val="21"/>
              </w:rPr>
              <w:t>原位癌；</w:t>
            </w:r>
          </w:p>
          <w:p>
            <w:pPr>
              <w:pStyle w:val="TableParagraph"/>
              <w:numPr>
                <w:ilvl w:val="0"/>
                <w:numId w:val="34"/>
              </w:numPr>
              <w:tabs>
                <w:tab w:pos="548" w:val="left" w:leader="none"/>
              </w:tabs>
              <w:spacing w:line="272" w:lineRule="exact" w:before="0" w:after="0"/>
              <w:ind w:left="547" w:right="0" w:hanging="42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34"/>
              </w:numPr>
              <w:tabs>
                <w:tab w:pos="548" w:val="left" w:leader="none"/>
              </w:tabs>
              <w:spacing w:line="272" w:lineRule="exact" w:before="0" w:after="0"/>
              <w:ind w:left="547"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34"/>
              </w:numPr>
              <w:tabs>
                <w:tab w:pos="548" w:val="left" w:leader="none"/>
              </w:tabs>
              <w:spacing w:line="272" w:lineRule="exact" w:before="0" w:after="0"/>
              <w:ind w:left="547" w:right="0" w:hanging="42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34"/>
              </w:numPr>
              <w:tabs>
                <w:tab w:pos="548" w:val="left" w:leader="none"/>
              </w:tabs>
              <w:spacing w:line="273" w:lineRule="exact" w:before="0" w:after="0"/>
              <w:ind w:left="547" w:right="0" w:hanging="420"/>
              <w:jc w:val="left"/>
              <w:rPr>
                <w:rFonts w:ascii="黑体" w:eastAsia="黑体" w:hint="eastAsia"/>
                <w:sz w:val="21"/>
              </w:rPr>
            </w:pPr>
            <w:r>
              <w:rPr>
                <w:rFonts w:ascii="黑体" w:eastAsia="黑体" w:hint="eastAsia"/>
                <w:sz w:val="21"/>
              </w:rPr>
              <w:t>TNM</w:t>
            </w:r>
            <w:r>
              <w:rPr>
                <w:rFonts w:ascii="黑体" w:eastAsia="黑体" w:hint="eastAsia"/>
                <w:spacing w:val="-20"/>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34"/>
              </w:numPr>
              <w:tabs>
                <w:tab w:pos="552" w:val="left" w:leader="none"/>
              </w:tabs>
              <w:spacing w:line="240" w:lineRule="auto" w:before="20" w:after="0"/>
              <w:ind w:left="552" w:right="0" w:hanging="423"/>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908"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8"/>
              <w:ind w:left="145" w:right="230"/>
              <w:rPr>
                <w:b/>
                <w:sz w:val="21"/>
              </w:rPr>
            </w:pPr>
            <w:r>
              <w:rPr>
                <w:b/>
                <w:sz w:val="21"/>
              </w:rPr>
              <w:t>2.急性心肌梗塞</w:t>
            </w:r>
          </w:p>
        </w:tc>
        <w:tc>
          <w:tcPr>
            <w:tcW w:w="7965" w:type="dxa"/>
          </w:tcPr>
          <w:p>
            <w:pPr>
              <w:pStyle w:val="TableParagraph"/>
              <w:spacing w:line="273" w:lineRule="auto" w:before="58"/>
              <w:ind w:left="129" w:right="262"/>
              <w:rPr>
                <w:sz w:val="21"/>
              </w:rPr>
            </w:pPr>
            <w:r>
              <w:rPr>
                <w:sz w:val="21"/>
              </w:rPr>
              <w:t>指因冠状动脉阻塞导致的相应区域供血不足造成部分心肌坏死。须满足下列至少三项条件：</w:t>
            </w:r>
          </w:p>
          <w:p>
            <w:pPr>
              <w:pStyle w:val="TableParagraph"/>
              <w:spacing w:line="259" w:lineRule="exact" w:before="0"/>
              <w:ind w:left="129"/>
              <w:rPr>
                <w:sz w:val="21"/>
              </w:rPr>
            </w:pPr>
            <w:r>
              <w:rPr>
                <w:sz w:val="21"/>
              </w:rPr>
              <w:t>（1）典型临床表现，例如急性胸痛等；</w:t>
            </w:r>
          </w:p>
          <w:p>
            <w:pPr>
              <w:pStyle w:val="TableParagraph"/>
              <w:spacing w:line="273" w:lineRule="exact" w:before="0"/>
              <w:ind w:left="129"/>
              <w:rPr>
                <w:sz w:val="21"/>
              </w:rPr>
            </w:pPr>
            <w:r>
              <w:rPr>
                <w:sz w:val="21"/>
              </w:rPr>
              <w:t>（2）新近的心电图改变提示急性心肌梗塞；</w:t>
            </w:r>
          </w:p>
          <w:p>
            <w:pPr>
              <w:pStyle w:val="TableParagraph"/>
              <w:spacing w:line="275" w:lineRule="exact" w:before="0"/>
              <w:ind w:left="129"/>
              <w:rPr>
                <w:sz w:val="21"/>
              </w:rPr>
            </w:pPr>
            <w:r>
              <w:rPr>
                <w:sz w:val="21"/>
              </w:rPr>
              <w:t>（3）心肌酶或肌钙蛋白有诊断意义的升高，或呈符合急性心肌梗塞的动态性变化；</w:t>
            </w:r>
          </w:p>
          <w:p>
            <w:pPr>
              <w:pStyle w:val="TableParagraph"/>
              <w:spacing w:before="18"/>
              <w:ind w:left="129"/>
              <w:rPr>
                <w:sz w:val="21"/>
              </w:rPr>
            </w:pPr>
            <w:r>
              <w:rPr>
                <w:sz w:val="21"/>
              </w:rPr>
              <w:t>（4）发病 90 天后，经检查证实左心室功能降低，如左心室射血分数低于 50%。</w:t>
            </w:r>
          </w:p>
        </w:tc>
      </w:tr>
      <w:tr>
        <w:trPr>
          <w:trHeight w:val="2260"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8"/>
              <w:ind w:left="145" w:right="230"/>
              <w:rPr>
                <w:b/>
                <w:sz w:val="21"/>
              </w:rPr>
            </w:pPr>
            <w:r>
              <w:rPr>
                <w:b/>
                <w:sz w:val="21"/>
              </w:rPr>
              <w:t>3.脑中风后遗症</w:t>
            </w:r>
          </w:p>
        </w:tc>
        <w:tc>
          <w:tcPr>
            <w:tcW w:w="7965" w:type="dxa"/>
          </w:tcPr>
          <w:p>
            <w:pPr>
              <w:pStyle w:val="TableParagraph"/>
              <w:spacing w:line="273" w:lineRule="auto" w:before="58"/>
              <w:ind w:left="129" w:right="303"/>
              <w:jc w:val="both"/>
              <w:rPr>
                <w:sz w:val="21"/>
              </w:rPr>
            </w:pPr>
            <w:r>
              <w:rPr>
                <w:spacing w:val="-5"/>
                <w:sz w:val="21"/>
              </w:rPr>
              <w:t>指因脑血管的突发病变引起脑血管出血、栓塞或梗塞，并导致神经系统永久性的功</w:t>
            </w:r>
            <w:r>
              <w:rPr>
                <w:spacing w:val="-9"/>
                <w:sz w:val="21"/>
              </w:rPr>
              <w:t>能障碍。神经系统永久性的功能障碍，指疾病确诊 </w:t>
            </w:r>
            <w:r>
              <w:rPr>
                <w:sz w:val="21"/>
              </w:rPr>
              <w:t>180</w:t>
            </w:r>
            <w:r>
              <w:rPr>
                <w:spacing w:val="-9"/>
                <w:sz w:val="21"/>
              </w:rPr>
              <w:t> 天后，仍遗留下列一种或一</w:t>
            </w:r>
            <w:r>
              <w:rPr>
                <w:spacing w:val="-5"/>
                <w:sz w:val="21"/>
              </w:rPr>
              <w:t>种以上障碍：</w:t>
            </w:r>
          </w:p>
          <w:p>
            <w:pPr>
              <w:pStyle w:val="TableParagraph"/>
              <w:spacing w:line="260" w:lineRule="exact" w:before="0"/>
              <w:ind w:left="129"/>
              <w:rPr>
                <w:sz w:val="21"/>
              </w:rPr>
            </w:pPr>
            <w:r>
              <w:rPr>
                <w:sz w:val="21"/>
              </w:rPr>
              <w:t>（1）一肢或一肢以上肢体机能完全丧失；</w:t>
            </w:r>
          </w:p>
          <w:p>
            <w:pPr>
              <w:pStyle w:val="TableParagraph"/>
              <w:spacing w:line="274" w:lineRule="exact" w:before="0"/>
              <w:ind w:left="129"/>
              <w:rPr>
                <w:sz w:val="21"/>
              </w:rPr>
            </w:pPr>
            <w:r>
              <w:rPr>
                <w:sz w:val="21"/>
              </w:rPr>
              <w:t>（2）语言能力或咀嚼吞咽能力完全丧失；</w:t>
            </w:r>
          </w:p>
          <w:p>
            <w:pPr>
              <w:pStyle w:val="TableParagraph"/>
              <w:spacing w:line="273" w:lineRule="auto" w:before="17"/>
              <w:ind w:left="634" w:right="372" w:hanging="505"/>
              <w:rPr>
                <w:sz w:val="21"/>
              </w:rPr>
            </w:pPr>
            <w:r>
              <w:rPr>
                <w:sz w:val="21"/>
              </w:rPr>
              <w:t>（3）自主生活能力完全丧失，无法独立完成六项基本日常生活活动中的三项或三项以上。</w:t>
            </w:r>
          </w:p>
        </w:tc>
      </w:tr>
      <w:tr>
        <w:trPr>
          <w:trHeight w:val="1275" w:hRule="atLeast"/>
        </w:trPr>
        <w:tc>
          <w:tcPr>
            <w:tcW w:w="768" w:type="dxa"/>
          </w:tcPr>
          <w:p>
            <w:pPr>
              <w:pStyle w:val="TableParagraph"/>
              <w:spacing w:before="0"/>
              <w:ind w:left="0"/>
              <w:rPr>
                <w:rFonts w:ascii="Times New Roman"/>
                <w:sz w:val="20"/>
              </w:rPr>
            </w:pPr>
          </w:p>
        </w:tc>
        <w:tc>
          <w:tcPr>
            <w:tcW w:w="1434" w:type="dxa"/>
          </w:tcPr>
          <w:p>
            <w:pPr>
              <w:pStyle w:val="TableParagraph"/>
              <w:spacing w:line="310" w:lineRule="atLeast" w:before="23"/>
              <w:ind w:left="145" w:right="230"/>
              <w:jc w:val="both"/>
              <w:rPr>
                <w:b/>
                <w:sz w:val="21"/>
              </w:rPr>
            </w:pPr>
            <w:r>
              <w:rPr>
                <w:b/>
                <w:sz w:val="21"/>
              </w:rPr>
              <w:t>4.重大器官移植术或造血干细胞移植术</w:t>
            </w:r>
          </w:p>
        </w:tc>
        <w:tc>
          <w:tcPr>
            <w:tcW w:w="7965" w:type="dxa"/>
          </w:tcPr>
          <w:p>
            <w:pPr>
              <w:pStyle w:val="TableParagraph"/>
              <w:spacing w:line="273" w:lineRule="auto" w:before="59"/>
              <w:ind w:left="129" w:right="303"/>
              <w:rPr>
                <w:sz w:val="21"/>
              </w:rPr>
            </w:pPr>
            <w:r>
              <w:rPr>
                <w:spacing w:val="-7"/>
                <w:sz w:val="21"/>
              </w:rPr>
              <w:t>重大器官移植术，指因相应器官功能衰竭，已经实施了肾脏、肝脏、心脏或肺脏的</w:t>
            </w:r>
            <w:r>
              <w:rPr>
                <w:spacing w:val="-5"/>
                <w:sz w:val="21"/>
              </w:rPr>
              <w:t>异体移植手术。</w:t>
            </w:r>
          </w:p>
          <w:p>
            <w:pPr>
              <w:pStyle w:val="TableParagraph"/>
              <w:spacing w:line="312" w:lineRule="exact" w:before="3"/>
              <w:ind w:left="129" w:right="200"/>
              <w:rPr>
                <w:sz w:val="21"/>
              </w:rPr>
            </w:pPr>
            <w:r>
              <w:rPr>
                <w:spacing w:val="-6"/>
                <w:sz w:val="21"/>
              </w:rPr>
              <w:t>造血干细胞移植术，指因造血功能损害或造血系统恶性肿瘤，已经实施了造血干细</w:t>
            </w:r>
            <w:r>
              <w:rPr>
                <w:spacing w:val="-48"/>
                <w:sz w:val="21"/>
              </w:rPr>
              <w:t>胞</w:t>
            </w:r>
            <w:r>
              <w:rPr>
                <w:sz w:val="21"/>
              </w:rPr>
              <w:t>（</w:t>
            </w:r>
            <w:r>
              <w:rPr>
                <w:spacing w:val="-8"/>
                <w:sz w:val="21"/>
              </w:rPr>
              <w:t>包括骨髓造血干细胞、外周血造血干细胞和脐血造血干细胞</w:t>
            </w:r>
            <w:r>
              <w:rPr>
                <w:spacing w:val="-48"/>
                <w:sz w:val="21"/>
              </w:rPr>
              <w:t>）</w:t>
            </w:r>
            <w:r>
              <w:rPr>
                <w:spacing w:val="-3"/>
                <w:sz w:val="21"/>
              </w:rPr>
              <w:t>的异体移植手术。</w:t>
            </w:r>
          </w:p>
        </w:tc>
      </w:tr>
    </w:tbl>
    <w:p>
      <w:pPr>
        <w:spacing w:after="0" w:line="312" w:lineRule="exact"/>
        <w:rPr>
          <w:sz w:val="21"/>
        </w:rPr>
        <w:sectPr>
          <w:pgSz w:w="11910" w:h="16840"/>
          <w:pgMar w:header="0" w:footer="377" w:top="1340" w:bottom="560" w:left="8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43"/>
      </w:tblGrid>
      <w:tr>
        <w:trPr>
          <w:trHeight w:val="1285" w:hRule="atLeast"/>
        </w:trPr>
        <w:tc>
          <w:tcPr>
            <w:tcW w:w="1512" w:type="dxa"/>
          </w:tcPr>
          <w:p>
            <w:pPr>
              <w:pStyle w:val="TableParagraph"/>
              <w:spacing w:line="205" w:lineRule="exact" w:before="0"/>
              <w:rPr>
                <w:b/>
                <w:sz w:val="21"/>
              </w:rPr>
            </w:pPr>
            <w:r>
              <w:rPr>
                <w:b/>
                <w:sz w:val="21"/>
              </w:rPr>
              <w:t>5.冠状动脉</w:t>
            </w:r>
          </w:p>
          <w:p>
            <w:pPr>
              <w:pStyle w:val="TableParagraph"/>
              <w:spacing w:line="273" w:lineRule="auto"/>
              <w:ind w:right="47"/>
              <w:rPr>
                <w:b/>
                <w:sz w:val="21"/>
              </w:rPr>
            </w:pPr>
            <w:r>
              <w:rPr>
                <w:b/>
                <w:sz w:val="21"/>
              </w:rPr>
              <w:t>搭桥术（或称冠状动脉旁路移植术）</w:t>
            </w:r>
          </w:p>
        </w:tc>
        <w:tc>
          <w:tcPr>
            <w:tcW w:w="7943" w:type="dxa"/>
          </w:tcPr>
          <w:p>
            <w:pPr>
              <w:pStyle w:val="TableParagraph"/>
              <w:spacing w:line="205" w:lineRule="exact" w:before="0"/>
              <w:ind w:left="106"/>
              <w:rPr>
                <w:sz w:val="21"/>
              </w:rPr>
            </w:pPr>
            <w:r>
              <w:rPr>
                <w:sz w:val="21"/>
              </w:rPr>
              <w:t>指为治疗严重的冠心病，实际实施了开胸进行的冠状动脉血管旁路移植的手术。</w:t>
            </w:r>
          </w:p>
          <w:p>
            <w:pPr>
              <w:pStyle w:val="TableParagraph"/>
              <w:spacing w:line="273" w:lineRule="auto"/>
              <w:ind w:left="106" w:right="198"/>
              <w:rPr>
                <w:rFonts w:ascii="黑体" w:eastAsia="黑体" w:hint="eastAsia"/>
                <w:sz w:val="21"/>
              </w:rPr>
            </w:pPr>
            <w:r>
              <w:rPr>
                <w:rFonts w:ascii="黑体" w:eastAsia="黑体" w:hint="eastAsia"/>
                <w:spacing w:val="-14"/>
                <w:sz w:val="21"/>
              </w:rPr>
              <w:t>冠状动脉支架植入术、心导管球囊扩张术、激光射频技术及其它非开胸的介入手术、</w:t>
            </w:r>
            <w:r>
              <w:rPr>
                <w:rFonts w:ascii="黑体" w:eastAsia="黑体" w:hint="eastAsia"/>
                <w:spacing w:val="-7"/>
                <w:sz w:val="21"/>
              </w:rPr>
              <w:t>腔镜手术不在保障范围内。</w:t>
            </w:r>
          </w:p>
        </w:tc>
      </w:tr>
      <w:tr>
        <w:trPr>
          <w:trHeight w:val="1397" w:hRule="atLeast"/>
        </w:trPr>
        <w:tc>
          <w:tcPr>
            <w:tcW w:w="1512" w:type="dxa"/>
          </w:tcPr>
          <w:p>
            <w:pPr>
              <w:pStyle w:val="TableParagraph"/>
              <w:spacing w:line="273" w:lineRule="auto" w:before="68"/>
              <w:ind w:right="105"/>
              <w:rPr>
                <w:b/>
                <w:sz w:val="21"/>
              </w:rPr>
            </w:pPr>
            <w:r>
              <w:rPr>
                <w:b/>
                <w:sz w:val="21"/>
              </w:rPr>
              <w:t>6.终末期肾 </w:t>
            </w:r>
            <w:r>
              <w:rPr>
                <w:b/>
                <w:spacing w:val="-63"/>
                <w:sz w:val="21"/>
              </w:rPr>
              <w:t>病</w:t>
            </w:r>
            <w:r>
              <w:rPr>
                <w:b/>
                <w:sz w:val="21"/>
              </w:rPr>
              <w:t>（或称慢性肾功能衰竭尿毒症期）</w:t>
            </w:r>
          </w:p>
        </w:tc>
        <w:tc>
          <w:tcPr>
            <w:tcW w:w="7943" w:type="dxa"/>
          </w:tcPr>
          <w:p>
            <w:pPr>
              <w:pStyle w:val="TableParagraph"/>
              <w:spacing w:line="273" w:lineRule="auto" w:before="68"/>
              <w:ind w:left="106" w:right="373"/>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764" w:hRule="atLeast"/>
        </w:trPr>
        <w:tc>
          <w:tcPr>
            <w:tcW w:w="1512" w:type="dxa"/>
          </w:tcPr>
          <w:p>
            <w:pPr>
              <w:pStyle w:val="TableParagraph"/>
              <w:spacing w:line="273" w:lineRule="auto" w:before="43"/>
              <w:ind w:right="254"/>
              <w:rPr>
                <w:b/>
                <w:sz w:val="21"/>
              </w:rPr>
            </w:pPr>
            <w:r>
              <w:rPr>
                <w:b/>
                <w:sz w:val="21"/>
              </w:rPr>
              <w:t>7.多个肢体缺失</w:t>
            </w:r>
          </w:p>
        </w:tc>
        <w:tc>
          <w:tcPr>
            <w:tcW w:w="7943" w:type="dxa"/>
          </w:tcPr>
          <w:p>
            <w:pPr>
              <w:pStyle w:val="TableParagraph"/>
              <w:spacing w:line="273" w:lineRule="auto" w:before="43"/>
              <w:ind w:left="106" w:right="477"/>
              <w:rPr>
                <w:sz w:val="21"/>
              </w:rPr>
            </w:pPr>
            <w:r>
              <w:rPr>
                <w:sz w:val="21"/>
              </w:rPr>
              <w:t>指因疾病或意外伤害导致两个或两个以上肢体自腕关节或踝关节近端（靠近躯干端）以上完全性断离。</w:t>
            </w:r>
          </w:p>
        </w:tc>
      </w:tr>
      <w:tr>
        <w:trPr>
          <w:trHeight w:val="2029" w:hRule="atLeast"/>
        </w:trPr>
        <w:tc>
          <w:tcPr>
            <w:tcW w:w="1512" w:type="dxa"/>
          </w:tcPr>
          <w:p>
            <w:pPr>
              <w:pStyle w:val="TableParagraph"/>
              <w:spacing w:line="273" w:lineRule="auto" w:before="59"/>
              <w:ind w:right="255"/>
              <w:jc w:val="both"/>
              <w:rPr>
                <w:b/>
                <w:sz w:val="21"/>
              </w:rPr>
            </w:pPr>
            <w:r>
              <w:rPr>
                <w:b/>
                <w:sz w:val="21"/>
              </w:rPr>
              <w:t>8.急性或亚急性重症肝炎</w:t>
            </w:r>
          </w:p>
        </w:tc>
        <w:tc>
          <w:tcPr>
            <w:tcW w:w="7943" w:type="dxa"/>
          </w:tcPr>
          <w:p>
            <w:pPr>
              <w:pStyle w:val="TableParagraph"/>
              <w:spacing w:line="273" w:lineRule="auto" w:before="59"/>
              <w:ind w:left="106" w:right="26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35"/>
              </w:numPr>
              <w:tabs>
                <w:tab w:pos="827" w:val="left" w:leader="none"/>
              </w:tabs>
              <w:spacing w:line="240" w:lineRule="auto" w:before="7" w:after="0"/>
              <w:ind w:left="826" w:right="0" w:hanging="720"/>
              <w:jc w:val="left"/>
              <w:rPr>
                <w:sz w:val="21"/>
              </w:rPr>
            </w:pPr>
            <w:r>
              <w:rPr>
                <w:spacing w:val="-3"/>
                <w:sz w:val="21"/>
              </w:rPr>
              <w:t>重度黄疸或黄疸迅速加重；</w:t>
            </w:r>
          </w:p>
          <w:p>
            <w:pPr>
              <w:pStyle w:val="TableParagraph"/>
              <w:numPr>
                <w:ilvl w:val="0"/>
                <w:numId w:val="35"/>
              </w:numPr>
              <w:tabs>
                <w:tab w:pos="827" w:val="left" w:leader="none"/>
              </w:tabs>
              <w:spacing w:line="240" w:lineRule="auto" w:before="36" w:after="0"/>
              <w:ind w:left="826" w:right="0" w:hanging="720"/>
              <w:jc w:val="left"/>
              <w:rPr>
                <w:sz w:val="21"/>
              </w:rPr>
            </w:pPr>
            <w:r>
              <w:rPr>
                <w:spacing w:val="-1"/>
                <w:sz w:val="21"/>
              </w:rPr>
              <w:t>肝性脑病；</w:t>
            </w:r>
          </w:p>
          <w:p>
            <w:pPr>
              <w:pStyle w:val="TableParagraph"/>
              <w:numPr>
                <w:ilvl w:val="0"/>
                <w:numId w:val="35"/>
              </w:numPr>
              <w:tabs>
                <w:tab w:pos="827" w:val="left" w:leader="none"/>
              </w:tabs>
              <w:spacing w:line="240" w:lineRule="auto" w:before="36" w:after="0"/>
              <w:ind w:left="826" w:right="0" w:hanging="720"/>
              <w:jc w:val="left"/>
              <w:rPr>
                <w:sz w:val="21"/>
              </w:rPr>
            </w:pPr>
            <w:r>
              <w:rPr>
                <w:sz w:val="21"/>
              </w:rPr>
              <w:t>B</w:t>
            </w:r>
            <w:r>
              <w:rPr>
                <w:spacing w:val="-7"/>
                <w:sz w:val="21"/>
              </w:rPr>
              <w:t> 超或其它影像学检查显示肝脏体积急速萎缩；</w:t>
            </w:r>
          </w:p>
          <w:p>
            <w:pPr>
              <w:pStyle w:val="TableParagraph"/>
              <w:numPr>
                <w:ilvl w:val="0"/>
                <w:numId w:val="35"/>
              </w:numPr>
              <w:tabs>
                <w:tab w:pos="827" w:val="left" w:leader="none"/>
              </w:tabs>
              <w:spacing w:line="240" w:lineRule="auto" w:before="36" w:after="0"/>
              <w:ind w:left="826" w:right="0" w:hanging="720"/>
              <w:jc w:val="left"/>
              <w:rPr>
                <w:sz w:val="21"/>
              </w:rPr>
            </w:pPr>
            <w:r>
              <w:rPr>
                <w:spacing w:val="-3"/>
                <w:sz w:val="21"/>
              </w:rPr>
              <w:t>肝功能指标进行性恶化。</w:t>
            </w:r>
          </w:p>
        </w:tc>
      </w:tr>
      <w:tr>
        <w:trPr>
          <w:trHeight w:val="2029" w:hRule="atLeast"/>
        </w:trPr>
        <w:tc>
          <w:tcPr>
            <w:tcW w:w="1512" w:type="dxa"/>
          </w:tcPr>
          <w:p>
            <w:pPr>
              <w:pStyle w:val="TableParagraph"/>
              <w:spacing w:line="273" w:lineRule="auto" w:before="60"/>
              <w:ind w:right="254"/>
              <w:rPr>
                <w:b/>
                <w:sz w:val="21"/>
              </w:rPr>
            </w:pPr>
            <w:r>
              <w:rPr>
                <w:b/>
                <w:sz w:val="21"/>
              </w:rPr>
              <w:t>9.良性脑肿瘤</w:t>
            </w:r>
          </w:p>
        </w:tc>
        <w:tc>
          <w:tcPr>
            <w:tcW w:w="7943" w:type="dxa"/>
          </w:tcPr>
          <w:p>
            <w:pPr>
              <w:pStyle w:val="TableParagraph"/>
              <w:spacing w:line="273" w:lineRule="auto" w:before="60"/>
              <w:ind w:left="106" w:right="201"/>
              <w:jc w:val="both"/>
              <w:rPr>
                <w:sz w:val="21"/>
              </w:rPr>
            </w:pPr>
            <w:r>
              <w:rPr>
                <w:spacing w:val="-3"/>
                <w:sz w:val="21"/>
              </w:rPr>
              <w:t>指脑的良性肿瘤，已经引起颅内压增高，临床表现为视神经乳头水肿、精神症状、</w:t>
            </w:r>
            <w:r>
              <w:rPr>
                <w:spacing w:val="-17"/>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22"/>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36"/>
              </w:numPr>
              <w:tabs>
                <w:tab w:pos="827" w:val="left" w:leader="none"/>
              </w:tabs>
              <w:spacing w:line="240" w:lineRule="auto" w:before="8" w:after="0"/>
              <w:ind w:left="826" w:right="0" w:hanging="720"/>
              <w:jc w:val="both"/>
              <w:rPr>
                <w:sz w:val="21"/>
              </w:rPr>
            </w:pPr>
            <w:r>
              <w:rPr>
                <w:spacing w:val="-3"/>
                <w:sz w:val="21"/>
              </w:rPr>
              <w:t>实际实施了开颅进行的脑肿瘤完全切除或部分切除的手术；</w:t>
            </w:r>
          </w:p>
          <w:p>
            <w:pPr>
              <w:pStyle w:val="TableParagraph"/>
              <w:numPr>
                <w:ilvl w:val="0"/>
                <w:numId w:val="36"/>
              </w:numPr>
              <w:tabs>
                <w:tab w:pos="827" w:val="left" w:leader="none"/>
              </w:tabs>
              <w:spacing w:line="240" w:lineRule="auto" w:before="37" w:after="0"/>
              <w:ind w:left="826" w:right="0" w:hanging="720"/>
              <w:jc w:val="both"/>
              <w:rPr>
                <w:sz w:val="21"/>
              </w:rPr>
            </w:pPr>
            <w:r>
              <w:rPr>
                <w:spacing w:val="-3"/>
                <w:sz w:val="21"/>
              </w:rPr>
              <w:t>实际实施了对脑肿瘤进行的放射治疗。</w:t>
            </w:r>
          </w:p>
          <w:p>
            <w:pPr>
              <w:pStyle w:val="TableParagraph"/>
              <w:ind w:left="106"/>
              <w:jc w:val="both"/>
              <w:rPr>
                <w:rFonts w:ascii="黑体" w:eastAsia="黑体" w:hint="eastAsia"/>
                <w:sz w:val="21"/>
              </w:rPr>
            </w:pPr>
            <w:r>
              <w:rPr>
                <w:rFonts w:ascii="黑体" w:eastAsia="黑体" w:hint="eastAsia"/>
                <w:sz w:val="21"/>
              </w:rPr>
              <w:t>脑垂体瘤、脑囊肿、脑血管性疾病不在保障范围内。</w:t>
            </w:r>
          </w:p>
        </w:tc>
      </w:tr>
      <w:tr>
        <w:trPr>
          <w:trHeight w:val="2028" w:hRule="atLeast"/>
        </w:trPr>
        <w:tc>
          <w:tcPr>
            <w:tcW w:w="1512" w:type="dxa"/>
          </w:tcPr>
          <w:p>
            <w:pPr>
              <w:pStyle w:val="TableParagraph"/>
              <w:spacing w:line="273" w:lineRule="auto" w:before="58"/>
              <w:ind w:right="148"/>
              <w:rPr>
                <w:b/>
                <w:sz w:val="21"/>
              </w:rPr>
            </w:pPr>
            <w:r>
              <w:rPr>
                <w:b/>
                <w:sz w:val="21"/>
              </w:rPr>
              <w:t>10.慢性肝功能衰竭失代偿期</w:t>
            </w:r>
          </w:p>
        </w:tc>
        <w:tc>
          <w:tcPr>
            <w:tcW w:w="7943" w:type="dxa"/>
          </w:tcPr>
          <w:p>
            <w:pPr>
              <w:pStyle w:val="TableParagraph"/>
              <w:spacing w:before="58"/>
              <w:ind w:left="106"/>
              <w:rPr>
                <w:sz w:val="21"/>
              </w:rPr>
            </w:pPr>
            <w:r>
              <w:rPr>
                <w:sz w:val="21"/>
              </w:rPr>
              <w:t>指因慢性肝脏疾病导致肝功能衰竭。须满足下列全部条件：</w:t>
            </w:r>
          </w:p>
          <w:p>
            <w:pPr>
              <w:pStyle w:val="TableParagraph"/>
              <w:numPr>
                <w:ilvl w:val="0"/>
                <w:numId w:val="37"/>
              </w:numPr>
              <w:tabs>
                <w:tab w:pos="827" w:val="left" w:leader="none"/>
              </w:tabs>
              <w:spacing w:line="240" w:lineRule="auto" w:before="36" w:after="0"/>
              <w:ind w:left="826" w:right="0" w:hanging="720"/>
              <w:jc w:val="left"/>
              <w:rPr>
                <w:sz w:val="21"/>
              </w:rPr>
            </w:pPr>
            <w:r>
              <w:rPr>
                <w:spacing w:val="-2"/>
                <w:sz w:val="21"/>
              </w:rPr>
              <w:t>持续性黄疸；</w:t>
            </w:r>
          </w:p>
          <w:p>
            <w:pPr>
              <w:pStyle w:val="TableParagraph"/>
              <w:numPr>
                <w:ilvl w:val="0"/>
                <w:numId w:val="37"/>
              </w:numPr>
              <w:tabs>
                <w:tab w:pos="827" w:val="left" w:leader="none"/>
              </w:tabs>
              <w:spacing w:line="240" w:lineRule="auto" w:before="36" w:after="0"/>
              <w:ind w:left="826" w:right="0" w:hanging="720"/>
              <w:jc w:val="left"/>
              <w:rPr>
                <w:sz w:val="21"/>
              </w:rPr>
            </w:pPr>
            <w:r>
              <w:rPr>
                <w:sz w:val="21"/>
              </w:rPr>
              <w:t>腹水；</w:t>
            </w:r>
          </w:p>
          <w:p>
            <w:pPr>
              <w:pStyle w:val="TableParagraph"/>
              <w:numPr>
                <w:ilvl w:val="0"/>
                <w:numId w:val="37"/>
              </w:numPr>
              <w:tabs>
                <w:tab w:pos="827" w:val="left" w:leader="none"/>
              </w:tabs>
              <w:spacing w:line="240" w:lineRule="auto" w:before="36" w:after="0"/>
              <w:ind w:left="826" w:right="0" w:hanging="720"/>
              <w:jc w:val="left"/>
              <w:rPr>
                <w:sz w:val="21"/>
              </w:rPr>
            </w:pPr>
            <w:r>
              <w:rPr>
                <w:spacing w:val="-1"/>
                <w:sz w:val="21"/>
              </w:rPr>
              <w:t>肝性脑病；</w:t>
            </w:r>
          </w:p>
          <w:p>
            <w:pPr>
              <w:pStyle w:val="TableParagraph"/>
              <w:numPr>
                <w:ilvl w:val="0"/>
                <w:numId w:val="37"/>
              </w:numPr>
              <w:tabs>
                <w:tab w:pos="827" w:val="left" w:leader="none"/>
              </w:tabs>
              <w:spacing w:line="240" w:lineRule="auto" w:before="36" w:after="0"/>
              <w:ind w:left="826" w:right="0" w:hanging="720"/>
              <w:jc w:val="left"/>
              <w:rPr>
                <w:sz w:val="21"/>
              </w:rPr>
            </w:pPr>
            <w:r>
              <w:rPr>
                <w:spacing w:val="-3"/>
                <w:sz w:val="21"/>
              </w:rPr>
              <w:t>充血性脾肿大伴脾功能亢进或食管胃底静脉曲张。</w:t>
            </w:r>
          </w:p>
          <w:p>
            <w:pPr>
              <w:pStyle w:val="TableParagraph"/>
              <w:spacing w:before="36"/>
              <w:ind w:left="106"/>
              <w:rPr>
                <w:rFonts w:ascii="黑体" w:eastAsia="黑体" w:hint="eastAsia"/>
                <w:sz w:val="21"/>
              </w:rPr>
            </w:pPr>
            <w:r>
              <w:rPr>
                <w:rFonts w:ascii="黑体" w:eastAsia="黑体" w:hint="eastAsia"/>
                <w:sz w:val="21"/>
              </w:rPr>
              <w:t>因酗酒或药物滥用导致的肝功能衰竭不在保障范围内。</w:t>
            </w:r>
          </w:p>
        </w:tc>
      </w:tr>
      <w:tr>
        <w:trPr>
          <w:trHeight w:val="1994" w:hRule="atLeast"/>
        </w:trPr>
        <w:tc>
          <w:tcPr>
            <w:tcW w:w="1512" w:type="dxa"/>
          </w:tcPr>
          <w:p>
            <w:pPr>
              <w:pStyle w:val="TableParagraph"/>
              <w:spacing w:line="273" w:lineRule="auto" w:before="58"/>
              <w:ind w:right="148"/>
              <w:rPr>
                <w:b/>
                <w:sz w:val="21"/>
              </w:rPr>
            </w:pPr>
            <w:r>
              <w:rPr>
                <w:b/>
                <w:sz w:val="21"/>
              </w:rPr>
              <w:t>11.脑炎后遗症或脑膜炎后遗症</w:t>
            </w:r>
          </w:p>
        </w:tc>
        <w:tc>
          <w:tcPr>
            <w:tcW w:w="7943" w:type="dxa"/>
          </w:tcPr>
          <w:p>
            <w:pPr>
              <w:pStyle w:val="TableParagraph"/>
              <w:spacing w:line="273" w:lineRule="auto" w:before="58"/>
              <w:ind w:left="106" w:right="26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38"/>
              </w:numPr>
              <w:tabs>
                <w:tab w:pos="827" w:val="left" w:leader="none"/>
              </w:tabs>
              <w:spacing w:line="240" w:lineRule="auto" w:before="7" w:after="0"/>
              <w:ind w:left="826" w:right="0" w:hanging="720"/>
              <w:jc w:val="left"/>
              <w:rPr>
                <w:sz w:val="21"/>
              </w:rPr>
            </w:pPr>
            <w:r>
              <w:rPr>
                <w:spacing w:val="-3"/>
                <w:sz w:val="21"/>
              </w:rPr>
              <w:t>一肢或一肢以上肢体机能完全丧失；</w:t>
            </w:r>
          </w:p>
          <w:p>
            <w:pPr>
              <w:pStyle w:val="TableParagraph"/>
              <w:numPr>
                <w:ilvl w:val="0"/>
                <w:numId w:val="38"/>
              </w:numPr>
              <w:tabs>
                <w:tab w:pos="827" w:val="left" w:leader="none"/>
              </w:tabs>
              <w:spacing w:line="240" w:lineRule="auto" w:before="37" w:after="0"/>
              <w:ind w:left="826" w:right="0" w:hanging="720"/>
              <w:jc w:val="left"/>
              <w:rPr>
                <w:sz w:val="21"/>
              </w:rPr>
            </w:pPr>
            <w:r>
              <w:rPr>
                <w:spacing w:val="-3"/>
                <w:sz w:val="21"/>
              </w:rPr>
              <w:t>语言能力或咀嚼吞咽能力完全丧失；</w:t>
            </w:r>
          </w:p>
          <w:p>
            <w:pPr>
              <w:pStyle w:val="TableParagraph"/>
              <w:numPr>
                <w:ilvl w:val="0"/>
                <w:numId w:val="38"/>
              </w:numPr>
              <w:tabs>
                <w:tab w:pos="827" w:val="left" w:leader="none"/>
              </w:tabs>
              <w:spacing w:line="273" w:lineRule="auto" w:before="37" w:after="0"/>
              <w:ind w:left="826" w:right="313" w:hanging="720"/>
              <w:jc w:val="left"/>
              <w:rPr>
                <w:sz w:val="21"/>
              </w:rPr>
            </w:pPr>
            <w:r>
              <w:rPr>
                <w:sz w:val="21"/>
              </w:rPr>
              <w:t>自主生活能力完全丧失，无法独立完成六项基本日常生活活动中的三项或</w:t>
            </w:r>
            <w:r>
              <w:rPr>
                <w:spacing w:val="-1"/>
                <w:sz w:val="21"/>
              </w:rPr>
              <w:t>三项以上。</w:t>
            </w:r>
          </w:p>
        </w:tc>
      </w:tr>
      <w:tr>
        <w:trPr>
          <w:trHeight w:val="1370" w:hRule="atLeast"/>
        </w:trPr>
        <w:tc>
          <w:tcPr>
            <w:tcW w:w="1512" w:type="dxa"/>
          </w:tcPr>
          <w:p>
            <w:pPr>
              <w:pStyle w:val="TableParagraph"/>
              <w:spacing w:before="25"/>
              <w:ind w:left="0" w:right="148"/>
              <w:jc w:val="right"/>
              <w:rPr>
                <w:b/>
                <w:sz w:val="21"/>
              </w:rPr>
            </w:pPr>
            <w:r>
              <w:rPr>
                <w:b/>
                <w:sz w:val="21"/>
              </w:rPr>
              <w:t>12.深度昏迷</w:t>
            </w:r>
          </w:p>
        </w:tc>
        <w:tc>
          <w:tcPr>
            <w:tcW w:w="7943" w:type="dxa"/>
          </w:tcPr>
          <w:p>
            <w:pPr>
              <w:pStyle w:val="TableParagraph"/>
              <w:spacing w:line="273" w:lineRule="auto" w:before="25"/>
              <w:ind w:left="106" w:right="306"/>
              <w:rPr>
                <w:sz w:val="21"/>
              </w:rPr>
            </w:pPr>
            <w:r>
              <w:rPr>
                <w:spacing w:val="-3"/>
                <w:sz w:val="21"/>
              </w:rPr>
              <w:t>指因疾病或意外伤害导致意识丧失,对外界刺激和体内需求均无反应,昏迷程度按 照格拉斯哥昏迷分级</w:t>
            </w:r>
            <w:r>
              <w:rPr>
                <w:sz w:val="21"/>
              </w:rPr>
              <w:t>（Glasgow</w:t>
            </w:r>
            <w:r>
              <w:rPr>
                <w:spacing w:val="-14"/>
                <w:sz w:val="21"/>
              </w:rPr>
              <w:t> </w:t>
            </w:r>
            <w:r>
              <w:rPr>
                <w:sz w:val="21"/>
              </w:rPr>
              <w:t>coma</w:t>
            </w:r>
            <w:r>
              <w:rPr>
                <w:spacing w:val="-14"/>
                <w:sz w:val="21"/>
              </w:rPr>
              <w:t> </w:t>
            </w:r>
            <w:r>
              <w:rPr>
                <w:sz w:val="21"/>
              </w:rPr>
              <w:t>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w:t>
            </w:r>
            <w:r>
              <w:rPr>
                <w:spacing w:val="-10"/>
                <w:sz w:val="21"/>
              </w:rPr>
              <w:t> 小时以上。</w:t>
            </w:r>
          </w:p>
          <w:p>
            <w:pPr>
              <w:pStyle w:val="TableParagraph"/>
              <w:spacing w:before="7"/>
              <w:ind w:left="106"/>
              <w:rPr>
                <w:rFonts w:ascii="黑体" w:eastAsia="黑体" w:hint="eastAsia"/>
                <w:sz w:val="21"/>
              </w:rPr>
            </w:pPr>
            <w:r>
              <w:rPr>
                <w:rFonts w:ascii="黑体" w:eastAsia="黑体" w:hint="eastAsia"/>
                <w:sz w:val="21"/>
              </w:rPr>
              <w:t>因酗酒或药物滥用导致的深度昏迷不在保障范围内。</w:t>
            </w:r>
          </w:p>
        </w:tc>
      </w:tr>
      <w:tr>
        <w:trPr>
          <w:trHeight w:val="1275" w:hRule="atLeast"/>
        </w:trPr>
        <w:tc>
          <w:tcPr>
            <w:tcW w:w="1512" w:type="dxa"/>
          </w:tcPr>
          <w:p>
            <w:pPr>
              <w:pStyle w:val="TableParagraph"/>
              <w:spacing w:before="59"/>
              <w:ind w:left="0" w:right="148"/>
              <w:jc w:val="right"/>
              <w:rPr>
                <w:b/>
                <w:sz w:val="21"/>
              </w:rPr>
            </w:pPr>
            <w:r>
              <w:rPr>
                <w:b/>
                <w:sz w:val="21"/>
              </w:rPr>
              <w:t>13.双耳失聪</w:t>
            </w:r>
          </w:p>
        </w:tc>
        <w:tc>
          <w:tcPr>
            <w:tcW w:w="7943" w:type="dxa"/>
          </w:tcPr>
          <w:p>
            <w:pPr>
              <w:pStyle w:val="TableParagraph"/>
              <w:spacing w:before="59"/>
              <w:ind w:left="106"/>
              <w:rPr>
                <w:sz w:val="21"/>
              </w:rPr>
            </w:pPr>
            <w:r>
              <w:rPr>
                <w:sz w:val="21"/>
              </w:rPr>
              <w:t>指因疾病或意外伤害导致双耳听力永久不可逆性丧失，在 500 赫兹、1000 赫兹和</w:t>
            </w:r>
          </w:p>
          <w:p>
            <w:pPr>
              <w:pStyle w:val="TableParagraph"/>
              <w:spacing w:line="273" w:lineRule="auto"/>
              <w:ind w:left="106" w:right="323"/>
              <w:rPr>
                <w:sz w:val="21"/>
              </w:rPr>
            </w:pPr>
            <w:r>
              <w:rPr>
                <w:sz w:val="21"/>
              </w:rPr>
              <w:t>2000</w:t>
            </w:r>
            <w:r>
              <w:rPr>
                <w:spacing w:val="-10"/>
                <w:sz w:val="21"/>
              </w:rPr>
              <w:t> 赫兹语音频率下，平均听阈大于 </w:t>
            </w:r>
            <w:r>
              <w:rPr>
                <w:sz w:val="21"/>
              </w:rPr>
              <w:t>90</w:t>
            </w:r>
            <w:r>
              <w:rPr>
                <w:spacing w:val="-8"/>
                <w:sz w:val="21"/>
              </w:rPr>
              <w:t> 分贝，且经纯音听力测试、声导抗检测或</w:t>
            </w:r>
            <w:r>
              <w:rPr>
                <w:spacing w:val="-5"/>
                <w:sz w:val="21"/>
              </w:rPr>
              <w:t>听觉诱发电位检测等证实。</w:t>
            </w:r>
          </w:p>
          <w:p>
            <w:pPr>
              <w:pStyle w:val="TableParagraph"/>
              <w:spacing w:line="261" w:lineRule="exact" w:before="7"/>
              <w:ind w:left="106"/>
              <w:rPr>
                <w:rFonts w:ascii="黑体" w:eastAsia="黑体" w:hint="eastAsia"/>
                <w:sz w:val="21"/>
              </w:rPr>
            </w:pPr>
            <w:r>
              <w:rPr>
                <w:rFonts w:ascii="黑体" w:eastAsia="黑体" w:hint="eastAsia"/>
                <w:sz w:val="21"/>
              </w:rPr>
              <w:t>被保险人申请理赔时年龄必须在三周岁以上，并且提供理赔当时的听力丧失诊断及</w:t>
            </w:r>
          </w:p>
        </w:tc>
      </w:tr>
    </w:tbl>
    <w:p>
      <w:pPr>
        <w:spacing w:after="0" w:line="261" w:lineRule="exact"/>
        <w:rPr>
          <w:rFonts w:ascii="黑体" w:eastAsia="黑体" w:hint="eastAsia"/>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339" w:hRule="atLeast"/>
        </w:trPr>
        <w:tc>
          <w:tcPr>
            <w:tcW w:w="1490" w:type="dxa"/>
          </w:tcPr>
          <w:p>
            <w:pPr>
              <w:pStyle w:val="TableParagraph"/>
              <w:spacing w:before="0"/>
              <w:ind w:left="0"/>
              <w:rPr>
                <w:rFonts w:ascii="Times New Roman"/>
                <w:sz w:val="20"/>
              </w:rPr>
            </w:pPr>
          </w:p>
        </w:tc>
        <w:tc>
          <w:tcPr>
            <w:tcW w:w="7964" w:type="dxa"/>
          </w:tcPr>
          <w:p>
            <w:pPr>
              <w:pStyle w:val="TableParagraph"/>
              <w:spacing w:line="205" w:lineRule="exact" w:before="0"/>
              <w:ind w:left="128"/>
              <w:rPr>
                <w:rFonts w:ascii="黑体" w:eastAsia="黑体" w:hint="eastAsia"/>
                <w:sz w:val="21"/>
              </w:rPr>
            </w:pPr>
            <w:r>
              <w:rPr>
                <w:rFonts w:ascii="黑体" w:eastAsia="黑体" w:hint="eastAsia"/>
                <w:sz w:val="21"/>
              </w:rPr>
              <w:t>检查证据。</w:t>
            </w:r>
          </w:p>
        </w:tc>
      </w:tr>
      <w:tr>
        <w:trPr>
          <w:trHeight w:val="2652" w:hRule="atLeast"/>
        </w:trPr>
        <w:tc>
          <w:tcPr>
            <w:tcW w:w="1490" w:type="dxa"/>
          </w:tcPr>
          <w:p>
            <w:pPr>
              <w:pStyle w:val="TableParagraph"/>
              <w:spacing w:before="58"/>
              <w:rPr>
                <w:b/>
                <w:sz w:val="21"/>
              </w:rPr>
            </w:pPr>
            <w:r>
              <w:rPr>
                <w:b/>
                <w:sz w:val="21"/>
              </w:rPr>
              <w:t>14.双目失明</w:t>
            </w:r>
          </w:p>
        </w:tc>
        <w:tc>
          <w:tcPr>
            <w:tcW w:w="7964" w:type="dxa"/>
          </w:tcPr>
          <w:p>
            <w:pPr>
              <w:pStyle w:val="TableParagraph"/>
              <w:spacing w:line="273" w:lineRule="auto" w:before="58"/>
              <w:ind w:left="128" w:right="262"/>
              <w:rPr>
                <w:sz w:val="21"/>
              </w:rPr>
            </w:pPr>
            <w:r>
              <w:rPr>
                <w:sz w:val="21"/>
              </w:rPr>
              <w:t>指因疾病或意外伤害导致双眼视力永久不可逆性丧失，双眼中较好眼须满足下列至少一项条件：</w:t>
            </w:r>
          </w:p>
          <w:p>
            <w:pPr>
              <w:pStyle w:val="TableParagraph"/>
              <w:numPr>
                <w:ilvl w:val="0"/>
                <w:numId w:val="39"/>
              </w:numPr>
              <w:tabs>
                <w:tab w:pos="849" w:val="left" w:leader="none"/>
              </w:tabs>
              <w:spacing w:line="240" w:lineRule="auto" w:before="7" w:after="0"/>
              <w:ind w:left="848" w:right="0" w:hanging="720"/>
              <w:jc w:val="left"/>
              <w:rPr>
                <w:sz w:val="21"/>
              </w:rPr>
            </w:pPr>
            <w:r>
              <w:rPr>
                <w:spacing w:val="-3"/>
                <w:sz w:val="21"/>
              </w:rPr>
              <w:t>眼球缺失或摘除；</w:t>
            </w:r>
          </w:p>
          <w:p>
            <w:pPr>
              <w:pStyle w:val="TableParagraph"/>
              <w:numPr>
                <w:ilvl w:val="0"/>
                <w:numId w:val="39"/>
              </w:numPr>
              <w:tabs>
                <w:tab w:pos="849" w:val="left" w:leader="none"/>
              </w:tabs>
              <w:spacing w:line="273" w:lineRule="auto" w:before="37" w:after="0"/>
              <w:ind w:left="848" w:right="303" w:hanging="720"/>
              <w:jc w:val="left"/>
              <w:rPr>
                <w:sz w:val="21"/>
              </w:rPr>
            </w:pPr>
            <w:r>
              <w:rPr>
                <w:spacing w:val="-2"/>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numPr>
                <w:ilvl w:val="0"/>
                <w:numId w:val="39"/>
              </w:numPr>
              <w:tabs>
                <w:tab w:pos="849" w:val="left" w:leader="none"/>
              </w:tabs>
              <w:spacing w:line="240" w:lineRule="auto" w:before="7" w:after="0"/>
              <w:ind w:left="848" w:right="0" w:hanging="720"/>
              <w:jc w:val="left"/>
              <w:rPr>
                <w:sz w:val="21"/>
              </w:rPr>
            </w:pPr>
            <w:r>
              <w:rPr>
                <w:spacing w:val="-9"/>
                <w:sz w:val="21"/>
              </w:rPr>
              <w:t>视野半径小于 </w:t>
            </w:r>
            <w:r>
              <w:rPr>
                <w:sz w:val="21"/>
              </w:rPr>
              <w:t>5</w:t>
            </w:r>
            <w:r>
              <w:rPr>
                <w:spacing w:val="-17"/>
                <w:sz w:val="21"/>
              </w:rPr>
              <w:t> 度。</w:t>
            </w:r>
          </w:p>
          <w:p>
            <w:pPr>
              <w:pStyle w:val="TableParagraph"/>
              <w:spacing w:line="273" w:lineRule="auto" w:before="36"/>
              <w:ind w:left="128" w:right="262"/>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tc>
      </w:tr>
      <w:tr>
        <w:trPr>
          <w:trHeight w:val="1092" w:hRule="atLeast"/>
        </w:trPr>
        <w:tc>
          <w:tcPr>
            <w:tcW w:w="1490" w:type="dxa"/>
          </w:tcPr>
          <w:p>
            <w:pPr>
              <w:pStyle w:val="TableParagraph"/>
              <w:spacing w:before="58"/>
              <w:rPr>
                <w:b/>
                <w:sz w:val="21"/>
              </w:rPr>
            </w:pPr>
            <w:r>
              <w:rPr>
                <w:b/>
                <w:sz w:val="21"/>
              </w:rPr>
              <w:t>15.瘫痪</w:t>
            </w:r>
          </w:p>
        </w:tc>
        <w:tc>
          <w:tcPr>
            <w:tcW w:w="7964" w:type="dxa"/>
          </w:tcPr>
          <w:p>
            <w:pPr>
              <w:pStyle w:val="TableParagraph"/>
              <w:spacing w:line="273" w:lineRule="auto" w:before="58"/>
              <w:ind w:left="128" w:right="303"/>
              <w:jc w:val="both"/>
              <w:rPr>
                <w:sz w:val="21"/>
              </w:rPr>
            </w:pPr>
            <w:r>
              <w:rPr>
                <w:spacing w:val="-5"/>
                <w:sz w:val="21"/>
              </w:rPr>
              <w:t>指因疾病或意外伤害导致两肢或两肢以上肢体机能永久完全丧失。肢体机能永久完</w:t>
            </w:r>
            <w:r>
              <w:rPr>
                <w:spacing w:val="-11"/>
                <w:sz w:val="21"/>
              </w:rPr>
              <w:t>全丧失，指疾病确诊 </w:t>
            </w:r>
            <w:r>
              <w:rPr>
                <w:sz w:val="21"/>
              </w:rPr>
              <w:t>180</w:t>
            </w:r>
            <w:r>
              <w:rPr>
                <w:spacing w:val="-13"/>
                <w:sz w:val="21"/>
              </w:rPr>
              <w:t> 天后或意外伤害发生 </w:t>
            </w:r>
            <w:r>
              <w:rPr>
                <w:sz w:val="21"/>
              </w:rPr>
              <w:t>180</w:t>
            </w:r>
            <w:r>
              <w:rPr>
                <w:spacing w:val="-10"/>
                <w:sz w:val="21"/>
              </w:rPr>
              <w:t> 天后，每肢三大关节中的两大关</w:t>
            </w:r>
            <w:r>
              <w:rPr>
                <w:spacing w:val="-5"/>
                <w:sz w:val="21"/>
              </w:rPr>
              <w:t>节仍然完全僵硬，或不能随意识活动。</w:t>
            </w:r>
          </w:p>
        </w:tc>
      </w:tr>
      <w:tr>
        <w:trPr>
          <w:trHeight w:val="792" w:hRule="atLeast"/>
        </w:trPr>
        <w:tc>
          <w:tcPr>
            <w:tcW w:w="1490" w:type="dxa"/>
          </w:tcPr>
          <w:p>
            <w:pPr>
              <w:pStyle w:val="TableParagraph"/>
              <w:spacing w:line="273" w:lineRule="auto" w:before="58"/>
              <w:ind w:right="126"/>
              <w:rPr>
                <w:b/>
                <w:sz w:val="21"/>
              </w:rPr>
            </w:pPr>
            <w:r>
              <w:rPr>
                <w:b/>
                <w:sz w:val="21"/>
              </w:rPr>
              <w:t>16.心脏瓣膜手术</w:t>
            </w:r>
          </w:p>
        </w:tc>
        <w:tc>
          <w:tcPr>
            <w:tcW w:w="7964" w:type="dxa"/>
          </w:tcPr>
          <w:p>
            <w:pPr>
              <w:pStyle w:val="TableParagraph"/>
              <w:spacing w:before="58"/>
              <w:ind w:left="128"/>
              <w:rPr>
                <w:sz w:val="21"/>
              </w:rPr>
            </w:pPr>
            <w:r>
              <w:rPr>
                <w:sz w:val="21"/>
              </w:rPr>
              <w:t>指为治疗心脏瓣膜疾病，实际实施了开胸进行的心脏瓣膜置换或修复的手术。</w:t>
            </w:r>
          </w:p>
        </w:tc>
      </w:tr>
      <w:tr>
        <w:trPr>
          <w:trHeight w:val="2040" w:hRule="atLeast"/>
        </w:trPr>
        <w:tc>
          <w:tcPr>
            <w:tcW w:w="1490" w:type="dxa"/>
          </w:tcPr>
          <w:p>
            <w:pPr>
              <w:pStyle w:val="TableParagraph"/>
              <w:spacing w:line="273" w:lineRule="auto" w:before="70"/>
              <w:ind w:right="126"/>
              <w:rPr>
                <w:b/>
                <w:sz w:val="21"/>
              </w:rPr>
            </w:pPr>
            <w:r>
              <w:rPr>
                <w:b/>
                <w:sz w:val="21"/>
              </w:rPr>
              <w:t>17.严重阿尔茨海默病</w:t>
            </w:r>
          </w:p>
        </w:tc>
        <w:tc>
          <w:tcPr>
            <w:tcW w:w="7964" w:type="dxa"/>
          </w:tcPr>
          <w:p>
            <w:pPr>
              <w:pStyle w:val="TableParagraph"/>
              <w:spacing w:line="273" w:lineRule="auto" w:before="70"/>
              <w:ind w:left="128" w:right="303"/>
              <w:rPr>
                <w:sz w:val="21"/>
              </w:rPr>
            </w:pPr>
            <w:r>
              <w:rPr>
                <w:spacing w:val="-6"/>
                <w:sz w:val="21"/>
              </w:rPr>
              <w:t>指因大脑进行性、不可逆性改变导致智能严重衰退或丧失，临床表现为明显的认知</w:t>
            </w:r>
            <w:r>
              <w:rPr>
                <w:spacing w:val="-8"/>
                <w:sz w:val="21"/>
              </w:rPr>
              <w:t>能力障碍、行为异常和社交能力减退，其日常生活必须持续受到他人监护。须由头</w:t>
            </w:r>
            <w:r>
              <w:rPr>
                <w:spacing w:val="-6"/>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w:t>
            </w:r>
            <w:r>
              <w:rPr>
                <w:spacing w:val="-7"/>
                <w:sz w:val="21"/>
              </w:rPr>
              <w:t>检查证实，且自主生活能力完全丧失，无法独立完成六项基本日常生活活动中的三</w:t>
            </w:r>
            <w:r>
              <w:rPr>
                <w:spacing w:val="-5"/>
                <w:sz w:val="21"/>
              </w:rPr>
              <w:t>项或三项以上。</w:t>
            </w:r>
          </w:p>
          <w:p>
            <w:pPr>
              <w:pStyle w:val="TableParagraph"/>
              <w:spacing w:before="7"/>
              <w:ind w:left="128"/>
              <w:rPr>
                <w:rFonts w:ascii="黑体" w:eastAsia="黑体" w:hint="eastAsia"/>
                <w:sz w:val="21"/>
              </w:rPr>
            </w:pPr>
            <w:r>
              <w:rPr>
                <w:rFonts w:ascii="黑体" w:eastAsia="黑体" w:hint="eastAsia"/>
                <w:sz w:val="21"/>
              </w:rPr>
              <w:t>神经官能症和精神疾病不在保障范围内。</w:t>
            </w:r>
          </w:p>
        </w:tc>
      </w:tr>
      <w:tr>
        <w:trPr>
          <w:trHeight w:val="2618" w:hRule="atLeast"/>
        </w:trPr>
        <w:tc>
          <w:tcPr>
            <w:tcW w:w="1490" w:type="dxa"/>
          </w:tcPr>
          <w:p>
            <w:pPr>
              <w:pStyle w:val="TableParagraph"/>
              <w:spacing w:line="273" w:lineRule="auto" w:before="58"/>
              <w:ind w:right="126"/>
              <w:rPr>
                <w:b/>
                <w:sz w:val="21"/>
              </w:rPr>
            </w:pPr>
            <w:r>
              <w:rPr>
                <w:b/>
                <w:sz w:val="21"/>
              </w:rPr>
              <w:t>18.严重脑损伤</w:t>
            </w:r>
          </w:p>
        </w:tc>
        <w:tc>
          <w:tcPr>
            <w:tcW w:w="7964" w:type="dxa"/>
          </w:tcPr>
          <w:p>
            <w:pPr>
              <w:pStyle w:val="TableParagraph"/>
              <w:spacing w:line="273" w:lineRule="auto" w:before="58"/>
              <w:ind w:left="128" w:right="198"/>
              <w:rPr>
                <w:sz w:val="21"/>
              </w:rPr>
            </w:pPr>
            <w:r>
              <w:rPr>
                <w:spacing w:val="-12"/>
                <w:sz w:val="21"/>
              </w:rPr>
              <w:t>指因头部遭受机械性外力，引起脑重要部位损伤，导致神经系统永久性的功能障碍。</w:t>
            </w:r>
            <w:r>
              <w:rPr>
                <w:spacing w:val="-6"/>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8"/>
                <w:sz w:val="21"/>
              </w:rPr>
              <w:t>影像学检查证实。神经系统永久性的功能障碍，指脑损伤 </w:t>
            </w:r>
            <w:r>
              <w:rPr>
                <w:sz w:val="21"/>
              </w:rPr>
              <w:t>180</w:t>
            </w:r>
            <w:r>
              <w:rPr>
                <w:spacing w:val="-9"/>
                <w:sz w:val="21"/>
              </w:rPr>
              <w:t> 天后，仍遗留下列一</w:t>
            </w:r>
            <w:r>
              <w:rPr>
                <w:spacing w:val="-5"/>
                <w:sz w:val="21"/>
              </w:rPr>
              <w:t>种或一种以上障碍：</w:t>
            </w:r>
          </w:p>
          <w:p>
            <w:pPr>
              <w:pStyle w:val="TableParagraph"/>
              <w:numPr>
                <w:ilvl w:val="0"/>
                <w:numId w:val="40"/>
              </w:numPr>
              <w:tabs>
                <w:tab w:pos="849" w:val="left" w:leader="none"/>
              </w:tabs>
              <w:spacing w:line="240" w:lineRule="auto" w:before="7" w:after="0"/>
              <w:ind w:left="848" w:right="0" w:hanging="720"/>
              <w:jc w:val="left"/>
              <w:rPr>
                <w:sz w:val="21"/>
              </w:rPr>
            </w:pPr>
            <w:r>
              <w:rPr>
                <w:spacing w:val="-3"/>
                <w:sz w:val="21"/>
              </w:rPr>
              <w:t>一肢或一肢以上肢体机能完全丧失；</w:t>
            </w:r>
          </w:p>
          <w:p>
            <w:pPr>
              <w:pStyle w:val="TableParagraph"/>
              <w:numPr>
                <w:ilvl w:val="0"/>
                <w:numId w:val="40"/>
              </w:numPr>
              <w:tabs>
                <w:tab w:pos="849" w:val="left" w:leader="none"/>
              </w:tabs>
              <w:spacing w:line="240" w:lineRule="auto" w:before="37" w:after="0"/>
              <w:ind w:left="848" w:right="0" w:hanging="720"/>
              <w:jc w:val="left"/>
              <w:rPr>
                <w:sz w:val="21"/>
              </w:rPr>
            </w:pPr>
            <w:r>
              <w:rPr>
                <w:spacing w:val="-3"/>
                <w:sz w:val="21"/>
              </w:rPr>
              <w:t>语言能力或咀嚼吞咽能力完全丧失；</w:t>
            </w:r>
          </w:p>
          <w:p>
            <w:pPr>
              <w:pStyle w:val="TableParagraph"/>
              <w:numPr>
                <w:ilvl w:val="0"/>
                <w:numId w:val="40"/>
              </w:numPr>
              <w:tabs>
                <w:tab w:pos="849" w:val="left" w:leader="none"/>
              </w:tabs>
              <w:spacing w:line="273" w:lineRule="auto" w:before="37" w:after="0"/>
              <w:ind w:left="848" w:right="312" w:hanging="720"/>
              <w:jc w:val="left"/>
              <w:rPr>
                <w:sz w:val="21"/>
              </w:rPr>
            </w:pPr>
            <w:r>
              <w:rPr>
                <w:sz w:val="21"/>
              </w:rPr>
              <w:t>自主生活能力完全丧失，无法独立完成六项基本日常生活活动中的三项或</w:t>
            </w:r>
            <w:r>
              <w:rPr>
                <w:spacing w:val="-1"/>
                <w:sz w:val="21"/>
              </w:rPr>
              <w:t>三项以上。</w:t>
            </w:r>
          </w:p>
        </w:tc>
      </w:tr>
      <w:tr>
        <w:trPr>
          <w:trHeight w:val="1994" w:hRule="atLeast"/>
        </w:trPr>
        <w:tc>
          <w:tcPr>
            <w:tcW w:w="1490" w:type="dxa"/>
          </w:tcPr>
          <w:p>
            <w:pPr>
              <w:pStyle w:val="TableParagraph"/>
              <w:spacing w:line="273" w:lineRule="auto" w:before="25"/>
              <w:ind w:right="126"/>
              <w:rPr>
                <w:b/>
                <w:sz w:val="21"/>
              </w:rPr>
            </w:pPr>
            <w:r>
              <w:rPr>
                <w:b/>
                <w:sz w:val="21"/>
              </w:rPr>
              <w:t>19.严重帕金森病</w:t>
            </w:r>
          </w:p>
        </w:tc>
        <w:tc>
          <w:tcPr>
            <w:tcW w:w="7964" w:type="dxa"/>
          </w:tcPr>
          <w:p>
            <w:pPr>
              <w:pStyle w:val="TableParagraph"/>
              <w:spacing w:line="273" w:lineRule="auto" w:before="25"/>
              <w:ind w:left="128" w:right="303"/>
              <w:rPr>
                <w:sz w:val="21"/>
              </w:rPr>
            </w:pPr>
            <w:r>
              <w:rPr>
                <w:spacing w:val="-6"/>
                <w:sz w:val="21"/>
              </w:rPr>
              <w:t>是一种中枢神经系统的退行性疾病，临床表现为震颤麻痹、共济失调等。须满足下</w:t>
            </w:r>
            <w:r>
              <w:rPr>
                <w:spacing w:val="-4"/>
                <w:sz w:val="21"/>
              </w:rPr>
              <w:t>列全部条件：</w:t>
            </w:r>
          </w:p>
          <w:p>
            <w:pPr>
              <w:pStyle w:val="TableParagraph"/>
              <w:numPr>
                <w:ilvl w:val="0"/>
                <w:numId w:val="41"/>
              </w:numPr>
              <w:tabs>
                <w:tab w:pos="849" w:val="left" w:leader="none"/>
              </w:tabs>
              <w:spacing w:line="240" w:lineRule="auto" w:before="7" w:after="0"/>
              <w:ind w:left="848" w:right="0" w:hanging="720"/>
              <w:jc w:val="left"/>
              <w:rPr>
                <w:sz w:val="21"/>
              </w:rPr>
            </w:pPr>
            <w:r>
              <w:rPr>
                <w:spacing w:val="-3"/>
                <w:sz w:val="21"/>
              </w:rPr>
              <w:t>药物治疗无法控制病情；</w:t>
            </w:r>
          </w:p>
          <w:p>
            <w:pPr>
              <w:pStyle w:val="TableParagraph"/>
              <w:numPr>
                <w:ilvl w:val="0"/>
                <w:numId w:val="41"/>
              </w:numPr>
              <w:tabs>
                <w:tab w:pos="849" w:val="left" w:leader="none"/>
              </w:tabs>
              <w:spacing w:line="273" w:lineRule="auto" w:before="36" w:after="0"/>
              <w:ind w:left="848" w:right="312" w:hanging="720"/>
              <w:jc w:val="left"/>
              <w:rPr>
                <w:sz w:val="21"/>
              </w:rPr>
            </w:pPr>
            <w:r>
              <w:rPr>
                <w:sz w:val="21"/>
              </w:rPr>
              <w:t>自主生活能力完全丧失，无法独立完成六项基本日常生活活动中的三项或</w:t>
            </w:r>
            <w:r>
              <w:rPr>
                <w:spacing w:val="-1"/>
                <w:sz w:val="21"/>
              </w:rPr>
              <w:t>三项以上。</w:t>
            </w:r>
          </w:p>
          <w:p>
            <w:pPr>
              <w:pStyle w:val="TableParagraph"/>
              <w:spacing w:before="7"/>
              <w:ind w:left="128"/>
              <w:rPr>
                <w:rFonts w:ascii="黑体" w:eastAsia="黑体" w:hint="eastAsia"/>
                <w:sz w:val="21"/>
              </w:rPr>
            </w:pPr>
            <w:r>
              <w:rPr>
                <w:rFonts w:ascii="黑体" w:eastAsia="黑体" w:hint="eastAsia"/>
                <w:sz w:val="21"/>
              </w:rPr>
              <w:t>继发性帕金森综合征不在保障范围内。</w:t>
            </w:r>
          </w:p>
        </w:tc>
      </w:tr>
      <w:tr>
        <w:trPr>
          <w:trHeight w:val="780" w:hRule="atLeast"/>
        </w:trPr>
        <w:tc>
          <w:tcPr>
            <w:tcW w:w="1490" w:type="dxa"/>
          </w:tcPr>
          <w:p>
            <w:pPr>
              <w:pStyle w:val="TableParagraph"/>
              <w:spacing w:line="273" w:lineRule="auto" w:before="58"/>
              <w:ind w:right="126"/>
              <w:rPr>
                <w:b/>
                <w:sz w:val="21"/>
              </w:rPr>
            </w:pPr>
            <w:r>
              <w:rPr>
                <w:b/>
                <w:sz w:val="21"/>
              </w:rPr>
              <w:t>20.严重</w:t>
            </w:r>
            <w:r>
              <w:rPr>
                <w:rFonts w:ascii="宋体" w:hAnsi="宋体" w:eastAsia="宋体" w:hint="eastAsia"/>
                <w:b/>
                <w:sz w:val="21"/>
              </w:rPr>
              <w:t>Ⅲ</w:t>
            </w:r>
            <w:r>
              <w:rPr>
                <w:b/>
                <w:sz w:val="21"/>
              </w:rPr>
              <w:t>度烧伤</w:t>
            </w:r>
          </w:p>
        </w:tc>
        <w:tc>
          <w:tcPr>
            <w:tcW w:w="7964" w:type="dxa"/>
          </w:tcPr>
          <w:p>
            <w:pPr>
              <w:pStyle w:val="TableParagraph"/>
              <w:spacing w:line="273" w:lineRule="auto" w:before="58"/>
              <w:ind w:left="128" w:right="372"/>
              <w:rPr>
                <w:sz w:val="21"/>
              </w:rPr>
            </w:pPr>
            <w:r>
              <w:rPr>
                <w:spacing w:val="-5"/>
                <w:sz w:val="21"/>
              </w:rPr>
              <w:t>指烧伤程度为Ⅲ度，且Ⅲ度烧伤的面积达到全身体表面积的 </w:t>
            </w:r>
            <w:r>
              <w:rPr>
                <w:sz w:val="21"/>
              </w:rPr>
              <w:t>20</w:t>
            </w:r>
            <w:r>
              <w:rPr>
                <w:spacing w:val="-13"/>
                <w:sz w:val="21"/>
              </w:rPr>
              <w:t>％或 </w:t>
            </w:r>
            <w:r>
              <w:rPr>
                <w:sz w:val="21"/>
              </w:rPr>
              <w:t>20</w:t>
            </w:r>
            <w:r>
              <w:rPr>
                <w:spacing w:val="-3"/>
                <w:sz w:val="21"/>
              </w:rPr>
              <w:t>％以上。体表面积根据《中国新九分法》计算。</w:t>
            </w:r>
          </w:p>
        </w:tc>
      </w:tr>
      <w:tr>
        <w:trPr>
          <w:trHeight w:val="1092" w:hRule="atLeast"/>
        </w:trPr>
        <w:tc>
          <w:tcPr>
            <w:tcW w:w="1490" w:type="dxa"/>
          </w:tcPr>
          <w:p>
            <w:pPr>
              <w:pStyle w:val="TableParagraph"/>
              <w:spacing w:line="273" w:lineRule="auto" w:before="58"/>
              <w:ind w:right="126"/>
              <w:rPr>
                <w:b/>
                <w:sz w:val="21"/>
              </w:rPr>
            </w:pPr>
            <w:r>
              <w:rPr>
                <w:b/>
                <w:sz w:val="21"/>
              </w:rPr>
              <w:t>21.严重原发性肺动脉高压</w:t>
            </w:r>
          </w:p>
        </w:tc>
        <w:tc>
          <w:tcPr>
            <w:tcW w:w="7964" w:type="dxa"/>
          </w:tcPr>
          <w:p>
            <w:pPr>
              <w:pStyle w:val="TableParagraph"/>
              <w:spacing w:line="273" w:lineRule="auto" w:before="58"/>
              <w:ind w:left="128" w:right="197"/>
              <w:rPr>
                <w:sz w:val="21"/>
              </w:rPr>
            </w:pPr>
            <w:r>
              <w:rPr>
                <w:spacing w:val="-6"/>
                <w:sz w:val="21"/>
              </w:rPr>
              <w:t>指不明原因的肺动脉压力持续性增高，进行性发展而导致的慢性疾病，已经造成永</w:t>
            </w:r>
            <w:r>
              <w:rPr>
                <w:spacing w:val="-8"/>
                <w:sz w:val="21"/>
              </w:rPr>
              <w:t>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651" w:hRule="atLeast"/>
        </w:trPr>
        <w:tc>
          <w:tcPr>
            <w:tcW w:w="1490" w:type="dxa"/>
          </w:tcPr>
          <w:p>
            <w:pPr>
              <w:pStyle w:val="TableParagraph"/>
              <w:spacing w:line="310" w:lineRule="atLeast" w:before="23"/>
              <w:ind w:right="126"/>
              <w:rPr>
                <w:b/>
                <w:sz w:val="21"/>
              </w:rPr>
            </w:pPr>
            <w:r>
              <w:rPr>
                <w:b/>
                <w:sz w:val="21"/>
              </w:rPr>
              <w:t>22.严重运动神经元病</w:t>
            </w:r>
          </w:p>
        </w:tc>
        <w:tc>
          <w:tcPr>
            <w:tcW w:w="7964" w:type="dxa"/>
          </w:tcPr>
          <w:p>
            <w:pPr>
              <w:pStyle w:val="TableParagraph"/>
              <w:spacing w:line="310" w:lineRule="atLeast" w:before="23"/>
              <w:ind w:left="128" w:right="264"/>
              <w:rPr>
                <w:sz w:val="21"/>
              </w:rPr>
            </w:pPr>
            <w:r>
              <w:rPr>
                <w:sz w:val="21"/>
              </w:rPr>
              <w:t>是一组中枢神经系统运动神经元的进行性变性疾病，包括进行性脊肌萎缩症、进行性延髓麻痹症、原发性侧索硬化症、肌萎缩性侧索硬化症。须满足自主生活能力完</w:t>
            </w:r>
          </w:p>
        </w:tc>
      </w:tr>
    </w:tbl>
    <w:p>
      <w:pPr>
        <w:spacing w:after="0" w:line="310" w:lineRule="atLeas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6"/>
      </w:tblGrid>
      <w:tr>
        <w:trPr>
          <w:trHeight w:val="339" w:hRule="atLeast"/>
        </w:trPr>
        <w:tc>
          <w:tcPr>
            <w:tcW w:w="1515" w:type="dxa"/>
          </w:tcPr>
          <w:p>
            <w:pPr>
              <w:pStyle w:val="TableParagraph"/>
              <w:spacing w:before="0"/>
              <w:ind w:left="0"/>
              <w:rPr>
                <w:rFonts w:ascii="Times New Roman"/>
                <w:sz w:val="20"/>
              </w:rPr>
            </w:pPr>
          </w:p>
        </w:tc>
        <w:tc>
          <w:tcPr>
            <w:tcW w:w="7936" w:type="dxa"/>
          </w:tcPr>
          <w:p>
            <w:pPr>
              <w:pStyle w:val="TableParagraph"/>
              <w:spacing w:line="205" w:lineRule="exact" w:before="0"/>
              <w:ind w:left="103"/>
              <w:rPr>
                <w:sz w:val="21"/>
              </w:rPr>
            </w:pPr>
            <w:r>
              <w:rPr>
                <w:sz w:val="21"/>
              </w:rPr>
              <w:t>全丧失，无法独立完成六项基本日常生活活动中的三项或三项以上的条件。</w:t>
            </w:r>
          </w:p>
        </w:tc>
      </w:tr>
      <w:tr>
        <w:trPr>
          <w:trHeight w:val="1716" w:hRule="atLeast"/>
        </w:trPr>
        <w:tc>
          <w:tcPr>
            <w:tcW w:w="1515" w:type="dxa"/>
          </w:tcPr>
          <w:p>
            <w:pPr>
              <w:pStyle w:val="TableParagraph"/>
              <w:spacing w:line="273" w:lineRule="auto" w:before="58"/>
              <w:ind w:right="151"/>
              <w:rPr>
                <w:b/>
                <w:sz w:val="21"/>
              </w:rPr>
            </w:pPr>
            <w:r>
              <w:rPr>
                <w:b/>
                <w:sz w:val="21"/>
              </w:rPr>
              <w:t>23.语言能力丧失</w:t>
            </w:r>
          </w:p>
        </w:tc>
        <w:tc>
          <w:tcPr>
            <w:tcW w:w="7936" w:type="dxa"/>
          </w:tcPr>
          <w:p>
            <w:pPr>
              <w:pStyle w:val="TableParagraph"/>
              <w:spacing w:line="273" w:lineRule="auto" w:before="58"/>
              <w:ind w:left="103" w:right="369"/>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3"/>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73" w:lineRule="auto"/>
              <w:ind w:left="103" w:right="259"/>
              <w:rPr>
                <w:rFonts w:ascii="黑体" w:eastAsia="黑体" w:hint="eastAsia"/>
                <w:sz w:val="21"/>
              </w:rPr>
            </w:pPr>
            <w:r>
              <w:rPr>
                <w:rFonts w:ascii="黑体" w:eastAsia="黑体" w:hint="eastAsia"/>
                <w:sz w:val="21"/>
              </w:rPr>
              <w:t>被保险人申请理赔时年龄必须在三周岁以上，并且提供理赔当时的语言能力丧失诊断及检查证据。</w:t>
            </w:r>
          </w:p>
        </w:tc>
      </w:tr>
      <w:tr>
        <w:trPr>
          <w:trHeight w:val="2375" w:hRule="atLeast"/>
        </w:trPr>
        <w:tc>
          <w:tcPr>
            <w:tcW w:w="1515" w:type="dxa"/>
          </w:tcPr>
          <w:p>
            <w:pPr>
              <w:pStyle w:val="TableParagraph"/>
              <w:spacing w:line="273" w:lineRule="auto" w:before="58"/>
              <w:ind w:right="151"/>
              <w:rPr>
                <w:b/>
                <w:sz w:val="21"/>
              </w:rPr>
            </w:pPr>
            <w:r>
              <w:rPr>
                <w:b/>
                <w:sz w:val="21"/>
              </w:rPr>
              <w:t>24.重型再生障碍性贫血</w:t>
            </w:r>
          </w:p>
        </w:tc>
        <w:tc>
          <w:tcPr>
            <w:tcW w:w="7936" w:type="dxa"/>
          </w:tcPr>
          <w:p>
            <w:pPr>
              <w:pStyle w:val="TableParagraph"/>
              <w:spacing w:line="273" w:lineRule="auto" w:before="58"/>
              <w:ind w:left="103" w:right="259"/>
              <w:rPr>
                <w:sz w:val="21"/>
              </w:rPr>
            </w:pPr>
            <w:r>
              <w:rPr>
                <w:sz w:val="21"/>
              </w:rPr>
              <w:t>指因骨髓造血功能慢性持续性衰竭导致的贫血、中性粒细胞减少及血小板减少。须满足下列全部条件：</w:t>
            </w:r>
          </w:p>
          <w:p>
            <w:pPr>
              <w:pStyle w:val="TableParagraph"/>
              <w:numPr>
                <w:ilvl w:val="0"/>
                <w:numId w:val="42"/>
              </w:numPr>
              <w:tabs>
                <w:tab w:pos="824" w:val="left" w:leader="none"/>
              </w:tabs>
              <w:spacing w:line="240" w:lineRule="auto" w:before="7" w:after="0"/>
              <w:ind w:left="823" w:right="0" w:hanging="720"/>
              <w:jc w:val="left"/>
              <w:rPr>
                <w:sz w:val="21"/>
              </w:rPr>
            </w:pPr>
            <w:r>
              <w:rPr>
                <w:spacing w:val="-3"/>
                <w:sz w:val="21"/>
              </w:rPr>
              <w:t>骨髓穿刺检查或骨髓活检结果支持诊断；</w:t>
            </w:r>
          </w:p>
          <w:p>
            <w:pPr>
              <w:pStyle w:val="TableParagraph"/>
              <w:numPr>
                <w:ilvl w:val="0"/>
                <w:numId w:val="42"/>
              </w:numPr>
              <w:tabs>
                <w:tab w:pos="824" w:val="left" w:leader="none"/>
              </w:tabs>
              <w:spacing w:line="240" w:lineRule="auto" w:before="37" w:after="0"/>
              <w:ind w:left="823" w:right="0" w:hanging="720"/>
              <w:jc w:val="left"/>
              <w:rPr>
                <w:sz w:val="21"/>
              </w:rPr>
            </w:pPr>
            <w:r>
              <w:rPr>
                <w:spacing w:val="-3"/>
                <w:sz w:val="21"/>
              </w:rPr>
              <w:t>外周血象须具备以下三项条件：</w:t>
            </w:r>
          </w:p>
          <w:p>
            <w:pPr>
              <w:pStyle w:val="TableParagraph"/>
              <w:ind w:left="823"/>
              <w:rPr>
                <w:sz w:val="21"/>
              </w:rPr>
            </w:pPr>
            <w:r>
              <w:rPr>
                <w:sz w:val="21"/>
              </w:rPr>
              <w:t>① 中性粒细胞绝对值≤0.5×10</w:t>
            </w:r>
            <w:r>
              <w:rPr>
                <w:position w:val="11"/>
                <w:sz w:val="11"/>
              </w:rPr>
              <w:t>9</w:t>
            </w:r>
            <w:r>
              <w:rPr>
                <w:sz w:val="21"/>
              </w:rPr>
              <w:t>/L；</w:t>
            </w:r>
          </w:p>
          <w:p>
            <w:pPr>
              <w:pStyle w:val="TableParagraph"/>
              <w:spacing w:before="36"/>
              <w:ind w:left="823"/>
              <w:rPr>
                <w:sz w:val="21"/>
              </w:rPr>
            </w:pPr>
            <w:r>
              <w:rPr>
                <w:sz w:val="21"/>
              </w:rPr>
              <w:t>② 网织红细胞＜1%；</w:t>
            </w:r>
          </w:p>
          <w:p>
            <w:pPr>
              <w:pStyle w:val="TableParagraph"/>
              <w:spacing w:before="36"/>
              <w:ind w:left="823"/>
              <w:rPr>
                <w:sz w:val="21"/>
              </w:rPr>
            </w:pPr>
            <w:r>
              <w:rPr>
                <w:sz w:val="21"/>
              </w:rPr>
              <w:t>③ 血小板绝对值≤20×10</w:t>
            </w:r>
            <w:r>
              <w:rPr>
                <w:position w:val="11"/>
                <w:sz w:val="11"/>
              </w:rPr>
              <w:t>9</w:t>
            </w:r>
            <w:r>
              <w:rPr>
                <w:sz w:val="21"/>
              </w:rPr>
              <w:t>/L。</w:t>
            </w:r>
          </w:p>
        </w:tc>
      </w:tr>
      <w:tr>
        <w:trPr>
          <w:trHeight w:val="1438" w:hRule="atLeast"/>
        </w:trPr>
        <w:tc>
          <w:tcPr>
            <w:tcW w:w="1515" w:type="dxa"/>
          </w:tcPr>
          <w:p>
            <w:pPr>
              <w:pStyle w:val="TableParagraph"/>
              <w:spacing w:line="273" w:lineRule="auto" w:before="93"/>
              <w:ind w:right="151"/>
              <w:rPr>
                <w:b/>
                <w:sz w:val="21"/>
              </w:rPr>
            </w:pPr>
            <w:r>
              <w:rPr>
                <w:b/>
                <w:sz w:val="21"/>
              </w:rPr>
              <w:t>25.主动脉手术</w:t>
            </w:r>
          </w:p>
        </w:tc>
        <w:tc>
          <w:tcPr>
            <w:tcW w:w="7936" w:type="dxa"/>
          </w:tcPr>
          <w:p>
            <w:pPr>
              <w:pStyle w:val="TableParagraph"/>
              <w:spacing w:line="273" w:lineRule="auto" w:before="93"/>
              <w:ind w:left="103" w:right="300"/>
              <w:jc w:val="both"/>
              <w:rPr>
                <w:sz w:val="21"/>
              </w:rPr>
            </w:pPr>
            <w:r>
              <w:rPr>
                <w:spacing w:val="-6"/>
                <w:sz w:val="21"/>
              </w:rPr>
              <w:t>指为治疗主动脉疾病，实际实施了开胸或开腹进行的切除、置换、修补病损主动脉</w:t>
            </w:r>
            <w:r>
              <w:rPr>
                <w:spacing w:val="-7"/>
                <w:sz w:val="21"/>
              </w:rPr>
              <w:t>血管的手术。主动脉指胸主动脉和腹主动脉，不包括胸主动脉和腹主动脉的分支血管。</w:t>
            </w:r>
          </w:p>
          <w:p>
            <w:pPr>
              <w:pStyle w:val="TableParagraph"/>
              <w:spacing w:before="7"/>
              <w:ind w:left="103"/>
              <w:jc w:val="both"/>
              <w:rPr>
                <w:rFonts w:ascii="黑体" w:eastAsia="黑体" w:hint="eastAsia"/>
                <w:sz w:val="21"/>
              </w:rPr>
            </w:pPr>
            <w:r>
              <w:rPr>
                <w:rFonts w:ascii="黑体" w:eastAsia="黑体" w:hint="eastAsia"/>
                <w:sz w:val="21"/>
              </w:rPr>
              <w:t>动脉内血管成形术不在保障范围内。</w:t>
            </w:r>
          </w:p>
        </w:tc>
      </w:tr>
      <w:tr>
        <w:trPr>
          <w:trHeight w:val="1716" w:hRule="atLeast"/>
        </w:trPr>
        <w:tc>
          <w:tcPr>
            <w:tcW w:w="1515" w:type="dxa"/>
          </w:tcPr>
          <w:p>
            <w:pPr>
              <w:pStyle w:val="TableParagraph"/>
              <w:spacing w:line="273" w:lineRule="auto" w:before="58"/>
              <w:ind w:right="151"/>
              <w:rPr>
                <w:b/>
                <w:sz w:val="21"/>
              </w:rPr>
            </w:pPr>
            <w:r>
              <w:rPr>
                <w:b/>
                <w:sz w:val="21"/>
              </w:rPr>
              <w:t>26.严重多发性硬化症</w:t>
            </w:r>
          </w:p>
        </w:tc>
        <w:tc>
          <w:tcPr>
            <w:tcW w:w="7936" w:type="dxa"/>
          </w:tcPr>
          <w:p>
            <w:pPr>
              <w:pStyle w:val="TableParagraph"/>
              <w:spacing w:line="273" w:lineRule="auto" w:before="58"/>
              <w:ind w:left="103" w:right="300"/>
              <w:jc w:val="both"/>
              <w:rPr>
                <w:sz w:val="21"/>
              </w:rPr>
            </w:pPr>
            <w:r>
              <w:rPr>
                <w:spacing w:val="-7"/>
                <w:sz w:val="21"/>
              </w:rPr>
              <w:t>指被保险人因脑及脊髓内的脱髓鞘病变而出现神经系统多灶性</w:t>
            </w:r>
            <w:r>
              <w:rPr>
                <w:spacing w:val="-3"/>
                <w:sz w:val="21"/>
              </w:rPr>
              <w:t>（</w:t>
            </w:r>
            <w:r>
              <w:rPr>
                <w:spacing w:val="-2"/>
                <w:sz w:val="21"/>
              </w:rPr>
              <w:t>多发性</w:t>
            </w:r>
            <w:r>
              <w:rPr>
                <w:spacing w:val="-85"/>
                <w:sz w:val="21"/>
              </w:rPr>
              <w:t>）</w:t>
            </w:r>
            <w:r>
              <w:rPr>
                <w:spacing w:val="-29"/>
                <w:sz w:val="21"/>
              </w:rPr>
              <w:t>多时相</w:t>
            </w:r>
            <w:r>
              <w:rPr>
                <w:spacing w:val="-3"/>
                <w:sz w:val="21"/>
              </w:rPr>
              <w:t>（</w:t>
            </w:r>
            <w:r>
              <w:rPr>
                <w:sz w:val="21"/>
              </w:rPr>
              <w:t>至</w:t>
            </w:r>
            <w:r>
              <w:rPr>
                <w:w w:val="100"/>
                <w:sz w:val="21"/>
              </w:rPr>
              <w:t>少</w:t>
            </w:r>
            <w:r>
              <w:rPr>
                <w:spacing w:val="-53"/>
                <w:sz w:val="21"/>
              </w:rPr>
              <w:t> </w:t>
            </w:r>
            <w:r>
              <w:rPr>
                <w:w w:val="100"/>
                <w:sz w:val="21"/>
              </w:rPr>
              <w:t>6</w:t>
            </w:r>
            <w:r>
              <w:rPr>
                <w:spacing w:val="-53"/>
                <w:sz w:val="21"/>
              </w:rPr>
              <w:t> </w:t>
            </w:r>
            <w:r>
              <w:rPr>
                <w:spacing w:val="-14"/>
                <w:w w:val="100"/>
                <w:sz w:val="21"/>
              </w:rPr>
              <w:t>个月以内有一次以上</w:t>
            </w:r>
            <w:r>
              <w:rPr>
                <w:spacing w:val="-3"/>
                <w:w w:val="100"/>
                <w:sz w:val="21"/>
              </w:rPr>
              <w:t>（</w:t>
            </w:r>
            <w:r>
              <w:rPr>
                <w:spacing w:val="-2"/>
                <w:w w:val="100"/>
                <w:sz w:val="21"/>
              </w:rPr>
              <w:t>不包含一次</w:t>
            </w:r>
            <w:r>
              <w:rPr>
                <w:spacing w:val="-92"/>
                <w:w w:val="100"/>
                <w:sz w:val="21"/>
              </w:rPr>
              <w:t>）</w:t>
            </w:r>
            <w:r>
              <w:rPr>
                <w:spacing w:val="-3"/>
                <w:w w:val="100"/>
                <w:sz w:val="21"/>
              </w:rPr>
              <w:t>的发作</w:t>
            </w:r>
            <w:r>
              <w:rPr>
                <w:spacing w:val="-92"/>
                <w:w w:val="100"/>
                <w:sz w:val="21"/>
              </w:rPr>
              <w:t>）</w:t>
            </w:r>
            <w:r>
              <w:rPr>
                <w:spacing w:val="-18"/>
                <w:w w:val="100"/>
                <w:sz w:val="21"/>
              </w:rPr>
              <w:t>的病变，须由计算机断层扫描</w:t>
            </w:r>
            <w:r>
              <w:rPr>
                <w:w w:val="100"/>
                <w:sz w:val="21"/>
              </w:rPr>
              <w:t>（</w:t>
            </w:r>
            <w:r>
              <w:rPr>
                <w:spacing w:val="-3"/>
                <w:w w:val="100"/>
                <w:sz w:val="21"/>
              </w:rPr>
              <w:t>C</w:t>
            </w:r>
            <w:r>
              <w:rPr>
                <w:w w:val="100"/>
                <w:sz w:val="21"/>
              </w:rPr>
              <w:t>T</w:t>
            </w:r>
            <w:r>
              <w:rPr>
                <w:spacing w:val="-106"/>
                <w:w w:val="100"/>
                <w:sz w:val="21"/>
              </w:rPr>
              <w:t>）、</w:t>
            </w:r>
            <w:r>
              <w:rPr>
                <w:spacing w:val="-3"/>
                <w:sz w:val="21"/>
              </w:rPr>
              <w:t>核磁共振检查（MRI）</w:t>
            </w:r>
            <w:r>
              <w:rPr>
                <w:spacing w:val="-4"/>
                <w:sz w:val="21"/>
              </w:rPr>
              <w:t>或正电子发射断层扫描（PET）等影像学检查证实，且已经造</w:t>
            </w:r>
            <w:r>
              <w:rPr>
                <w:spacing w:val="-6"/>
                <w:sz w:val="21"/>
              </w:rPr>
              <w:t>成自主生活能力完全丧失，无法独立完成六项基本日常生活活动中的三项或三项以</w:t>
            </w:r>
            <w:r>
              <w:rPr>
                <w:spacing w:val="-11"/>
                <w:sz w:val="21"/>
              </w:rPr>
              <w:t>上，持续至少 </w:t>
            </w:r>
            <w:r>
              <w:rPr>
                <w:sz w:val="21"/>
              </w:rPr>
              <w:t>180</w:t>
            </w:r>
            <w:r>
              <w:rPr>
                <w:spacing w:val="-19"/>
                <w:sz w:val="21"/>
              </w:rPr>
              <w:t> 天。</w:t>
            </w:r>
          </w:p>
        </w:tc>
      </w:tr>
      <w:tr>
        <w:trPr>
          <w:trHeight w:val="1404" w:hRule="atLeast"/>
        </w:trPr>
        <w:tc>
          <w:tcPr>
            <w:tcW w:w="1515" w:type="dxa"/>
          </w:tcPr>
          <w:p>
            <w:pPr>
              <w:pStyle w:val="TableParagraph"/>
              <w:spacing w:line="273" w:lineRule="auto" w:before="58"/>
              <w:ind w:right="101"/>
              <w:rPr>
                <w:b/>
                <w:sz w:val="21"/>
              </w:rPr>
            </w:pPr>
            <w:r>
              <w:rPr>
                <w:b/>
                <w:sz w:val="21"/>
              </w:rPr>
              <w:t>27.终末期肺病</w:t>
            </w:r>
          </w:p>
        </w:tc>
        <w:tc>
          <w:tcPr>
            <w:tcW w:w="7936" w:type="dxa"/>
          </w:tcPr>
          <w:p>
            <w:pPr>
              <w:pStyle w:val="TableParagraph"/>
              <w:spacing w:before="58"/>
              <w:ind w:left="103"/>
              <w:rPr>
                <w:sz w:val="21"/>
              </w:rPr>
            </w:pPr>
            <w:r>
              <w:rPr>
                <w:sz w:val="21"/>
              </w:rPr>
              <w:t>被保险人患有终末期肺病而出现慢性呼吸功能衰竭，须满足下列全部条件：</w:t>
            </w:r>
          </w:p>
          <w:p>
            <w:pPr>
              <w:pStyle w:val="TableParagraph"/>
              <w:numPr>
                <w:ilvl w:val="0"/>
                <w:numId w:val="43"/>
              </w:numPr>
              <w:tabs>
                <w:tab w:pos="840" w:val="left" w:leader="none"/>
                <w:tab w:pos="841" w:val="left" w:leader="none"/>
              </w:tabs>
              <w:spacing w:line="240" w:lineRule="auto" w:before="36" w:after="0"/>
              <w:ind w:left="840"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43"/>
              </w:numPr>
              <w:tabs>
                <w:tab w:pos="840" w:val="left" w:leader="none"/>
                <w:tab w:pos="841" w:val="left" w:leader="none"/>
              </w:tabs>
              <w:spacing w:line="240" w:lineRule="auto" w:before="36" w:after="0"/>
              <w:ind w:left="840" w:right="0" w:hanging="737"/>
              <w:jc w:val="left"/>
              <w:rPr>
                <w:sz w:val="21"/>
              </w:rPr>
            </w:pPr>
            <w:r>
              <w:rPr>
                <w:spacing w:val="-3"/>
                <w:sz w:val="21"/>
              </w:rPr>
              <w:t>病人缺氧必须广泛而持续地进行输氧治疗；</w:t>
            </w:r>
          </w:p>
          <w:p>
            <w:pPr>
              <w:pStyle w:val="TableParagraph"/>
              <w:numPr>
                <w:ilvl w:val="0"/>
                <w:numId w:val="43"/>
              </w:numPr>
              <w:tabs>
                <w:tab w:pos="840" w:val="left" w:leader="none"/>
                <w:tab w:pos="841" w:val="left" w:leader="none"/>
              </w:tabs>
              <w:spacing w:line="240" w:lineRule="auto" w:before="36" w:after="0"/>
              <w:ind w:left="840" w:right="0" w:hanging="737"/>
              <w:jc w:val="left"/>
              <w:rPr>
                <w:sz w:val="21"/>
              </w:rPr>
            </w:pPr>
            <w:r>
              <w:rPr>
                <w:spacing w:val="-7"/>
                <w:sz w:val="21"/>
              </w:rPr>
              <w:t>动脉血气分析氧分压低于 </w:t>
            </w:r>
            <w:r>
              <w:rPr>
                <w:sz w:val="21"/>
              </w:rPr>
              <w:t>55mmHg。</w:t>
            </w:r>
          </w:p>
        </w:tc>
      </w:tr>
      <w:tr>
        <w:trPr>
          <w:trHeight w:val="787" w:hRule="atLeast"/>
        </w:trPr>
        <w:tc>
          <w:tcPr>
            <w:tcW w:w="1515" w:type="dxa"/>
          </w:tcPr>
          <w:p>
            <w:pPr>
              <w:pStyle w:val="TableParagraph"/>
              <w:spacing w:before="58"/>
              <w:rPr>
                <w:b/>
                <w:sz w:val="21"/>
              </w:rPr>
            </w:pPr>
            <w:r>
              <w:rPr>
                <w:b/>
                <w:sz w:val="21"/>
              </w:rPr>
              <w:t>28.颅脑手术</w:t>
            </w:r>
          </w:p>
        </w:tc>
        <w:tc>
          <w:tcPr>
            <w:tcW w:w="7936" w:type="dxa"/>
          </w:tcPr>
          <w:p>
            <w:pPr>
              <w:pStyle w:val="TableParagraph"/>
              <w:spacing w:before="58"/>
              <w:ind w:left="103"/>
              <w:rPr>
                <w:sz w:val="21"/>
              </w:rPr>
            </w:pPr>
            <w:r>
              <w:rPr>
                <w:spacing w:val="-6"/>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before="36"/>
              <w:ind w:left="103"/>
              <w:rPr>
                <w:rFonts w:ascii="黑体" w:eastAsia="黑体" w:hint="eastAsia"/>
                <w:sz w:val="21"/>
              </w:rPr>
            </w:pPr>
            <w:r>
              <w:rPr>
                <w:rFonts w:ascii="黑体" w:eastAsia="黑体" w:hint="eastAsia"/>
                <w:sz w:val="21"/>
              </w:rPr>
              <w:t>因外伤而实施的脑外科手术不在保障范围之内。</w:t>
            </w:r>
          </w:p>
        </w:tc>
      </w:tr>
      <w:tr>
        <w:trPr>
          <w:trHeight w:val="2390" w:hRule="atLeast"/>
        </w:trPr>
        <w:tc>
          <w:tcPr>
            <w:tcW w:w="1515" w:type="dxa"/>
          </w:tcPr>
          <w:p>
            <w:pPr>
              <w:pStyle w:val="TableParagraph"/>
              <w:spacing w:line="273" w:lineRule="auto" w:before="66"/>
              <w:ind w:right="38"/>
              <w:rPr>
                <w:b/>
                <w:sz w:val="21"/>
              </w:rPr>
            </w:pPr>
            <w:r>
              <w:rPr>
                <w:b/>
                <w:sz w:val="21"/>
              </w:rPr>
              <w:t>29. 严重I 型糖尿病</w:t>
            </w:r>
          </w:p>
        </w:tc>
        <w:tc>
          <w:tcPr>
            <w:tcW w:w="7936" w:type="dxa"/>
          </w:tcPr>
          <w:p>
            <w:pPr>
              <w:pStyle w:val="TableParagraph"/>
              <w:spacing w:line="273" w:lineRule="auto" w:before="66"/>
              <w:ind w:left="103" w:right="264"/>
              <w:jc w:val="both"/>
              <w:rPr>
                <w:sz w:val="21"/>
              </w:rPr>
            </w:pPr>
            <w:r>
              <w:rPr>
                <w:spacing w:val="-6"/>
                <w:sz w:val="21"/>
              </w:rPr>
              <w:t>指因严重的胰岛素缺乏导致的一组糖、脂肪、蛋白质代谢异常综合症，且须依赖外</w:t>
            </w:r>
            <w:r>
              <w:rPr>
                <w:spacing w:val="-8"/>
                <w:sz w:val="21"/>
              </w:rPr>
              <w:t>源性胰岛素进行机体的葡萄糖代谢和维持生命。本病须经血胰岛素测定、血 </w:t>
            </w:r>
            <w:r>
              <w:rPr>
                <w:sz w:val="21"/>
              </w:rPr>
              <w:t>C</w:t>
            </w:r>
            <w:r>
              <w:rPr>
                <w:spacing w:val="-14"/>
                <w:sz w:val="21"/>
              </w:rPr>
              <w:t> 肽测</w:t>
            </w:r>
            <w:r>
              <w:rPr>
                <w:spacing w:val="-16"/>
                <w:sz w:val="21"/>
              </w:rPr>
              <w:t>定或尿 </w:t>
            </w:r>
            <w:r>
              <w:rPr>
                <w:sz w:val="21"/>
              </w:rPr>
              <w:t>C</w:t>
            </w:r>
            <w:r>
              <w:rPr>
                <w:spacing w:val="-10"/>
                <w:sz w:val="21"/>
              </w:rPr>
              <w:t> 肽测定检查证实，且被保险人已经接受了持续的胰岛素治疗 </w:t>
            </w:r>
            <w:r>
              <w:rPr>
                <w:sz w:val="21"/>
              </w:rPr>
              <w:t>180</w:t>
            </w:r>
            <w:r>
              <w:rPr>
                <w:spacing w:val="-11"/>
                <w:sz w:val="21"/>
              </w:rPr>
              <w:t> 天以上， </w:t>
            </w:r>
            <w:r>
              <w:rPr>
                <w:spacing w:val="-6"/>
                <w:sz w:val="21"/>
              </w:rPr>
              <w:t>并须满足下列至少一项条件：</w:t>
            </w:r>
          </w:p>
          <w:p>
            <w:pPr>
              <w:pStyle w:val="TableParagraph"/>
              <w:numPr>
                <w:ilvl w:val="0"/>
                <w:numId w:val="44"/>
              </w:numPr>
              <w:tabs>
                <w:tab w:pos="524" w:val="left" w:leader="none"/>
              </w:tabs>
              <w:spacing w:line="240" w:lineRule="auto" w:before="7" w:after="0"/>
              <w:ind w:left="523" w:right="0" w:hanging="420"/>
              <w:jc w:val="both"/>
              <w:rPr>
                <w:sz w:val="21"/>
              </w:rPr>
            </w:pPr>
            <w:r>
              <w:rPr>
                <w:spacing w:val="-3"/>
                <w:sz w:val="21"/>
              </w:rPr>
              <w:t>并发增殖性视网膜病变；</w:t>
            </w:r>
          </w:p>
          <w:p>
            <w:pPr>
              <w:pStyle w:val="TableParagraph"/>
              <w:numPr>
                <w:ilvl w:val="0"/>
                <w:numId w:val="44"/>
              </w:numPr>
              <w:tabs>
                <w:tab w:pos="524" w:val="left" w:leader="none"/>
              </w:tabs>
              <w:spacing w:line="240" w:lineRule="auto" w:before="36" w:after="0"/>
              <w:ind w:left="523" w:right="0" w:hanging="420"/>
              <w:jc w:val="both"/>
              <w:rPr>
                <w:sz w:val="21"/>
              </w:rPr>
            </w:pPr>
            <w:r>
              <w:rPr>
                <w:spacing w:val="-3"/>
                <w:sz w:val="21"/>
              </w:rPr>
              <w:t>并发心脏病变，并须植入心脏起搏器进行治疗；</w:t>
            </w:r>
          </w:p>
          <w:p>
            <w:pPr>
              <w:pStyle w:val="TableParagraph"/>
              <w:numPr>
                <w:ilvl w:val="0"/>
                <w:numId w:val="44"/>
              </w:numPr>
              <w:tabs>
                <w:tab w:pos="524" w:val="left" w:leader="none"/>
              </w:tabs>
              <w:spacing w:line="240" w:lineRule="auto" w:before="36" w:after="0"/>
              <w:ind w:left="523" w:right="0" w:hanging="420"/>
              <w:jc w:val="both"/>
              <w:rPr>
                <w:sz w:val="21"/>
              </w:rPr>
            </w:pPr>
            <w:r>
              <w:rPr>
                <w:spacing w:val="-3"/>
                <w:sz w:val="21"/>
              </w:rPr>
              <w:t>至少一个脚趾发生坏疽并已实施手术切除。</w:t>
            </w:r>
          </w:p>
        </w:tc>
      </w:tr>
      <w:tr>
        <w:trPr>
          <w:trHeight w:val="2255" w:hRule="atLeast"/>
        </w:trPr>
        <w:tc>
          <w:tcPr>
            <w:tcW w:w="1515" w:type="dxa"/>
          </w:tcPr>
          <w:p>
            <w:pPr>
              <w:pStyle w:val="TableParagraph"/>
              <w:spacing w:line="273" w:lineRule="auto" w:before="102"/>
              <w:ind w:right="151"/>
              <w:rPr>
                <w:b/>
                <w:sz w:val="21"/>
              </w:rPr>
            </w:pPr>
            <w:r>
              <w:rPr>
                <w:b/>
                <w:sz w:val="21"/>
              </w:rPr>
              <w:t>30.严重类风湿性关节炎</w:t>
            </w:r>
          </w:p>
        </w:tc>
        <w:tc>
          <w:tcPr>
            <w:tcW w:w="7936" w:type="dxa"/>
          </w:tcPr>
          <w:p>
            <w:pPr>
              <w:pStyle w:val="TableParagraph"/>
              <w:spacing w:line="273" w:lineRule="auto" w:before="102"/>
              <w:ind w:left="103" w:right="300"/>
              <w:rPr>
                <w:sz w:val="21"/>
              </w:rPr>
            </w:pPr>
            <w:r>
              <w:rPr>
                <w:spacing w:val="-6"/>
                <w:sz w:val="21"/>
              </w:rPr>
              <w:t>指广泛分布的慢性进行性多关节病变，表现为关节严重变形，侵犯至少三个主要关</w:t>
            </w:r>
            <w:r>
              <w:rPr>
                <w:spacing w:val="-5"/>
                <w:sz w:val="21"/>
              </w:rPr>
              <w:t>节</w:t>
            </w:r>
            <w:r>
              <w:rPr>
                <w:sz w:val="21"/>
              </w:rPr>
              <w:t>（</w:t>
            </w:r>
            <w:r>
              <w:rPr>
                <w:spacing w:val="-8"/>
                <w:sz w:val="21"/>
              </w:rPr>
              <w:t>腕关节、肘关节、肩关节、踝关节、膝关节、髋关节</w:t>
            </w:r>
            <w:r>
              <w:rPr>
                <w:spacing w:val="-5"/>
                <w:sz w:val="21"/>
              </w:rPr>
              <w:t>）</w:t>
            </w:r>
            <w:r>
              <w:rPr>
                <w:spacing w:val="-4"/>
                <w:sz w:val="21"/>
              </w:rPr>
              <w:t>或关节组</w:t>
            </w:r>
            <w:r>
              <w:rPr>
                <w:spacing w:val="-3"/>
                <w:sz w:val="21"/>
              </w:rPr>
              <w:t>（</w:t>
            </w:r>
            <w:r>
              <w:rPr>
                <w:spacing w:val="-2"/>
                <w:sz w:val="21"/>
              </w:rPr>
              <w:t>如手的多个</w:t>
            </w:r>
            <w:r>
              <w:rPr>
                <w:spacing w:val="-3"/>
                <w:w w:val="100"/>
                <w:sz w:val="21"/>
              </w:rPr>
              <w:t>指间、掌指关节，足的多个足趾、跖趾关节等</w:t>
            </w:r>
            <w:r>
              <w:rPr>
                <w:spacing w:val="-106"/>
                <w:w w:val="100"/>
                <w:sz w:val="21"/>
              </w:rPr>
              <w:t>）</w:t>
            </w:r>
            <w:r>
              <w:rPr>
                <w:spacing w:val="-3"/>
                <w:w w:val="100"/>
                <w:sz w:val="21"/>
              </w:rPr>
              <w:t>，并已达到类风湿性关节炎功能分</w:t>
            </w:r>
            <w:r>
              <w:rPr>
                <w:spacing w:val="-23"/>
                <w:sz w:val="21"/>
              </w:rPr>
              <w:t>类 </w:t>
            </w:r>
            <w:r>
              <w:rPr>
                <w:sz w:val="21"/>
              </w:rPr>
              <w:t>IV</w:t>
            </w:r>
            <w:r>
              <w:rPr>
                <w:spacing w:val="-3"/>
                <w:sz w:val="21"/>
              </w:rPr>
              <w:t> 级的永久不可逆性关节功能障碍，且须满足下列全部条件：</w:t>
            </w:r>
          </w:p>
          <w:p>
            <w:pPr>
              <w:pStyle w:val="TableParagraph"/>
              <w:spacing w:before="8"/>
              <w:ind w:left="103"/>
              <w:rPr>
                <w:sz w:val="21"/>
              </w:rPr>
            </w:pPr>
            <w:r>
              <w:rPr>
                <w:sz w:val="21"/>
              </w:rPr>
              <w:t>晨僵；</w:t>
            </w:r>
          </w:p>
          <w:p>
            <w:pPr>
              <w:pStyle w:val="TableParagraph"/>
              <w:ind w:left="103"/>
              <w:rPr>
                <w:sz w:val="21"/>
              </w:rPr>
            </w:pPr>
            <w:r>
              <w:rPr>
                <w:sz w:val="21"/>
              </w:rPr>
              <w:t>（1）对称性关节炎；</w:t>
            </w:r>
          </w:p>
          <w:p>
            <w:pPr>
              <w:pStyle w:val="TableParagraph"/>
              <w:spacing w:line="261" w:lineRule="exact"/>
              <w:ind w:left="103"/>
              <w:rPr>
                <w:sz w:val="21"/>
              </w:rPr>
            </w:pPr>
            <w:r>
              <w:rPr>
                <w:sz w:val="21"/>
              </w:rPr>
              <w:t>（2）类风湿性皮下结节；</w:t>
            </w:r>
          </w:p>
        </w:tc>
      </w:tr>
    </w:tbl>
    <w:p>
      <w:pPr>
        <w:spacing w:after="0" w:line="261"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651" w:hRule="atLeast"/>
        </w:trPr>
        <w:tc>
          <w:tcPr>
            <w:tcW w:w="1515" w:type="dxa"/>
          </w:tcPr>
          <w:p>
            <w:pPr>
              <w:pStyle w:val="TableParagraph"/>
              <w:spacing w:before="0"/>
              <w:ind w:left="0"/>
              <w:rPr>
                <w:rFonts w:ascii="Times New Roman"/>
                <w:sz w:val="20"/>
              </w:rPr>
            </w:pPr>
          </w:p>
        </w:tc>
        <w:tc>
          <w:tcPr>
            <w:tcW w:w="7939" w:type="dxa"/>
          </w:tcPr>
          <w:p>
            <w:pPr>
              <w:pStyle w:val="TableParagraph"/>
              <w:spacing w:line="205" w:lineRule="exact" w:before="0"/>
              <w:ind w:left="103"/>
              <w:rPr>
                <w:sz w:val="21"/>
              </w:rPr>
            </w:pPr>
            <w:r>
              <w:rPr>
                <w:sz w:val="21"/>
              </w:rPr>
              <w:t>（3）类风湿因子滴度升高；</w:t>
            </w:r>
          </w:p>
          <w:p>
            <w:pPr>
              <w:pStyle w:val="TableParagraph"/>
              <w:ind w:left="103"/>
              <w:rPr>
                <w:sz w:val="21"/>
              </w:rPr>
            </w:pPr>
            <w:r>
              <w:rPr>
                <w:sz w:val="21"/>
              </w:rPr>
              <w:t>（4）X 线显示严重的关节（软骨和骨）破坏和关节畸形。</w:t>
            </w:r>
          </w:p>
        </w:tc>
      </w:tr>
      <w:tr>
        <w:trPr>
          <w:trHeight w:val="1092" w:hRule="atLeast"/>
        </w:trPr>
        <w:tc>
          <w:tcPr>
            <w:tcW w:w="1515" w:type="dxa"/>
          </w:tcPr>
          <w:p>
            <w:pPr>
              <w:pStyle w:val="TableParagraph"/>
              <w:spacing w:line="273" w:lineRule="auto" w:before="58"/>
              <w:ind w:right="151"/>
              <w:rPr>
                <w:b/>
                <w:sz w:val="21"/>
              </w:rPr>
            </w:pPr>
            <w:r>
              <w:rPr>
                <w:b/>
                <w:sz w:val="21"/>
              </w:rPr>
              <w:t>31.急性出血坏死性胰腺炎开腹手术</w:t>
            </w:r>
          </w:p>
        </w:tc>
        <w:tc>
          <w:tcPr>
            <w:tcW w:w="7939" w:type="dxa"/>
          </w:tcPr>
          <w:p>
            <w:pPr>
              <w:pStyle w:val="TableParagraph"/>
              <w:spacing w:line="273" w:lineRule="auto" w:before="58"/>
              <w:ind w:left="103" w:right="262"/>
              <w:rPr>
                <w:sz w:val="21"/>
              </w:rPr>
            </w:pPr>
            <w:r>
              <w:rPr>
                <w:sz w:val="21"/>
              </w:rPr>
              <w:t>指被保险人因为急性出血坏死性胰腺炎已经接受了外科开腹手术治疗，以进行坏死组织清除、坏死病灶切除或胰腺切除。</w:t>
            </w:r>
          </w:p>
          <w:p>
            <w:pPr>
              <w:pStyle w:val="TableParagraph"/>
              <w:spacing w:before="7"/>
              <w:ind w:left="103"/>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033" w:hRule="atLeast"/>
        </w:trPr>
        <w:tc>
          <w:tcPr>
            <w:tcW w:w="1515" w:type="dxa"/>
          </w:tcPr>
          <w:p>
            <w:pPr>
              <w:pStyle w:val="TableParagraph"/>
              <w:spacing w:line="273" w:lineRule="auto" w:before="58"/>
              <w:ind w:right="108"/>
              <w:jc w:val="both"/>
              <w:rPr>
                <w:b/>
                <w:sz w:val="21"/>
              </w:rPr>
            </w:pPr>
            <w:r>
              <w:rPr>
                <w:b/>
                <w:sz w:val="21"/>
              </w:rPr>
              <w:t>32.侵蚀性葡</w:t>
            </w:r>
            <w:r>
              <w:rPr>
                <w:b/>
                <w:spacing w:val="-32"/>
                <w:sz w:val="21"/>
              </w:rPr>
              <w:t>萄胎</w:t>
            </w:r>
            <w:r>
              <w:rPr>
                <w:b/>
                <w:sz w:val="21"/>
              </w:rPr>
              <w:t>（或称恶性葡萄胎）</w:t>
            </w:r>
          </w:p>
        </w:tc>
        <w:tc>
          <w:tcPr>
            <w:tcW w:w="7939" w:type="dxa"/>
          </w:tcPr>
          <w:p>
            <w:pPr>
              <w:pStyle w:val="TableParagraph"/>
              <w:spacing w:line="273" w:lineRule="auto" w:before="58"/>
              <w:ind w:left="103" w:right="476"/>
              <w:rPr>
                <w:sz w:val="21"/>
              </w:rPr>
            </w:pPr>
            <w:r>
              <w:rPr>
                <w:sz w:val="21"/>
              </w:rPr>
              <w:t>指异常增生的绒毛组织浸润性生长浸入子宫肌层或转移至其他器官或组织的葡萄胎，并已经进行化疗或手术治疗的。</w:t>
            </w:r>
          </w:p>
        </w:tc>
      </w:tr>
      <w:tr>
        <w:trPr>
          <w:trHeight w:val="2908" w:hRule="atLeast"/>
        </w:trPr>
        <w:tc>
          <w:tcPr>
            <w:tcW w:w="1515" w:type="dxa"/>
          </w:tcPr>
          <w:p>
            <w:pPr>
              <w:pStyle w:val="TableParagraph"/>
              <w:spacing w:line="273" w:lineRule="auto" w:before="0"/>
              <w:ind w:right="101"/>
              <w:jc w:val="both"/>
              <w:rPr>
                <w:b/>
                <w:sz w:val="21"/>
              </w:rPr>
            </w:pPr>
            <w:r>
              <w:rPr>
                <w:b/>
                <w:sz w:val="21"/>
              </w:rPr>
              <w:t>33.经输血导致 的感染艾滋 病病毒或者患艾滋病</w:t>
            </w:r>
          </w:p>
        </w:tc>
        <w:tc>
          <w:tcPr>
            <w:tcW w:w="7939" w:type="dxa"/>
          </w:tcPr>
          <w:p>
            <w:pPr>
              <w:pStyle w:val="TableParagraph"/>
              <w:spacing w:before="0"/>
              <w:ind w:left="103"/>
              <w:rPr>
                <w:sz w:val="21"/>
              </w:rPr>
            </w:pPr>
            <w:r>
              <w:rPr>
                <w:sz w:val="21"/>
              </w:rPr>
              <w:t>指被保险人感染艾滋病病毒或者患艾滋病且须满足下列全部条件：</w:t>
            </w:r>
          </w:p>
          <w:p>
            <w:pPr>
              <w:pStyle w:val="TableParagraph"/>
              <w:ind w:left="103"/>
              <w:rPr>
                <w:sz w:val="21"/>
              </w:rPr>
            </w:pPr>
            <w:r>
              <w:rPr>
                <w:sz w:val="21"/>
              </w:rPr>
              <w:t>（1）因输血而感染；</w:t>
            </w:r>
          </w:p>
          <w:p>
            <w:pPr>
              <w:pStyle w:val="TableParagraph"/>
              <w:spacing w:line="273" w:lineRule="auto"/>
              <w:ind w:left="629" w:right="144" w:hanging="527"/>
              <w:rPr>
                <w:sz w:val="21"/>
              </w:rPr>
            </w:pPr>
            <w:r>
              <w:rPr>
                <w:sz w:val="21"/>
              </w:rPr>
              <w:t>（2）提供输血治疗的输血中心或医院出具的该项输血感染属医疗责任事故的报告， 或法院终审判决为医疗责任；</w:t>
            </w:r>
          </w:p>
          <w:p>
            <w:pPr>
              <w:pStyle w:val="TableParagraph"/>
              <w:spacing w:before="7"/>
              <w:ind w:left="103"/>
              <w:rPr>
                <w:sz w:val="21"/>
              </w:rPr>
            </w:pPr>
            <w:r>
              <w:rPr>
                <w:sz w:val="21"/>
              </w:rPr>
              <w:t>（3）受感染的被保险人不是血友病患者。</w:t>
            </w:r>
          </w:p>
          <w:p>
            <w:pPr>
              <w:pStyle w:val="TableParagraph"/>
              <w:spacing w:line="273" w:lineRule="auto"/>
              <w:ind w:left="103" w:right="476"/>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8"/>
              <w:ind w:left="103" w:right="251"/>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5438" w:hRule="atLeast"/>
        </w:trPr>
        <w:tc>
          <w:tcPr>
            <w:tcW w:w="1515" w:type="dxa"/>
          </w:tcPr>
          <w:p>
            <w:pPr>
              <w:pStyle w:val="TableParagraph"/>
              <w:spacing w:line="273" w:lineRule="auto" w:before="61"/>
              <w:ind w:right="101"/>
              <w:jc w:val="both"/>
              <w:rPr>
                <w:b/>
                <w:sz w:val="21"/>
              </w:rPr>
            </w:pPr>
            <w:r>
              <w:rPr>
                <w:b/>
                <w:sz w:val="21"/>
              </w:rPr>
              <w:t>34.系统性红斑 狼疮并发重 度的肾功能损害</w:t>
            </w:r>
          </w:p>
        </w:tc>
        <w:tc>
          <w:tcPr>
            <w:tcW w:w="7939" w:type="dxa"/>
          </w:tcPr>
          <w:p>
            <w:pPr>
              <w:pStyle w:val="TableParagraph"/>
              <w:spacing w:line="273" w:lineRule="auto" w:before="61"/>
              <w:ind w:left="103" w:right="263"/>
              <w:rPr>
                <w:sz w:val="21"/>
              </w:rPr>
            </w:pPr>
            <w:r>
              <w:rPr>
                <w:sz w:val="21"/>
              </w:rPr>
              <w:t>指系统性红斑狼疮患者并发狼疮性肾炎而影响和损害肾脏功能。须满足下列全部条件：</w:t>
            </w:r>
          </w:p>
          <w:p>
            <w:pPr>
              <w:pStyle w:val="TableParagraph"/>
              <w:spacing w:before="7"/>
              <w:ind w:left="103"/>
              <w:rPr>
                <w:sz w:val="21"/>
              </w:rPr>
            </w:pPr>
            <w:r>
              <w:rPr>
                <w:sz w:val="21"/>
              </w:rPr>
              <w:t>临床表现须具备以下至少四项条件：</w:t>
            </w:r>
          </w:p>
          <w:p>
            <w:pPr>
              <w:pStyle w:val="TableParagraph"/>
              <w:ind w:left="103"/>
              <w:rPr>
                <w:sz w:val="21"/>
              </w:rPr>
            </w:pPr>
            <w:r>
              <w:rPr>
                <w:sz w:val="21"/>
              </w:rPr>
              <w:t>① 蝶形红斑或盘形红斑；</w:t>
            </w:r>
          </w:p>
          <w:p>
            <w:pPr>
              <w:pStyle w:val="TableParagraph"/>
              <w:ind w:left="103"/>
              <w:rPr>
                <w:sz w:val="21"/>
              </w:rPr>
            </w:pPr>
            <w:r>
              <w:rPr>
                <w:sz w:val="21"/>
              </w:rPr>
              <w:t>② 光敏感；</w:t>
            </w:r>
          </w:p>
          <w:p>
            <w:pPr>
              <w:pStyle w:val="TableParagraph"/>
              <w:ind w:left="103"/>
              <w:rPr>
                <w:sz w:val="21"/>
              </w:rPr>
            </w:pPr>
            <w:r>
              <w:rPr>
                <w:sz w:val="21"/>
              </w:rPr>
              <w:t>③ 口鼻腔黏膜溃疡；</w:t>
            </w:r>
          </w:p>
          <w:p>
            <w:pPr>
              <w:pStyle w:val="TableParagraph"/>
              <w:ind w:left="103"/>
              <w:rPr>
                <w:sz w:val="21"/>
              </w:rPr>
            </w:pPr>
            <w:r>
              <w:rPr>
                <w:sz w:val="21"/>
              </w:rPr>
              <w:t>④ 非畸形性关节炎或多关节痛；</w:t>
            </w:r>
          </w:p>
          <w:p>
            <w:pPr>
              <w:pStyle w:val="TableParagraph"/>
              <w:ind w:left="103"/>
              <w:rPr>
                <w:sz w:val="21"/>
              </w:rPr>
            </w:pPr>
            <w:r>
              <w:rPr>
                <w:sz w:val="21"/>
              </w:rPr>
              <w:t>⑤ 胸膜炎或心包炎；</w:t>
            </w:r>
          </w:p>
          <w:p>
            <w:pPr>
              <w:pStyle w:val="TableParagraph"/>
              <w:ind w:left="103"/>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73" w:lineRule="auto"/>
              <w:ind w:left="103" w:right="478"/>
              <w:rPr>
                <w:sz w:val="21"/>
              </w:rPr>
            </w:pPr>
            <w:r>
              <w:rPr>
                <w:spacing w:val="-1"/>
                <w:sz w:val="21"/>
              </w:rPr>
              <w:t>⑦ 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1"/>
                <w:sz w:val="21"/>
              </w:rPr>
              <w:t> 或溶血性贫血</w:t>
            </w:r>
            <w:r>
              <w:rPr>
                <w:spacing w:val="-106"/>
                <w:sz w:val="21"/>
              </w:rPr>
              <w:t>）</w:t>
            </w:r>
            <w:r>
              <w:rPr>
                <w:sz w:val="21"/>
              </w:rPr>
              <w:t>。</w:t>
            </w:r>
            <w:r>
              <w:rPr>
                <w:spacing w:val="-3"/>
                <w:sz w:val="21"/>
              </w:rPr>
              <w:t>检查结果须具备以下至少两项条件：</w:t>
            </w:r>
          </w:p>
          <w:p>
            <w:pPr>
              <w:pStyle w:val="TableParagraph"/>
              <w:spacing w:before="8"/>
              <w:ind w:left="103"/>
              <w:rPr>
                <w:sz w:val="21"/>
              </w:rPr>
            </w:pPr>
            <w:r>
              <w:rPr>
                <w:sz w:val="21"/>
              </w:rPr>
              <w:t>① 抗 dsDNA 抗体阳性；</w:t>
            </w:r>
          </w:p>
          <w:p>
            <w:pPr>
              <w:pStyle w:val="TableParagraph"/>
              <w:ind w:left="103"/>
              <w:rPr>
                <w:sz w:val="21"/>
              </w:rPr>
            </w:pPr>
            <w:r>
              <w:rPr>
                <w:sz w:val="21"/>
              </w:rPr>
              <w:t>② 抗 Sm 抗体阳性；</w:t>
            </w:r>
          </w:p>
          <w:p>
            <w:pPr>
              <w:pStyle w:val="TableParagraph"/>
              <w:ind w:left="103"/>
              <w:rPr>
                <w:sz w:val="21"/>
              </w:rPr>
            </w:pPr>
            <w:r>
              <w:rPr>
                <w:sz w:val="21"/>
              </w:rPr>
              <w:t>③ 抗核抗体阳性；</w:t>
            </w:r>
          </w:p>
          <w:p>
            <w:pPr>
              <w:pStyle w:val="TableParagraph"/>
              <w:spacing w:before="36"/>
              <w:ind w:left="103"/>
              <w:rPr>
                <w:sz w:val="21"/>
              </w:rPr>
            </w:pPr>
            <w:r>
              <w:rPr>
                <w:sz w:val="21"/>
              </w:rPr>
              <w:t>④ 皮肤狼疮带试验（非病损部位）或肾活检阳性；</w:t>
            </w:r>
          </w:p>
          <w:p>
            <w:pPr>
              <w:pStyle w:val="TableParagraph"/>
              <w:spacing w:before="36"/>
              <w:ind w:left="103"/>
              <w:rPr>
                <w:sz w:val="21"/>
              </w:rPr>
            </w:pPr>
            <w:r>
              <w:rPr>
                <w:sz w:val="21"/>
              </w:rPr>
              <w:t>⑤ C3 低于正常值。</w:t>
            </w:r>
          </w:p>
          <w:p>
            <w:pPr>
              <w:pStyle w:val="TableParagraph"/>
              <w:spacing w:before="36"/>
              <w:ind w:left="103"/>
              <w:rPr>
                <w:sz w:val="21"/>
              </w:rPr>
            </w:pPr>
            <w:r>
              <w:rPr>
                <w:sz w:val="21"/>
              </w:rPr>
              <w:t>狼疮肾炎致使肾功能减弱，内生肌酐清除率低于每分钟 30ml。</w:t>
            </w:r>
          </w:p>
        </w:tc>
      </w:tr>
      <w:tr>
        <w:trPr>
          <w:trHeight w:val="2002" w:hRule="atLeast"/>
        </w:trPr>
        <w:tc>
          <w:tcPr>
            <w:tcW w:w="1515" w:type="dxa"/>
          </w:tcPr>
          <w:p>
            <w:pPr>
              <w:pStyle w:val="TableParagraph"/>
              <w:spacing w:line="273" w:lineRule="auto" w:before="33"/>
              <w:ind w:right="101"/>
              <w:rPr>
                <w:b/>
                <w:sz w:val="21"/>
              </w:rPr>
            </w:pPr>
            <w:r>
              <w:rPr>
                <w:b/>
                <w:sz w:val="21"/>
              </w:rPr>
              <w:t>35.重症肌无力</w:t>
            </w:r>
          </w:p>
        </w:tc>
        <w:tc>
          <w:tcPr>
            <w:tcW w:w="7939" w:type="dxa"/>
          </w:tcPr>
          <w:p>
            <w:pPr>
              <w:pStyle w:val="TableParagraph"/>
              <w:spacing w:line="273" w:lineRule="auto" w:before="33"/>
              <w:ind w:left="103" w:right="303"/>
              <w:jc w:val="both"/>
              <w:rPr>
                <w:sz w:val="21"/>
              </w:rPr>
            </w:pPr>
            <w:r>
              <w:rPr>
                <w:spacing w:val="-5"/>
                <w:sz w:val="21"/>
              </w:rPr>
              <w:t>指一种神经与肌肉接头部位传递障碍的自身免疫性疾病，临床特征是局部或全身横</w:t>
            </w:r>
            <w:r>
              <w:rPr>
                <w:spacing w:val="-7"/>
                <w:sz w:val="21"/>
              </w:rPr>
              <w:t>纹肌于活动时易于疲劳无力，颅神经眼外肌最易累及，也可涉及呼吸肌、下肢近端</w:t>
            </w:r>
            <w:r>
              <w:rPr>
                <w:spacing w:val="-5"/>
                <w:sz w:val="21"/>
              </w:rPr>
              <w:t>肌群以至全身肌肉。且须满足下列全部条件：</w:t>
            </w:r>
          </w:p>
          <w:p>
            <w:pPr>
              <w:pStyle w:val="TableParagraph"/>
              <w:numPr>
                <w:ilvl w:val="0"/>
                <w:numId w:val="45"/>
              </w:numPr>
              <w:tabs>
                <w:tab w:pos="524" w:val="left" w:leader="none"/>
              </w:tabs>
              <w:spacing w:line="240" w:lineRule="auto" w:before="7" w:after="0"/>
              <w:ind w:left="523" w:right="0" w:hanging="420"/>
              <w:jc w:val="left"/>
              <w:rPr>
                <w:sz w:val="21"/>
              </w:rPr>
            </w:pPr>
            <w:r>
              <w:rPr>
                <w:spacing w:val="-3"/>
                <w:sz w:val="21"/>
              </w:rPr>
              <w:t>经药物、胸腺手术治疗一年以上无法控制病情；</w:t>
            </w:r>
          </w:p>
          <w:p>
            <w:pPr>
              <w:pStyle w:val="TableParagraph"/>
              <w:numPr>
                <w:ilvl w:val="0"/>
                <w:numId w:val="45"/>
              </w:numPr>
              <w:tabs>
                <w:tab w:pos="524" w:val="left" w:leader="none"/>
              </w:tabs>
              <w:spacing w:line="273" w:lineRule="auto" w:before="37" w:after="0"/>
              <w:ind w:left="523" w:right="306" w:hanging="420"/>
              <w:jc w:val="left"/>
              <w:rPr>
                <w:sz w:val="21"/>
              </w:rPr>
            </w:pPr>
            <w:r>
              <w:rPr>
                <w:spacing w:val="-7"/>
                <w:sz w:val="21"/>
              </w:rPr>
              <w:t>自主生活能力完全丧失，无法独立完成六项基本日常生活活动中的三项或三项以上。</w:t>
            </w:r>
          </w:p>
        </w:tc>
      </w:tr>
      <w:tr>
        <w:trPr>
          <w:trHeight w:val="1275" w:hRule="atLeast"/>
        </w:trPr>
        <w:tc>
          <w:tcPr>
            <w:tcW w:w="1515" w:type="dxa"/>
          </w:tcPr>
          <w:p>
            <w:pPr>
              <w:pStyle w:val="TableParagraph"/>
              <w:spacing w:line="273" w:lineRule="auto" w:before="59"/>
              <w:ind w:right="101"/>
              <w:rPr>
                <w:b/>
                <w:sz w:val="21"/>
              </w:rPr>
            </w:pPr>
            <w:r>
              <w:rPr>
                <w:b/>
                <w:sz w:val="21"/>
              </w:rPr>
              <w:t>36.持续植物人状态</w:t>
            </w:r>
          </w:p>
        </w:tc>
        <w:tc>
          <w:tcPr>
            <w:tcW w:w="7939" w:type="dxa"/>
          </w:tcPr>
          <w:p>
            <w:pPr>
              <w:pStyle w:val="TableParagraph"/>
              <w:spacing w:line="273" w:lineRule="auto" w:before="59"/>
              <w:ind w:left="103" w:right="303"/>
              <w:jc w:val="both"/>
              <w:rPr>
                <w:sz w:val="21"/>
              </w:rPr>
            </w:pPr>
            <w:r>
              <w:rPr>
                <w:spacing w:val="-5"/>
                <w:sz w:val="21"/>
              </w:rPr>
              <w:t>指因疾病或意外伤害导致被保险人躯体反射和自主反射全部丧失的深昏迷，但呼吸</w:t>
            </w:r>
            <w:r>
              <w:rPr>
                <w:spacing w:val="-6"/>
                <w:sz w:val="21"/>
              </w:rPr>
              <w:t>和心跳是正常的，此时完全依赖支持疗法</w:t>
            </w:r>
            <w:r>
              <w:rPr>
                <w:sz w:val="21"/>
              </w:rPr>
              <w:t>（</w:t>
            </w:r>
            <w:r>
              <w:rPr>
                <w:spacing w:val="-5"/>
                <w:sz w:val="21"/>
              </w:rPr>
              <w:t>如流质食物、静脉注射营养液等</w:t>
            </w:r>
            <w:r>
              <w:rPr>
                <w:spacing w:val="-10"/>
                <w:sz w:val="21"/>
              </w:rPr>
              <w:t>）</w:t>
            </w:r>
            <w:r>
              <w:rPr>
                <w:sz w:val="21"/>
              </w:rPr>
              <w:t>维持</w:t>
            </w:r>
            <w:r>
              <w:rPr>
                <w:spacing w:val="-3"/>
                <w:sz w:val="21"/>
              </w:rPr>
              <w:t>生命的临床状态。且须满足下列全部条件：</w:t>
            </w:r>
          </w:p>
          <w:p>
            <w:pPr>
              <w:pStyle w:val="TableParagraph"/>
              <w:spacing w:line="261" w:lineRule="exact" w:before="8"/>
              <w:ind w:left="103"/>
              <w:jc w:val="both"/>
              <w:rPr>
                <w:sz w:val="21"/>
              </w:rPr>
            </w:pPr>
            <w:r>
              <w:rPr>
                <w:sz w:val="21"/>
              </w:rPr>
              <w:t>（1）诊断为植物人状态后并继续维持治疗 30 天以上；</w:t>
            </w:r>
          </w:p>
        </w:tc>
      </w:tr>
    </w:tbl>
    <w:p>
      <w:pPr>
        <w:spacing w:after="0" w:line="261" w:lineRule="exact"/>
        <w:jc w:val="both"/>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8"/>
        <w:gridCol w:w="7925"/>
      </w:tblGrid>
      <w:tr>
        <w:trPr>
          <w:trHeight w:val="339" w:hRule="atLeast"/>
        </w:trPr>
        <w:tc>
          <w:tcPr>
            <w:tcW w:w="1528" w:type="dxa"/>
          </w:tcPr>
          <w:p>
            <w:pPr>
              <w:pStyle w:val="TableParagraph"/>
              <w:spacing w:before="0"/>
              <w:ind w:left="0"/>
              <w:rPr>
                <w:rFonts w:ascii="Times New Roman"/>
                <w:sz w:val="20"/>
              </w:rPr>
            </w:pPr>
          </w:p>
        </w:tc>
        <w:tc>
          <w:tcPr>
            <w:tcW w:w="7925" w:type="dxa"/>
          </w:tcPr>
          <w:p>
            <w:pPr>
              <w:pStyle w:val="TableParagraph"/>
              <w:spacing w:line="205" w:lineRule="exact" w:before="0"/>
              <w:ind w:left="90"/>
              <w:rPr>
                <w:sz w:val="21"/>
              </w:rPr>
            </w:pPr>
            <w:r>
              <w:rPr>
                <w:sz w:val="21"/>
              </w:rPr>
              <w:t>（2）</w:t>
            </w:r>
            <w:r>
              <w:rPr>
                <w:spacing w:val="-14"/>
                <w:sz w:val="21"/>
              </w:rPr>
              <w:t>治疗 </w:t>
            </w:r>
            <w:r>
              <w:rPr>
                <w:sz w:val="21"/>
              </w:rPr>
              <w:t>30</w:t>
            </w:r>
            <w:r>
              <w:rPr>
                <w:spacing w:val="-7"/>
                <w:sz w:val="21"/>
              </w:rPr>
              <w:t> 天前后的脑电图检查均为等电位</w:t>
            </w:r>
            <w:r>
              <w:rPr>
                <w:sz w:val="21"/>
              </w:rPr>
              <w:t>（</w:t>
            </w:r>
            <w:r>
              <w:rPr>
                <w:spacing w:val="-3"/>
                <w:sz w:val="21"/>
              </w:rPr>
              <w:t>完全平坦</w:t>
            </w:r>
            <w:r>
              <w:rPr>
                <w:spacing w:val="-106"/>
                <w:sz w:val="21"/>
              </w:rPr>
              <w:t>）</w:t>
            </w:r>
            <w:r>
              <w:rPr>
                <w:sz w:val="21"/>
              </w:rPr>
              <w:t>。</w:t>
            </w:r>
          </w:p>
        </w:tc>
      </w:tr>
      <w:tr>
        <w:trPr>
          <w:trHeight w:val="1092" w:hRule="atLeast"/>
        </w:trPr>
        <w:tc>
          <w:tcPr>
            <w:tcW w:w="1528" w:type="dxa"/>
          </w:tcPr>
          <w:p>
            <w:pPr>
              <w:pStyle w:val="TableParagraph"/>
              <w:spacing w:line="273" w:lineRule="auto" w:before="58"/>
              <w:ind w:right="114"/>
              <w:jc w:val="both"/>
              <w:rPr>
                <w:b/>
                <w:sz w:val="21"/>
              </w:rPr>
            </w:pPr>
            <w:r>
              <w:rPr>
                <w:b/>
                <w:sz w:val="21"/>
              </w:rPr>
              <w:t>37.糖尿病导致 的双脚截除</w:t>
            </w:r>
          </w:p>
        </w:tc>
        <w:tc>
          <w:tcPr>
            <w:tcW w:w="7925" w:type="dxa"/>
          </w:tcPr>
          <w:p>
            <w:pPr>
              <w:pStyle w:val="TableParagraph"/>
              <w:spacing w:line="273" w:lineRule="auto" w:before="58"/>
              <w:ind w:left="90" w:right="266"/>
              <w:jc w:val="both"/>
              <w:rPr>
                <w:rFonts w:ascii="黑体" w:eastAsia="黑体" w:hint="eastAsia"/>
                <w:sz w:val="21"/>
              </w:rPr>
            </w:pPr>
            <w:r>
              <w:rPr>
                <w:sz w:val="21"/>
              </w:rPr>
              <w:t>因糖尿病引起的神经及血管病变而经本公司认可的医院的内分泌科专科医生建议， 由足踝或以上位置截除双脚是维持生命的唯一方法。切除一只或多只脚趾或因任何</w:t>
            </w:r>
            <w:r>
              <w:rPr>
                <w:rFonts w:ascii="黑体" w:eastAsia="黑体" w:hint="eastAsia"/>
                <w:sz w:val="21"/>
              </w:rPr>
              <w:t>其他原因引起的截除术并不在保障范围内。</w:t>
            </w:r>
          </w:p>
        </w:tc>
      </w:tr>
      <w:tr>
        <w:trPr>
          <w:trHeight w:val="1083" w:hRule="atLeast"/>
        </w:trPr>
        <w:tc>
          <w:tcPr>
            <w:tcW w:w="1528" w:type="dxa"/>
          </w:tcPr>
          <w:p>
            <w:pPr>
              <w:pStyle w:val="TableParagraph"/>
              <w:spacing w:line="273" w:lineRule="auto" w:before="58"/>
              <w:ind w:right="114"/>
              <w:rPr>
                <w:b/>
                <w:sz w:val="21"/>
              </w:rPr>
            </w:pPr>
            <w:r>
              <w:rPr>
                <w:b/>
                <w:sz w:val="21"/>
              </w:rPr>
              <w:t>38.严重溃疡性结肠炎</w:t>
            </w:r>
          </w:p>
        </w:tc>
        <w:tc>
          <w:tcPr>
            <w:tcW w:w="7925" w:type="dxa"/>
          </w:tcPr>
          <w:p>
            <w:pPr>
              <w:pStyle w:val="TableParagraph"/>
              <w:spacing w:line="273" w:lineRule="auto" w:before="58"/>
              <w:ind w:left="90" w:right="302"/>
              <w:jc w:val="both"/>
              <w:rPr>
                <w:sz w:val="21"/>
              </w:rPr>
            </w:pPr>
            <w:r>
              <w:rPr>
                <w:spacing w:val="-5"/>
                <w:sz w:val="21"/>
              </w:rPr>
              <w:t>指伴有致命性电解质紊乱的急性暴发性溃疡性结肠炎，病变累及全结肠，表现为严</w:t>
            </w:r>
            <w:r>
              <w:rPr>
                <w:spacing w:val="-7"/>
                <w:sz w:val="21"/>
              </w:rPr>
              <w:t>重的血便和系统性症状体征，须根据组织病理学特点诊断，并且被保险人已经接受</w:t>
            </w:r>
            <w:r>
              <w:rPr>
                <w:spacing w:val="-5"/>
                <w:sz w:val="21"/>
              </w:rPr>
              <w:t>了全结肠切除和回肠造瘘术。</w:t>
            </w:r>
          </w:p>
        </w:tc>
      </w:tr>
      <w:tr>
        <w:trPr>
          <w:trHeight w:val="1096" w:hRule="atLeast"/>
        </w:trPr>
        <w:tc>
          <w:tcPr>
            <w:tcW w:w="1528" w:type="dxa"/>
          </w:tcPr>
          <w:p>
            <w:pPr>
              <w:pStyle w:val="TableParagraph"/>
              <w:spacing w:line="273" w:lineRule="auto" w:before="50"/>
              <w:ind w:right="87"/>
              <w:jc w:val="both"/>
              <w:rPr>
                <w:b/>
                <w:sz w:val="21"/>
              </w:rPr>
            </w:pPr>
            <w:r>
              <w:rPr>
                <w:b/>
                <w:sz w:val="21"/>
              </w:rPr>
              <w:t>39.溶血性链球 菌引起的坏疽</w:t>
            </w:r>
          </w:p>
        </w:tc>
        <w:tc>
          <w:tcPr>
            <w:tcW w:w="7925" w:type="dxa"/>
          </w:tcPr>
          <w:p>
            <w:pPr>
              <w:pStyle w:val="TableParagraph"/>
              <w:spacing w:line="273" w:lineRule="auto" w:before="50"/>
              <w:ind w:left="90" w:right="302"/>
              <w:jc w:val="both"/>
              <w:rPr>
                <w:sz w:val="21"/>
              </w:rPr>
            </w:pPr>
            <w:r>
              <w:rPr>
                <w:spacing w:val="-5"/>
                <w:sz w:val="21"/>
              </w:rPr>
              <w:t>指包围肢体或躯干的浅筋膜或深筋膜受到溶血性链球菌的感染，病情在短时间内急</w:t>
            </w:r>
            <w:r>
              <w:rPr>
                <w:spacing w:val="-8"/>
                <w:sz w:val="21"/>
              </w:rPr>
              <w:t>剧恶化，且已经立刻进行了手术及清创术。最后的诊断必须由微生物或病理学专家</w:t>
            </w:r>
            <w:r>
              <w:rPr>
                <w:spacing w:val="-5"/>
                <w:sz w:val="21"/>
              </w:rPr>
              <w:t>进行相关检查后证实。</w:t>
            </w:r>
          </w:p>
        </w:tc>
      </w:tr>
      <w:tr>
        <w:trPr>
          <w:trHeight w:val="1760" w:hRule="atLeast"/>
        </w:trPr>
        <w:tc>
          <w:tcPr>
            <w:tcW w:w="1528" w:type="dxa"/>
          </w:tcPr>
          <w:p>
            <w:pPr>
              <w:pStyle w:val="TableParagraph"/>
              <w:spacing w:line="273" w:lineRule="auto" w:before="70"/>
              <w:ind w:right="114"/>
              <w:rPr>
                <w:b/>
                <w:sz w:val="21"/>
              </w:rPr>
            </w:pPr>
            <w:r>
              <w:rPr>
                <w:b/>
                <w:sz w:val="21"/>
              </w:rPr>
              <w:t>40.坏死性筋膜炎</w:t>
            </w:r>
          </w:p>
        </w:tc>
        <w:tc>
          <w:tcPr>
            <w:tcW w:w="7925" w:type="dxa"/>
          </w:tcPr>
          <w:p>
            <w:pPr>
              <w:pStyle w:val="TableParagraph"/>
              <w:spacing w:before="92"/>
              <w:ind w:left="90"/>
              <w:rPr>
                <w:sz w:val="21"/>
              </w:rPr>
            </w:pPr>
            <w:r>
              <w:rPr>
                <w:sz w:val="21"/>
              </w:rPr>
              <w:t>坏死性筋膜炎的诊断须满足下列全部条件：</w:t>
            </w:r>
          </w:p>
          <w:p>
            <w:pPr>
              <w:pStyle w:val="TableParagraph"/>
              <w:numPr>
                <w:ilvl w:val="0"/>
                <w:numId w:val="46"/>
              </w:numPr>
              <w:tabs>
                <w:tab w:pos="811" w:val="left" w:leader="none"/>
              </w:tabs>
              <w:spacing w:line="240" w:lineRule="auto" w:before="37" w:after="0"/>
              <w:ind w:left="810" w:right="0" w:hanging="720"/>
              <w:jc w:val="left"/>
              <w:rPr>
                <w:sz w:val="21"/>
              </w:rPr>
            </w:pPr>
            <w:r>
              <w:rPr>
                <w:spacing w:val="-3"/>
                <w:sz w:val="21"/>
              </w:rPr>
              <w:t>符合坏死性筋膜炎的一般临床表现；</w:t>
            </w:r>
          </w:p>
          <w:p>
            <w:pPr>
              <w:pStyle w:val="TableParagraph"/>
              <w:numPr>
                <w:ilvl w:val="0"/>
                <w:numId w:val="46"/>
              </w:numPr>
              <w:tabs>
                <w:tab w:pos="811" w:val="left" w:leader="none"/>
              </w:tabs>
              <w:spacing w:line="240" w:lineRule="auto" w:before="37" w:after="0"/>
              <w:ind w:left="810" w:right="0" w:hanging="720"/>
              <w:jc w:val="left"/>
              <w:rPr>
                <w:sz w:val="21"/>
              </w:rPr>
            </w:pPr>
            <w:r>
              <w:rPr>
                <w:spacing w:val="-3"/>
                <w:sz w:val="21"/>
              </w:rPr>
              <w:t>细菌培养检出致病菌；</w:t>
            </w:r>
          </w:p>
          <w:p>
            <w:pPr>
              <w:pStyle w:val="TableParagraph"/>
              <w:numPr>
                <w:ilvl w:val="0"/>
                <w:numId w:val="46"/>
              </w:numPr>
              <w:tabs>
                <w:tab w:pos="811" w:val="left" w:leader="none"/>
              </w:tabs>
              <w:spacing w:line="273" w:lineRule="auto" w:before="37" w:after="0"/>
              <w:ind w:left="810" w:right="311" w:hanging="720"/>
              <w:jc w:val="left"/>
              <w:rPr>
                <w:sz w:val="21"/>
              </w:rPr>
            </w:pPr>
            <w:r>
              <w:rPr>
                <w:sz w:val="21"/>
              </w:rPr>
              <w:t>出现广泛性肌肉及软组织坏死，并导致身体受影响部位功能永久不可逆性丧失。</w:t>
            </w:r>
          </w:p>
        </w:tc>
      </w:tr>
      <w:tr>
        <w:trPr>
          <w:trHeight w:val="2080" w:hRule="atLeast"/>
        </w:trPr>
        <w:tc>
          <w:tcPr>
            <w:tcW w:w="1528" w:type="dxa"/>
          </w:tcPr>
          <w:p>
            <w:pPr>
              <w:pStyle w:val="TableParagraph"/>
              <w:spacing w:line="273" w:lineRule="auto" w:before="69"/>
              <w:ind w:right="114"/>
              <w:rPr>
                <w:b/>
                <w:sz w:val="21"/>
              </w:rPr>
            </w:pPr>
            <w:r>
              <w:rPr>
                <w:b/>
                <w:sz w:val="21"/>
              </w:rPr>
              <w:t>41.系统性硬皮病</w:t>
            </w:r>
          </w:p>
        </w:tc>
        <w:tc>
          <w:tcPr>
            <w:tcW w:w="7925" w:type="dxa"/>
          </w:tcPr>
          <w:p>
            <w:pPr>
              <w:pStyle w:val="TableParagraph"/>
              <w:spacing w:line="273" w:lineRule="auto" w:before="69"/>
              <w:ind w:left="90" w:right="372"/>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，指一种以局限性或弥漫性皮肤增厚和皮肤、血</w:t>
            </w:r>
            <w:r>
              <w:rPr>
                <w:spacing w:val="-3"/>
                <w:sz w:val="21"/>
              </w:rPr>
              <w:t>管、内脏器官异常纤维化为特征的结缔组织病。须满足下列至少一项条件：</w:t>
            </w:r>
          </w:p>
          <w:p>
            <w:pPr>
              <w:pStyle w:val="TableParagraph"/>
              <w:numPr>
                <w:ilvl w:val="0"/>
                <w:numId w:val="47"/>
              </w:numPr>
              <w:tabs>
                <w:tab w:pos="811" w:val="left" w:leader="none"/>
              </w:tabs>
              <w:spacing w:line="240" w:lineRule="auto" w:before="7" w:after="0"/>
              <w:ind w:left="810" w:right="0" w:hanging="720"/>
              <w:jc w:val="left"/>
              <w:rPr>
                <w:sz w:val="21"/>
              </w:rPr>
            </w:pPr>
            <w:r>
              <w:rPr>
                <w:spacing w:val="-3"/>
                <w:sz w:val="21"/>
              </w:rPr>
              <w:t>肺脏：肺部病变进而发展为肺间质纤维化和肺动脉高压；</w:t>
            </w:r>
          </w:p>
          <w:p>
            <w:pPr>
              <w:pStyle w:val="TableParagraph"/>
              <w:numPr>
                <w:ilvl w:val="0"/>
                <w:numId w:val="47"/>
              </w:numPr>
              <w:tabs>
                <w:tab w:pos="811" w:val="left" w:leader="none"/>
              </w:tabs>
              <w:spacing w:line="273" w:lineRule="auto" w:before="37" w:after="0"/>
              <w:ind w:left="810" w:right="304" w:hanging="720"/>
              <w:jc w:val="left"/>
              <w:rPr>
                <w:sz w:val="21"/>
              </w:rPr>
            </w:pPr>
            <w:r>
              <w:rPr>
                <w:spacing w:val="-9"/>
                <w:sz w:val="21"/>
              </w:rPr>
              <w:t>心脏：左室腔扩大至少达到正常值上限的 120</w:t>
            </w:r>
            <w:r>
              <w:rPr>
                <w:spacing w:val="-5"/>
                <w:sz w:val="21"/>
              </w:rPr>
              <w:t>％，且左室射血分数持续性低</w:t>
            </w:r>
            <w:r>
              <w:rPr>
                <w:spacing w:val="-29"/>
                <w:sz w:val="21"/>
              </w:rPr>
              <w:t>于 </w:t>
            </w:r>
            <w:r>
              <w:rPr>
                <w:sz w:val="21"/>
              </w:rPr>
              <w:t>40％；</w:t>
            </w:r>
          </w:p>
          <w:p>
            <w:pPr>
              <w:pStyle w:val="TableParagraph"/>
              <w:numPr>
                <w:ilvl w:val="0"/>
                <w:numId w:val="47"/>
              </w:numPr>
              <w:tabs>
                <w:tab w:pos="811" w:val="left" w:leader="none"/>
              </w:tabs>
              <w:spacing w:line="240" w:lineRule="auto" w:before="8" w:after="0"/>
              <w:ind w:left="810" w:right="0" w:hanging="720"/>
              <w:jc w:val="left"/>
              <w:rPr>
                <w:sz w:val="21"/>
              </w:rPr>
            </w:pPr>
            <w:r>
              <w:rPr>
                <w:spacing w:val="-3"/>
                <w:sz w:val="21"/>
              </w:rPr>
              <w:t>肾脏：肾脏受损导致双肾功能慢性不可逆衰竭，达到尿毒症期。</w:t>
            </w:r>
          </w:p>
        </w:tc>
      </w:tr>
      <w:tr>
        <w:trPr>
          <w:trHeight w:val="832" w:hRule="atLeast"/>
        </w:trPr>
        <w:tc>
          <w:tcPr>
            <w:tcW w:w="1528" w:type="dxa"/>
          </w:tcPr>
          <w:p>
            <w:pPr>
              <w:pStyle w:val="TableParagraph"/>
              <w:spacing w:line="273" w:lineRule="auto" w:before="99"/>
              <w:ind w:right="114"/>
              <w:rPr>
                <w:b/>
                <w:sz w:val="21"/>
              </w:rPr>
            </w:pPr>
            <w:r>
              <w:rPr>
                <w:b/>
                <w:sz w:val="21"/>
              </w:rPr>
              <w:t>42.严重克隆病</w:t>
            </w:r>
          </w:p>
        </w:tc>
        <w:tc>
          <w:tcPr>
            <w:tcW w:w="7925" w:type="dxa"/>
          </w:tcPr>
          <w:p>
            <w:pPr>
              <w:pStyle w:val="TableParagraph"/>
              <w:spacing w:line="273" w:lineRule="auto" w:before="99"/>
              <w:ind w:left="90" w:right="302"/>
              <w:rPr>
                <w:sz w:val="21"/>
              </w:rPr>
            </w:pPr>
            <w:r>
              <w:rPr>
                <w:spacing w:val="-6"/>
                <w:sz w:val="21"/>
              </w:rPr>
              <w:t>指一种慢性肉芽肿性肠炎，具有特征性的克隆病病理组织学变化，须由病理学检查</w:t>
            </w:r>
            <w:r>
              <w:rPr>
                <w:spacing w:val="-4"/>
                <w:sz w:val="21"/>
              </w:rPr>
              <w:t>结果证实，且已经造成瘘管形成并伴有肠梗阻或肠穿孔。</w:t>
            </w:r>
          </w:p>
        </w:tc>
      </w:tr>
      <w:tr>
        <w:trPr>
          <w:trHeight w:val="1419" w:hRule="atLeast"/>
        </w:trPr>
        <w:tc>
          <w:tcPr>
            <w:tcW w:w="1528" w:type="dxa"/>
          </w:tcPr>
          <w:p>
            <w:pPr>
              <w:pStyle w:val="TableParagraph"/>
              <w:spacing w:line="273" w:lineRule="auto" w:before="70"/>
              <w:ind w:right="114"/>
              <w:rPr>
                <w:b/>
                <w:sz w:val="21"/>
              </w:rPr>
            </w:pPr>
            <w:r>
              <w:rPr>
                <w:b/>
                <w:sz w:val="21"/>
              </w:rPr>
              <w:t>43.进行性核上性麻痹</w:t>
            </w:r>
          </w:p>
        </w:tc>
        <w:tc>
          <w:tcPr>
            <w:tcW w:w="7925" w:type="dxa"/>
          </w:tcPr>
          <w:p>
            <w:pPr>
              <w:pStyle w:val="TableParagraph"/>
              <w:spacing w:before="70"/>
              <w:ind w:left="90"/>
              <w:rPr>
                <w:sz w:val="21"/>
              </w:rPr>
            </w:pPr>
            <w:r>
              <w:rPr>
                <w:sz w:val="21"/>
              </w:rPr>
              <w:t>指一种隐袭起病、逐渐加重的神经系统变性疾病，且满足如下临床特征：</w:t>
            </w:r>
          </w:p>
          <w:p>
            <w:pPr>
              <w:pStyle w:val="TableParagraph"/>
              <w:numPr>
                <w:ilvl w:val="0"/>
                <w:numId w:val="48"/>
              </w:numPr>
              <w:tabs>
                <w:tab w:pos="811" w:val="left" w:leader="none"/>
              </w:tabs>
              <w:spacing w:line="240" w:lineRule="auto" w:before="36" w:after="0"/>
              <w:ind w:left="810" w:right="0" w:hanging="720"/>
              <w:jc w:val="left"/>
              <w:rPr>
                <w:sz w:val="21"/>
              </w:rPr>
            </w:pPr>
            <w:r>
              <w:rPr>
                <w:spacing w:val="-2"/>
                <w:sz w:val="21"/>
              </w:rPr>
              <w:t>步态共济失调；</w:t>
            </w:r>
          </w:p>
          <w:p>
            <w:pPr>
              <w:pStyle w:val="TableParagraph"/>
              <w:numPr>
                <w:ilvl w:val="0"/>
                <w:numId w:val="48"/>
              </w:numPr>
              <w:tabs>
                <w:tab w:pos="811" w:val="left" w:leader="none"/>
              </w:tabs>
              <w:spacing w:line="240" w:lineRule="auto" w:before="36" w:after="0"/>
              <w:ind w:left="810" w:right="0" w:hanging="720"/>
              <w:jc w:val="left"/>
              <w:rPr>
                <w:sz w:val="21"/>
              </w:rPr>
            </w:pPr>
            <w:r>
              <w:rPr>
                <w:spacing w:val="-3"/>
                <w:sz w:val="21"/>
              </w:rPr>
              <w:t>对称性眼球垂直运动障碍；</w:t>
            </w:r>
          </w:p>
          <w:p>
            <w:pPr>
              <w:pStyle w:val="TableParagraph"/>
              <w:numPr>
                <w:ilvl w:val="0"/>
                <w:numId w:val="48"/>
              </w:numPr>
              <w:tabs>
                <w:tab w:pos="811" w:val="left" w:leader="none"/>
              </w:tabs>
              <w:spacing w:line="240" w:lineRule="auto" w:before="36" w:after="0"/>
              <w:ind w:left="810" w:right="0" w:hanging="720"/>
              <w:jc w:val="left"/>
              <w:rPr>
                <w:sz w:val="21"/>
              </w:rPr>
            </w:pPr>
            <w:r>
              <w:rPr>
                <w:spacing w:val="-3"/>
                <w:sz w:val="21"/>
              </w:rPr>
              <w:t>假性球麻痹</w:t>
            </w:r>
            <w:r>
              <w:rPr>
                <w:sz w:val="21"/>
              </w:rPr>
              <w:t>（</w:t>
            </w:r>
            <w:r>
              <w:rPr>
                <w:spacing w:val="-3"/>
                <w:sz w:val="21"/>
              </w:rPr>
              <w:t>构音障碍和吞咽困难</w:t>
            </w:r>
            <w:r>
              <w:rPr>
                <w:spacing w:val="-108"/>
                <w:sz w:val="21"/>
              </w:rPr>
              <w:t>）</w:t>
            </w:r>
            <w:r>
              <w:rPr>
                <w:sz w:val="21"/>
              </w:rPr>
              <w:t>。</w:t>
            </w:r>
          </w:p>
        </w:tc>
      </w:tr>
      <w:tr>
        <w:trPr>
          <w:trHeight w:val="2009" w:hRule="atLeast"/>
        </w:trPr>
        <w:tc>
          <w:tcPr>
            <w:tcW w:w="1528" w:type="dxa"/>
          </w:tcPr>
          <w:p>
            <w:pPr>
              <w:pStyle w:val="TableParagraph"/>
              <w:spacing w:line="273" w:lineRule="auto" w:before="62"/>
              <w:ind w:right="114"/>
              <w:jc w:val="both"/>
              <w:rPr>
                <w:b/>
                <w:sz w:val="21"/>
              </w:rPr>
            </w:pPr>
            <w:r>
              <w:rPr>
                <w:b/>
                <w:sz w:val="21"/>
              </w:rPr>
              <w:t>44.非阿尔茨海 默病所致严重痴呆</w:t>
            </w:r>
          </w:p>
        </w:tc>
        <w:tc>
          <w:tcPr>
            <w:tcW w:w="7925" w:type="dxa"/>
          </w:tcPr>
          <w:p>
            <w:pPr>
              <w:pStyle w:val="TableParagraph"/>
              <w:spacing w:line="273" w:lineRule="auto" w:before="62"/>
              <w:ind w:left="90" w:right="197"/>
              <w:rPr>
                <w:sz w:val="21"/>
              </w:rPr>
            </w:pPr>
            <w:r>
              <w:rPr>
                <w:spacing w:val="-3"/>
                <w:sz w:val="21"/>
              </w:rPr>
              <w:t>指因阿尔茨海默病以外的脑的器质性疾病造成脑功能衰竭导致永久不可逆性严重  </w:t>
            </w:r>
            <w:r>
              <w:rPr>
                <w:spacing w:val="-7"/>
                <w:sz w:val="21"/>
              </w:rPr>
              <w:t>痴呆，临床表现为明显的认知能力障碍、行为异常和社交能力减退。被保险人自主</w:t>
            </w:r>
            <w:r>
              <w:rPr>
                <w:spacing w:val="-8"/>
                <w:sz w:val="21"/>
              </w:rPr>
              <w:t>生活能力完全丧失，无法独立完成六项基本日常生活活动中的三项或三项以上，日</w:t>
            </w:r>
            <w:r>
              <w:rPr>
                <w:spacing w:val="-13"/>
                <w:sz w:val="21"/>
              </w:rPr>
              <w:t>常生活必须持续受到他人监护。导致痴呆的疾病必须明确诊断，并且由完整的临床、</w:t>
            </w:r>
            <w:r>
              <w:rPr>
                <w:spacing w:val="-6"/>
                <w:sz w:val="21"/>
              </w:rPr>
              <w:t>实验室和影像学检查结果证实。</w:t>
            </w:r>
          </w:p>
          <w:p>
            <w:pPr>
              <w:pStyle w:val="TableParagraph"/>
              <w:spacing w:before="7"/>
              <w:ind w:left="90"/>
              <w:rPr>
                <w:rFonts w:ascii="黑体" w:eastAsia="黑体" w:hint="eastAsia"/>
                <w:sz w:val="21"/>
              </w:rPr>
            </w:pPr>
            <w:r>
              <w:rPr>
                <w:rFonts w:ascii="黑体" w:eastAsia="黑体" w:hint="eastAsia"/>
                <w:sz w:val="21"/>
              </w:rPr>
              <w:t>神经官能症，精神疾病及酒精中毒所致脑损害不在保障范围内。</w:t>
            </w:r>
          </w:p>
        </w:tc>
      </w:tr>
      <w:tr>
        <w:trPr>
          <w:trHeight w:val="1083" w:hRule="atLeast"/>
        </w:trPr>
        <w:tc>
          <w:tcPr>
            <w:tcW w:w="1528" w:type="dxa"/>
          </w:tcPr>
          <w:p>
            <w:pPr>
              <w:pStyle w:val="TableParagraph"/>
              <w:spacing w:line="273" w:lineRule="auto" w:before="36"/>
              <w:ind w:right="114"/>
              <w:rPr>
                <w:b/>
                <w:sz w:val="21"/>
              </w:rPr>
            </w:pPr>
            <w:r>
              <w:rPr>
                <w:b/>
                <w:sz w:val="21"/>
              </w:rPr>
              <w:t>45.肺泡蛋白质沉积症</w:t>
            </w:r>
          </w:p>
        </w:tc>
        <w:tc>
          <w:tcPr>
            <w:tcW w:w="7925" w:type="dxa"/>
          </w:tcPr>
          <w:p>
            <w:pPr>
              <w:pStyle w:val="TableParagraph"/>
              <w:spacing w:line="273" w:lineRule="auto" w:before="36"/>
              <w:ind w:left="90" w:right="196"/>
              <w:rPr>
                <w:sz w:val="21"/>
              </w:rPr>
            </w:pPr>
            <w:r>
              <w:rPr>
                <w:spacing w:val="-7"/>
                <w:sz w:val="21"/>
              </w:rPr>
              <w:t>指肺泡和细支气管腔内充满不可溶性富磷脂蛋白的疾病，胸部 </w:t>
            </w:r>
            <w:r>
              <w:rPr>
                <w:sz w:val="21"/>
              </w:rPr>
              <w:t>X</w:t>
            </w:r>
            <w:r>
              <w:rPr>
                <w:spacing w:val="-8"/>
                <w:sz w:val="21"/>
              </w:rPr>
              <w:t> 线呈双肺弥漫性肺部磨玻璃影，病理学检查肺泡内充满有过碘酸雪夫</w:t>
            </w:r>
            <w:r>
              <w:rPr>
                <w:spacing w:val="-4"/>
                <w:sz w:val="21"/>
              </w:rPr>
              <w:t>（PAS）</w:t>
            </w:r>
            <w:r>
              <w:rPr>
                <w:spacing w:val="-3"/>
                <w:sz w:val="21"/>
              </w:rPr>
              <w:t>染色阳性的蛋白样物质， 并且接受了肺灌洗治疗。</w:t>
            </w:r>
          </w:p>
        </w:tc>
      </w:tr>
      <w:tr>
        <w:trPr>
          <w:trHeight w:val="1290" w:hRule="atLeast"/>
        </w:trPr>
        <w:tc>
          <w:tcPr>
            <w:tcW w:w="1528" w:type="dxa"/>
          </w:tcPr>
          <w:p>
            <w:pPr>
              <w:pStyle w:val="TableParagraph"/>
              <w:spacing w:line="273" w:lineRule="auto" w:before="73"/>
              <w:ind w:right="114"/>
              <w:jc w:val="both"/>
              <w:rPr>
                <w:b/>
                <w:sz w:val="21"/>
              </w:rPr>
            </w:pPr>
            <w:r>
              <w:rPr>
                <w:b/>
                <w:sz w:val="21"/>
              </w:rPr>
              <w:t>46.严重慢性复 发性胰腺炎</w:t>
            </w:r>
          </w:p>
        </w:tc>
        <w:tc>
          <w:tcPr>
            <w:tcW w:w="7925" w:type="dxa"/>
          </w:tcPr>
          <w:p>
            <w:pPr>
              <w:pStyle w:val="TableParagraph"/>
              <w:spacing w:line="273" w:lineRule="auto" w:before="73"/>
              <w:ind w:left="90" w:right="261"/>
              <w:rPr>
                <w:sz w:val="21"/>
              </w:rPr>
            </w:pPr>
            <w:r>
              <w:rPr>
                <w:sz w:val="21"/>
              </w:rPr>
              <w:t>指有腹痛等典型症状的胰腺炎反复发作，导致胰腺进行性破坏，并导致胰腺功能紊乱而导致严重糖尿病以及营养不良、恶液质。CT 检查证实胰腺存在广泛钙化，且</w:t>
            </w:r>
          </w:p>
          <w:p>
            <w:pPr>
              <w:pStyle w:val="TableParagraph"/>
              <w:spacing w:line="312" w:lineRule="exact" w:before="3"/>
              <w:ind w:left="90" w:right="475"/>
              <w:rPr>
                <w:rFonts w:ascii="黑体" w:eastAsia="黑体" w:hint="eastAsia"/>
                <w:sz w:val="21"/>
              </w:rPr>
            </w:pPr>
            <w:r>
              <w:rPr>
                <w:sz w:val="21"/>
              </w:rPr>
              <w:t>必须接受酶替代以及胰岛素替代治疗六个月以上。诊断必须由消化科专科医生确诊。</w:t>
            </w:r>
            <w:r>
              <w:rPr>
                <w:rFonts w:ascii="黑体" w:eastAsia="黑体" w:hint="eastAsia"/>
                <w:sz w:val="21"/>
              </w:rPr>
              <w:t>酒精导致的慢性复发性胰腺炎不在保障范围内。</w:t>
            </w:r>
          </w:p>
        </w:tc>
      </w:tr>
    </w:tbl>
    <w:p>
      <w:pPr>
        <w:spacing w:after="0" w:line="312" w:lineRule="exact"/>
        <w:rPr>
          <w:rFonts w:ascii="黑体" w:eastAsia="黑体" w:hint="eastAsia"/>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3"/>
      </w:tblGrid>
      <w:tr>
        <w:trPr>
          <w:trHeight w:val="3144" w:hRule="atLeast"/>
        </w:trPr>
        <w:tc>
          <w:tcPr>
            <w:tcW w:w="1515" w:type="dxa"/>
          </w:tcPr>
          <w:p>
            <w:pPr>
              <w:pStyle w:val="TableParagraph"/>
              <w:spacing w:line="205" w:lineRule="exact" w:before="0"/>
              <w:rPr>
                <w:b/>
                <w:sz w:val="21"/>
              </w:rPr>
            </w:pPr>
            <w:r>
              <w:rPr>
                <w:b/>
                <w:sz w:val="21"/>
              </w:rPr>
              <w:t>47.因职业关</w:t>
            </w:r>
          </w:p>
          <w:p>
            <w:pPr>
              <w:pStyle w:val="TableParagraph"/>
              <w:spacing w:line="273" w:lineRule="auto"/>
              <w:ind w:right="111"/>
              <w:jc w:val="both"/>
              <w:rPr>
                <w:b/>
                <w:sz w:val="21"/>
              </w:rPr>
            </w:pPr>
            <w:r>
              <w:rPr>
                <w:b/>
                <w:sz w:val="21"/>
              </w:rPr>
              <w:t>系 导致的感染 艾滋病病毒 或者患艾滋病</w:t>
            </w:r>
          </w:p>
        </w:tc>
        <w:tc>
          <w:tcPr>
            <w:tcW w:w="7833" w:type="dxa"/>
          </w:tcPr>
          <w:p>
            <w:pPr>
              <w:pStyle w:val="TableParagraph"/>
              <w:spacing w:line="205" w:lineRule="exact" w:before="0"/>
              <w:ind w:left="103"/>
              <w:rPr>
                <w:sz w:val="21"/>
              </w:rPr>
            </w:pPr>
            <w:r>
              <w:rPr>
                <w:sz w:val="21"/>
              </w:rPr>
              <w:t>被保险人在其常规职业工作过程中遭遇外伤，或职业需要处理血液或其他体液时感</w:t>
            </w:r>
          </w:p>
          <w:p>
            <w:pPr>
              <w:pStyle w:val="TableParagraph"/>
              <w:ind w:left="103"/>
              <w:rPr>
                <w:sz w:val="21"/>
              </w:rPr>
            </w:pPr>
            <w:r>
              <w:rPr>
                <w:sz w:val="21"/>
              </w:rPr>
              <w:t>染上艾滋病病毒或者患上艾滋病。须满足下列全部条件：</w:t>
            </w:r>
          </w:p>
          <w:p>
            <w:pPr>
              <w:pStyle w:val="TableParagraph"/>
              <w:numPr>
                <w:ilvl w:val="0"/>
                <w:numId w:val="49"/>
              </w:numPr>
              <w:tabs>
                <w:tab w:pos="839" w:val="left" w:leader="none"/>
              </w:tabs>
              <w:spacing w:line="273" w:lineRule="auto" w:before="37" w:after="0"/>
              <w:ind w:left="838" w:right="266" w:hanging="735"/>
              <w:jc w:val="both"/>
              <w:rPr>
                <w:sz w:val="21"/>
              </w:rPr>
            </w:pPr>
            <w:r>
              <w:rPr>
                <w:spacing w:val="-3"/>
                <w:sz w:val="21"/>
              </w:rPr>
              <w:t>感染必须是在被保险人正在从事其职业工作中发生，该职业必须属于下列职业之一；医生和牙科医生、护士、实验室工作人员、医院护工、医生助理和牙医助理、救护车工作人员、助产士。</w:t>
            </w:r>
          </w:p>
          <w:p>
            <w:pPr>
              <w:pStyle w:val="TableParagraph"/>
              <w:spacing w:before="7"/>
              <w:ind w:left="838"/>
              <w:rPr>
                <w:rFonts w:ascii="黑体" w:eastAsia="黑体" w:hint="eastAsia"/>
                <w:sz w:val="21"/>
              </w:rPr>
            </w:pPr>
            <w:r>
              <w:rPr>
                <w:rFonts w:ascii="黑体" w:eastAsia="黑体" w:hint="eastAsia"/>
                <w:sz w:val="21"/>
              </w:rPr>
              <w:t>其他职业不在保障范围内。</w:t>
            </w:r>
          </w:p>
          <w:p>
            <w:pPr>
              <w:pStyle w:val="TableParagraph"/>
              <w:numPr>
                <w:ilvl w:val="0"/>
                <w:numId w:val="49"/>
              </w:numPr>
              <w:tabs>
                <w:tab w:pos="838" w:val="left" w:leader="none"/>
                <w:tab w:pos="839" w:val="left" w:leader="none"/>
              </w:tabs>
              <w:spacing w:line="273" w:lineRule="auto" w:before="36" w:after="0"/>
              <w:ind w:left="838" w:right="199" w:hanging="735"/>
              <w:jc w:val="left"/>
              <w:rPr>
                <w:sz w:val="21"/>
              </w:rPr>
            </w:pPr>
            <w:r>
              <w:rPr>
                <w:spacing w:val="-2"/>
                <w:sz w:val="21"/>
              </w:rPr>
              <w:t>必须提供被保险人在所报事故发生后的 </w:t>
            </w:r>
            <w:r>
              <w:rPr>
                <w:sz w:val="21"/>
              </w:rPr>
              <w:t>5</w:t>
            </w:r>
            <w:r>
              <w:rPr>
                <w:spacing w:val="-6"/>
                <w:sz w:val="21"/>
              </w:rPr>
              <w:t> 天以内进行的检查报告，该报告</w:t>
            </w:r>
            <w:r>
              <w:rPr>
                <w:spacing w:val="-4"/>
                <w:sz w:val="21"/>
              </w:rPr>
              <w:t>必须显示被保险人血液 </w:t>
            </w:r>
            <w:r>
              <w:rPr>
                <w:sz w:val="21"/>
              </w:rPr>
              <w:t>HIV</w:t>
            </w:r>
            <w:r>
              <w:rPr>
                <w:spacing w:val="-2"/>
                <w:sz w:val="21"/>
              </w:rPr>
              <w:t> 病毒阴性和</w:t>
            </w:r>
            <w:r>
              <w:rPr>
                <w:spacing w:val="-3"/>
                <w:sz w:val="21"/>
              </w:rPr>
              <w:t>/</w:t>
            </w:r>
            <w:r>
              <w:rPr>
                <w:spacing w:val="0"/>
                <w:sz w:val="21"/>
              </w:rPr>
              <w:t>或 </w:t>
            </w:r>
            <w:r>
              <w:rPr>
                <w:sz w:val="21"/>
              </w:rPr>
              <w:t>HIV</w:t>
            </w:r>
            <w:r>
              <w:rPr>
                <w:spacing w:val="-1"/>
                <w:sz w:val="21"/>
              </w:rPr>
              <w:t> 抗体阴性；</w:t>
            </w:r>
          </w:p>
          <w:p>
            <w:pPr>
              <w:pStyle w:val="TableParagraph"/>
              <w:numPr>
                <w:ilvl w:val="0"/>
                <w:numId w:val="49"/>
              </w:numPr>
              <w:tabs>
                <w:tab w:pos="838" w:val="left" w:leader="none"/>
                <w:tab w:pos="839" w:val="left" w:leader="none"/>
              </w:tabs>
              <w:spacing w:line="273" w:lineRule="auto" w:before="7" w:after="0"/>
              <w:ind w:left="838" w:right="322" w:hanging="735"/>
              <w:jc w:val="left"/>
              <w:rPr>
                <w:sz w:val="21"/>
              </w:rPr>
            </w:pPr>
            <w:r>
              <w:rPr>
                <w:spacing w:val="-3"/>
                <w:sz w:val="21"/>
              </w:rPr>
              <w:t>必须在事故发生后的 </w:t>
            </w:r>
            <w:r>
              <w:rPr>
                <w:sz w:val="21"/>
              </w:rPr>
              <w:t>6</w:t>
            </w:r>
            <w:r>
              <w:rPr>
                <w:spacing w:val="-3"/>
                <w:sz w:val="21"/>
              </w:rPr>
              <w:t> 个月内证实被保险人体内存在 </w:t>
            </w:r>
            <w:r>
              <w:rPr>
                <w:sz w:val="21"/>
              </w:rPr>
              <w:t>HIV</w:t>
            </w:r>
            <w:r>
              <w:rPr>
                <w:spacing w:val="-10"/>
                <w:sz w:val="21"/>
              </w:rPr>
              <w:t> 病毒或者 </w:t>
            </w:r>
            <w:r>
              <w:rPr>
                <w:sz w:val="21"/>
              </w:rPr>
              <w:t>HIV </w:t>
            </w:r>
            <w:r>
              <w:rPr>
                <w:spacing w:val="-2"/>
                <w:sz w:val="21"/>
              </w:rPr>
              <w:t>抗体，即血液 </w:t>
            </w:r>
            <w:r>
              <w:rPr>
                <w:sz w:val="21"/>
              </w:rPr>
              <w:t>HIV</w:t>
            </w:r>
            <w:r>
              <w:rPr>
                <w:spacing w:val="-2"/>
                <w:sz w:val="21"/>
              </w:rPr>
              <w:t> 病毒阳性和</w:t>
            </w:r>
            <w:r>
              <w:rPr>
                <w:spacing w:val="-3"/>
                <w:sz w:val="21"/>
              </w:rPr>
              <w:t>/</w:t>
            </w:r>
            <w:r>
              <w:rPr>
                <w:spacing w:val="0"/>
                <w:sz w:val="21"/>
              </w:rPr>
              <w:t>或 </w:t>
            </w:r>
            <w:r>
              <w:rPr>
                <w:sz w:val="21"/>
              </w:rPr>
              <w:t>HIV</w:t>
            </w:r>
            <w:r>
              <w:rPr>
                <w:spacing w:val="-1"/>
                <w:sz w:val="21"/>
              </w:rPr>
              <w:t> 抗体阳性。</w:t>
            </w:r>
          </w:p>
        </w:tc>
      </w:tr>
      <w:tr>
        <w:trPr>
          <w:trHeight w:val="2366" w:hRule="atLeast"/>
        </w:trPr>
        <w:tc>
          <w:tcPr>
            <w:tcW w:w="1515" w:type="dxa"/>
          </w:tcPr>
          <w:p>
            <w:pPr>
              <w:pStyle w:val="TableParagraph"/>
              <w:spacing w:line="273" w:lineRule="auto" w:before="55"/>
              <w:ind w:right="101"/>
              <w:rPr>
                <w:b/>
                <w:sz w:val="21"/>
              </w:rPr>
            </w:pPr>
            <w:r>
              <w:rPr>
                <w:b/>
                <w:sz w:val="21"/>
              </w:rPr>
              <w:t>48.原发性硬化性胆管炎</w:t>
            </w:r>
          </w:p>
        </w:tc>
        <w:tc>
          <w:tcPr>
            <w:tcW w:w="7833" w:type="dxa"/>
          </w:tcPr>
          <w:p>
            <w:pPr>
              <w:pStyle w:val="TableParagraph"/>
              <w:spacing w:line="273" w:lineRule="auto" w:before="55"/>
              <w:ind w:left="103" w:right="197"/>
              <w:rPr>
                <w:sz w:val="21"/>
              </w:rPr>
            </w:pPr>
            <w:r>
              <w:rPr>
                <w:spacing w:val="-7"/>
                <w:sz w:val="21"/>
              </w:rPr>
              <w:t>指一种胆汁淤积综合征，其特征是肝内、肝外胆道因纤维化性炎症逐渐狭窄，并最</w:t>
            </w:r>
            <w:r>
              <w:rPr>
                <w:spacing w:val="-5"/>
                <w:sz w:val="21"/>
              </w:rPr>
              <w:t>终导致完全阻塞而发展为肝硬化。本病须经内镜逆行胰胆管造影等影像学检查证 </w:t>
            </w:r>
            <w:r>
              <w:rPr>
                <w:spacing w:val="-4"/>
                <w:sz w:val="21"/>
              </w:rPr>
              <w:t>实，并须满足下列全部条件：</w:t>
            </w:r>
          </w:p>
          <w:p>
            <w:pPr>
              <w:pStyle w:val="TableParagraph"/>
              <w:numPr>
                <w:ilvl w:val="0"/>
                <w:numId w:val="50"/>
              </w:numPr>
              <w:tabs>
                <w:tab w:pos="838" w:val="left" w:leader="none"/>
                <w:tab w:pos="839" w:val="left" w:leader="none"/>
              </w:tabs>
              <w:spacing w:line="240" w:lineRule="auto" w:before="7" w:after="0"/>
              <w:ind w:left="838" w:right="0" w:hanging="735"/>
              <w:jc w:val="left"/>
              <w:rPr>
                <w:sz w:val="21"/>
              </w:rPr>
            </w:pPr>
            <w:r>
              <w:rPr>
                <w:spacing w:val="-5"/>
                <w:sz w:val="21"/>
              </w:rPr>
              <w:t>总胆红素和直接胆红素同时升高，血清 </w:t>
            </w:r>
            <w:r>
              <w:rPr>
                <w:sz w:val="21"/>
              </w:rPr>
              <w:t>ALP&gt;200U/L；</w:t>
            </w:r>
          </w:p>
          <w:p>
            <w:pPr>
              <w:pStyle w:val="TableParagraph"/>
              <w:numPr>
                <w:ilvl w:val="0"/>
                <w:numId w:val="50"/>
              </w:numPr>
              <w:tabs>
                <w:tab w:pos="838" w:val="left" w:leader="none"/>
                <w:tab w:pos="839" w:val="left" w:leader="none"/>
              </w:tabs>
              <w:spacing w:line="240" w:lineRule="auto" w:before="37" w:after="0"/>
              <w:ind w:left="838" w:right="0" w:hanging="735"/>
              <w:jc w:val="left"/>
              <w:rPr>
                <w:sz w:val="21"/>
              </w:rPr>
            </w:pPr>
            <w:r>
              <w:rPr>
                <w:spacing w:val="-3"/>
                <w:sz w:val="21"/>
              </w:rPr>
              <w:t>持续性黄疸病史；</w:t>
            </w:r>
          </w:p>
          <w:p>
            <w:pPr>
              <w:pStyle w:val="TableParagraph"/>
              <w:numPr>
                <w:ilvl w:val="0"/>
                <w:numId w:val="50"/>
              </w:numPr>
              <w:tabs>
                <w:tab w:pos="838" w:val="left" w:leader="none"/>
                <w:tab w:pos="839" w:val="left" w:leader="none"/>
              </w:tabs>
              <w:spacing w:line="240" w:lineRule="auto" w:before="37" w:after="0"/>
              <w:ind w:left="838" w:right="0" w:hanging="735"/>
              <w:jc w:val="left"/>
              <w:rPr>
                <w:sz w:val="21"/>
              </w:rPr>
            </w:pPr>
            <w:r>
              <w:rPr>
                <w:spacing w:val="-3"/>
                <w:sz w:val="21"/>
              </w:rPr>
              <w:t>出现胆汁性肝硬化或门脉高压。</w:t>
            </w:r>
          </w:p>
          <w:p>
            <w:pPr>
              <w:pStyle w:val="TableParagraph"/>
              <w:ind w:left="103"/>
              <w:rPr>
                <w:rFonts w:ascii="黑体" w:eastAsia="黑体" w:hint="eastAsia"/>
                <w:sz w:val="21"/>
              </w:rPr>
            </w:pPr>
            <w:r>
              <w:rPr>
                <w:rFonts w:ascii="黑体" w:eastAsia="黑体" w:hint="eastAsia"/>
                <w:sz w:val="21"/>
              </w:rPr>
              <w:t>因肿瘤或胆管损伤等继发性的硬化性胆管炎不在保障范围内。</w:t>
            </w:r>
          </w:p>
        </w:tc>
      </w:tr>
      <w:tr>
        <w:trPr>
          <w:trHeight w:val="1736" w:hRule="atLeast"/>
        </w:trPr>
        <w:tc>
          <w:tcPr>
            <w:tcW w:w="1515" w:type="dxa"/>
          </w:tcPr>
          <w:p>
            <w:pPr>
              <w:pStyle w:val="TableParagraph"/>
              <w:spacing w:line="273" w:lineRule="auto" w:before="88"/>
              <w:ind w:right="101"/>
              <w:rPr>
                <w:b/>
                <w:sz w:val="21"/>
              </w:rPr>
            </w:pPr>
            <w:r>
              <w:rPr>
                <w:b/>
                <w:sz w:val="21"/>
              </w:rPr>
              <w:t>49.肺淋巴管肌瘤病</w:t>
            </w:r>
          </w:p>
        </w:tc>
        <w:tc>
          <w:tcPr>
            <w:tcW w:w="7833" w:type="dxa"/>
          </w:tcPr>
          <w:p>
            <w:pPr>
              <w:pStyle w:val="TableParagraph"/>
              <w:spacing w:line="273" w:lineRule="auto" w:before="88"/>
              <w:ind w:left="103" w:right="197"/>
              <w:rPr>
                <w:sz w:val="21"/>
              </w:rPr>
            </w:pPr>
            <w:r>
              <w:rPr>
                <w:spacing w:val="-6"/>
                <w:sz w:val="21"/>
              </w:rPr>
              <w:t>肺淋巴管肌瘤病是一种弥漫性肺部疾病，主要病理改变为肺间质、支气管、血管和</w:t>
            </w:r>
            <w:r>
              <w:rPr>
                <w:spacing w:val="-4"/>
                <w:sz w:val="21"/>
              </w:rPr>
              <w:t>淋巴管内出现未成熟的平滑肌异常增生，同时需满足下列条件：</w:t>
            </w:r>
          </w:p>
          <w:p>
            <w:pPr>
              <w:pStyle w:val="TableParagraph"/>
              <w:numPr>
                <w:ilvl w:val="0"/>
                <w:numId w:val="51"/>
              </w:numPr>
              <w:tabs>
                <w:tab w:pos="838" w:val="left" w:leader="none"/>
                <w:tab w:pos="839" w:val="left" w:leader="none"/>
              </w:tabs>
              <w:spacing w:line="240" w:lineRule="auto" w:before="7" w:after="0"/>
              <w:ind w:left="838" w:right="0" w:hanging="735"/>
              <w:jc w:val="left"/>
              <w:rPr>
                <w:sz w:val="21"/>
              </w:rPr>
            </w:pPr>
            <w:r>
              <w:rPr>
                <w:spacing w:val="-3"/>
                <w:sz w:val="21"/>
              </w:rPr>
              <w:t>经组织病理学诊断；</w:t>
            </w:r>
          </w:p>
          <w:p>
            <w:pPr>
              <w:pStyle w:val="TableParagraph"/>
              <w:numPr>
                <w:ilvl w:val="0"/>
                <w:numId w:val="51"/>
              </w:numPr>
              <w:tabs>
                <w:tab w:pos="838" w:val="left" w:leader="none"/>
                <w:tab w:pos="839" w:val="left" w:leader="none"/>
              </w:tabs>
              <w:spacing w:line="240" w:lineRule="auto" w:before="37" w:after="0"/>
              <w:ind w:left="838" w:right="0" w:hanging="735"/>
              <w:jc w:val="left"/>
              <w:rPr>
                <w:sz w:val="21"/>
              </w:rPr>
            </w:pPr>
            <w:r>
              <w:rPr>
                <w:sz w:val="21"/>
              </w:rPr>
              <w:t>CT</w:t>
            </w:r>
            <w:r>
              <w:rPr>
                <w:spacing w:val="-8"/>
                <w:sz w:val="21"/>
              </w:rPr>
              <w:t> 显示双肺弥漫性囊性改变；</w:t>
            </w:r>
          </w:p>
          <w:p>
            <w:pPr>
              <w:pStyle w:val="TableParagraph"/>
              <w:numPr>
                <w:ilvl w:val="0"/>
                <w:numId w:val="51"/>
              </w:numPr>
              <w:tabs>
                <w:tab w:pos="840" w:val="left" w:leader="none"/>
                <w:tab w:pos="841" w:val="left" w:leader="none"/>
              </w:tabs>
              <w:spacing w:line="240" w:lineRule="auto" w:before="36" w:after="0"/>
              <w:ind w:left="840" w:right="0" w:hanging="737"/>
              <w:jc w:val="left"/>
              <w:rPr>
                <w:sz w:val="21"/>
              </w:rPr>
            </w:pPr>
            <w:r>
              <w:rPr>
                <w:spacing w:val="-3"/>
                <w:sz w:val="21"/>
              </w:rPr>
              <w:t>血气提示低氧血症。</w:t>
            </w:r>
          </w:p>
        </w:tc>
      </w:tr>
      <w:tr>
        <w:trPr>
          <w:trHeight w:val="1099" w:hRule="atLeast"/>
        </w:trPr>
        <w:tc>
          <w:tcPr>
            <w:tcW w:w="1515" w:type="dxa"/>
          </w:tcPr>
          <w:p>
            <w:pPr>
              <w:pStyle w:val="TableParagraph"/>
              <w:spacing w:before="49"/>
              <w:rPr>
                <w:b/>
                <w:sz w:val="21"/>
              </w:rPr>
            </w:pPr>
            <w:r>
              <w:rPr>
                <w:b/>
                <w:sz w:val="21"/>
              </w:rPr>
              <w:t>50.象皮病</w:t>
            </w:r>
          </w:p>
        </w:tc>
        <w:tc>
          <w:tcPr>
            <w:tcW w:w="7833" w:type="dxa"/>
          </w:tcPr>
          <w:p>
            <w:pPr>
              <w:pStyle w:val="TableParagraph"/>
              <w:spacing w:line="273" w:lineRule="auto" w:before="49"/>
              <w:ind w:left="103" w:right="197"/>
              <w:jc w:val="both"/>
              <w:rPr>
                <w:sz w:val="21"/>
              </w:rPr>
            </w:pPr>
            <w:r>
              <w:rPr>
                <w:spacing w:val="-6"/>
                <w:sz w:val="21"/>
              </w:rPr>
              <w:t>指末期丝虫病，按国际淋巴学会分级为三度淋巴液肿，其临床表现为肢体非凹陷性</w:t>
            </w:r>
            <w:r>
              <w:rPr>
                <w:spacing w:val="-8"/>
                <w:sz w:val="21"/>
              </w:rPr>
              <w:t>水肿伴畸形增大、硬皮症和疣状增生。此病症须经相关专科医生根据临床表现和微</w:t>
            </w:r>
            <w:r>
              <w:rPr>
                <w:spacing w:val="-5"/>
                <w:sz w:val="21"/>
              </w:rPr>
              <w:t>丝蚴的化验结果确诊。</w:t>
            </w:r>
          </w:p>
        </w:tc>
      </w:tr>
      <w:tr>
        <w:trPr>
          <w:trHeight w:val="1119" w:hRule="atLeast"/>
        </w:trPr>
        <w:tc>
          <w:tcPr>
            <w:tcW w:w="1515" w:type="dxa"/>
          </w:tcPr>
          <w:p>
            <w:pPr>
              <w:pStyle w:val="TableParagraph"/>
              <w:spacing w:before="75"/>
              <w:rPr>
                <w:b/>
                <w:sz w:val="21"/>
              </w:rPr>
            </w:pPr>
            <w:r>
              <w:rPr>
                <w:b/>
                <w:sz w:val="21"/>
              </w:rPr>
              <w:t>51.胰腺移植</w:t>
            </w:r>
          </w:p>
        </w:tc>
        <w:tc>
          <w:tcPr>
            <w:tcW w:w="7833" w:type="dxa"/>
          </w:tcPr>
          <w:p>
            <w:pPr>
              <w:pStyle w:val="TableParagraph"/>
              <w:spacing w:line="273" w:lineRule="auto" w:before="75"/>
              <w:ind w:left="103" w:right="197"/>
              <w:rPr>
                <w:sz w:val="21"/>
              </w:rPr>
            </w:pPr>
            <w:r>
              <w:rPr>
                <w:spacing w:val="-6"/>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TableParagraph"/>
              <w:spacing w:before="7"/>
              <w:ind w:left="103"/>
              <w:rPr>
                <w:rFonts w:ascii="黑体" w:eastAsia="黑体" w:hint="eastAsia"/>
                <w:sz w:val="21"/>
              </w:rPr>
            </w:pPr>
            <w:r>
              <w:rPr>
                <w:rFonts w:ascii="黑体" w:eastAsia="黑体" w:hint="eastAsia"/>
                <w:sz w:val="21"/>
              </w:rPr>
              <w:t>单纯胰岛移植、部分胰腺组织或细胞的移植不在保障范围内。</w:t>
            </w:r>
          </w:p>
        </w:tc>
      </w:tr>
      <w:tr>
        <w:trPr>
          <w:trHeight w:val="1717" w:hRule="atLeast"/>
        </w:trPr>
        <w:tc>
          <w:tcPr>
            <w:tcW w:w="1515" w:type="dxa"/>
          </w:tcPr>
          <w:p>
            <w:pPr>
              <w:pStyle w:val="TableParagraph"/>
              <w:spacing w:line="273" w:lineRule="auto" w:before="69"/>
              <w:ind w:right="101"/>
              <w:rPr>
                <w:b/>
                <w:sz w:val="21"/>
              </w:rPr>
            </w:pPr>
            <w:r>
              <w:rPr>
                <w:b/>
                <w:sz w:val="21"/>
              </w:rPr>
              <w:t>52.严重川崎病</w:t>
            </w:r>
          </w:p>
        </w:tc>
        <w:tc>
          <w:tcPr>
            <w:tcW w:w="7833" w:type="dxa"/>
          </w:tcPr>
          <w:p>
            <w:pPr>
              <w:pStyle w:val="TableParagraph"/>
              <w:spacing w:line="273" w:lineRule="auto" w:before="69"/>
              <w:ind w:left="103" w:right="197"/>
              <w:jc w:val="both"/>
              <w:rPr>
                <w:sz w:val="21"/>
              </w:rPr>
            </w:pPr>
            <w:r>
              <w:rPr>
                <w:spacing w:val="-6"/>
                <w:sz w:val="21"/>
              </w:rPr>
              <w:t>是一种血管炎综合征，临床表现为急性发热，皮肤粘膜病损和淋巴结肿大。本病须</w:t>
            </w:r>
            <w:r>
              <w:rPr>
                <w:spacing w:val="-7"/>
                <w:sz w:val="21"/>
              </w:rPr>
              <w:t>经专科医生明确诊断，同时须由血管造影或超声心动图检查证实，满足下列至少一</w:t>
            </w:r>
            <w:r>
              <w:rPr>
                <w:spacing w:val="-5"/>
                <w:sz w:val="21"/>
              </w:rPr>
              <w:t>项条件：</w:t>
            </w:r>
          </w:p>
          <w:p>
            <w:pPr>
              <w:pStyle w:val="TableParagraph"/>
              <w:numPr>
                <w:ilvl w:val="0"/>
                <w:numId w:val="52"/>
              </w:numPr>
              <w:tabs>
                <w:tab w:pos="839" w:val="left" w:leader="none"/>
              </w:tabs>
              <w:spacing w:line="240" w:lineRule="auto" w:before="7" w:after="0"/>
              <w:ind w:left="838" w:right="0" w:hanging="735"/>
              <w:jc w:val="both"/>
              <w:rPr>
                <w:sz w:val="21"/>
              </w:rPr>
            </w:pPr>
            <w:r>
              <w:rPr>
                <w:spacing w:val="-5"/>
                <w:sz w:val="21"/>
              </w:rPr>
              <w:t>伴有冠状动脉瘤，且冠状动脉瘤于最初急性发病后持续至少 </w:t>
            </w:r>
            <w:r>
              <w:rPr>
                <w:sz w:val="21"/>
              </w:rPr>
              <w:t>180</w:t>
            </w:r>
            <w:r>
              <w:rPr>
                <w:spacing w:val="-15"/>
                <w:sz w:val="21"/>
              </w:rPr>
              <w:t> 天；</w:t>
            </w:r>
          </w:p>
          <w:p>
            <w:pPr>
              <w:pStyle w:val="TableParagraph"/>
              <w:numPr>
                <w:ilvl w:val="0"/>
                <w:numId w:val="52"/>
              </w:numPr>
              <w:tabs>
                <w:tab w:pos="841" w:val="left" w:leader="none"/>
              </w:tabs>
              <w:spacing w:line="240" w:lineRule="auto" w:before="37" w:after="0"/>
              <w:ind w:left="840" w:right="0" w:hanging="737"/>
              <w:jc w:val="both"/>
              <w:rPr>
                <w:sz w:val="21"/>
              </w:rPr>
            </w:pPr>
            <w:r>
              <w:rPr>
                <w:spacing w:val="-3"/>
                <w:sz w:val="21"/>
              </w:rPr>
              <w:t>伴有冠状动脉瘤，且实际接受了对冠状动脉瘤进行的手术治疗。</w:t>
            </w:r>
          </w:p>
        </w:tc>
      </w:tr>
      <w:tr>
        <w:trPr>
          <w:trHeight w:val="1696" w:hRule="atLeast"/>
        </w:trPr>
        <w:tc>
          <w:tcPr>
            <w:tcW w:w="1515" w:type="dxa"/>
          </w:tcPr>
          <w:p>
            <w:pPr>
              <w:pStyle w:val="TableParagraph"/>
              <w:spacing w:line="273" w:lineRule="auto" w:before="49"/>
              <w:ind w:right="101"/>
              <w:rPr>
                <w:b/>
                <w:sz w:val="21"/>
              </w:rPr>
            </w:pPr>
            <w:r>
              <w:rPr>
                <w:b/>
                <w:sz w:val="21"/>
              </w:rPr>
              <w:t>53.肾髓质囊性病</w:t>
            </w:r>
          </w:p>
        </w:tc>
        <w:tc>
          <w:tcPr>
            <w:tcW w:w="7833" w:type="dxa"/>
          </w:tcPr>
          <w:p>
            <w:pPr>
              <w:pStyle w:val="TableParagraph"/>
              <w:spacing w:before="49"/>
              <w:ind w:left="103"/>
              <w:rPr>
                <w:sz w:val="21"/>
              </w:rPr>
            </w:pPr>
            <w:r>
              <w:rPr>
                <w:sz w:val="21"/>
              </w:rPr>
              <w:t>肾髓质囊性病的诊断须同时符合下列要求：</w:t>
            </w:r>
          </w:p>
          <w:p>
            <w:pPr>
              <w:pStyle w:val="TableParagraph"/>
              <w:numPr>
                <w:ilvl w:val="0"/>
                <w:numId w:val="53"/>
              </w:numPr>
              <w:tabs>
                <w:tab w:pos="838" w:val="left" w:leader="none"/>
                <w:tab w:pos="839" w:val="left" w:leader="none"/>
              </w:tabs>
              <w:spacing w:line="240" w:lineRule="auto" w:before="37" w:after="0"/>
              <w:ind w:left="838" w:right="0" w:hanging="735"/>
              <w:jc w:val="left"/>
              <w:rPr>
                <w:sz w:val="21"/>
              </w:rPr>
            </w:pPr>
            <w:r>
              <w:rPr>
                <w:spacing w:val="-3"/>
                <w:sz w:val="21"/>
              </w:rPr>
              <w:t>肾髓质有囊肿、肾小管萎缩及间质纤维化等病理改变；</w:t>
            </w:r>
          </w:p>
          <w:p>
            <w:pPr>
              <w:pStyle w:val="TableParagraph"/>
              <w:numPr>
                <w:ilvl w:val="0"/>
                <w:numId w:val="53"/>
              </w:numPr>
              <w:tabs>
                <w:tab w:pos="838" w:val="left" w:leader="none"/>
                <w:tab w:pos="839" w:val="left" w:leader="none"/>
              </w:tabs>
              <w:spacing w:line="240" w:lineRule="auto" w:before="37" w:after="0"/>
              <w:ind w:left="838" w:right="0" w:hanging="735"/>
              <w:jc w:val="left"/>
              <w:rPr>
                <w:sz w:val="21"/>
              </w:rPr>
            </w:pPr>
            <w:r>
              <w:rPr>
                <w:spacing w:val="-3"/>
                <w:sz w:val="21"/>
              </w:rPr>
              <w:t>贫血、多尿及肾功能衰竭等临床表现；</w:t>
            </w:r>
          </w:p>
          <w:p>
            <w:pPr>
              <w:pStyle w:val="TableParagraph"/>
              <w:numPr>
                <w:ilvl w:val="0"/>
                <w:numId w:val="53"/>
              </w:numPr>
              <w:tabs>
                <w:tab w:pos="838" w:val="left" w:leader="none"/>
                <w:tab w:pos="839" w:val="left" w:leader="none"/>
              </w:tabs>
              <w:spacing w:line="240" w:lineRule="auto" w:before="37" w:after="0"/>
              <w:ind w:left="838" w:right="0" w:hanging="735"/>
              <w:jc w:val="left"/>
              <w:rPr>
                <w:sz w:val="21"/>
              </w:rPr>
            </w:pPr>
            <w:r>
              <w:rPr>
                <w:spacing w:val="-3"/>
                <w:sz w:val="21"/>
              </w:rPr>
              <w:t>诊断须由肾组织活检确定。</w:t>
            </w:r>
          </w:p>
          <w:p>
            <w:pPr>
              <w:pStyle w:val="TableParagraph"/>
              <w:ind w:left="103"/>
              <w:rPr>
                <w:rFonts w:ascii="黑体" w:eastAsia="黑体" w:hint="eastAsia"/>
                <w:sz w:val="21"/>
              </w:rPr>
            </w:pPr>
            <w:r>
              <w:rPr>
                <w:rFonts w:ascii="黑体" w:eastAsia="黑体" w:hint="eastAsia"/>
                <w:sz w:val="21"/>
              </w:rPr>
              <w:t>单独或良性肾囊肿则不在保障范围内。</w:t>
            </w:r>
          </w:p>
        </w:tc>
      </w:tr>
      <w:tr>
        <w:trPr>
          <w:trHeight w:val="954" w:hRule="atLeast"/>
        </w:trPr>
        <w:tc>
          <w:tcPr>
            <w:tcW w:w="1515" w:type="dxa"/>
          </w:tcPr>
          <w:p>
            <w:pPr>
              <w:pStyle w:val="TableParagraph"/>
              <w:spacing w:before="49"/>
              <w:rPr>
                <w:b/>
                <w:sz w:val="21"/>
              </w:rPr>
            </w:pPr>
            <w:r>
              <w:rPr>
                <w:b/>
                <w:sz w:val="21"/>
              </w:rPr>
              <w:t>54.多处臂丛</w:t>
            </w:r>
          </w:p>
          <w:p>
            <w:pPr>
              <w:pStyle w:val="TableParagraph"/>
              <w:spacing w:line="310" w:lineRule="atLeast" w:before="2"/>
              <w:ind w:right="111"/>
              <w:rPr>
                <w:b/>
                <w:sz w:val="21"/>
              </w:rPr>
            </w:pPr>
            <w:r>
              <w:rPr>
                <w:b/>
                <w:sz w:val="21"/>
              </w:rPr>
              <w:t>神 经根性撕脱</w:t>
            </w:r>
          </w:p>
        </w:tc>
        <w:tc>
          <w:tcPr>
            <w:tcW w:w="7833" w:type="dxa"/>
          </w:tcPr>
          <w:p>
            <w:pPr>
              <w:pStyle w:val="TableParagraph"/>
              <w:spacing w:before="49"/>
              <w:ind w:left="103"/>
              <w:rPr>
                <w:sz w:val="21"/>
              </w:rPr>
            </w:pPr>
            <w:r>
              <w:rPr>
                <w:sz w:val="21"/>
              </w:rPr>
              <w:t>由于疾病或意外导致至少两根臂丛神经根性撕脱，所造成的手臂感觉功能与运动功</w:t>
            </w:r>
          </w:p>
          <w:p>
            <w:pPr>
              <w:pStyle w:val="TableParagraph"/>
              <w:spacing w:line="310" w:lineRule="atLeast" w:before="2"/>
              <w:ind w:left="103" w:right="197"/>
              <w:rPr>
                <w:sz w:val="21"/>
              </w:rPr>
            </w:pPr>
            <w:r>
              <w:rPr>
                <w:spacing w:val="-6"/>
                <w:sz w:val="21"/>
              </w:rPr>
              <w:t>能完全永久性丧失。该病必须由本公司认可的医院的专科医生确诊，并且有完整的</w:t>
            </w:r>
            <w:r>
              <w:rPr>
                <w:spacing w:val="-4"/>
                <w:sz w:val="21"/>
              </w:rPr>
              <w:t>电生理检查结果证实。</w:t>
            </w:r>
          </w:p>
        </w:tc>
      </w:tr>
    </w:tbl>
    <w:p>
      <w:pPr>
        <w:spacing w:after="0" w:line="310" w:lineRule="atLeast"/>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4"/>
      </w:tblGrid>
      <w:tr>
        <w:trPr>
          <w:trHeight w:val="985" w:hRule="atLeast"/>
        </w:trPr>
        <w:tc>
          <w:tcPr>
            <w:tcW w:w="1515" w:type="dxa"/>
          </w:tcPr>
          <w:p>
            <w:pPr>
              <w:pStyle w:val="TableParagraph"/>
              <w:spacing w:line="205" w:lineRule="exact" w:before="0"/>
              <w:rPr>
                <w:b/>
                <w:sz w:val="21"/>
              </w:rPr>
            </w:pPr>
            <w:r>
              <w:rPr>
                <w:b/>
                <w:sz w:val="21"/>
              </w:rPr>
              <w:t>55.埃博拉病</w:t>
            </w:r>
          </w:p>
          <w:p>
            <w:pPr>
              <w:pStyle w:val="TableParagraph"/>
              <w:rPr>
                <w:b/>
                <w:sz w:val="21"/>
              </w:rPr>
            </w:pPr>
            <w:r>
              <w:rPr>
                <w:b/>
                <w:sz w:val="21"/>
              </w:rPr>
              <w:t>毒感染</w:t>
            </w:r>
          </w:p>
        </w:tc>
        <w:tc>
          <w:tcPr>
            <w:tcW w:w="7834" w:type="dxa"/>
          </w:tcPr>
          <w:p>
            <w:pPr>
              <w:pStyle w:val="TableParagraph"/>
              <w:spacing w:line="205" w:lineRule="exact" w:before="0"/>
              <w:ind w:left="103"/>
              <w:rPr>
                <w:sz w:val="21"/>
              </w:rPr>
            </w:pPr>
            <w:r>
              <w:rPr>
                <w:sz w:val="21"/>
              </w:rPr>
              <w:t>指埃博拉病毒感染导致的烈性传染病，并须满足下列全部条件：</w:t>
            </w:r>
          </w:p>
          <w:p>
            <w:pPr>
              <w:pStyle w:val="TableParagraph"/>
              <w:numPr>
                <w:ilvl w:val="0"/>
                <w:numId w:val="54"/>
              </w:numPr>
              <w:tabs>
                <w:tab w:pos="838" w:val="left" w:leader="none"/>
                <w:tab w:pos="839" w:val="left" w:leader="none"/>
              </w:tabs>
              <w:spacing w:line="240" w:lineRule="auto" w:before="37" w:after="0"/>
              <w:ind w:left="838" w:right="0" w:hanging="735"/>
              <w:jc w:val="left"/>
              <w:rPr>
                <w:sz w:val="21"/>
              </w:rPr>
            </w:pPr>
            <w:r>
              <w:rPr>
                <w:spacing w:val="-3"/>
                <w:sz w:val="21"/>
              </w:rPr>
              <w:t>实验室检查证实埃博拉病毒的存在；</w:t>
            </w:r>
          </w:p>
          <w:p>
            <w:pPr>
              <w:pStyle w:val="TableParagraph"/>
              <w:numPr>
                <w:ilvl w:val="0"/>
                <w:numId w:val="54"/>
              </w:numPr>
              <w:tabs>
                <w:tab w:pos="840" w:val="left" w:leader="none"/>
                <w:tab w:pos="841" w:val="left" w:leader="none"/>
              </w:tabs>
              <w:spacing w:line="240" w:lineRule="auto" w:before="37" w:after="0"/>
              <w:ind w:left="840" w:right="0" w:hanging="737"/>
              <w:jc w:val="left"/>
              <w:rPr>
                <w:sz w:val="21"/>
              </w:rPr>
            </w:pPr>
            <w:r>
              <w:rPr>
                <w:spacing w:val="-2"/>
                <w:sz w:val="21"/>
              </w:rPr>
              <w:t>从发病开始有超过 </w:t>
            </w:r>
            <w:r>
              <w:rPr>
                <w:sz w:val="21"/>
              </w:rPr>
              <w:t>30</w:t>
            </w:r>
            <w:r>
              <w:rPr>
                <w:spacing w:val="-3"/>
                <w:sz w:val="21"/>
              </w:rPr>
              <w:t> 天的进行性感染症状。</w:t>
            </w:r>
          </w:p>
        </w:tc>
      </w:tr>
      <w:tr>
        <w:trPr>
          <w:trHeight w:val="2686" w:hRule="atLeast"/>
        </w:trPr>
        <w:tc>
          <w:tcPr>
            <w:tcW w:w="1515" w:type="dxa"/>
          </w:tcPr>
          <w:p>
            <w:pPr>
              <w:pStyle w:val="TableParagraph"/>
              <w:spacing w:line="273" w:lineRule="auto" w:before="80"/>
              <w:ind w:right="101"/>
              <w:rPr>
                <w:b/>
                <w:sz w:val="21"/>
              </w:rPr>
            </w:pPr>
            <w:r>
              <w:rPr>
                <w:b/>
                <w:sz w:val="21"/>
              </w:rPr>
              <w:t>56.失去一肢及一眼</w:t>
            </w:r>
          </w:p>
        </w:tc>
        <w:tc>
          <w:tcPr>
            <w:tcW w:w="7834" w:type="dxa"/>
          </w:tcPr>
          <w:p>
            <w:pPr>
              <w:pStyle w:val="TableParagraph"/>
              <w:spacing w:line="273" w:lineRule="auto" w:before="80"/>
              <w:ind w:left="103" w:right="150"/>
              <w:rPr>
                <w:sz w:val="21"/>
              </w:rPr>
            </w:pPr>
            <w:r>
              <w:rPr>
                <w:sz w:val="21"/>
              </w:rPr>
              <w:t>因疾病或意外伤害导致单眼视力丧失及任何一肢自腕关节或踝关节近端（靠近躯干端）以上完全性断离。</w:t>
            </w:r>
          </w:p>
          <w:p>
            <w:pPr>
              <w:pStyle w:val="TableParagraph"/>
              <w:spacing w:before="7"/>
              <w:ind w:left="103"/>
              <w:rPr>
                <w:sz w:val="21"/>
              </w:rPr>
            </w:pPr>
            <w:r>
              <w:rPr>
                <w:sz w:val="21"/>
              </w:rPr>
              <w:t>单眼视力丧失指单眼视力永久不可逆性丧失，患眼须满足下列至少一项条件：</w:t>
            </w:r>
          </w:p>
          <w:p>
            <w:pPr>
              <w:pStyle w:val="TableParagraph"/>
              <w:numPr>
                <w:ilvl w:val="0"/>
                <w:numId w:val="55"/>
              </w:numPr>
              <w:tabs>
                <w:tab w:pos="838" w:val="left" w:leader="none"/>
                <w:tab w:pos="839" w:val="left" w:leader="none"/>
              </w:tabs>
              <w:spacing w:line="240" w:lineRule="auto" w:before="36" w:after="0"/>
              <w:ind w:left="838" w:right="0" w:hanging="735"/>
              <w:jc w:val="left"/>
              <w:rPr>
                <w:sz w:val="21"/>
              </w:rPr>
            </w:pPr>
            <w:r>
              <w:rPr>
                <w:spacing w:val="-3"/>
                <w:sz w:val="21"/>
              </w:rPr>
              <w:t>眼球缺失或摘除；</w:t>
            </w:r>
          </w:p>
          <w:p>
            <w:pPr>
              <w:pStyle w:val="TableParagraph"/>
              <w:numPr>
                <w:ilvl w:val="0"/>
                <w:numId w:val="55"/>
              </w:numPr>
              <w:tabs>
                <w:tab w:pos="838" w:val="left" w:leader="none"/>
                <w:tab w:pos="839" w:val="left" w:leader="none"/>
              </w:tabs>
              <w:spacing w:line="273" w:lineRule="auto" w:before="36" w:after="0"/>
              <w:ind w:left="838" w:right="217" w:hanging="735"/>
              <w:jc w:val="left"/>
              <w:rPr>
                <w:sz w:val="21"/>
              </w:rPr>
            </w:pPr>
            <w:r>
              <w:rPr>
                <w:spacing w:val="-6"/>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numPr>
                <w:ilvl w:val="0"/>
                <w:numId w:val="55"/>
              </w:numPr>
              <w:tabs>
                <w:tab w:pos="838" w:val="left" w:leader="none"/>
                <w:tab w:pos="839" w:val="left" w:leader="none"/>
              </w:tabs>
              <w:spacing w:line="240" w:lineRule="auto" w:before="7" w:after="0"/>
              <w:ind w:left="838" w:right="0" w:hanging="735"/>
              <w:jc w:val="left"/>
              <w:rPr>
                <w:sz w:val="21"/>
              </w:rPr>
            </w:pPr>
            <w:r>
              <w:rPr>
                <w:spacing w:val="-9"/>
                <w:sz w:val="21"/>
              </w:rPr>
              <w:t>视野半径小于 </w:t>
            </w:r>
            <w:r>
              <w:rPr>
                <w:sz w:val="21"/>
              </w:rPr>
              <w:t>5</w:t>
            </w:r>
            <w:r>
              <w:rPr>
                <w:spacing w:val="-1"/>
                <w:sz w:val="21"/>
              </w:rPr>
              <w:t> 度。</w:t>
            </w:r>
          </w:p>
          <w:p>
            <w:pPr>
              <w:pStyle w:val="TableParagraph"/>
              <w:ind w:left="10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3952" w:hRule="atLeast"/>
        </w:trPr>
        <w:tc>
          <w:tcPr>
            <w:tcW w:w="1515" w:type="dxa"/>
          </w:tcPr>
          <w:p>
            <w:pPr>
              <w:pStyle w:val="TableParagraph"/>
              <w:spacing w:line="273" w:lineRule="auto" w:before="70"/>
              <w:ind w:right="101"/>
              <w:jc w:val="both"/>
              <w:rPr>
                <w:b/>
                <w:sz w:val="21"/>
              </w:rPr>
            </w:pPr>
            <w:r>
              <w:rPr>
                <w:b/>
                <w:sz w:val="21"/>
              </w:rPr>
              <w:t>57.特发性慢性 肾上腺皮质功能减退</w:t>
            </w:r>
          </w:p>
        </w:tc>
        <w:tc>
          <w:tcPr>
            <w:tcW w:w="7834" w:type="dxa"/>
          </w:tcPr>
          <w:p>
            <w:pPr>
              <w:pStyle w:val="TableParagraph"/>
              <w:spacing w:line="273" w:lineRule="auto" w:before="70"/>
              <w:ind w:left="103" w:right="144"/>
              <w:rPr>
                <w:sz w:val="21"/>
              </w:rPr>
            </w:pPr>
            <w:r>
              <w:rPr>
                <w:sz w:val="21"/>
              </w:rPr>
              <w:t>指自身免疫性肾上腺炎（既往称：特发性肾上腺皮质萎缩）导致肾上腺萎缩和慢性肾上腺皮质功能减退。须满足下列全部条件：</w:t>
            </w:r>
          </w:p>
          <w:p>
            <w:pPr>
              <w:pStyle w:val="TableParagraph"/>
              <w:numPr>
                <w:ilvl w:val="0"/>
                <w:numId w:val="56"/>
              </w:numPr>
              <w:tabs>
                <w:tab w:pos="838" w:val="left" w:leader="none"/>
                <w:tab w:pos="839" w:val="left" w:leader="none"/>
              </w:tabs>
              <w:spacing w:line="240" w:lineRule="auto" w:before="7" w:after="0"/>
              <w:ind w:left="838" w:right="0" w:hanging="735"/>
              <w:jc w:val="left"/>
              <w:rPr>
                <w:sz w:val="21"/>
              </w:rPr>
            </w:pPr>
            <w:r>
              <w:rPr>
                <w:spacing w:val="-3"/>
                <w:sz w:val="21"/>
              </w:rPr>
              <w:t>明确诊断，符合所有以下诊断标准；</w:t>
            </w:r>
          </w:p>
          <w:p>
            <w:pPr>
              <w:pStyle w:val="TableParagraph"/>
              <w:spacing w:before="30"/>
              <w:ind w:left="823"/>
              <w:rPr>
                <w:sz w:val="21"/>
              </w:rPr>
            </w:pPr>
            <w:r>
              <w:rPr>
                <w:rFonts w:ascii="宋体" w:hAnsi="宋体" w:eastAsia="宋体" w:hint="eastAsia"/>
                <w:sz w:val="22"/>
              </w:rPr>
              <w:t>① </w:t>
            </w:r>
            <w:r>
              <w:rPr>
                <w:sz w:val="21"/>
              </w:rPr>
              <w:t>血浆促肾上腺皮质激素(ACTH)水平测定大于 100pg/ml；</w:t>
            </w:r>
          </w:p>
          <w:p>
            <w:pPr>
              <w:pStyle w:val="TableParagraph"/>
              <w:spacing w:line="268" w:lineRule="auto" w:before="24"/>
              <w:ind w:left="1183" w:right="198" w:hanging="360"/>
              <w:jc w:val="both"/>
              <w:rPr>
                <w:sz w:val="21"/>
              </w:rPr>
            </w:pPr>
            <w:r>
              <w:rPr>
                <w:rFonts w:ascii="宋体" w:hAnsi="宋体" w:eastAsia="宋体" w:hint="eastAsia"/>
                <w:spacing w:val="17"/>
                <w:sz w:val="22"/>
              </w:rPr>
              <w:t>② </w:t>
            </w:r>
            <w:r>
              <w:rPr>
                <w:spacing w:val="-3"/>
                <w:sz w:val="21"/>
              </w:rPr>
              <w:t>血浆和尿游离皮质醇及尿 </w:t>
            </w:r>
            <w:r>
              <w:rPr>
                <w:sz w:val="21"/>
              </w:rPr>
              <w:t>17</w:t>
            </w:r>
            <w:r>
              <w:rPr>
                <w:spacing w:val="-2"/>
                <w:sz w:val="21"/>
              </w:rPr>
              <w:t> 羟皮质类固醇、</w:t>
            </w:r>
            <w:r>
              <w:rPr>
                <w:sz w:val="21"/>
              </w:rPr>
              <w:t>17</w:t>
            </w:r>
            <w:r>
              <w:rPr>
                <w:spacing w:val="-3"/>
                <w:sz w:val="21"/>
              </w:rPr>
              <w:t> 酮皮质类固醇测定、</w:t>
            </w:r>
            <w:r>
              <w:rPr>
                <w:spacing w:val="-6"/>
                <w:sz w:val="21"/>
              </w:rPr>
              <w:t>血浆肾素活性、血管紧张素 </w:t>
            </w:r>
            <w:r>
              <w:rPr>
                <w:sz w:val="21"/>
              </w:rPr>
              <w:t>II</w:t>
            </w:r>
            <w:r>
              <w:rPr>
                <w:spacing w:val="-6"/>
                <w:sz w:val="21"/>
              </w:rPr>
              <w:t> 和醛固酮测定，显示为原发性肾上腺皮</w:t>
            </w:r>
            <w:r>
              <w:rPr>
                <w:spacing w:val="-4"/>
                <w:sz w:val="21"/>
              </w:rPr>
              <w:t>质功能减退症；</w:t>
            </w:r>
          </w:p>
          <w:p>
            <w:pPr>
              <w:pStyle w:val="TableParagraph"/>
              <w:spacing w:line="266" w:lineRule="auto" w:before="5"/>
              <w:ind w:left="1183" w:right="342" w:hanging="360"/>
              <w:rPr>
                <w:sz w:val="21"/>
              </w:rPr>
            </w:pPr>
            <w:r>
              <w:rPr>
                <w:rFonts w:ascii="宋体" w:hAnsi="宋体" w:eastAsia="宋体" w:hint="eastAsia"/>
                <w:sz w:val="22"/>
              </w:rPr>
              <w:t>③ </w:t>
            </w:r>
            <w:r>
              <w:rPr>
                <w:sz w:val="21"/>
              </w:rPr>
              <w:t>促肾上腺皮质激素(ACTH)刺激试验显示为原发性肾上腺皮质功能减退症。</w:t>
            </w:r>
          </w:p>
          <w:p>
            <w:pPr>
              <w:pStyle w:val="TableParagraph"/>
              <w:numPr>
                <w:ilvl w:val="0"/>
                <w:numId w:val="56"/>
              </w:numPr>
              <w:tabs>
                <w:tab w:pos="838" w:val="left" w:leader="none"/>
                <w:tab w:pos="839" w:val="left" w:leader="none"/>
              </w:tabs>
              <w:spacing w:line="240" w:lineRule="auto" w:before="14" w:after="0"/>
              <w:ind w:left="838" w:right="0" w:hanging="735"/>
              <w:jc w:val="left"/>
              <w:rPr>
                <w:sz w:val="21"/>
              </w:rPr>
            </w:pPr>
            <w:r>
              <w:rPr>
                <w:spacing w:val="-3"/>
                <w:sz w:val="21"/>
              </w:rPr>
              <w:t>已经采用皮质类固醇替代治疗 </w:t>
            </w:r>
            <w:r>
              <w:rPr>
                <w:sz w:val="21"/>
              </w:rPr>
              <w:t>180 天以上。</w:t>
            </w:r>
          </w:p>
          <w:p>
            <w:pPr>
              <w:pStyle w:val="TableParagraph"/>
              <w:spacing w:line="273" w:lineRule="auto"/>
              <w:ind w:left="103" w:right="144"/>
              <w:rPr>
                <w:rFonts w:ascii="黑体" w:eastAsia="黑体" w:hint="eastAsia"/>
                <w:sz w:val="21"/>
              </w:rPr>
            </w:pPr>
            <w:r>
              <w:rPr>
                <w:rFonts w:ascii="黑体" w:eastAsia="黑体" w:hint="eastAsia"/>
                <w:sz w:val="21"/>
              </w:rPr>
              <w:t>肾上腺结核、HIV 感染或艾滋病、感染、肿瘤所致的原发性肾上腺皮质功能减退和继发性肾上腺皮质功能减退不在保障范围内。</w:t>
            </w:r>
          </w:p>
        </w:tc>
      </w:tr>
      <w:tr>
        <w:trPr>
          <w:trHeight w:val="2409" w:hRule="atLeast"/>
        </w:trPr>
        <w:tc>
          <w:tcPr>
            <w:tcW w:w="1515" w:type="dxa"/>
          </w:tcPr>
          <w:p>
            <w:pPr>
              <w:pStyle w:val="TableParagraph"/>
              <w:spacing w:line="273" w:lineRule="auto" w:before="98"/>
              <w:ind w:right="101"/>
              <w:rPr>
                <w:b/>
                <w:sz w:val="21"/>
              </w:rPr>
            </w:pPr>
            <w:r>
              <w:rPr>
                <w:b/>
                <w:sz w:val="21"/>
              </w:rPr>
              <w:t>58.严重传染性心内膜炎</w:t>
            </w:r>
          </w:p>
        </w:tc>
        <w:tc>
          <w:tcPr>
            <w:tcW w:w="7834" w:type="dxa"/>
          </w:tcPr>
          <w:p>
            <w:pPr>
              <w:pStyle w:val="TableParagraph"/>
              <w:spacing w:before="98"/>
              <w:ind w:left="103"/>
              <w:rPr>
                <w:sz w:val="21"/>
              </w:rPr>
            </w:pPr>
            <w:r>
              <w:rPr>
                <w:sz w:val="21"/>
              </w:rPr>
              <w:t>是指由感染性微生物引致的心脏内膜炎症，并须符合下列所有准则：</w:t>
            </w:r>
          </w:p>
          <w:p>
            <w:pPr>
              <w:pStyle w:val="TableParagraph"/>
              <w:numPr>
                <w:ilvl w:val="0"/>
                <w:numId w:val="57"/>
              </w:numPr>
              <w:tabs>
                <w:tab w:pos="838" w:val="left" w:leader="none"/>
                <w:tab w:pos="839" w:val="left" w:leader="none"/>
              </w:tabs>
              <w:spacing w:line="240" w:lineRule="auto" w:before="37" w:after="0"/>
              <w:ind w:left="838" w:right="0" w:hanging="735"/>
              <w:jc w:val="left"/>
              <w:rPr>
                <w:sz w:val="21"/>
              </w:rPr>
            </w:pPr>
            <w:r>
              <w:rPr>
                <w:spacing w:val="-3"/>
                <w:sz w:val="21"/>
              </w:rPr>
              <w:t>血液培植结果呈阳性反应，证明感染性微生物的存在；</w:t>
            </w:r>
          </w:p>
          <w:p>
            <w:pPr>
              <w:pStyle w:val="TableParagraph"/>
              <w:numPr>
                <w:ilvl w:val="0"/>
                <w:numId w:val="57"/>
              </w:numPr>
              <w:tabs>
                <w:tab w:pos="839" w:val="left" w:leader="none"/>
              </w:tabs>
              <w:spacing w:line="266" w:lineRule="auto" w:before="37" w:after="0"/>
              <w:ind w:left="838" w:right="200" w:hanging="735"/>
              <w:jc w:val="both"/>
              <w:rPr>
                <w:sz w:val="21"/>
              </w:rPr>
            </w:pPr>
            <w:r>
              <w:rPr>
                <w:spacing w:val="-3"/>
                <w:sz w:val="21"/>
              </w:rPr>
              <w:t>出现最少中度之心脏瓣膜功能</w:t>
            </w:r>
            <w:r>
              <w:rPr>
                <w:rFonts w:ascii="Arial" w:eastAsia="Arial"/>
                <w:spacing w:val="-3"/>
                <w:w w:val="115"/>
                <w:sz w:val="21"/>
              </w:rPr>
              <w:t>不</w:t>
            </w:r>
            <w:r>
              <w:rPr>
                <w:sz w:val="21"/>
              </w:rPr>
              <w:t>全</w:t>
            </w:r>
            <w:r>
              <w:rPr>
                <w:spacing w:val="-3"/>
                <w:sz w:val="21"/>
              </w:rPr>
              <w:t>（即返流部份达百分之二十或以上）</w:t>
            </w:r>
            <w:r>
              <w:rPr>
                <w:sz w:val="21"/>
              </w:rPr>
              <w:t>或</w:t>
            </w:r>
            <w:r>
              <w:rPr>
                <w:spacing w:val="-5"/>
                <w:w w:val="100"/>
                <w:sz w:val="21"/>
              </w:rPr>
              <w:t>中度之心脏瓣膜狭窄</w:t>
            </w:r>
            <w:r>
              <w:rPr>
                <w:spacing w:val="-3"/>
                <w:w w:val="100"/>
                <w:sz w:val="21"/>
              </w:rPr>
              <w:t>（即心脏瓣面积为正常值的百分之三十或以下</w:t>
            </w:r>
            <w:r>
              <w:rPr>
                <w:spacing w:val="-108"/>
                <w:w w:val="100"/>
                <w:sz w:val="21"/>
              </w:rPr>
              <w:t>）</w:t>
            </w:r>
            <w:r>
              <w:rPr>
                <w:spacing w:val="-7"/>
                <w:w w:val="100"/>
                <w:sz w:val="21"/>
              </w:rPr>
              <w:t>，导致</w:t>
            </w:r>
            <w:r>
              <w:rPr>
                <w:spacing w:val="-5"/>
                <w:sz w:val="21"/>
              </w:rPr>
              <w:t>传染性心内膜炎；</w:t>
            </w:r>
          </w:p>
          <w:p>
            <w:pPr>
              <w:pStyle w:val="TableParagraph"/>
              <w:numPr>
                <w:ilvl w:val="0"/>
                <w:numId w:val="57"/>
              </w:numPr>
              <w:tabs>
                <w:tab w:pos="838" w:val="left" w:leader="none"/>
                <w:tab w:pos="839" w:val="left" w:leader="none"/>
              </w:tabs>
              <w:spacing w:line="273" w:lineRule="auto" w:before="13" w:after="0"/>
              <w:ind w:left="838" w:right="476" w:hanging="735"/>
              <w:jc w:val="left"/>
              <w:rPr>
                <w:sz w:val="21"/>
              </w:rPr>
            </w:pPr>
            <w:r>
              <w:rPr>
                <w:spacing w:val="-3"/>
                <w:sz w:val="21"/>
              </w:rPr>
              <w:t>传染性心内膜炎的诊断及瓣膜受损的严重程度必须由心脏病专科医生确定。</w:t>
            </w:r>
          </w:p>
        </w:tc>
      </w:tr>
      <w:tr>
        <w:trPr>
          <w:trHeight w:val="836" w:hRule="atLeast"/>
        </w:trPr>
        <w:tc>
          <w:tcPr>
            <w:tcW w:w="1515" w:type="dxa"/>
          </w:tcPr>
          <w:p>
            <w:pPr>
              <w:pStyle w:val="TableParagraph"/>
              <w:spacing w:line="273" w:lineRule="auto" w:before="89"/>
              <w:ind w:right="101"/>
              <w:rPr>
                <w:b/>
                <w:sz w:val="21"/>
              </w:rPr>
            </w:pPr>
            <w:r>
              <w:rPr>
                <w:b/>
                <w:sz w:val="21"/>
              </w:rPr>
              <w:t>59.嗜铬细胞瘤</w:t>
            </w:r>
          </w:p>
        </w:tc>
        <w:tc>
          <w:tcPr>
            <w:tcW w:w="7834" w:type="dxa"/>
          </w:tcPr>
          <w:p>
            <w:pPr>
              <w:pStyle w:val="TableParagraph"/>
              <w:spacing w:line="273" w:lineRule="auto" w:before="89"/>
              <w:ind w:left="103" w:right="158"/>
              <w:rPr>
                <w:sz w:val="21"/>
              </w:rPr>
            </w:pPr>
            <w:r>
              <w:rPr>
                <w:sz w:val="21"/>
              </w:rPr>
              <w:t>指肾上腺或嗜铬外组织出现神经内分泌肿瘤，并分泌过多的儿茶酚胺类，需要确实进</w:t>
            </w:r>
            <w:r>
              <w:rPr>
                <w:rFonts w:ascii="Arial" w:eastAsia="Arial"/>
                <w:w w:val="115"/>
                <w:sz w:val="21"/>
              </w:rPr>
              <w:t>行</w:t>
            </w:r>
            <w:r>
              <w:rPr>
                <w:sz w:val="21"/>
              </w:rPr>
              <w:t>手术以切除肿瘤。</w:t>
            </w:r>
          </w:p>
        </w:tc>
      </w:tr>
      <w:tr>
        <w:trPr>
          <w:trHeight w:val="2550" w:hRule="atLeast"/>
        </w:trPr>
        <w:tc>
          <w:tcPr>
            <w:tcW w:w="1515" w:type="dxa"/>
          </w:tcPr>
          <w:p>
            <w:pPr>
              <w:pStyle w:val="TableParagraph"/>
              <w:spacing w:line="273" w:lineRule="auto" w:before="85"/>
              <w:ind w:right="101"/>
              <w:rPr>
                <w:b/>
                <w:sz w:val="21"/>
              </w:rPr>
            </w:pPr>
            <w:r>
              <w:rPr>
                <w:b/>
                <w:sz w:val="21"/>
              </w:rPr>
              <w:t>60.严重自身免疫性肝炎</w:t>
            </w:r>
          </w:p>
        </w:tc>
        <w:tc>
          <w:tcPr>
            <w:tcW w:w="7834" w:type="dxa"/>
          </w:tcPr>
          <w:p>
            <w:pPr>
              <w:pStyle w:val="TableParagraph"/>
              <w:spacing w:line="273" w:lineRule="auto" w:before="85"/>
              <w:ind w:left="103" w:right="198"/>
              <w:jc w:val="both"/>
              <w:rPr>
                <w:sz w:val="21"/>
              </w:rPr>
            </w:pPr>
            <w:r>
              <w:rPr>
                <w:spacing w:val="-5"/>
                <w:sz w:val="21"/>
              </w:rPr>
              <w:t>自身免疫性肝炎是一种原因不明的慢性肝脏的坏死性炎性疾病，机体免疫机制被破</w:t>
            </w:r>
            <w:r>
              <w:rPr>
                <w:spacing w:val="-7"/>
                <w:sz w:val="21"/>
              </w:rPr>
              <w:t>坏，产生针对肝脏自身抗原的抗体导致自身免疫反应，从而破坏肝细胞造成肝脏炎</w:t>
            </w:r>
            <w:r>
              <w:rPr>
                <w:spacing w:val="-5"/>
                <w:sz w:val="21"/>
              </w:rPr>
              <w:t>症坏死。必须满足下列全部条件：</w:t>
            </w:r>
          </w:p>
          <w:p>
            <w:pPr>
              <w:pStyle w:val="TableParagraph"/>
              <w:numPr>
                <w:ilvl w:val="0"/>
                <w:numId w:val="58"/>
              </w:numPr>
              <w:tabs>
                <w:tab w:pos="838" w:val="left" w:leader="none"/>
                <w:tab w:pos="839" w:val="left" w:leader="none"/>
              </w:tabs>
              <w:spacing w:line="240" w:lineRule="auto" w:before="7" w:after="0"/>
              <w:ind w:left="838" w:right="0" w:hanging="735"/>
              <w:jc w:val="left"/>
              <w:rPr>
                <w:sz w:val="21"/>
              </w:rPr>
            </w:pPr>
            <w:r>
              <w:rPr>
                <w:sz w:val="21"/>
              </w:rPr>
              <w:t>高γ</w:t>
            </w:r>
            <w:r>
              <w:rPr>
                <w:spacing w:val="-3"/>
                <w:sz w:val="21"/>
              </w:rPr>
              <w:t>球蛋白血症；</w:t>
            </w:r>
          </w:p>
          <w:p>
            <w:pPr>
              <w:pStyle w:val="TableParagraph"/>
              <w:numPr>
                <w:ilvl w:val="0"/>
                <w:numId w:val="58"/>
              </w:numPr>
              <w:tabs>
                <w:tab w:pos="838" w:val="left" w:leader="none"/>
                <w:tab w:pos="839" w:val="left" w:leader="none"/>
              </w:tabs>
              <w:spacing w:line="273" w:lineRule="auto" w:before="36" w:after="0"/>
              <w:ind w:left="838" w:right="198" w:hanging="735"/>
              <w:jc w:val="left"/>
              <w:rPr>
                <w:sz w:val="21"/>
              </w:rPr>
            </w:pPr>
            <w:r>
              <w:rPr>
                <w:spacing w:val="-6"/>
                <w:sz w:val="21"/>
              </w:rPr>
              <w:t>血液中存在高水平的自身免疫抗体，如 ANA（</w:t>
            </w:r>
            <w:r>
              <w:rPr>
                <w:spacing w:val="-3"/>
                <w:sz w:val="21"/>
              </w:rPr>
              <w:t>抗核抗体</w:t>
            </w:r>
            <w:r>
              <w:rPr>
                <w:spacing w:val="-106"/>
                <w:sz w:val="21"/>
              </w:rPr>
              <w:t>）</w:t>
            </w:r>
            <w:r>
              <w:rPr>
                <w:spacing w:val="-24"/>
                <w:sz w:val="21"/>
              </w:rPr>
              <w:t>、</w:t>
            </w:r>
            <w:r>
              <w:rPr>
                <w:spacing w:val="-6"/>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numPr>
                <w:ilvl w:val="0"/>
                <w:numId w:val="58"/>
              </w:numPr>
              <w:tabs>
                <w:tab w:pos="839" w:val="left" w:leader="none"/>
              </w:tabs>
              <w:spacing w:line="240" w:lineRule="auto" w:before="7" w:after="0"/>
              <w:ind w:left="838" w:right="0" w:hanging="735"/>
              <w:jc w:val="both"/>
              <w:rPr>
                <w:sz w:val="21"/>
              </w:rPr>
            </w:pPr>
            <w:r>
              <w:rPr>
                <w:spacing w:val="-3"/>
                <w:sz w:val="21"/>
              </w:rPr>
              <w:t>肝脏活检证实免疫性肝炎；</w:t>
            </w:r>
          </w:p>
          <w:p>
            <w:pPr>
              <w:pStyle w:val="TableParagraph"/>
              <w:numPr>
                <w:ilvl w:val="0"/>
                <w:numId w:val="58"/>
              </w:numPr>
              <w:tabs>
                <w:tab w:pos="839" w:val="left" w:leader="none"/>
              </w:tabs>
              <w:spacing w:line="261" w:lineRule="exact" w:before="37" w:after="0"/>
              <w:ind w:left="838" w:right="0" w:hanging="735"/>
              <w:jc w:val="both"/>
              <w:rPr>
                <w:sz w:val="21"/>
              </w:rPr>
            </w:pPr>
            <w:r>
              <w:rPr>
                <w:spacing w:val="-3"/>
                <w:sz w:val="21"/>
              </w:rPr>
              <w:t>临床已经出现腹水、食道静脉曲张和脾肿大等肝硬化表现。</w:t>
            </w:r>
          </w:p>
        </w:tc>
      </w:tr>
    </w:tbl>
    <w:p>
      <w:pPr>
        <w:spacing w:after="0" w:line="261" w:lineRule="exact"/>
        <w:jc w:val="both"/>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69"/>
      </w:tblGrid>
      <w:tr>
        <w:trPr>
          <w:trHeight w:val="3441" w:hRule="atLeast"/>
        </w:trPr>
        <w:tc>
          <w:tcPr>
            <w:tcW w:w="1515" w:type="dxa"/>
          </w:tcPr>
          <w:p>
            <w:pPr>
              <w:pStyle w:val="TableParagraph"/>
              <w:spacing w:line="205" w:lineRule="exact" w:before="0"/>
              <w:rPr>
                <w:b/>
                <w:sz w:val="21"/>
              </w:rPr>
            </w:pPr>
            <w:r>
              <w:rPr>
                <w:b/>
                <w:sz w:val="21"/>
              </w:rPr>
              <w:t>61.疾病或外</w:t>
            </w:r>
          </w:p>
          <w:p>
            <w:pPr>
              <w:pStyle w:val="TableParagraph"/>
              <w:spacing w:line="273" w:lineRule="auto"/>
              <w:ind w:right="111"/>
              <w:rPr>
                <w:b/>
                <w:sz w:val="21"/>
              </w:rPr>
            </w:pPr>
            <w:r>
              <w:rPr>
                <w:b/>
                <w:sz w:val="21"/>
              </w:rPr>
              <w:t>伤 所致智力障碍</w:t>
            </w:r>
          </w:p>
        </w:tc>
        <w:tc>
          <w:tcPr>
            <w:tcW w:w="7869" w:type="dxa"/>
          </w:tcPr>
          <w:p>
            <w:pPr>
              <w:pStyle w:val="TableParagraph"/>
              <w:spacing w:line="205" w:lineRule="exact" w:before="0"/>
              <w:ind w:left="103"/>
              <w:rPr>
                <w:sz w:val="21"/>
              </w:rPr>
            </w:pPr>
            <w:r>
              <w:rPr>
                <w:spacing w:val="-3"/>
                <w:sz w:val="21"/>
              </w:rPr>
              <w:t>因严重头部创伤或疾病造成被保险人智力低常</w:t>
            </w:r>
            <w:r>
              <w:rPr>
                <w:sz w:val="21"/>
              </w:rPr>
              <w:t>（</w:t>
            </w:r>
            <w:r>
              <w:rPr>
                <w:spacing w:val="-3"/>
                <w:sz w:val="21"/>
              </w:rPr>
              <w:t>智力低于常态</w:t>
            </w:r>
            <w:r>
              <w:rPr>
                <w:spacing w:val="-106"/>
                <w:sz w:val="21"/>
              </w:rPr>
              <w:t>）</w:t>
            </w:r>
            <w:r>
              <w:rPr>
                <w:spacing w:val="-3"/>
                <w:sz w:val="21"/>
              </w:rPr>
              <w:t>。智力低常分为轻</w:t>
            </w:r>
          </w:p>
          <w:p>
            <w:pPr>
              <w:pStyle w:val="TableParagraph"/>
              <w:spacing w:line="273" w:lineRule="auto"/>
              <w:ind w:left="103" w:right="233"/>
              <w:rPr>
                <w:sz w:val="21"/>
              </w:rPr>
            </w:pPr>
            <w:r>
              <w:rPr>
                <w:w w:val="100"/>
                <w:sz w:val="21"/>
              </w:rPr>
              <w:t>度（I</w:t>
            </w:r>
            <w:r>
              <w:rPr>
                <w:spacing w:val="-3"/>
                <w:w w:val="100"/>
                <w:sz w:val="21"/>
              </w:rPr>
              <w:t>Q</w:t>
            </w:r>
            <w:r>
              <w:rPr>
                <w:w w:val="100"/>
                <w:sz w:val="21"/>
              </w:rPr>
              <w:t>50-</w:t>
            </w:r>
            <w:r>
              <w:rPr>
                <w:spacing w:val="-3"/>
                <w:w w:val="100"/>
                <w:sz w:val="21"/>
              </w:rPr>
              <w:t>7</w:t>
            </w:r>
            <w:r>
              <w:rPr>
                <w:w w:val="100"/>
                <w:sz w:val="21"/>
              </w:rPr>
              <w:t>0</w:t>
            </w:r>
            <w:r>
              <w:rPr>
                <w:spacing w:val="-106"/>
                <w:w w:val="100"/>
                <w:sz w:val="21"/>
              </w:rPr>
              <w:t>）</w:t>
            </w:r>
            <w:r>
              <w:rPr>
                <w:spacing w:val="-3"/>
                <w:w w:val="100"/>
                <w:sz w:val="21"/>
              </w:rPr>
              <w:t>、中度</w:t>
            </w:r>
            <w:r>
              <w:rPr>
                <w:spacing w:val="-1"/>
                <w:w w:val="100"/>
                <w:sz w:val="21"/>
              </w:rPr>
              <w:t>（</w:t>
            </w:r>
            <w:r>
              <w:rPr>
                <w:w w:val="100"/>
                <w:sz w:val="21"/>
              </w:rPr>
              <w:t>I</w:t>
            </w:r>
            <w:r>
              <w:rPr>
                <w:spacing w:val="-3"/>
                <w:w w:val="100"/>
                <w:sz w:val="21"/>
              </w:rPr>
              <w:t>Q3</w:t>
            </w:r>
            <w:r>
              <w:rPr>
                <w:spacing w:val="-1"/>
                <w:w w:val="100"/>
                <w:sz w:val="21"/>
              </w:rPr>
              <w:t>5</w:t>
            </w:r>
            <w:r>
              <w:rPr>
                <w:w w:val="100"/>
                <w:sz w:val="21"/>
              </w:rPr>
              <w:t>-50</w:t>
            </w:r>
            <w:r>
              <w:rPr>
                <w:spacing w:val="-108"/>
                <w:w w:val="100"/>
                <w:sz w:val="21"/>
              </w:rPr>
              <w:t>）</w:t>
            </w:r>
            <w:r>
              <w:rPr>
                <w:spacing w:val="-2"/>
                <w:w w:val="100"/>
                <w:sz w:val="21"/>
              </w:rPr>
              <w:t>、重度</w:t>
            </w:r>
            <w:r>
              <w:rPr>
                <w:w w:val="100"/>
                <w:sz w:val="21"/>
              </w:rPr>
              <w:t>（</w:t>
            </w:r>
            <w:r>
              <w:rPr>
                <w:spacing w:val="-3"/>
                <w:w w:val="100"/>
                <w:sz w:val="21"/>
              </w:rPr>
              <w:t>I</w:t>
            </w:r>
            <w:r>
              <w:rPr>
                <w:w w:val="100"/>
                <w:sz w:val="21"/>
              </w:rPr>
              <w:t>Q2</w:t>
            </w:r>
            <w:r>
              <w:rPr>
                <w:spacing w:val="-1"/>
                <w:w w:val="100"/>
                <w:sz w:val="21"/>
              </w:rPr>
              <w:t>0</w:t>
            </w:r>
            <w:r>
              <w:rPr>
                <w:spacing w:val="-3"/>
                <w:w w:val="100"/>
                <w:sz w:val="21"/>
              </w:rPr>
              <w:t>-</w:t>
            </w:r>
            <w:r>
              <w:rPr>
                <w:w w:val="100"/>
                <w:sz w:val="21"/>
              </w:rPr>
              <w:t>35</w:t>
            </w:r>
            <w:r>
              <w:rPr>
                <w:spacing w:val="-3"/>
                <w:w w:val="100"/>
                <w:sz w:val="21"/>
              </w:rPr>
              <w:t>）</w:t>
            </w:r>
            <w:r>
              <w:rPr>
                <w:spacing w:val="-1"/>
                <w:w w:val="100"/>
                <w:sz w:val="21"/>
              </w:rPr>
              <w:t>和极重度</w:t>
            </w:r>
            <w:r>
              <w:rPr>
                <w:spacing w:val="-2"/>
                <w:w w:val="100"/>
                <w:sz w:val="21"/>
              </w:rPr>
              <w:t>（</w:t>
            </w:r>
            <w:r>
              <w:rPr>
                <w:w w:val="100"/>
                <w:sz w:val="21"/>
              </w:rPr>
              <w:t>IQ&lt;</w:t>
            </w:r>
            <w:r>
              <w:rPr>
                <w:spacing w:val="-3"/>
                <w:w w:val="100"/>
                <w:sz w:val="21"/>
              </w:rPr>
              <w:t>2</w:t>
            </w:r>
            <w:r>
              <w:rPr>
                <w:spacing w:val="-1"/>
                <w:w w:val="100"/>
                <w:sz w:val="21"/>
              </w:rPr>
              <w:t>0</w:t>
            </w:r>
            <w:r>
              <w:rPr>
                <w:spacing w:val="-106"/>
                <w:w w:val="100"/>
                <w:sz w:val="21"/>
              </w:rPr>
              <w:t>）</w:t>
            </w:r>
            <w:r>
              <w:rPr>
                <w:spacing w:val="-3"/>
                <w:w w:val="100"/>
                <w:sz w:val="21"/>
              </w:rPr>
              <w:t>。智商的检</w:t>
            </w:r>
            <w:r>
              <w:rPr>
                <w:spacing w:val="-5"/>
                <w:sz w:val="21"/>
              </w:rPr>
              <w:t>测必须由本公司认可的专职心理测验工作者进行，心理测验工作者必须持有由心理</w:t>
            </w:r>
            <w:r>
              <w:rPr>
                <w:spacing w:val="-7"/>
                <w:sz w:val="21"/>
              </w:rPr>
              <w:t>测量专业委员会资格认定书。根据被保险人年龄采用对应的智力量表如韦克斯勒智</w:t>
            </w:r>
            <w:r>
              <w:rPr>
                <w:spacing w:val="-6"/>
                <w:sz w:val="21"/>
              </w:rPr>
              <w:t>力量表</w:t>
            </w:r>
            <w:r>
              <w:rPr>
                <w:sz w:val="21"/>
              </w:rPr>
              <w:t>（</w:t>
            </w:r>
            <w:r>
              <w:rPr>
                <w:spacing w:val="-3"/>
                <w:sz w:val="21"/>
              </w:rPr>
              <w:t>儿童智力量表或成人智力量表</w:t>
            </w:r>
            <w:r>
              <w:rPr>
                <w:spacing w:val="-108"/>
                <w:sz w:val="21"/>
              </w:rPr>
              <w:t>）</w:t>
            </w:r>
            <w:r>
              <w:rPr>
                <w:spacing w:val="-3"/>
                <w:sz w:val="21"/>
              </w:rPr>
              <w:t>。必须满足下列全部条件：</w:t>
            </w:r>
          </w:p>
          <w:p>
            <w:pPr>
              <w:pStyle w:val="TableParagraph"/>
              <w:spacing w:line="273" w:lineRule="auto" w:before="7"/>
              <w:ind w:left="103" w:right="303"/>
              <w:rPr>
                <w:sz w:val="21"/>
              </w:rPr>
            </w:pPr>
            <w:r>
              <w:rPr>
                <w:sz w:val="21"/>
              </w:rPr>
              <w:t>（1）造成被保险人智力低常（智力低于常态）的严重头部创伤或疾病（以入院日期为准）发生在被保险人 6 周岁以后；</w:t>
            </w:r>
          </w:p>
          <w:p>
            <w:pPr>
              <w:pStyle w:val="TableParagraph"/>
              <w:spacing w:before="7"/>
              <w:ind w:left="103"/>
              <w:rPr>
                <w:sz w:val="21"/>
              </w:rPr>
            </w:pPr>
            <w:r>
              <w:rPr>
                <w:sz w:val="21"/>
              </w:rPr>
              <w:t>（2）专科医师确诊被保险人由于严重头部创伤或疾病造成智力低常；</w:t>
            </w:r>
          </w:p>
          <w:p>
            <w:pPr>
              <w:pStyle w:val="TableParagraph"/>
              <w:spacing w:line="273" w:lineRule="auto"/>
              <w:ind w:left="103" w:right="303"/>
              <w:rPr>
                <w:sz w:val="21"/>
              </w:rPr>
            </w:pPr>
            <w:r>
              <w:rPr>
                <w:sz w:val="21"/>
              </w:rPr>
              <w:t>（3）</w:t>
            </w:r>
            <w:r>
              <w:rPr>
                <w:spacing w:val="-3"/>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3"/>
              <w:rPr>
                <w:sz w:val="21"/>
              </w:rPr>
            </w:pPr>
            <w:r>
              <w:rPr>
                <w:sz w:val="21"/>
              </w:rPr>
              <w:t>（4）被保险人的智力低常自确认日起持续 180 天以上。</w:t>
            </w:r>
          </w:p>
        </w:tc>
      </w:tr>
      <w:tr>
        <w:trPr>
          <w:trHeight w:val="1097" w:hRule="atLeast"/>
        </w:trPr>
        <w:tc>
          <w:tcPr>
            <w:tcW w:w="1515" w:type="dxa"/>
          </w:tcPr>
          <w:p>
            <w:pPr>
              <w:pStyle w:val="TableParagraph"/>
              <w:spacing w:line="273" w:lineRule="auto" w:before="41"/>
              <w:ind w:right="101"/>
              <w:jc w:val="both"/>
              <w:rPr>
                <w:b/>
                <w:sz w:val="21"/>
              </w:rPr>
            </w:pPr>
            <w:r>
              <w:rPr>
                <w:b/>
                <w:sz w:val="21"/>
              </w:rPr>
              <w:t>62.自体造血干 细胞移植术</w:t>
            </w:r>
          </w:p>
        </w:tc>
        <w:tc>
          <w:tcPr>
            <w:tcW w:w="7869" w:type="dxa"/>
          </w:tcPr>
          <w:p>
            <w:pPr>
              <w:pStyle w:val="TableParagraph"/>
              <w:spacing w:line="273" w:lineRule="auto" w:before="41"/>
              <w:ind w:left="103" w:right="233"/>
              <w:jc w:val="both"/>
              <w:rPr>
                <w:sz w:val="21"/>
              </w:rPr>
            </w:pPr>
            <w:r>
              <w:rPr>
                <w:spacing w:val="-5"/>
                <w:sz w:val="21"/>
              </w:rPr>
              <w:t>为治疗造血功能损害或造血系统恶性肿瘤，已经实施了造血干细胞</w:t>
            </w:r>
            <w:r>
              <w:rPr>
                <w:spacing w:val="-3"/>
                <w:sz w:val="21"/>
              </w:rPr>
              <w:t>（</w:t>
            </w:r>
            <w:r>
              <w:rPr>
                <w:spacing w:val="-2"/>
                <w:sz w:val="21"/>
              </w:rPr>
              <w:t>包括骨髓造血</w:t>
            </w:r>
            <w:r>
              <w:rPr>
                <w:spacing w:val="-5"/>
                <w:sz w:val="21"/>
              </w:rPr>
              <w:t>干细胞、外周血造血干细胞和脐血造血干细胞</w:t>
            </w:r>
            <w:r>
              <w:rPr>
                <w:spacing w:val="-13"/>
                <w:sz w:val="21"/>
              </w:rPr>
              <w:t>）</w:t>
            </w:r>
            <w:r>
              <w:rPr>
                <w:spacing w:val="-5"/>
                <w:sz w:val="21"/>
              </w:rPr>
              <w:t>的自体移植手术。该治疗须由专科</w:t>
            </w:r>
            <w:r>
              <w:rPr>
                <w:spacing w:val="-4"/>
                <w:sz w:val="21"/>
              </w:rPr>
              <w:t>医生认为在临床上是必需的。</w:t>
            </w:r>
          </w:p>
        </w:tc>
      </w:tr>
      <w:tr>
        <w:trPr>
          <w:trHeight w:val="2095" w:hRule="atLeast"/>
        </w:trPr>
        <w:tc>
          <w:tcPr>
            <w:tcW w:w="1515" w:type="dxa"/>
          </w:tcPr>
          <w:p>
            <w:pPr>
              <w:pStyle w:val="TableParagraph"/>
              <w:spacing w:line="273" w:lineRule="auto" w:before="81"/>
              <w:ind w:right="101"/>
              <w:rPr>
                <w:b/>
                <w:sz w:val="21"/>
              </w:rPr>
            </w:pPr>
            <w:r>
              <w:rPr>
                <w:b/>
                <w:sz w:val="21"/>
              </w:rPr>
              <w:t>63.严重瑞氏综合征</w:t>
            </w:r>
          </w:p>
        </w:tc>
        <w:tc>
          <w:tcPr>
            <w:tcW w:w="7869" w:type="dxa"/>
          </w:tcPr>
          <w:p>
            <w:pPr>
              <w:pStyle w:val="TableParagraph"/>
              <w:spacing w:line="273" w:lineRule="auto" w:before="81"/>
              <w:ind w:left="103" w:right="197"/>
              <w:jc w:val="both"/>
              <w:rPr>
                <w:sz w:val="21"/>
              </w:rPr>
            </w:pPr>
            <w:r>
              <w:rPr>
                <w:spacing w:val="-6"/>
                <w:sz w:val="21"/>
              </w:rPr>
              <w:t>瑞氏综合征是线粒体功能障碍性疾病。导致脂肪代谢障碍，引起短链脂肪酸、血氨</w:t>
            </w:r>
            <w:r>
              <w:rPr>
                <w:spacing w:val="-4"/>
                <w:sz w:val="21"/>
              </w:rPr>
              <w:t>升高，造成脑水肿。主要临床表现为急性发热、反复呕吐、惊厥及意识障碍等等。</w:t>
            </w:r>
            <w:r>
              <w:rPr>
                <w:spacing w:val="-3"/>
                <w:sz w:val="21"/>
              </w:rPr>
              <w:t>瑞氏综合征需由三级医院的专科医生确诊，并须满足下列全部条件：</w:t>
            </w:r>
          </w:p>
          <w:p>
            <w:pPr>
              <w:pStyle w:val="TableParagraph"/>
              <w:numPr>
                <w:ilvl w:val="0"/>
                <w:numId w:val="59"/>
              </w:numPr>
              <w:tabs>
                <w:tab w:pos="839" w:val="left" w:leader="none"/>
              </w:tabs>
              <w:spacing w:line="240" w:lineRule="auto" w:before="7" w:after="0"/>
              <w:ind w:left="838" w:right="0" w:hanging="735"/>
              <w:jc w:val="both"/>
              <w:rPr>
                <w:sz w:val="21"/>
              </w:rPr>
            </w:pPr>
            <w:r>
              <w:rPr>
                <w:spacing w:val="-3"/>
                <w:sz w:val="21"/>
              </w:rPr>
              <w:t>有脑水肿和颅内压升高的脑脊液检查和影像学检查证据；</w:t>
            </w:r>
          </w:p>
          <w:p>
            <w:pPr>
              <w:pStyle w:val="TableParagraph"/>
              <w:numPr>
                <w:ilvl w:val="0"/>
                <w:numId w:val="59"/>
              </w:numPr>
              <w:tabs>
                <w:tab w:pos="839" w:val="left" w:leader="none"/>
              </w:tabs>
              <w:spacing w:line="240" w:lineRule="auto" w:before="37" w:after="0"/>
              <w:ind w:left="838" w:right="0" w:hanging="735"/>
              <w:jc w:val="both"/>
              <w:rPr>
                <w:sz w:val="21"/>
              </w:rPr>
            </w:pPr>
            <w:r>
              <w:rPr>
                <w:spacing w:val="-8"/>
                <w:sz w:val="21"/>
              </w:rPr>
              <w:t>血氨超过正常值的 </w:t>
            </w:r>
            <w:r>
              <w:rPr>
                <w:sz w:val="21"/>
              </w:rPr>
              <w:t>3</w:t>
            </w:r>
            <w:r>
              <w:rPr>
                <w:spacing w:val="-17"/>
                <w:sz w:val="21"/>
              </w:rPr>
              <w:t> 倍；</w:t>
            </w:r>
          </w:p>
          <w:p>
            <w:pPr>
              <w:pStyle w:val="TableParagraph"/>
              <w:numPr>
                <w:ilvl w:val="0"/>
                <w:numId w:val="59"/>
              </w:numPr>
              <w:tabs>
                <w:tab w:pos="839" w:val="left" w:leader="none"/>
              </w:tabs>
              <w:spacing w:line="240" w:lineRule="auto" w:before="37" w:after="0"/>
              <w:ind w:left="838" w:right="0" w:hanging="735"/>
              <w:jc w:val="both"/>
              <w:rPr>
                <w:sz w:val="21"/>
              </w:rPr>
            </w:pPr>
            <w:r>
              <w:rPr>
                <w:spacing w:val="-5"/>
                <w:sz w:val="21"/>
              </w:rPr>
              <w:t>临床出现昏迷，病程至少达到疾病分期第 </w:t>
            </w:r>
            <w:r>
              <w:rPr>
                <w:sz w:val="21"/>
              </w:rPr>
              <w:t>3</w:t>
            </w:r>
            <w:r>
              <w:rPr>
                <w:spacing w:val="-16"/>
                <w:sz w:val="21"/>
              </w:rPr>
              <w:t> 期。</w:t>
            </w:r>
          </w:p>
        </w:tc>
      </w:tr>
      <w:tr>
        <w:trPr>
          <w:trHeight w:val="1459" w:hRule="atLeast"/>
        </w:trPr>
        <w:tc>
          <w:tcPr>
            <w:tcW w:w="1515" w:type="dxa"/>
          </w:tcPr>
          <w:p>
            <w:pPr>
              <w:pStyle w:val="TableParagraph"/>
              <w:spacing w:line="273" w:lineRule="auto" w:before="103"/>
              <w:ind w:right="101"/>
              <w:rPr>
                <w:b/>
                <w:sz w:val="21"/>
              </w:rPr>
            </w:pPr>
            <w:r>
              <w:rPr>
                <w:b/>
                <w:sz w:val="21"/>
              </w:rPr>
              <w:t>64.严重肠道疾病并发症</w:t>
            </w:r>
          </w:p>
        </w:tc>
        <w:tc>
          <w:tcPr>
            <w:tcW w:w="7869" w:type="dxa"/>
          </w:tcPr>
          <w:p>
            <w:pPr>
              <w:pStyle w:val="TableParagraph"/>
              <w:spacing w:before="103"/>
              <w:ind w:left="103"/>
              <w:rPr>
                <w:sz w:val="21"/>
              </w:rPr>
            </w:pPr>
            <w:r>
              <w:rPr>
                <w:sz w:val="21"/>
              </w:rPr>
              <w:t>严重肠道疾病或外伤导致小肠损害并发症，并须满足下列全部条件：</w:t>
            </w:r>
          </w:p>
          <w:p>
            <w:pPr>
              <w:pStyle w:val="TableParagraph"/>
              <w:numPr>
                <w:ilvl w:val="0"/>
                <w:numId w:val="60"/>
              </w:numPr>
              <w:tabs>
                <w:tab w:pos="838" w:val="left" w:leader="none"/>
                <w:tab w:pos="839" w:val="left" w:leader="none"/>
              </w:tabs>
              <w:spacing w:line="240" w:lineRule="auto" w:before="37" w:after="0"/>
              <w:ind w:left="838" w:right="0" w:hanging="735"/>
              <w:jc w:val="left"/>
              <w:rPr>
                <w:sz w:val="21"/>
              </w:rPr>
            </w:pPr>
            <w:r>
              <w:rPr>
                <w:spacing w:val="-3"/>
                <w:sz w:val="21"/>
              </w:rPr>
              <w:t>至少切除了三分之二小肠；</w:t>
            </w:r>
          </w:p>
          <w:p>
            <w:pPr>
              <w:pStyle w:val="TableParagraph"/>
              <w:numPr>
                <w:ilvl w:val="0"/>
                <w:numId w:val="60"/>
              </w:numPr>
              <w:tabs>
                <w:tab w:pos="838" w:val="left" w:leader="none"/>
                <w:tab w:pos="839" w:val="left" w:leader="none"/>
              </w:tabs>
              <w:spacing w:line="240" w:lineRule="auto" w:before="37" w:after="0"/>
              <w:ind w:left="838" w:right="0" w:hanging="735"/>
              <w:jc w:val="left"/>
              <w:rPr>
                <w:sz w:val="21"/>
              </w:rPr>
            </w:pPr>
            <w:r>
              <w:rPr>
                <w:spacing w:val="-3"/>
                <w:sz w:val="21"/>
              </w:rPr>
              <w:t>完全肠外营养支持三个月以上。</w:t>
            </w:r>
          </w:p>
          <w:p>
            <w:pPr>
              <w:pStyle w:val="TableParagraph"/>
              <w:ind w:left="103"/>
              <w:rPr>
                <w:rFonts w:ascii="黑体" w:eastAsia="黑体" w:hint="eastAsia"/>
                <w:sz w:val="21"/>
              </w:rPr>
            </w:pPr>
            <w:r>
              <w:rPr>
                <w:rFonts w:ascii="黑体" w:eastAsia="黑体" w:hint="eastAsia"/>
                <w:sz w:val="21"/>
              </w:rPr>
              <w:t>本项保险责任仅在被保险人18周岁以前提供保障。</w:t>
            </w:r>
          </w:p>
        </w:tc>
      </w:tr>
      <w:tr>
        <w:trPr>
          <w:trHeight w:val="2975" w:hRule="atLeast"/>
        </w:trPr>
        <w:tc>
          <w:tcPr>
            <w:tcW w:w="1515" w:type="dxa"/>
          </w:tcPr>
          <w:p>
            <w:pPr>
              <w:pStyle w:val="TableParagraph"/>
              <w:spacing w:line="273" w:lineRule="auto" w:before="69"/>
              <w:ind w:right="101"/>
              <w:jc w:val="both"/>
              <w:rPr>
                <w:b/>
                <w:sz w:val="21"/>
              </w:rPr>
            </w:pPr>
            <w:r>
              <w:rPr>
                <w:b/>
                <w:sz w:val="21"/>
              </w:rPr>
              <w:t>65.重症骨髓增 生异常综合征</w:t>
            </w:r>
          </w:p>
        </w:tc>
        <w:tc>
          <w:tcPr>
            <w:tcW w:w="7869" w:type="dxa"/>
          </w:tcPr>
          <w:p>
            <w:pPr>
              <w:pStyle w:val="TableParagraph"/>
              <w:spacing w:line="273" w:lineRule="auto" w:before="69"/>
              <w:ind w:left="103" w:right="199"/>
              <w:rPr>
                <w:sz w:val="21"/>
              </w:rPr>
            </w:pPr>
            <w:r>
              <w:rPr>
                <w:spacing w:val="-3"/>
                <w:sz w:val="21"/>
              </w:rPr>
              <w:t>重症骨髓增生异常综合征</w:t>
            </w:r>
            <w:r>
              <w:rPr>
                <w:sz w:val="21"/>
              </w:rPr>
              <w:t>（Myelodysplastic syndromes</w:t>
            </w:r>
            <w:r>
              <w:rPr>
                <w:spacing w:val="1"/>
                <w:sz w:val="21"/>
              </w:rPr>
              <w:t>, </w:t>
            </w:r>
            <w:r>
              <w:rPr>
                <w:sz w:val="21"/>
              </w:rPr>
              <w:t>MDS</w:t>
            </w:r>
            <w:r>
              <w:rPr>
                <w:spacing w:val="-3"/>
                <w:sz w:val="21"/>
              </w:rPr>
              <w:t>)是起源于造血干细</w:t>
            </w:r>
            <w:r>
              <w:rPr>
                <w:spacing w:val="-6"/>
                <w:sz w:val="21"/>
              </w:rPr>
              <w:t>胞的一组异质性髓系克隆性疾病，特点是髓系细胞发育异常，表现为无效造血、难</w:t>
            </w:r>
            <w:r>
              <w:rPr>
                <w:spacing w:val="-4"/>
                <w:sz w:val="21"/>
              </w:rPr>
              <w:t>治性血细胞减少，本合同所指的严重的骨髓异常增生综合征需满足下列所有条件：</w:t>
            </w:r>
          </w:p>
          <w:p>
            <w:pPr>
              <w:pStyle w:val="TableParagraph"/>
              <w:numPr>
                <w:ilvl w:val="0"/>
                <w:numId w:val="61"/>
              </w:numPr>
              <w:tabs>
                <w:tab w:pos="838" w:val="left" w:leader="none"/>
                <w:tab w:pos="839" w:val="left" w:leader="none"/>
              </w:tabs>
              <w:spacing w:line="273" w:lineRule="auto" w:before="7" w:after="0"/>
              <w:ind w:left="838" w:right="302" w:hanging="735"/>
              <w:jc w:val="left"/>
              <w:rPr>
                <w:sz w:val="21"/>
              </w:rPr>
            </w:pPr>
            <w:r>
              <w:rPr>
                <w:spacing w:val="-3"/>
                <w:sz w:val="21"/>
              </w:rPr>
              <w:t>由设有专门血液病专科的公立三级甲等医院血液病专科的主治级别以上的医师确诊；</w:t>
            </w:r>
          </w:p>
          <w:p>
            <w:pPr>
              <w:pStyle w:val="TableParagraph"/>
              <w:numPr>
                <w:ilvl w:val="0"/>
                <w:numId w:val="61"/>
              </w:numPr>
              <w:tabs>
                <w:tab w:pos="838" w:val="left" w:leader="none"/>
                <w:tab w:pos="839" w:val="left" w:leader="none"/>
              </w:tabs>
              <w:spacing w:line="240" w:lineRule="auto" w:before="8" w:after="0"/>
              <w:ind w:left="838" w:right="0" w:hanging="735"/>
              <w:jc w:val="left"/>
              <w:rPr>
                <w:sz w:val="21"/>
              </w:rPr>
            </w:pPr>
            <w:r>
              <w:rPr>
                <w:spacing w:val="-3"/>
                <w:sz w:val="21"/>
              </w:rPr>
              <w:t>骨髓涂片检查同时符合发育异常细胞比例</w:t>
            </w:r>
            <w:r>
              <w:rPr>
                <w:sz w:val="21"/>
              </w:rPr>
              <w:t>&gt;10</w:t>
            </w:r>
            <w:r>
              <w:rPr>
                <w:spacing w:val="-2"/>
                <w:sz w:val="21"/>
              </w:rPr>
              <w:t>%、原始细胞比例</w:t>
            </w:r>
            <w:r>
              <w:rPr>
                <w:sz w:val="21"/>
              </w:rPr>
              <w:t>&gt;15%；</w:t>
            </w:r>
          </w:p>
          <w:p>
            <w:pPr>
              <w:pStyle w:val="TableParagraph"/>
              <w:numPr>
                <w:ilvl w:val="0"/>
                <w:numId w:val="61"/>
              </w:numPr>
              <w:tabs>
                <w:tab w:pos="838" w:val="left" w:leader="none"/>
                <w:tab w:pos="839" w:val="left" w:leader="none"/>
              </w:tabs>
              <w:spacing w:line="273" w:lineRule="auto" w:before="37" w:after="0"/>
              <w:ind w:left="103" w:right="1666" w:firstLine="0"/>
              <w:jc w:val="left"/>
              <w:rPr>
                <w:rFonts w:ascii="黑体" w:eastAsia="黑体" w:hint="eastAsia"/>
                <w:sz w:val="21"/>
              </w:rPr>
            </w:pPr>
            <w:r>
              <w:rPr>
                <w:spacing w:val="-3"/>
                <w:sz w:val="21"/>
              </w:rPr>
              <w:t>已接受至少累计三十日的化疗或已接受骨髓移植治疗。  化疗日数的计算以被保险人实际服用、注射化疗药物的天数为准。</w:t>
            </w:r>
            <w:r>
              <w:rPr>
                <w:rFonts w:ascii="黑体" w:eastAsia="黑体" w:hint="eastAsia"/>
                <w:spacing w:val="-3"/>
                <w:sz w:val="21"/>
              </w:rPr>
              <w:t>疑似病例不在保障范围之内。</w:t>
            </w:r>
          </w:p>
        </w:tc>
      </w:tr>
      <w:tr>
        <w:trPr>
          <w:trHeight w:val="1418" w:hRule="atLeast"/>
        </w:trPr>
        <w:tc>
          <w:tcPr>
            <w:tcW w:w="1515" w:type="dxa"/>
          </w:tcPr>
          <w:p>
            <w:pPr>
              <w:pStyle w:val="TableParagraph"/>
              <w:spacing w:line="273" w:lineRule="auto" w:before="58"/>
              <w:ind w:right="101"/>
              <w:jc w:val="both"/>
              <w:rPr>
                <w:b/>
                <w:sz w:val="21"/>
              </w:rPr>
            </w:pPr>
            <w:r>
              <w:rPr>
                <w:b/>
                <w:sz w:val="21"/>
              </w:rPr>
              <w:t>66.严重慢性缩 窄型心包炎</w:t>
            </w:r>
          </w:p>
        </w:tc>
        <w:tc>
          <w:tcPr>
            <w:tcW w:w="7869" w:type="dxa"/>
          </w:tcPr>
          <w:p>
            <w:pPr>
              <w:pStyle w:val="TableParagraph"/>
              <w:spacing w:line="273" w:lineRule="auto" w:before="58"/>
              <w:ind w:left="103" w:right="197"/>
              <w:jc w:val="both"/>
              <w:rPr>
                <w:sz w:val="21"/>
              </w:rPr>
            </w:pPr>
            <w:r>
              <w:rPr>
                <w:spacing w:val="-3"/>
                <w:sz w:val="21"/>
              </w:rPr>
              <w:t>由于慢性心包炎症导致心包脏层和壁层广泛瘢痕粘连、增厚和钙化，心包腔闭塞， </w:t>
            </w:r>
            <w:r>
              <w:rPr>
                <w:spacing w:val="-7"/>
                <w:sz w:val="21"/>
              </w:rPr>
              <w:t>形成一个纤维瘢痕外壳，使心脏和大血管根部受压，妨碍心脏的舒张。必需经心脏科专科医生明确诊断为慢性缩窄性心包炎，并且已经造成永久不可逆性的体力活动能力受限，达到美国纽约心脏病学会心功能状态分级 </w:t>
            </w:r>
            <w:r>
              <w:rPr>
                <w:sz w:val="21"/>
              </w:rPr>
              <w:t>IV</w:t>
            </w:r>
            <w:r>
              <w:rPr>
                <w:spacing w:val="-7"/>
                <w:sz w:val="21"/>
              </w:rPr>
              <w:t> 级，并持续 </w:t>
            </w:r>
            <w:r>
              <w:rPr>
                <w:sz w:val="21"/>
              </w:rPr>
              <w:t>180</w:t>
            </w:r>
            <w:r>
              <w:rPr>
                <w:spacing w:val="-11"/>
                <w:sz w:val="21"/>
              </w:rPr>
              <w:t> 天以上。</w:t>
            </w:r>
          </w:p>
        </w:tc>
      </w:tr>
      <w:tr>
        <w:trPr>
          <w:trHeight w:val="1914" w:hRule="atLeast"/>
        </w:trPr>
        <w:tc>
          <w:tcPr>
            <w:tcW w:w="1515" w:type="dxa"/>
          </w:tcPr>
          <w:p>
            <w:pPr>
              <w:pStyle w:val="TableParagraph"/>
              <w:spacing w:line="273" w:lineRule="auto" w:before="73"/>
              <w:ind w:right="101"/>
              <w:rPr>
                <w:b/>
                <w:sz w:val="21"/>
              </w:rPr>
            </w:pPr>
            <w:r>
              <w:rPr>
                <w:b/>
                <w:sz w:val="21"/>
              </w:rPr>
              <w:t>67.重症手足口病</w:t>
            </w:r>
          </w:p>
        </w:tc>
        <w:tc>
          <w:tcPr>
            <w:tcW w:w="7869" w:type="dxa"/>
          </w:tcPr>
          <w:p>
            <w:pPr>
              <w:pStyle w:val="TableParagraph"/>
              <w:spacing w:line="273" w:lineRule="auto" w:before="73"/>
              <w:ind w:left="103" w:right="233"/>
              <w:jc w:val="both"/>
              <w:rPr>
                <w:sz w:val="21"/>
              </w:rPr>
            </w:pPr>
            <w:r>
              <w:rPr>
                <w:spacing w:val="-7"/>
                <w:sz w:val="21"/>
              </w:rPr>
              <w:t>由肠道病毒引起的急性传染病，主要症状表现为手、足、口腔等部位的斑丘疹、疱</w:t>
            </w:r>
            <w:r>
              <w:rPr>
                <w:spacing w:val="-8"/>
                <w:sz w:val="21"/>
              </w:rPr>
              <w:t>疹。经本公司认可的医疗机构的专科医生确诊为患有手足口病，并伴有下列三项中</w:t>
            </w:r>
            <w:r>
              <w:rPr>
                <w:spacing w:val="-5"/>
                <w:sz w:val="21"/>
              </w:rPr>
              <w:t>的任意一项并发症：</w:t>
            </w:r>
          </w:p>
          <w:p>
            <w:pPr>
              <w:pStyle w:val="TableParagraph"/>
              <w:numPr>
                <w:ilvl w:val="0"/>
                <w:numId w:val="62"/>
              </w:numPr>
              <w:tabs>
                <w:tab w:pos="838" w:val="left" w:leader="none"/>
                <w:tab w:pos="839" w:val="left" w:leader="none"/>
              </w:tabs>
              <w:spacing w:line="273" w:lineRule="auto" w:before="7" w:after="0"/>
              <w:ind w:left="838" w:right="302" w:hanging="735"/>
              <w:jc w:val="left"/>
              <w:rPr>
                <w:sz w:val="21"/>
              </w:rPr>
            </w:pPr>
            <w:r>
              <w:rPr>
                <w:spacing w:val="-3"/>
                <w:sz w:val="21"/>
              </w:rPr>
              <w:t>有脑膜炎或脑炎并发症，且导致意识障碍或瘫痪的临床表现及实验室检查证据；</w:t>
            </w:r>
          </w:p>
          <w:p>
            <w:pPr>
              <w:pStyle w:val="TableParagraph"/>
              <w:numPr>
                <w:ilvl w:val="0"/>
                <w:numId w:val="62"/>
              </w:numPr>
              <w:tabs>
                <w:tab w:pos="839" w:val="left" w:leader="none"/>
              </w:tabs>
              <w:spacing w:line="261" w:lineRule="exact" w:before="7" w:after="0"/>
              <w:ind w:left="838" w:right="0" w:hanging="735"/>
              <w:jc w:val="both"/>
              <w:rPr>
                <w:sz w:val="21"/>
              </w:rPr>
            </w:pPr>
            <w:r>
              <w:rPr>
                <w:spacing w:val="-3"/>
                <w:sz w:val="21"/>
              </w:rPr>
              <w:t>有肺炎或肺水肿并发症，且导致呼吸衰竭的临床表现及实验室检查证据；</w:t>
            </w:r>
          </w:p>
        </w:tc>
      </w:tr>
    </w:tbl>
    <w:p>
      <w:pPr>
        <w:spacing w:after="0" w:line="261" w:lineRule="exact"/>
        <w:jc w:val="both"/>
        <w:rPr>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3"/>
      </w:tblGrid>
      <w:tr>
        <w:trPr>
          <w:trHeight w:val="651" w:hRule="atLeast"/>
        </w:trPr>
        <w:tc>
          <w:tcPr>
            <w:tcW w:w="1515" w:type="dxa"/>
          </w:tcPr>
          <w:p>
            <w:pPr>
              <w:pStyle w:val="TableParagraph"/>
              <w:spacing w:before="0"/>
              <w:ind w:left="0"/>
              <w:rPr>
                <w:rFonts w:ascii="Times New Roman"/>
                <w:sz w:val="20"/>
              </w:rPr>
            </w:pPr>
          </w:p>
        </w:tc>
        <w:tc>
          <w:tcPr>
            <w:tcW w:w="7833" w:type="dxa"/>
          </w:tcPr>
          <w:p>
            <w:pPr>
              <w:pStyle w:val="TableParagraph"/>
              <w:tabs>
                <w:tab w:pos="838" w:val="left" w:leader="none"/>
              </w:tabs>
              <w:spacing w:line="205" w:lineRule="exact" w:before="0"/>
              <w:ind w:left="103"/>
              <w:rPr>
                <w:sz w:val="21"/>
              </w:rPr>
            </w:pPr>
            <w:r>
              <w:rPr>
                <w:sz w:val="21"/>
              </w:rPr>
              <w:t>（3）</w:t>
              <w:tab/>
            </w:r>
            <w:r>
              <w:rPr>
                <w:spacing w:val="-3"/>
                <w:sz w:val="21"/>
              </w:rPr>
              <w:t>有心肌炎并发症，且导致心脏扩大或心力衰竭的临床表现及实验室检查证</w:t>
            </w:r>
          </w:p>
          <w:p>
            <w:pPr>
              <w:pStyle w:val="TableParagraph"/>
              <w:ind w:left="840"/>
              <w:rPr>
                <w:sz w:val="21"/>
              </w:rPr>
            </w:pPr>
            <w:r>
              <w:rPr>
                <w:sz w:val="21"/>
              </w:rPr>
              <w:t>据。</w:t>
            </w:r>
          </w:p>
        </w:tc>
      </w:tr>
      <w:tr>
        <w:trPr>
          <w:trHeight w:val="1107" w:hRule="atLeast"/>
        </w:trPr>
        <w:tc>
          <w:tcPr>
            <w:tcW w:w="1515" w:type="dxa"/>
          </w:tcPr>
          <w:p>
            <w:pPr>
              <w:pStyle w:val="TableParagraph"/>
              <w:spacing w:line="273" w:lineRule="auto" w:before="58"/>
              <w:ind w:right="101"/>
              <w:jc w:val="both"/>
              <w:rPr>
                <w:b/>
                <w:sz w:val="21"/>
              </w:rPr>
            </w:pPr>
            <w:r>
              <w:rPr>
                <w:b/>
                <w:sz w:val="21"/>
              </w:rPr>
              <w:t>68.严重幼年型 类风湿性关节炎</w:t>
            </w:r>
          </w:p>
        </w:tc>
        <w:tc>
          <w:tcPr>
            <w:tcW w:w="7833" w:type="dxa"/>
          </w:tcPr>
          <w:p>
            <w:pPr>
              <w:pStyle w:val="TableParagraph"/>
              <w:spacing w:before="58"/>
              <w:ind w:left="103"/>
              <w:rPr>
                <w:sz w:val="21"/>
              </w:rPr>
            </w:pPr>
            <w:r>
              <w:rPr>
                <w:sz w:val="21"/>
              </w:rPr>
              <w:t>指为了治疗幼年型类风湿关节炎，实际实施了膝关节或髋关节置换手术。</w:t>
            </w:r>
          </w:p>
          <w:p>
            <w:pPr>
              <w:pStyle w:val="TableParagraph"/>
              <w:spacing w:line="273" w:lineRule="auto" w:before="36"/>
              <w:ind w:left="103" w:right="156"/>
              <w:rPr>
                <w:sz w:val="21"/>
              </w:rPr>
            </w:pPr>
            <w:r>
              <w:rPr>
                <w:sz w:val="21"/>
              </w:rPr>
              <w:t>幼年型类风湿关节炎是一种儿童期发病的慢性关节炎，其特点为在高热和系统性病征出现数月后发生关节炎。</w:t>
            </w:r>
          </w:p>
        </w:tc>
      </w:tr>
      <w:tr>
        <w:trPr>
          <w:trHeight w:val="1422" w:hRule="atLeast"/>
        </w:trPr>
        <w:tc>
          <w:tcPr>
            <w:tcW w:w="1515" w:type="dxa"/>
          </w:tcPr>
          <w:p>
            <w:pPr>
              <w:pStyle w:val="TableParagraph"/>
              <w:spacing w:line="273" w:lineRule="auto" w:before="74"/>
              <w:ind w:right="101"/>
              <w:jc w:val="both"/>
              <w:rPr>
                <w:b/>
                <w:sz w:val="21"/>
              </w:rPr>
            </w:pPr>
            <w:r>
              <w:rPr>
                <w:b/>
                <w:sz w:val="21"/>
              </w:rPr>
              <w:t>69.破裂脑动脉 瘤夹闭手术</w:t>
            </w:r>
          </w:p>
        </w:tc>
        <w:tc>
          <w:tcPr>
            <w:tcW w:w="7833" w:type="dxa"/>
          </w:tcPr>
          <w:p>
            <w:pPr>
              <w:pStyle w:val="TableParagraph"/>
              <w:spacing w:line="273" w:lineRule="auto" w:before="74"/>
              <w:ind w:left="103" w:right="156"/>
              <w:rPr>
                <w:sz w:val="21"/>
              </w:rPr>
            </w:pPr>
            <w:r>
              <w:rPr>
                <w:sz w:val="21"/>
              </w:rPr>
              <w:t>指因脑动脉瘤破裂造成蛛网膜下腔出血，被保险人已经实施了在全麻下进行的开颅动脉瘤夹闭手术。</w:t>
            </w:r>
          </w:p>
          <w:p>
            <w:pPr>
              <w:pStyle w:val="TableParagraph"/>
              <w:spacing w:line="273" w:lineRule="auto" w:before="7"/>
              <w:ind w:left="103" w:right="162"/>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2009" w:hRule="atLeast"/>
        </w:trPr>
        <w:tc>
          <w:tcPr>
            <w:tcW w:w="1515" w:type="dxa"/>
          </w:tcPr>
          <w:p>
            <w:pPr>
              <w:pStyle w:val="TableParagraph"/>
              <w:spacing w:line="273" w:lineRule="auto" w:before="61"/>
              <w:ind w:right="101"/>
              <w:rPr>
                <w:b/>
                <w:sz w:val="21"/>
              </w:rPr>
            </w:pPr>
            <w:r>
              <w:rPr>
                <w:b/>
                <w:sz w:val="21"/>
              </w:rPr>
              <w:t>70.慢性呼吸功能衰竭</w:t>
            </w:r>
          </w:p>
        </w:tc>
        <w:tc>
          <w:tcPr>
            <w:tcW w:w="7833" w:type="dxa"/>
          </w:tcPr>
          <w:p>
            <w:pPr>
              <w:pStyle w:val="TableParagraph"/>
              <w:spacing w:line="273" w:lineRule="auto" w:before="61"/>
              <w:ind w:left="103" w:right="156"/>
              <w:rPr>
                <w:sz w:val="21"/>
              </w:rPr>
            </w:pPr>
            <w:r>
              <w:rPr>
                <w:sz w:val="21"/>
              </w:rPr>
              <w:t>慢性肺部疾病导致永久不可逆性的慢性呼吸功能衰竭。慢性呼吸功能衰竭必须明确诊断并满足下列全部条件：</w:t>
            </w:r>
          </w:p>
          <w:p>
            <w:pPr>
              <w:pStyle w:val="TableParagraph"/>
              <w:spacing w:before="7"/>
              <w:ind w:left="103"/>
              <w:rPr>
                <w:sz w:val="21"/>
              </w:rPr>
            </w:pPr>
            <w:r>
              <w:rPr>
                <w:sz w:val="21"/>
              </w:rPr>
              <w:t>（1）休息时出现呼吸困难；</w:t>
            </w:r>
          </w:p>
          <w:p>
            <w:pPr>
              <w:pStyle w:val="TableParagraph"/>
              <w:ind w:left="103"/>
              <w:rPr>
                <w:sz w:val="21"/>
              </w:rPr>
            </w:pPr>
            <w:r>
              <w:rPr>
                <w:sz w:val="21"/>
              </w:rPr>
              <w:t>（2）动脉血氧分压（</w:t>
            </w:r>
            <w:r>
              <w:rPr>
                <w:sz w:val="20"/>
              </w:rPr>
              <w:t>PaO2</w:t>
            </w:r>
            <w:r>
              <w:rPr>
                <w:sz w:val="21"/>
              </w:rPr>
              <w:t>）&lt; 50mmHg；</w:t>
            </w:r>
          </w:p>
          <w:p>
            <w:pPr>
              <w:pStyle w:val="TableParagraph"/>
              <w:ind w:left="103"/>
              <w:rPr>
                <w:sz w:val="21"/>
              </w:rPr>
            </w:pPr>
            <w:r>
              <w:rPr>
                <w:sz w:val="21"/>
              </w:rPr>
              <w:t>（3）动脉血氧饱和度（SaO2）&lt; 80%；</w:t>
            </w:r>
          </w:p>
          <w:p>
            <w:pPr>
              <w:pStyle w:val="TableParagraph"/>
              <w:ind w:left="103"/>
              <w:rPr>
                <w:sz w:val="21"/>
              </w:rPr>
            </w:pPr>
            <w:r>
              <w:rPr>
                <w:sz w:val="21"/>
              </w:rPr>
              <w:t>（4）因缺氧必须接受持续的输氧治疗。</w:t>
            </w:r>
          </w:p>
        </w:tc>
      </w:tr>
      <w:tr>
        <w:trPr>
          <w:trHeight w:val="1681" w:hRule="atLeast"/>
        </w:trPr>
        <w:tc>
          <w:tcPr>
            <w:tcW w:w="1515" w:type="dxa"/>
          </w:tcPr>
          <w:p>
            <w:pPr>
              <w:pStyle w:val="TableParagraph"/>
              <w:spacing w:line="273" w:lineRule="auto"/>
              <w:ind w:right="101"/>
              <w:rPr>
                <w:b/>
                <w:sz w:val="21"/>
              </w:rPr>
            </w:pPr>
            <w:r>
              <w:rPr>
                <w:b/>
                <w:sz w:val="21"/>
              </w:rPr>
              <w:t>71.严重脊髓灰质炎</w:t>
            </w:r>
          </w:p>
        </w:tc>
        <w:tc>
          <w:tcPr>
            <w:tcW w:w="7833" w:type="dxa"/>
          </w:tcPr>
          <w:p>
            <w:pPr>
              <w:pStyle w:val="TableParagraph"/>
              <w:spacing w:line="273" w:lineRule="auto"/>
              <w:ind w:left="103" w:right="156"/>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7"/>
              <w:ind w:left="103" w:right="197"/>
              <w:rPr>
                <w:sz w:val="21"/>
              </w:rPr>
            </w:pPr>
            <w:r>
              <w:rPr>
                <w:spacing w:val="-3"/>
                <w:sz w:val="21"/>
              </w:rPr>
              <w:t>本合同仅对脊髓灰质炎造成的神经系统功能损害导致被保险人一肢或一肢以上肢 </w:t>
            </w:r>
            <w:r>
              <w:rPr>
                <w:spacing w:val="-7"/>
                <w:sz w:val="21"/>
              </w:rPr>
              <w:t>体机能永久完全丧失的情况予以赔付。肢体机能永久完全丧失，指疾病确诊 </w:t>
            </w:r>
            <w:r>
              <w:rPr>
                <w:sz w:val="21"/>
              </w:rPr>
              <w:t>180</w:t>
            </w:r>
            <w:r>
              <w:rPr>
                <w:spacing w:val="-18"/>
                <w:sz w:val="21"/>
              </w:rPr>
              <w:t> 天</w:t>
            </w:r>
            <w:r>
              <w:rPr>
                <w:spacing w:val="-7"/>
                <w:sz w:val="21"/>
              </w:rPr>
              <w:t>后，每肢三大关节中的两大关节仍然完全僵硬，或不能随意识活动。</w:t>
            </w:r>
          </w:p>
        </w:tc>
      </w:tr>
      <w:tr>
        <w:trPr>
          <w:trHeight w:val="2630" w:hRule="atLeast"/>
        </w:trPr>
        <w:tc>
          <w:tcPr>
            <w:tcW w:w="1515" w:type="dxa"/>
          </w:tcPr>
          <w:p>
            <w:pPr>
              <w:pStyle w:val="TableParagraph"/>
              <w:spacing w:line="273" w:lineRule="auto" w:before="45"/>
              <w:ind w:right="101"/>
              <w:rPr>
                <w:b/>
                <w:sz w:val="21"/>
              </w:rPr>
            </w:pPr>
            <w:r>
              <w:rPr>
                <w:b/>
                <w:sz w:val="21"/>
              </w:rPr>
              <w:t>72.严重冠心病</w:t>
            </w:r>
          </w:p>
        </w:tc>
        <w:tc>
          <w:tcPr>
            <w:tcW w:w="7833" w:type="dxa"/>
          </w:tcPr>
          <w:p>
            <w:pPr>
              <w:pStyle w:val="TableParagraph"/>
              <w:spacing w:line="273" w:lineRule="auto" w:before="45"/>
              <w:ind w:left="103" w:right="157"/>
              <w:rPr>
                <w:sz w:val="21"/>
              </w:rPr>
            </w:pPr>
            <w:r>
              <w:rPr>
                <w:sz w:val="21"/>
              </w:rPr>
              <w:t>指经冠状动脉造影检查明确诊断为主要血管严重狭窄性病变，须满足下列至少一项条件：</w:t>
            </w:r>
          </w:p>
          <w:p>
            <w:pPr>
              <w:pStyle w:val="TableParagraph"/>
              <w:spacing w:line="273" w:lineRule="auto" w:before="7"/>
              <w:ind w:left="103" w:right="199"/>
              <w:rPr>
                <w:sz w:val="21"/>
              </w:rPr>
            </w:pPr>
            <w:r>
              <w:rPr>
                <w:spacing w:val="-11"/>
                <w:sz w:val="21"/>
              </w:rPr>
              <w:t>（1）</w:t>
            </w:r>
            <w:r>
              <w:rPr>
                <w:spacing w:val="-6"/>
                <w:sz w:val="21"/>
              </w:rPr>
              <w:t>左冠状动脉主干和右冠状动脉中，一支血管管腔堵塞 </w:t>
            </w:r>
            <w:r>
              <w:rPr>
                <w:sz w:val="21"/>
              </w:rPr>
              <w:t>75</w:t>
            </w:r>
            <w:r>
              <w:rPr>
                <w:spacing w:val="-7"/>
                <w:sz w:val="21"/>
              </w:rPr>
              <w:t>%以上，另一支血管管</w:t>
            </w:r>
            <w:r>
              <w:rPr>
                <w:spacing w:val="-15"/>
                <w:sz w:val="21"/>
              </w:rPr>
              <w:t>腔堵塞 </w:t>
            </w:r>
            <w:r>
              <w:rPr>
                <w:sz w:val="21"/>
              </w:rPr>
              <w:t>60</w:t>
            </w:r>
            <w:r>
              <w:rPr>
                <w:spacing w:val="-1"/>
                <w:sz w:val="21"/>
              </w:rPr>
              <w:t>%以上；</w:t>
            </w:r>
          </w:p>
          <w:p>
            <w:pPr>
              <w:pStyle w:val="TableParagraph"/>
              <w:spacing w:line="273" w:lineRule="auto" w:before="7"/>
              <w:ind w:left="103" w:right="199"/>
              <w:rPr>
                <w:sz w:val="21"/>
              </w:rPr>
            </w:pPr>
            <w:r>
              <w:rPr>
                <w:spacing w:val="-9"/>
                <w:sz w:val="21"/>
              </w:rPr>
              <w:t>（2）左前降支、左旋支和右冠状动脉中，至少一支血管管腔堵塞 </w:t>
            </w:r>
            <w:r>
              <w:rPr>
                <w:sz w:val="21"/>
              </w:rPr>
              <w:t>75</w:t>
            </w:r>
            <w:r>
              <w:rPr>
                <w:spacing w:val="-6"/>
                <w:sz w:val="21"/>
              </w:rPr>
              <w:t>%以上，其他两</w:t>
            </w:r>
            <w:r>
              <w:rPr>
                <w:spacing w:val="-9"/>
                <w:sz w:val="21"/>
              </w:rPr>
              <w:t>支血管管腔堵塞 </w:t>
            </w:r>
            <w:r>
              <w:rPr>
                <w:sz w:val="21"/>
              </w:rPr>
              <w:t>60</w:t>
            </w:r>
            <w:r>
              <w:rPr>
                <w:spacing w:val="-1"/>
                <w:sz w:val="21"/>
              </w:rPr>
              <w:t>%以上。</w:t>
            </w:r>
          </w:p>
          <w:p>
            <w:pPr>
              <w:pStyle w:val="TableParagraph"/>
              <w:spacing w:line="273" w:lineRule="auto" w:before="7"/>
              <w:ind w:left="103" w:right="197"/>
              <w:rPr>
                <w:rFonts w:ascii="黑体" w:eastAsia="黑体" w:hint="eastAsia"/>
                <w:sz w:val="21"/>
              </w:rPr>
            </w:pPr>
            <w:r>
              <w:rPr>
                <w:rFonts w:ascii="黑体" w:eastAsia="黑体" w:hint="eastAsia"/>
                <w:spacing w:val="-7"/>
                <w:sz w:val="21"/>
              </w:rPr>
              <w:t>左前降支的分支血管、左旋支的分支血管及右冠状动脉的分支血管的狭窄不作为本</w:t>
            </w:r>
            <w:r>
              <w:rPr>
                <w:rFonts w:ascii="黑体" w:eastAsia="黑体" w:hint="eastAsia"/>
                <w:spacing w:val="-5"/>
                <w:sz w:val="21"/>
              </w:rPr>
              <w:t>保障的衡量指标。</w:t>
            </w:r>
          </w:p>
        </w:tc>
      </w:tr>
      <w:tr>
        <w:trPr>
          <w:trHeight w:val="1100" w:hRule="atLeast"/>
        </w:trPr>
        <w:tc>
          <w:tcPr>
            <w:tcW w:w="1515" w:type="dxa"/>
          </w:tcPr>
          <w:p>
            <w:pPr>
              <w:pStyle w:val="TableParagraph"/>
              <w:spacing w:line="273" w:lineRule="auto" w:before="50"/>
              <w:ind w:right="101"/>
              <w:rPr>
                <w:b/>
                <w:sz w:val="21"/>
              </w:rPr>
            </w:pPr>
            <w:r>
              <w:rPr>
                <w:b/>
                <w:sz w:val="21"/>
              </w:rPr>
              <w:t>73.严重肺源性心脏病</w:t>
            </w:r>
          </w:p>
        </w:tc>
        <w:tc>
          <w:tcPr>
            <w:tcW w:w="7833" w:type="dxa"/>
          </w:tcPr>
          <w:p>
            <w:pPr>
              <w:pStyle w:val="TableParagraph"/>
              <w:spacing w:line="273" w:lineRule="auto" w:before="50"/>
              <w:ind w:left="103" w:right="197"/>
              <w:rPr>
                <w:sz w:val="21"/>
              </w:rPr>
            </w:pPr>
            <w:r>
              <w:rPr>
                <w:spacing w:val="-5"/>
                <w:sz w:val="21"/>
              </w:rPr>
              <w:t>指被保人因慢性肺部疾病导致慢性心功能损害造成永久不可逆性的心功能衰竭。心</w:t>
            </w:r>
            <w:r>
              <w:rPr>
                <w:spacing w:val="-6"/>
                <w:sz w:val="21"/>
              </w:rPr>
              <w:t>功能衰竭程度达到纽约心脏病学会的心功能分级标准之心功能 </w:t>
            </w:r>
            <w:r>
              <w:rPr>
                <w:sz w:val="21"/>
              </w:rPr>
              <w:t>IV</w:t>
            </w:r>
            <w:r>
              <w:rPr>
                <w:spacing w:val="-8"/>
                <w:sz w:val="21"/>
              </w:rPr>
              <w:t> 级。被保险人永</w:t>
            </w:r>
            <w:r>
              <w:rPr>
                <w:spacing w:val="-5"/>
                <w:sz w:val="21"/>
              </w:rPr>
              <w:t>久不可逆性的体力活动能力受限，不能从事任何体力活动。</w:t>
            </w:r>
          </w:p>
        </w:tc>
      </w:tr>
      <w:tr>
        <w:trPr>
          <w:trHeight w:val="1732" w:hRule="atLeast"/>
        </w:trPr>
        <w:tc>
          <w:tcPr>
            <w:tcW w:w="1515" w:type="dxa"/>
          </w:tcPr>
          <w:p>
            <w:pPr>
              <w:pStyle w:val="TableParagraph"/>
              <w:spacing w:line="273" w:lineRule="auto" w:before="75"/>
              <w:ind w:right="101"/>
              <w:rPr>
                <w:b/>
                <w:sz w:val="21"/>
              </w:rPr>
            </w:pPr>
            <w:r>
              <w:rPr>
                <w:b/>
                <w:sz w:val="21"/>
              </w:rPr>
              <w:t>74.艾森门格综合征</w:t>
            </w:r>
          </w:p>
        </w:tc>
        <w:tc>
          <w:tcPr>
            <w:tcW w:w="7833" w:type="dxa"/>
          </w:tcPr>
          <w:p>
            <w:pPr>
              <w:pStyle w:val="TableParagraph"/>
              <w:spacing w:line="273" w:lineRule="auto" w:before="75"/>
              <w:ind w:left="103" w:right="156"/>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ind w:left="103"/>
              <w:rPr>
                <w:sz w:val="21"/>
              </w:rPr>
            </w:pPr>
            <w:r>
              <w:rPr>
                <w:sz w:val="21"/>
              </w:rPr>
              <w:t>1.平均肺动脉压高于 40mmHg；</w:t>
            </w:r>
          </w:p>
          <w:p>
            <w:pPr>
              <w:pStyle w:val="TableParagraph"/>
              <w:ind w:left="103"/>
              <w:rPr>
                <w:sz w:val="21"/>
              </w:rPr>
            </w:pPr>
            <w:r>
              <w:rPr>
                <w:w w:val="100"/>
                <w:sz w:val="21"/>
              </w:rPr>
              <w:t>2.</w:t>
            </w:r>
            <w:r>
              <w:rPr>
                <w:spacing w:val="-3"/>
                <w:w w:val="100"/>
                <w:sz w:val="21"/>
              </w:rPr>
              <w:t>肺血管阻力高于</w:t>
            </w:r>
            <w:r>
              <w:rPr>
                <w:spacing w:val="-52"/>
                <w:sz w:val="21"/>
              </w:rPr>
              <w:t> </w:t>
            </w:r>
            <w:r>
              <w:rPr>
                <w:spacing w:val="-3"/>
                <w:w w:val="100"/>
                <w:sz w:val="21"/>
              </w:rPr>
              <w:t>3</w:t>
            </w:r>
            <w:r>
              <w:rPr>
                <w:w w:val="100"/>
                <w:sz w:val="21"/>
              </w:rPr>
              <w:t>mm/</w:t>
            </w:r>
            <w:r>
              <w:rPr>
                <w:spacing w:val="-3"/>
                <w:w w:val="100"/>
                <w:sz w:val="21"/>
              </w:rPr>
              <w:t>L/</w:t>
            </w:r>
            <w:r>
              <w:rPr>
                <w:w w:val="100"/>
                <w:sz w:val="21"/>
              </w:rPr>
              <w:t>mi</w:t>
            </w:r>
            <w:r>
              <w:rPr>
                <w:spacing w:val="-1"/>
                <w:w w:val="100"/>
                <w:sz w:val="21"/>
              </w:rPr>
              <w:t>n</w:t>
            </w:r>
            <w:r>
              <w:rPr>
                <w:w w:val="100"/>
                <w:sz w:val="21"/>
              </w:rPr>
              <w:t>（</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ind w:left="103"/>
              <w:rPr>
                <w:sz w:val="21"/>
              </w:rPr>
            </w:pPr>
            <w:r>
              <w:rPr>
                <w:sz w:val="21"/>
              </w:rPr>
              <w:t>3.正常肺微血管楔压低于 15mmHg。</w:t>
            </w:r>
          </w:p>
        </w:tc>
      </w:tr>
      <w:tr>
        <w:trPr>
          <w:trHeight w:val="1899" w:hRule="atLeast"/>
        </w:trPr>
        <w:tc>
          <w:tcPr>
            <w:tcW w:w="1515" w:type="dxa"/>
          </w:tcPr>
          <w:p>
            <w:pPr>
              <w:pStyle w:val="TableParagraph"/>
              <w:spacing w:before="58"/>
              <w:rPr>
                <w:b/>
                <w:sz w:val="21"/>
              </w:rPr>
            </w:pPr>
            <w:r>
              <w:rPr>
                <w:b/>
                <w:sz w:val="21"/>
              </w:rPr>
              <w:t>75.严重哮喘</w:t>
            </w:r>
          </w:p>
        </w:tc>
        <w:tc>
          <w:tcPr>
            <w:tcW w:w="7833" w:type="dxa"/>
          </w:tcPr>
          <w:p>
            <w:pPr>
              <w:pStyle w:val="TableParagraph"/>
              <w:spacing w:line="273" w:lineRule="auto" w:before="58"/>
              <w:ind w:left="103" w:right="156"/>
              <w:rPr>
                <w:sz w:val="21"/>
              </w:rPr>
            </w:pPr>
            <w:r>
              <w:rPr>
                <w:sz w:val="21"/>
              </w:rPr>
              <w:t>指一种反复发作的严重支气管阻塞性疾病，经本公司认可的专科医生确诊，且必须同时符合下列标准：</w:t>
            </w:r>
          </w:p>
          <w:p>
            <w:pPr>
              <w:pStyle w:val="TableParagraph"/>
              <w:spacing w:before="7"/>
              <w:ind w:left="103"/>
              <w:rPr>
                <w:sz w:val="21"/>
              </w:rPr>
            </w:pPr>
            <w:r>
              <w:rPr>
                <w:sz w:val="21"/>
              </w:rPr>
              <w:t>（1）过去两年中曾因哮喘持续状态住院治疗，并提供完整住院记录；</w:t>
            </w:r>
          </w:p>
          <w:p>
            <w:pPr>
              <w:pStyle w:val="TableParagraph"/>
              <w:spacing w:before="36"/>
              <w:ind w:left="103"/>
              <w:rPr>
                <w:sz w:val="21"/>
              </w:rPr>
            </w:pPr>
            <w:r>
              <w:rPr>
                <w:sz w:val="21"/>
              </w:rPr>
              <w:t>（2）因慢性过度换气导致胸廓畸形；</w:t>
            </w:r>
          </w:p>
          <w:p>
            <w:pPr>
              <w:pStyle w:val="TableParagraph"/>
              <w:spacing w:before="36"/>
              <w:ind w:left="103"/>
              <w:rPr>
                <w:sz w:val="21"/>
              </w:rPr>
            </w:pPr>
            <w:r>
              <w:rPr>
                <w:sz w:val="21"/>
              </w:rPr>
              <w:t>（3）在家中需要医生处方的氧气治疗法；</w:t>
            </w:r>
          </w:p>
          <w:p>
            <w:pPr>
              <w:pStyle w:val="TableParagraph"/>
              <w:spacing w:line="261" w:lineRule="exact" w:before="36"/>
              <w:ind w:left="103"/>
              <w:rPr>
                <w:sz w:val="21"/>
              </w:rPr>
            </w:pPr>
            <w:r>
              <w:rPr>
                <w:sz w:val="21"/>
              </w:rPr>
              <w:t>（4）持续日常服用口服类固醇激素治疗持续至少六个月。</w:t>
            </w:r>
          </w:p>
        </w:tc>
      </w:tr>
    </w:tbl>
    <w:p>
      <w:pPr>
        <w:spacing w:after="0" w:line="261" w:lineRule="exact"/>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7899"/>
      </w:tblGrid>
      <w:tr>
        <w:trPr>
          <w:trHeight w:val="339" w:hRule="atLeast"/>
        </w:trPr>
        <w:tc>
          <w:tcPr>
            <w:tcW w:w="1552" w:type="dxa"/>
          </w:tcPr>
          <w:p>
            <w:pPr>
              <w:pStyle w:val="TableParagraph"/>
              <w:spacing w:before="0"/>
              <w:ind w:left="0"/>
              <w:rPr>
                <w:rFonts w:ascii="Times New Roman"/>
                <w:sz w:val="20"/>
              </w:rPr>
            </w:pPr>
          </w:p>
        </w:tc>
        <w:tc>
          <w:tcPr>
            <w:tcW w:w="7899" w:type="dxa"/>
          </w:tcPr>
          <w:p>
            <w:pPr>
              <w:pStyle w:val="TableParagraph"/>
              <w:spacing w:line="205" w:lineRule="exact" w:before="0"/>
              <w:ind w:left="66"/>
              <w:rPr>
                <w:rFonts w:ascii="黑体" w:eastAsia="黑体" w:hint="eastAsia"/>
                <w:sz w:val="21"/>
              </w:rPr>
            </w:pPr>
            <w:r>
              <w:rPr>
                <w:rFonts w:ascii="黑体" w:eastAsia="黑体" w:hint="eastAsia"/>
                <w:sz w:val="21"/>
              </w:rPr>
              <w:t>被保险人申请理赔时年龄必须在年满二十五周岁之前。</w:t>
            </w:r>
          </w:p>
        </w:tc>
      </w:tr>
      <w:tr>
        <w:trPr>
          <w:trHeight w:val="1410" w:hRule="atLeast"/>
        </w:trPr>
        <w:tc>
          <w:tcPr>
            <w:tcW w:w="1552" w:type="dxa"/>
          </w:tcPr>
          <w:p>
            <w:pPr>
              <w:pStyle w:val="TableParagraph"/>
              <w:spacing w:before="58"/>
              <w:rPr>
                <w:b/>
                <w:sz w:val="21"/>
              </w:rPr>
            </w:pPr>
            <w:r>
              <w:rPr>
                <w:b/>
                <w:sz w:val="21"/>
              </w:rPr>
              <w:t>76.疯牛病</w:t>
            </w:r>
          </w:p>
        </w:tc>
        <w:tc>
          <w:tcPr>
            <w:tcW w:w="7899" w:type="dxa"/>
          </w:tcPr>
          <w:p>
            <w:pPr>
              <w:pStyle w:val="TableParagraph"/>
              <w:spacing w:line="273" w:lineRule="auto" w:before="58"/>
              <w:ind w:left="66" w:right="300"/>
              <w:rPr>
                <w:rFonts w:ascii="黑体" w:eastAsia="黑体" w:hint="eastAsia"/>
                <w:sz w:val="21"/>
              </w:rPr>
            </w:pPr>
            <w:r>
              <w:rPr>
                <w:spacing w:val="-6"/>
                <w:sz w:val="21"/>
              </w:rPr>
              <w:t>是一种传染性海绵状脑病，临床表现为快速进行性痴呆、肌阵挛和特征性脑电图变</w:t>
            </w:r>
            <w:r>
              <w:rPr>
                <w:spacing w:val="-8"/>
                <w:sz w:val="21"/>
              </w:rPr>
              <w:t>化。本病须经三级医院的专科医生根据 </w:t>
            </w:r>
            <w:r>
              <w:rPr>
                <w:sz w:val="21"/>
              </w:rPr>
              <w:t>WHO</w:t>
            </w:r>
            <w:r>
              <w:rPr>
                <w:spacing w:val="-10"/>
                <w:sz w:val="21"/>
              </w:rPr>
              <w:t> 诊断标准明确诊断，并且被保险人自主</w:t>
            </w:r>
            <w:r>
              <w:rPr>
                <w:spacing w:val="-5"/>
                <w:sz w:val="21"/>
              </w:rPr>
              <w:t>生活能力完全丧失，无法独立完成六项基本日常生活活动中的三项或三项以上。 </w:t>
            </w:r>
            <w:r>
              <w:rPr>
                <w:rFonts w:ascii="黑体" w:eastAsia="黑体" w:hint="eastAsia"/>
                <w:spacing w:val="-4"/>
                <w:sz w:val="21"/>
              </w:rPr>
              <w:t>疑似病例不在本保障范围内。</w:t>
            </w:r>
          </w:p>
        </w:tc>
      </w:tr>
      <w:tr>
        <w:trPr>
          <w:trHeight w:val="2311" w:hRule="atLeast"/>
        </w:trPr>
        <w:tc>
          <w:tcPr>
            <w:tcW w:w="1552" w:type="dxa"/>
          </w:tcPr>
          <w:p>
            <w:pPr>
              <w:pStyle w:val="TableParagraph"/>
              <w:spacing w:line="273" w:lineRule="auto" w:before="64"/>
              <w:ind w:right="138"/>
              <w:rPr>
                <w:b/>
                <w:sz w:val="21"/>
              </w:rPr>
            </w:pPr>
            <w:r>
              <w:rPr>
                <w:b/>
                <w:sz w:val="21"/>
              </w:rPr>
              <w:t>77.肌营养不良症</w:t>
            </w:r>
          </w:p>
        </w:tc>
        <w:tc>
          <w:tcPr>
            <w:tcW w:w="7899" w:type="dxa"/>
          </w:tcPr>
          <w:p>
            <w:pPr>
              <w:pStyle w:val="TableParagraph"/>
              <w:spacing w:line="273" w:lineRule="auto" w:before="64"/>
              <w:ind w:left="66" w:right="300"/>
              <w:rPr>
                <w:sz w:val="21"/>
              </w:rPr>
            </w:pPr>
            <w:r>
              <w:rPr>
                <w:spacing w:val="-6"/>
                <w:sz w:val="21"/>
              </w:rPr>
              <w:t>指一组遗传性肌肉变性病变，临床特征为与神经系统无关的骨骼肌肉对称地进行性</w:t>
            </w:r>
            <w:r>
              <w:rPr>
                <w:spacing w:val="-4"/>
                <w:sz w:val="21"/>
              </w:rPr>
              <w:t>无力和萎缩。其诊断需满足下列全部条件：</w:t>
            </w:r>
          </w:p>
          <w:p>
            <w:pPr>
              <w:pStyle w:val="TableParagraph"/>
              <w:numPr>
                <w:ilvl w:val="0"/>
                <w:numId w:val="63"/>
              </w:numPr>
              <w:tabs>
                <w:tab w:pos="787" w:val="left" w:leader="none"/>
              </w:tabs>
              <w:spacing w:line="240" w:lineRule="auto" w:before="7" w:after="0"/>
              <w:ind w:left="786" w:right="0" w:hanging="720"/>
              <w:jc w:val="left"/>
              <w:rPr>
                <w:sz w:val="21"/>
              </w:rPr>
            </w:pPr>
            <w:r>
              <w:rPr>
                <w:spacing w:val="-3"/>
                <w:sz w:val="21"/>
              </w:rPr>
              <w:t>肌电图显示典型肌营养不良症的阳性改变；</w:t>
            </w:r>
          </w:p>
          <w:p>
            <w:pPr>
              <w:pStyle w:val="TableParagraph"/>
              <w:numPr>
                <w:ilvl w:val="0"/>
                <w:numId w:val="63"/>
              </w:numPr>
              <w:tabs>
                <w:tab w:pos="787" w:val="left" w:leader="none"/>
              </w:tabs>
              <w:spacing w:line="273" w:lineRule="auto" w:before="37" w:after="0"/>
              <w:ind w:left="786" w:right="489" w:hanging="720"/>
              <w:jc w:val="left"/>
              <w:rPr>
                <w:sz w:val="21"/>
              </w:rPr>
            </w:pPr>
            <w:r>
              <w:rPr>
                <w:spacing w:val="-3"/>
                <w:sz w:val="21"/>
              </w:rPr>
              <w:t>肌肉活检的病理学诊断符合肌营养不良症的肌肉细胞变性</w:t>
            </w:r>
            <w:r>
              <w:rPr>
                <w:sz w:val="21"/>
              </w:rPr>
              <w:t>\</w:t>
            </w:r>
            <w:r>
              <w:rPr>
                <w:spacing w:val="-3"/>
                <w:sz w:val="21"/>
              </w:rPr>
              <w:t>坏死等阳性改变；</w:t>
            </w:r>
          </w:p>
          <w:p>
            <w:pPr>
              <w:pStyle w:val="TableParagraph"/>
              <w:numPr>
                <w:ilvl w:val="0"/>
                <w:numId w:val="63"/>
              </w:numPr>
              <w:tabs>
                <w:tab w:pos="787" w:val="left" w:leader="none"/>
              </w:tabs>
              <w:spacing w:line="273" w:lineRule="auto" w:before="8" w:after="0"/>
              <w:ind w:left="786" w:right="384" w:hanging="720"/>
              <w:jc w:val="left"/>
              <w:rPr>
                <w:sz w:val="21"/>
              </w:rPr>
            </w:pPr>
            <w:r>
              <w:rPr>
                <w:spacing w:val="-3"/>
                <w:sz w:val="21"/>
              </w:rPr>
              <w:t>已导致被保险人持续超过三个月无法独立完成六项基本日常生活活动中的三项或三项以上。</w:t>
            </w:r>
          </w:p>
        </w:tc>
      </w:tr>
      <w:tr>
        <w:trPr>
          <w:trHeight w:val="1966" w:hRule="atLeast"/>
        </w:trPr>
        <w:tc>
          <w:tcPr>
            <w:tcW w:w="1552" w:type="dxa"/>
          </w:tcPr>
          <w:p>
            <w:pPr>
              <w:pStyle w:val="TableParagraph"/>
              <w:spacing w:line="273" w:lineRule="auto" w:before="24"/>
              <w:ind w:right="138"/>
              <w:rPr>
                <w:b/>
                <w:sz w:val="21"/>
              </w:rPr>
            </w:pPr>
            <w:r>
              <w:rPr>
                <w:b/>
                <w:sz w:val="21"/>
              </w:rPr>
              <w:t>78.严重心肌炎</w:t>
            </w:r>
          </w:p>
        </w:tc>
        <w:tc>
          <w:tcPr>
            <w:tcW w:w="7899" w:type="dxa"/>
          </w:tcPr>
          <w:p>
            <w:pPr>
              <w:pStyle w:val="TableParagraph"/>
              <w:spacing w:line="273" w:lineRule="auto" w:before="24"/>
              <w:ind w:left="66" w:right="473"/>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66" w:right="300"/>
              <w:rPr>
                <w:sz w:val="21"/>
              </w:rPr>
            </w:pPr>
            <w:r>
              <w:rPr>
                <w:spacing w:val="-7"/>
                <w:sz w:val="21"/>
              </w:rPr>
              <w:t>（1）</w:t>
            </w:r>
            <w:r>
              <w:rPr>
                <w:spacing w:val="-5"/>
                <w:sz w:val="21"/>
              </w:rPr>
              <w:t>心功能衰竭程度达到纽约心脏病学会的心功能分级标准之心功能 </w:t>
            </w:r>
            <w:r>
              <w:rPr>
                <w:sz w:val="21"/>
              </w:rPr>
              <w:t>IV</w:t>
            </w:r>
            <w:r>
              <w:rPr>
                <w:spacing w:val="-12"/>
                <w:sz w:val="21"/>
              </w:rPr>
              <w:t> 级，或左</w:t>
            </w:r>
            <w:r>
              <w:rPr>
                <w:spacing w:val="-11"/>
                <w:sz w:val="21"/>
              </w:rPr>
              <w:t>室射血分数低于 </w:t>
            </w:r>
            <w:r>
              <w:rPr>
                <w:sz w:val="21"/>
              </w:rPr>
              <w:t>30%；</w:t>
            </w:r>
          </w:p>
          <w:p>
            <w:pPr>
              <w:pStyle w:val="TableParagraph"/>
              <w:spacing w:before="8"/>
              <w:ind w:left="66"/>
              <w:rPr>
                <w:sz w:val="21"/>
              </w:rPr>
            </w:pPr>
            <w:r>
              <w:rPr>
                <w:sz w:val="21"/>
              </w:rPr>
              <w:t>（2）持续不间断 180 天以上；</w:t>
            </w:r>
          </w:p>
          <w:p>
            <w:pPr>
              <w:pStyle w:val="TableParagraph"/>
              <w:ind w:left="66"/>
              <w:rPr>
                <w:sz w:val="21"/>
              </w:rPr>
            </w:pPr>
            <w:r>
              <w:rPr>
                <w:sz w:val="21"/>
              </w:rPr>
              <w:t>（3）被保险人永久不可逆性的体力活动能力受限，不能从事任何体力活动。</w:t>
            </w:r>
          </w:p>
        </w:tc>
      </w:tr>
      <w:tr>
        <w:trPr>
          <w:trHeight w:val="2002" w:hRule="atLeast"/>
        </w:trPr>
        <w:tc>
          <w:tcPr>
            <w:tcW w:w="1552" w:type="dxa"/>
          </w:tcPr>
          <w:p>
            <w:pPr>
              <w:pStyle w:val="TableParagraph"/>
              <w:spacing w:line="273" w:lineRule="auto" w:before="32"/>
              <w:ind w:right="138"/>
              <w:rPr>
                <w:b/>
                <w:sz w:val="21"/>
              </w:rPr>
            </w:pPr>
            <w:r>
              <w:rPr>
                <w:b/>
                <w:sz w:val="21"/>
              </w:rPr>
              <w:t>79.肝豆状核变性</w:t>
            </w:r>
          </w:p>
        </w:tc>
        <w:tc>
          <w:tcPr>
            <w:tcW w:w="7899" w:type="dxa"/>
          </w:tcPr>
          <w:p>
            <w:pPr>
              <w:pStyle w:val="TableParagraph"/>
              <w:spacing w:line="273" w:lineRule="auto" w:before="32"/>
              <w:ind w:left="66" w:right="25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ind w:left="66"/>
              <w:rPr>
                <w:sz w:val="21"/>
              </w:rPr>
            </w:pPr>
            <w:r>
              <w:rPr>
                <w:sz w:val="21"/>
              </w:rPr>
              <w:t>（1）典型症状；</w:t>
            </w:r>
          </w:p>
          <w:p>
            <w:pPr>
              <w:pStyle w:val="TableParagraph"/>
              <w:ind w:left="66"/>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ind w:left="66"/>
              <w:rPr>
                <w:sz w:val="21"/>
              </w:rPr>
            </w:pPr>
            <w:r>
              <w:rPr>
                <w:sz w:val="21"/>
              </w:rPr>
              <w:t>（3）血清铜和血清铜蓝蛋白降低，尿铜增加；</w:t>
            </w:r>
          </w:p>
          <w:p>
            <w:pPr>
              <w:pStyle w:val="TableParagraph"/>
              <w:ind w:left="66"/>
              <w:rPr>
                <w:sz w:val="21"/>
              </w:rPr>
            </w:pPr>
            <w:r>
              <w:rPr>
                <w:sz w:val="21"/>
              </w:rPr>
              <w:t>（4）经肝脏活检确诊。</w:t>
            </w:r>
          </w:p>
        </w:tc>
      </w:tr>
      <w:tr>
        <w:trPr>
          <w:trHeight w:val="1704" w:hRule="atLeast"/>
        </w:trPr>
        <w:tc>
          <w:tcPr>
            <w:tcW w:w="1552" w:type="dxa"/>
          </w:tcPr>
          <w:p>
            <w:pPr>
              <w:pStyle w:val="TableParagraph"/>
              <w:spacing w:before="58"/>
              <w:rPr>
                <w:b/>
                <w:sz w:val="21"/>
              </w:rPr>
            </w:pPr>
            <w:r>
              <w:rPr>
                <w:b/>
                <w:sz w:val="21"/>
              </w:rPr>
              <w:t>80. 严重的 </w:t>
            </w:r>
          </w:p>
          <w:p>
            <w:pPr>
              <w:pStyle w:val="TableParagraph"/>
              <w:spacing w:line="273" w:lineRule="auto" w:before="36"/>
              <w:ind w:right="76"/>
              <w:rPr>
                <w:b/>
                <w:sz w:val="21"/>
              </w:rPr>
            </w:pPr>
            <w:r>
              <w:rPr>
                <w:b/>
                <w:sz w:val="21"/>
              </w:rPr>
              <w:t>III 度房室传导阻滞</w:t>
            </w:r>
          </w:p>
        </w:tc>
        <w:tc>
          <w:tcPr>
            <w:tcW w:w="7899" w:type="dxa"/>
          </w:tcPr>
          <w:p>
            <w:pPr>
              <w:pStyle w:val="TableParagraph"/>
              <w:spacing w:line="273" w:lineRule="auto" w:before="58"/>
              <w:ind w:left="66" w:right="300"/>
              <w:rPr>
                <w:sz w:val="21"/>
              </w:rPr>
            </w:pPr>
            <w:r>
              <w:rPr>
                <w:spacing w:val="-6"/>
                <w:sz w:val="21"/>
              </w:rPr>
              <w:t>指心房激动在房室交界区、房室束及其分支内发生阻滞，不能正常地传到心室的心</w:t>
            </w:r>
            <w:r>
              <w:rPr>
                <w:spacing w:val="-4"/>
                <w:sz w:val="21"/>
              </w:rPr>
              <w:t>脏传导性疾病，须满足下列所有条件：</w:t>
            </w:r>
          </w:p>
          <w:p>
            <w:pPr>
              <w:pStyle w:val="TableParagraph"/>
              <w:spacing w:before="7"/>
              <w:ind w:left="66"/>
              <w:rPr>
                <w:sz w:val="21"/>
              </w:rPr>
            </w:pPr>
            <w:r>
              <w:rPr>
                <w:sz w:val="21"/>
              </w:rPr>
              <w:t>（1）心电图显示房室搏动彼此独立，心室率&lt;50 次/分钟；</w:t>
            </w:r>
          </w:p>
          <w:p>
            <w:pPr>
              <w:pStyle w:val="TableParagraph"/>
              <w:ind w:left="66"/>
              <w:rPr>
                <w:sz w:val="21"/>
              </w:rPr>
            </w:pPr>
            <w:r>
              <w:rPr>
                <w:sz w:val="21"/>
              </w:rPr>
              <w:t>（2）出现阿-斯综合征或心力衰竭的表现；</w:t>
            </w:r>
          </w:p>
          <w:p>
            <w:pPr>
              <w:pStyle w:val="TableParagraph"/>
              <w:ind w:left="66"/>
              <w:rPr>
                <w:sz w:val="21"/>
              </w:rPr>
            </w:pPr>
            <w:r>
              <w:rPr>
                <w:sz w:val="21"/>
              </w:rPr>
              <w:t>（3）必须持续性依赖心脏起搏器维持心脏正常功能，且已经放置心脏起搏器。</w:t>
            </w:r>
          </w:p>
        </w:tc>
      </w:tr>
      <w:tr>
        <w:trPr>
          <w:trHeight w:val="1691" w:hRule="atLeast"/>
        </w:trPr>
        <w:tc>
          <w:tcPr>
            <w:tcW w:w="1552" w:type="dxa"/>
          </w:tcPr>
          <w:p>
            <w:pPr>
              <w:pStyle w:val="TableParagraph"/>
              <w:spacing w:before="47"/>
              <w:rPr>
                <w:b/>
                <w:sz w:val="21"/>
              </w:rPr>
            </w:pPr>
            <w:r>
              <w:rPr>
                <w:b/>
                <w:sz w:val="21"/>
              </w:rPr>
              <w:t>81.严重癫痫</w:t>
            </w:r>
          </w:p>
        </w:tc>
        <w:tc>
          <w:tcPr>
            <w:tcW w:w="7899" w:type="dxa"/>
          </w:tcPr>
          <w:p>
            <w:pPr>
              <w:pStyle w:val="TableParagraph"/>
              <w:spacing w:line="273" w:lineRule="auto" w:before="47"/>
              <w:ind w:left="66" w:right="300"/>
              <w:jc w:val="both"/>
              <w:rPr>
                <w:sz w:val="21"/>
              </w:rPr>
            </w:pPr>
            <w:r>
              <w:rPr>
                <w:spacing w:val="-4"/>
                <w:sz w:val="21"/>
              </w:rPr>
              <w:t>本病的诊断须由神经科或儿科专科医生根据典型临床症状和脑电图及 </w:t>
            </w:r>
            <w:r>
              <w:rPr>
                <w:sz w:val="21"/>
              </w:rPr>
              <w:t>MRI</w:t>
            </w:r>
            <w:r>
              <w:rPr>
                <w:spacing w:val="-44"/>
                <w:sz w:val="21"/>
              </w:rPr>
              <w:t>、</w:t>
            </w:r>
            <w:r>
              <w:rPr>
                <w:sz w:val="21"/>
              </w:rPr>
              <w:t>PET</w:t>
            </w:r>
            <w:r>
              <w:rPr>
                <w:spacing w:val="-44"/>
                <w:sz w:val="21"/>
              </w:rPr>
              <w:t>、</w:t>
            </w:r>
            <w:r>
              <w:rPr>
                <w:spacing w:val="-3"/>
                <w:sz w:val="21"/>
              </w:rPr>
              <w:t>CT </w:t>
            </w:r>
            <w:r>
              <w:rPr>
                <w:spacing w:val="-9"/>
                <w:sz w:val="21"/>
              </w:rPr>
              <w:t>等影相学检查做出。理赔时必须提供 </w:t>
            </w:r>
            <w:r>
              <w:rPr>
                <w:sz w:val="21"/>
              </w:rPr>
              <w:t>6</w:t>
            </w:r>
            <w:r>
              <w:rPr>
                <w:spacing w:val="-7"/>
                <w:sz w:val="21"/>
              </w:rPr>
              <w:t> 个月以上的相关病历记录证明被保险人存在经抗癫痫药物治疗无效而反复发作的强直阵挛性发作或癫痫大发作，且已行神经外</w:t>
            </w:r>
            <w:r>
              <w:rPr>
                <w:spacing w:val="-5"/>
                <w:sz w:val="21"/>
              </w:rPr>
              <w:t>科手术以治疗反复发作的癫痫。</w:t>
            </w:r>
          </w:p>
          <w:p>
            <w:pPr>
              <w:pStyle w:val="TableParagraph"/>
              <w:spacing w:before="7"/>
              <w:ind w:left="66"/>
              <w:jc w:val="both"/>
              <w:rPr>
                <w:rFonts w:ascii="黑体" w:eastAsia="黑体" w:hint="eastAsia"/>
                <w:sz w:val="21"/>
              </w:rPr>
            </w:pPr>
            <w:r>
              <w:rPr>
                <w:rFonts w:ascii="黑体" w:eastAsia="黑体" w:hint="eastAsia"/>
                <w:sz w:val="21"/>
              </w:rPr>
              <w:t>发热性惊厥以及没有全身性发作的失神发作（癫痫小发作）不在本保障范围内。</w:t>
            </w:r>
          </w:p>
        </w:tc>
      </w:tr>
      <w:tr>
        <w:trPr>
          <w:trHeight w:val="1390" w:hRule="atLeast"/>
        </w:trPr>
        <w:tc>
          <w:tcPr>
            <w:tcW w:w="1552" w:type="dxa"/>
          </w:tcPr>
          <w:p>
            <w:pPr>
              <w:pStyle w:val="TableParagraph"/>
              <w:spacing w:line="273" w:lineRule="auto" w:before="45"/>
              <w:ind w:right="138"/>
              <w:rPr>
                <w:b/>
                <w:sz w:val="21"/>
              </w:rPr>
            </w:pPr>
            <w:r>
              <w:rPr>
                <w:b/>
                <w:sz w:val="21"/>
              </w:rPr>
              <w:t>82.骨生长不全症</w:t>
            </w:r>
          </w:p>
        </w:tc>
        <w:tc>
          <w:tcPr>
            <w:tcW w:w="7899" w:type="dxa"/>
          </w:tcPr>
          <w:p>
            <w:pPr>
              <w:pStyle w:val="TableParagraph"/>
              <w:spacing w:line="273" w:lineRule="auto" w:before="45"/>
              <w:ind w:left="66" w:right="197"/>
              <w:rPr>
                <w:sz w:val="21"/>
              </w:rPr>
            </w:pPr>
            <w:r>
              <w:rPr>
                <w:spacing w:val="-4"/>
                <w:sz w:val="21"/>
              </w:rPr>
              <w:t>指一种胶原病，特征为骨易碎，骨质疏松和易骨折。该病有 </w:t>
            </w:r>
            <w:r>
              <w:rPr>
                <w:sz w:val="21"/>
              </w:rPr>
              <w:t>4</w:t>
            </w:r>
            <w:r>
              <w:rPr>
                <w:spacing w:val="-5"/>
                <w:sz w:val="21"/>
              </w:rPr>
              <w:t> 种类型：</w:t>
            </w:r>
            <w:r>
              <w:rPr>
                <w:sz w:val="21"/>
              </w:rPr>
              <w:t>I</w:t>
            </w:r>
            <w:r>
              <w:rPr>
                <w:spacing w:val="10"/>
                <w:sz w:val="21"/>
              </w:rPr>
              <w:t> 型、</w:t>
            </w:r>
            <w:r>
              <w:rPr>
                <w:sz w:val="21"/>
              </w:rPr>
              <w:t>II </w:t>
            </w:r>
            <w:r>
              <w:rPr>
                <w:spacing w:val="-15"/>
                <w:sz w:val="21"/>
              </w:rPr>
              <w:t>型、</w:t>
            </w:r>
            <w:r>
              <w:rPr>
                <w:sz w:val="21"/>
              </w:rPr>
              <w:t>III</w:t>
            </w:r>
            <w:r>
              <w:rPr>
                <w:spacing w:val="-26"/>
                <w:sz w:val="21"/>
              </w:rPr>
              <w:t> 型、</w:t>
            </w:r>
            <w:r>
              <w:rPr>
                <w:sz w:val="21"/>
              </w:rPr>
              <w:t>IV</w:t>
            </w:r>
            <w:r>
              <w:rPr>
                <w:spacing w:val="-20"/>
                <w:sz w:val="21"/>
              </w:rPr>
              <w:t> 型。只保障 </w:t>
            </w:r>
            <w:r>
              <w:rPr>
                <w:sz w:val="21"/>
              </w:rPr>
              <w:t>III</w:t>
            </w:r>
            <w:r>
              <w:rPr>
                <w:spacing w:val="-12"/>
                <w:sz w:val="21"/>
              </w:rPr>
              <w:t> 型成骨不全的情形。其主要临床特点有：发展迟缓、</w:t>
            </w:r>
            <w:r>
              <w:rPr>
                <w:spacing w:val="-6"/>
                <w:sz w:val="21"/>
              </w:rPr>
              <w:t>多发性骨折、进行性脊柱后侧凸及听力损害。</w:t>
            </w:r>
            <w:r>
              <w:rPr>
                <w:sz w:val="21"/>
              </w:rPr>
              <w:t>III</w:t>
            </w:r>
            <w:r>
              <w:rPr>
                <w:spacing w:val="-8"/>
                <w:sz w:val="21"/>
              </w:rPr>
              <w:t> 型成骨不全的诊断必须根据身体</w:t>
            </w:r>
            <w:r>
              <w:rPr>
                <w:spacing w:val="-5"/>
                <w:sz w:val="21"/>
              </w:rPr>
              <w:t>检查，家族史，</w:t>
            </w:r>
            <w:r>
              <w:rPr>
                <w:sz w:val="21"/>
              </w:rPr>
              <w:t>X</w:t>
            </w:r>
            <w:r>
              <w:rPr>
                <w:spacing w:val="-7"/>
                <w:sz w:val="21"/>
              </w:rPr>
              <w:t> 线检查和皮肤活检报告资料确诊。</w:t>
            </w:r>
          </w:p>
        </w:tc>
      </w:tr>
      <w:tr>
        <w:trPr>
          <w:trHeight w:val="651" w:hRule="atLeast"/>
        </w:trPr>
        <w:tc>
          <w:tcPr>
            <w:tcW w:w="1552" w:type="dxa"/>
          </w:tcPr>
          <w:p>
            <w:pPr>
              <w:pStyle w:val="TableParagraph"/>
              <w:spacing w:before="58"/>
              <w:rPr>
                <w:b/>
                <w:sz w:val="21"/>
              </w:rPr>
            </w:pPr>
            <w:r>
              <w:rPr>
                <w:b/>
                <w:sz w:val="21"/>
              </w:rPr>
              <w:t>83.小肠移植</w:t>
            </w:r>
          </w:p>
        </w:tc>
        <w:tc>
          <w:tcPr>
            <w:tcW w:w="7899" w:type="dxa"/>
          </w:tcPr>
          <w:p>
            <w:pPr>
              <w:pStyle w:val="TableParagraph"/>
              <w:spacing w:line="310" w:lineRule="atLeast" w:before="23"/>
              <w:ind w:left="66" w:right="266"/>
              <w:rPr>
                <w:sz w:val="21"/>
              </w:rPr>
            </w:pPr>
            <w:r>
              <w:rPr>
                <w:sz w:val="21"/>
              </w:rPr>
              <w:t>指因肠道疾病或外伤，已经实施了在全身麻醉下进行的小肠的异体器官移植手术。此手术必须由专科医生认为是医学上必需的情况下进行。</w:t>
            </w:r>
          </w:p>
        </w:tc>
      </w:tr>
    </w:tbl>
    <w:p>
      <w:pPr>
        <w:spacing w:after="0" w:line="310" w:lineRule="atLeas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276" w:hRule="atLeast"/>
        </w:trPr>
        <w:tc>
          <w:tcPr>
            <w:tcW w:w="1515" w:type="dxa"/>
          </w:tcPr>
          <w:p>
            <w:pPr>
              <w:pStyle w:val="TableParagraph"/>
              <w:spacing w:line="205" w:lineRule="exact" w:before="0"/>
              <w:rPr>
                <w:b/>
                <w:sz w:val="21"/>
              </w:rPr>
            </w:pPr>
            <w:r>
              <w:rPr>
                <w:b/>
                <w:sz w:val="21"/>
              </w:rPr>
              <w:t>84.细菌性脑</w:t>
            </w:r>
          </w:p>
          <w:p>
            <w:pPr>
              <w:pStyle w:val="TableParagraph"/>
              <w:rPr>
                <w:b/>
                <w:sz w:val="21"/>
              </w:rPr>
            </w:pPr>
            <w:r>
              <w:rPr>
                <w:b/>
                <w:sz w:val="21"/>
              </w:rPr>
              <w:t>脊髓膜炎</w:t>
            </w:r>
          </w:p>
        </w:tc>
        <w:tc>
          <w:tcPr>
            <w:tcW w:w="7939" w:type="dxa"/>
          </w:tcPr>
          <w:p>
            <w:pPr>
              <w:pStyle w:val="TableParagraph"/>
              <w:spacing w:line="205" w:lineRule="exact" w:before="0"/>
              <w:ind w:left="103"/>
              <w:rPr>
                <w:sz w:val="21"/>
              </w:rPr>
            </w:pPr>
            <w:r>
              <w:rPr>
                <w:sz w:val="21"/>
              </w:rPr>
              <w:t>指因脑膜炎双球菌感染引起脑脊髓膜化脓性病变，且导致永久性神经损害，持续 90</w:t>
            </w:r>
          </w:p>
          <w:p>
            <w:pPr>
              <w:pStyle w:val="TableParagraph"/>
              <w:ind w:left="103"/>
              <w:rPr>
                <w:sz w:val="21"/>
              </w:rPr>
            </w:pPr>
            <w:r>
              <w:rPr>
                <w:sz w:val="21"/>
              </w:rPr>
              <w:t>天以上，并且脑脊液检查显示脑膜炎双球菌阳性。</w:t>
            </w:r>
          </w:p>
          <w:p>
            <w:pPr>
              <w:pStyle w:val="TableParagraph"/>
              <w:spacing w:line="273" w:lineRule="auto"/>
              <w:ind w:left="103" w:right="198"/>
              <w:rPr>
                <w:sz w:val="21"/>
              </w:rPr>
            </w:pPr>
            <w:r>
              <w:rPr>
                <w:spacing w:val="-9"/>
                <w:sz w:val="21"/>
              </w:rPr>
              <w:t>永久性神经损害是指由细菌性脑脊髓膜炎引起的耳聋、失明、动眼神经麻痹、瘫痪、</w:t>
            </w:r>
            <w:r>
              <w:rPr>
                <w:spacing w:val="-7"/>
                <w:sz w:val="21"/>
              </w:rPr>
              <w:t>脑积水、智力或性情中度以上的损害，且上述症状持续 </w:t>
            </w:r>
            <w:r>
              <w:rPr>
                <w:sz w:val="21"/>
              </w:rPr>
              <w:t>90</w:t>
            </w:r>
            <w:r>
              <w:rPr>
                <w:spacing w:val="-1"/>
                <w:sz w:val="21"/>
              </w:rPr>
              <w:t> 天以上仍无改善迹象。</w:t>
            </w:r>
          </w:p>
        </w:tc>
      </w:tr>
      <w:tr>
        <w:trPr>
          <w:trHeight w:val="2653" w:hRule="atLeast"/>
        </w:trPr>
        <w:tc>
          <w:tcPr>
            <w:tcW w:w="1515" w:type="dxa"/>
          </w:tcPr>
          <w:p>
            <w:pPr>
              <w:pStyle w:val="TableParagraph"/>
              <w:spacing w:line="273" w:lineRule="auto" w:before="60"/>
              <w:ind w:right="101"/>
              <w:jc w:val="both"/>
              <w:rPr>
                <w:b/>
                <w:sz w:val="21"/>
              </w:rPr>
            </w:pPr>
            <w:r>
              <w:rPr>
                <w:b/>
                <w:spacing w:val="2"/>
                <w:sz w:val="21"/>
              </w:rPr>
              <w:t>85</w:t>
            </w:r>
            <w:r>
              <w:rPr>
                <w:b/>
                <w:spacing w:val="5"/>
                <w:sz w:val="21"/>
              </w:rPr>
              <w:t>.器官移植</w:t>
            </w:r>
            <w:r>
              <w:rPr>
                <w:b/>
                <w:spacing w:val="-12"/>
                <w:sz w:val="21"/>
              </w:rPr>
              <w:t>导 致 的 </w:t>
            </w:r>
            <w:r>
              <w:rPr>
                <w:b/>
                <w:sz w:val="21"/>
              </w:rPr>
              <w:t>HIV 感染</w:t>
            </w:r>
          </w:p>
        </w:tc>
        <w:tc>
          <w:tcPr>
            <w:tcW w:w="7939" w:type="dxa"/>
          </w:tcPr>
          <w:p>
            <w:pPr>
              <w:pStyle w:val="TableParagraph"/>
              <w:spacing w:before="60"/>
              <w:ind w:left="103"/>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numPr>
                <w:ilvl w:val="0"/>
                <w:numId w:val="64"/>
              </w:numPr>
              <w:tabs>
                <w:tab w:pos="824" w:val="left" w:leader="none"/>
              </w:tabs>
              <w:spacing w:line="273" w:lineRule="auto" w:before="37" w:after="0"/>
              <w:ind w:left="823" w:right="387" w:hanging="720"/>
              <w:jc w:val="left"/>
              <w:rPr>
                <w:sz w:val="21"/>
              </w:rPr>
            </w:pPr>
            <w:r>
              <w:rPr>
                <w:spacing w:val="-3"/>
                <w:sz w:val="21"/>
              </w:rPr>
              <w:t>在保障起始日或复效日之后，被保险人因治疗必需而实施器官移植，并且因器官移植而感染人类免疫缺陷病毒；</w:t>
            </w:r>
          </w:p>
          <w:p>
            <w:pPr>
              <w:pStyle w:val="TableParagraph"/>
              <w:numPr>
                <w:ilvl w:val="0"/>
                <w:numId w:val="64"/>
              </w:numPr>
              <w:tabs>
                <w:tab w:pos="824" w:val="left" w:leader="none"/>
              </w:tabs>
              <w:spacing w:line="273" w:lineRule="auto" w:before="7" w:after="0"/>
              <w:ind w:left="823" w:right="387" w:hanging="720"/>
              <w:jc w:val="left"/>
              <w:rPr>
                <w:sz w:val="21"/>
              </w:rPr>
            </w:pPr>
            <w:r>
              <w:rPr>
                <w:spacing w:val="-3"/>
                <w:sz w:val="21"/>
              </w:rPr>
              <w:t>提供器官移植治疗的器官移植中心或医院出具该项器官移植感染，属于医疗责任事故的报告，或者法院终审裁定为医疗责任并且不准上诉；</w:t>
            </w:r>
          </w:p>
          <w:p>
            <w:pPr>
              <w:pStyle w:val="TableParagraph"/>
              <w:numPr>
                <w:ilvl w:val="0"/>
                <w:numId w:val="64"/>
              </w:numPr>
              <w:tabs>
                <w:tab w:pos="824" w:val="left" w:leader="none"/>
              </w:tabs>
              <w:spacing w:line="240" w:lineRule="auto" w:before="7" w:after="0"/>
              <w:ind w:left="823" w:right="0" w:hanging="720"/>
              <w:jc w:val="left"/>
              <w:rPr>
                <w:sz w:val="21"/>
              </w:rPr>
            </w:pPr>
            <w:r>
              <w:rPr>
                <w:spacing w:val="-3"/>
                <w:sz w:val="21"/>
              </w:rPr>
              <w:t>提供器官移植治疗的器官移植中心或医院必须拥有合法经营执照；</w:t>
            </w:r>
          </w:p>
          <w:p>
            <w:pPr>
              <w:pStyle w:val="TableParagraph"/>
              <w:spacing w:line="273" w:lineRule="auto"/>
              <w:ind w:left="103" w:right="303"/>
              <w:rPr>
                <w:rFonts w:ascii="黑体" w:eastAsia="黑体" w:hint="eastAsia"/>
                <w:sz w:val="21"/>
              </w:rPr>
            </w:pPr>
            <w:r>
              <w:rPr>
                <w:rFonts w:ascii="黑体" w:eastAsia="黑体" w:hint="eastAsia"/>
                <w:spacing w:val="-5"/>
                <w:sz w:val="21"/>
              </w:rPr>
              <w:t>任何因其他传播方式</w:t>
            </w:r>
            <w:r>
              <w:rPr>
                <w:rFonts w:ascii="黑体" w:eastAsia="黑体" w:hint="eastAsia"/>
                <w:sz w:val="21"/>
              </w:rPr>
              <w:t>（</w:t>
            </w:r>
            <w:r>
              <w:rPr>
                <w:rFonts w:ascii="黑体" w:eastAsia="黑体" w:hint="eastAsia"/>
                <w:spacing w:val="-5"/>
                <w:sz w:val="21"/>
              </w:rPr>
              <w:t>包括：性传播或静脉注射毒品</w:t>
            </w:r>
            <w:r>
              <w:rPr>
                <w:rFonts w:ascii="黑体" w:eastAsia="黑体" w:hint="eastAsia"/>
                <w:spacing w:val="-13"/>
                <w:sz w:val="21"/>
              </w:rPr>
              <w:t>）</w:t>
            </w:r>
            <w:r>
              <w:rPr>
                <w:rFonts w:ascii="黑体" w:eastAsia="黑体" w:hint="eastAsia"/>
                <w:spacing w:val="-10"/>
                <w:sz w:val="21"/>
              </w:rPr>
              <w:t>导致的 </w:t>
            </w:r>
            <w:r>
              <w:rPr>
                <w:rFonts w:ascii="黑体" w:eastAsia="黑体" w:hint="eastAsia"/>
                <w:sz w:val="21"/>
              </w:rPr>
              <w:t>HIV</w:t>
            </w:r>
            <w:r>
              <w:rPr>
                <w:rFonts w:ascii="黑体" w:eastAsia="黑体" w:hint="eastAsia"/>
                <w:spacing w:val="-8"/>
                <w:sz w:val="21"/>
              </w:rPr>
              <w:t> 感染不在保障范围内。</w:t>
            </w:r>
          </w:p>
        </w:tc>
      </w:tr>
      <w:tr>
        <w:trPr>
          <w:trHeight w:val="1399" w:hRule="atLeast"/>
        </w:trPr>
        <w:tc>
          <w:tcPr>
            <w:tcW w:w="1515" w:type="dxa"/>
          </w:tcPr>
          <w:p>
            <w:pPr>
              <w:pStyle w:val="TableParagraph"/>
              <w:spacing w:line="273" w:lineRule="auto" w:before="58"/>
              <w:ind w:right="101"/>
              <w:rPr>
                <w:b/>
                <w:sz w:val="21"/>
              </w:rPr>
            </w:pPr>
            <w:r>
              <w:rPr>
                <w:b/>
                <w:sz w:val="21"/>
              </w:rPr>
              <w:t>86.主动脉夹层瘤</w:t>
            </w:r>
          </w:p>
        </w:tc>
        <w:tc>
          <w:tcPr>
            <w:tcW w:w="7939" w:type="dxa"/>
          </w:tcPr>
          <w:p>
            <w:pPr>
              <w:pStyle w:val="TableParagraph"/>
              <w:spacing w:line="273" w:lineRule="auto" w:before="58"/>
              <w:ind w:left="103" w:right="267"/>
              <w:jc w:val="both"/>
              <w:rPr>
                <w:sz w:val="21"/>
              </w:rPr>
            </w:pPr>
            <w:r>
              <w:rPr>
                <w:spacing w:val="-5"/>
                <w:sz w:val="21"/>
              </w:rPr>
              <w:t>是指主动脉壁在受到某些病理因素的破坏后，高速、高压的主动脉血流将其内膜撕</w:t>
            </w:r>
            <w:r>
              <w:rPr>
                <w:spacing w:val="-4"/>
                <w:sz w:val="21"/>
              </w:rPr>
              <w:t>裂，以致主动脉腔内的血流通过主动脉内膜的破裂口进入主动脉内壁而形成血肿。</w:t>
            </w:r>
            <w:r>
              <w:rPr>
                <w:spacing w:val="-3"/>
                <w:w w:val="100"/>
                <w:sz w:val="21"/>
              </w:rPr>
              <w:t>被保险人需通过断层扫描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106"/>
                <w:w w:val="100"/>
                <w:sz w:val="21"/>
              </w:rPr>
              <w:t>）</w:t>
            </w:r>
            <w:r>
              <w:rPr>
                <w:spacing w:val="-3"/>
                <w:w w:val="100"/>
                <w:sz w:val="21"/>
              </w:rPr>
              <w:t>、磁共振血管检验法（M</w:t>
            </w:r>
            <w:r>
              <w:rPr>
                <w:w w:val="100"/>
                <w:sz w:val="21"/>
              </w:rPr>
              <w:t>R</w:t>
            </w:r>
            <w:r>
              <w:rPr>
                <w:spacing w:val="-1"/>
                <w:w w:val="100"/>
                <w:sz w:val="21"/>
              </w:rPr>
              <w:t>A</w:t>
            </w:r>
            <w:r>
              <w:rPr>
                <w:w w:val="100"/>
                <w:sz w:val="21"/>
              </w:rPr>
              <w:t>）</w:t>
            </w:r>
            <w:r>
              <w:rPr>
                <w:spacing w:val="-3"/>
                <w:sz w:val="21"/>
              </w:rPr>
              <w:t>或血管扫描等检查， 并且实施了胸腹切开的直视主动脉手术。</w:t>
            </w:r>
          </w:p>
        </w:tc>
      </w:tr>
      <w:tr>
        <w:trPr>
          <w:trHeight w:val="1106" w:hRule="atLeast"/>
        </w:trPr>
        <w:tc>
          <w:tcPr>
            <w:tcW w:w="1515" w:type="dxa"/>
          </w:tcPr>
          <w:p>
            <w:pPr>
              <w:pStyle w:val="TableParagraph"/>
              <w:spacing w:line="273" w:lineRule="auto" w:before="54"/>
              <w:ind w:right="101"/>
              <w:rPr>
                <w:b/>
                <w:sz w:val="21"/>
              </w:rPr>
            </w:pPr>
            <w:r>
              <w:rPr>
                <w:b/>
                <w:sz w:val="21"/>
              </w:rPr>
              <w:t>87.胆道重建术</w:t>
            </w:r>
          </w:p>
        </w:tc>
        <w:tc>
          <w:tcPr>
            <w:tcW w:w="7939" w:type="dxa"/>
          </w:tcPr>
          <w:p>
            <w:pPr>
              <w:pStyle w:val="TableParagraph"/>
              <w:spacing w:line="273" w:lineRule="auto" w:before="54"/>
              <w:ind w:left="103" w:right="303"/>
              <w:jc w:val="both"/>
              <w:rPr>
                <w:sz w:val="21"/>
              </w:rPr>
            </w:pPr>
            <w:r>
              <w:rPr>
                <w:spacing w:val="-5"/>
                <w:sz w:val="21"/>
              </w:rPr>
              <w:t>因疾病或胆道损伤导致实际接受涉及胆总管小肠吻合术的胆道重建手术。诊断及治疗均须在本公司认可的医院内由专科医生认为是医疗必须的情况下进行。因胆道闭</w:t>
            </w:r>
            <w:r>
              <w:rPr>
                <w:spacing w:val="-4"/>
                <w:sz w:val="21"/>
              </w:rPr>
              <w:t>锁等先天性疾病而导致进行的胆道手术并不在本合同的保障范围內。</w:t>
            </w:r>
          </w:p>
        </w:tc>
      </w:tr>
      <w:tr>
        <w:trPr>
          <w:trHeight w:val="2991" w:hRule="atLeast"/>
        </w:trPr>
        <w:tc>
          <w:tcPr>
            <w:tcW w:w="1515" w:type="dxa"/>
          </w:tcPr>
          <w:p>
            <w:pPr>
              <w:pStyle w:val="TableParagraph"/>
              <w:spacing w:line="273" w:lineRule="auto" w:before="78"/>
              <w:ind w:right="101"/>
              <w:rPr>
                <w:b/>
                <w:sz w:val="21"/>
              </w:rPr>
            </w:pPr>
            <w:r>
              <w:rPr>
                <w:b/>
                <w:sz w:val="21"/>
              </w:rPr>
              <w:t>88.原发性骨髓纤维化</w:t>
            </w:r>
          </w:p>
        </w:tc>
        <w:tc>
          <w:tcPr>
            <w:tcW w:w="7939" w:type="dxa"/>
          </w:tcPr>
          <w:p>
            <w:pPr>
              <w:pStyle w:val="TableParagraph"/>
              <w:spacing w:line="273" w:lineRule="auto" w:before="78"/>
              <w:ind w:left="103" w:right="303"/>
              <w:jc w:val="both"/>
              <w:rPr>
                <w:sz w:val="21"/>
              </w:rPr>
            </w:pPr>
            <w:r>
              <w:rPr>
                <w:spacing w:val="-5"/>
                <w:sz w:val="21"/>
              </w:rPr>
              <w:t>原发性骨髓纤维化为原因不明的骨髓中成纤维细胞增殖，伴有髓外造血，表现为进</w:t>
            </w:r>
            <w:r>
              <w:rPr>
                <w:spacing w:val="-8"/>
                <w:sz w:val="21"/>
              </w:rPr>
              <w:t>行性贫血、脾肿大等症状。本病必须根据骨髓的活组织检查和周围血象检查由血液</w:t>
            </w:r>
            <w:r>
              <w:rPr>
                <w:spacing w:val="-6"/>
                <w:sz w:val="21"/>
              </w:rPr>
              <w:t>科专科医生明确诊断，并至少符合下列条件中的三项，且符合条件的状态持续 </w:t>
            </w:r>
            <w:r>
              <w:rPr>
                <w:sz w:val="21"/>
              </w:rPr>
              <w:t>180 </w:t>
            </w:r>
            <w:r>
              <w:rPr>
                <w:spacing w:val="-3"/>
                <w:sz w:val="21"/>
              </w:rPr>
              <w:t>天及以上，并已经实际接受了针对此症的治疗：</w:t>
            </w:r>
          </w:p>
          <w:p>
            <w:pPr>
              <w:pStyle w:val="TableParagraph"/>
              <w:spacing w:before="7"/>
              <w:ind w:left="103"/>
              <w:jc w:val="both"/>
              <w:rPr>
                <w:sz w:val="21"/>
              </w:rPr>
            </w:pPr>
            <w:r>
              <w:rPr>
                <w:sz w:val="21"/>
              </w:rPr>
              <w:t>（1）血红蛋白＜100g/L；</w:t>
            </w:r>
          </w:p>
          <w:p>
            <w:pPr>
              <w:pStyle w:val="TableParagraph"/>
              <w:spacing w:before="36"/>
              <w:ind w:left="103"/>
              <w:jc w:val="both"/>
              <w:rPr>
                <w:sz w:val="21"/>
              </w:rPr>
            </w:pPr>
            <w:r>
              <w:rPr>
                <w:sz w:val="21"/>
              </w:rPr>
              <w:t>（2）白细胞计数＞0.5×10</w:t>
            </w:r>
            <w:r>
              <w:rPr>
                <w:position w:val="11"/>
                <w:sz w:val="11"/>
              </w:rPr>
              <w:t>9</w:t>
            </w:r>
            <w:r>
              <w:rPr>
                <w:sz w:val="21"/>
              </w:rPr>
              <w:t>/L；</w:t>
            </w:r>
          </w:p>
          <w:p>
            <w:pPr>
              <w:pStyle w:val="TableParagraph"/>
              <w:spacing w:before="36"/>
              <w:ind w:left="103"/>
              <w:jc w:val="both"/>
              <w:rPr>
                <w:sz w:val="21"/>
              </w:rPr>
            </w:pPr>
            <w:r>
              <w:rPr>
                <w:sz w:val="21"/>
              </w:rPr>
              <w:t>（3）外周血原始细胞≥1%；</w:t>
            </w:r>
          </w:p>
          <w:p>
            <w:pPr>
              <w:pStyle w:val="TableParagraph"/>
              <w:spacing w:before="36"/>
              <w:ind w:left="103"/>
              <w:jc w:val="both"/>
              <w:rPr>
                <w:sz w:val="21"/>
              </w:rPr>
            </w:pPr>
            <w:r>
              <w:rPr>
                <w:sz w:val="21"/>
              </w:rPr>
              <w:t>（4）血小板计数＜100×10</w:t>
            </w:r>
            <w:r>
              <w:rPr>
                <w:position w:val="11"/>
                <w:sz w:val="11"/>
              </w:rPr>
              <w:t>9</w:t>
            </w:r>
            <w:r>
              <w:rPr>
                <w:sz w:val="21"/>
              </w:rPr>
              <w:t>/L。</w:t>
            </w:r>
          </w:p>
          <w:p>
            <w:pPr>
              <w:pStyle w:val="TableParagraph"/>
              <w:spacing w:before="36"/>
              <w:ind w:left="103"/>
              <w:jc w:val="both"/>
              <w:rPr>
                <w:rFonts w:ascii="黑体" w:eastAsia="黑体" w:hint="eastAsia"/>
                <w:sz w:val="21"/>
              </w:rPr>
            </w:pPr>
            <w:r>
              <w:rPr>
                <w:rFonts w:ascii="黑体" w:eastAsia="黑体" w:hint="eastAsia"/>
                <w:sz w:val="21"/>
              </w:rPr>
              <w:t>任何其它病因导致的继发性骨髓纤维化不在保障范围内。</w:t>
            </w:r>
          </w:p>
        </w:tc>
      </w:tr>
      <w:tr>
        <w:trPr>
          <w:trHeight w:val="3468" w:hRule="atLeast"/>
        </w:trPr>
        <w:tc>
          <w:tcPr>
            <w:tcW w:w="1515" w:type="dxa"/>
          </w:tcPr>
          <w:p>
            <w:pPr>
              <w:pStyle w:val="TableParagraph"/>
              <w:spacing w:before="67"/>
              <w:rPr>
                <w:b/>
                <w:sz w:val="21"/>
              </w:rPr>
            </w:pPr>
            <w:r>
              <w:rPr>
                <w:b/>
                <w:sz w:val="21"/>
              </w:rPr>
              <w:t>89.肌萎缩性</w:t>
            </w:r>
          </w:p>
          <w:p>
            <w:pPr>
              <w:pStyle w:val="TableParagraph"/>
              <w:spacing w:line="273" w:lineRule="auto"/>
              <w:ind w:right="108"/>
              <w:rPr>
                <w:b/>
                <w:sz w:val="21"/>
              </w:rPr>
            </w:pPr>
            <w:r>
              <w:rPr>
                <w:b/>
                <w:sz w:val="21"/>
              </w:rPr>
              <w:t>（脊髓</w:t>
            </w:r>
            <w:r>
              <w:rPr>
                <w:b/>
                <w:spacing w:val="-63"/>
                <w:sz w:val="21"/>
              </w:rPr>
              <w:t>）</w:t>
            </w:r>
            <w:r>
              <w:rPr>
                <w:b/>
                <w:sz w:val="21"/>
              </w:rPr>
              <w:t>侧索硬化症</w:t>
            </w:r>
          </w:p>
        </w:tc>
        <w:tc>
          <w:tcPr>
            <w:tcW w:w="7939" w:type="dxa"/>
          </w:tcPr>
          <w:p>
            <w:pPr>
              <w:pStyle w:val="TableParagraph"/>
              <w:spacing w:line="273" w:lineRule="auto" w:before="67"/>
              <w:ind w:left="103" w:right="303"/>
              <w:jc w:val="both"/>
              <w:rPr>
                <w:sz w:val="21"/>
              </w:rPr>
            </w:pPr>
            <w:r>
              <w:rPr>
                <w:spacing w:val="-6"/>
                <w:sz w:val="21"/>
              </w:rPr>
              <w:t>是指持续的神经变性累及脊髓神经及脑干运动神经元，出现肌肉无力、挛缩、肌束</w:t>
            </w:r>
            <w:r>
              <w:rPr>
                <w:spacing w:val="-7"/>
                <w:sz w:val="21"/>
              </w:rPr>
              <w:t>颤动及萎缩症状和体征。须经神经专科医师做出明确诊断，且疾病进行性发展已导</w:t>
            </w:r>
            <w:r>
              <w:rPr>
                <w:spacing w:val="-5"/>
                <w:sz w:val="21"/>
              </w:rPr>
              <w:t>致不可逆转的永久性神经系统功能障碍。</w:t>
            </w:r>
          </w:p>
          <w:p>
            <w:pPr>
              <w:pStyle w:val="TableParagraph"/>
              <w:spacing w:before="7"/>
              <w:ind w:left="103"/>
              <w:jc w:val="both"/>
              <w:rPr>
                <w:sz w:val="21"/>
              </w:rPr>
            </w:pPr>
            <w:r>
              <w:rPr>
                <w:sz w:val="21"/>
              </w:rPr>
              <w:t>永久性神经系统功能障碍是指以下六项条件中的一项或一项以上：</w:t>
            </w:r>
          </w:p>
          <w:p>
            <w:pPr>
              <w:pStyle w:val="TableParagraph"/>
              <w:spacing w:before="36"/>
              <w:ind w:left="103"/>
              <w:jc w:val="both"/>
              <w:rPr>
                <w:sz w:val="21"/>
              </w:rPr>
            </w:pPr>
            <w:r>
              <w:rPr>
                <w:sz w:val="21"/>
              </w:rPr>
              <w:t>（1）一上肢或双上肢手腕以上部分的完全及永久瘫痪；</w:t>
            </w:r>
          </w:p>
          <w:p>
            <w:pPr>
              <w:pStyle w:val="TableParagraph"/>
              <w:spacing w:before="36"/>
              <w:ind w:left="103"/>
              <w:jc w:val="both"/>
              <w:rPr>
                <w:sz w:val="21"/>
              </w:rPr>
            </w:pPr>
            <w:r>
              <w:rPr>
                <w:sz w:val="21"/>
              </w:rPr>
              <w:t>（2）一下肢或双下肢足踝以上部分的完全及永久瘫痪；</w:t>
            </w:r>
          </w:p>
          <w:p>
            <w:pPr>
              <w:pStyle w:val="TableParagraph"/>
              <w:spacing w:before="36"/>
              <w:ind w:left="103"/>
              <w:jc w:val="both"/>
              <w:rPr>
                <w:sz w:val="21"/>
              </w:rPr>
            </w:pPr>
            <w:r>
              <w:rPr>
                <w:sz w:val="21"/>
              </w:rPr>
              <w:t>（3）四肢机能完全及永久丧失；</w:t>
            </w:r>
          </w:p>
          <w:p>
            <w:pPr>
              <w:pStyle w:val="TableParagraph"/>
              <w:spacing w:before="36"/>
              <w:ind w:left="103"/>
              <w:jc w:val="both"/>
              <w:rPr>
                <w:sz w:val="21"/>
              </w:rPr>
            </w:pPr>
            <w:r>
              <w:rPr>
                <w:sz w:val="21"/>
              </w:rPr>
              <w:t>（4）完全及永久丧失语言能力；</w:t>
            </w:r>
          </w:p>
          <w:p>
            <w:pPr>
              <w:pStyle w:val="TableParagraph"/>
              <w:spacing w:before="36"/>
              <w:ind w:left="103"/>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310" w:lineRule="atLeast" w:before="1"/>
              <w:ind w:left="103" w:right="373"/>
              <w:rPr>
                <w:sz w:val="21"/>
              </w:rPr>
            </w:pPr>
            <w:r>
              <w:rPr>
                <w:sz w:val="21"/>
              </w:rPr>
              <w:t>（6）无法独立进行六项日常生活活动即穿衣、移动、行动、卫生、进食、洗澡中三项或三项以上，且上述日常生活活动经过三个月的持续治疗后仍无法完成。</w:t>
            </w:r>
          </w:p>
        </w:tc>
      </w:tr>
    </w:tbl>
    <w:p>
      <w:pPr>
        <w:spacing w:after="0" w:line="310" w:lineRule="atLeas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896" w:hRule="atLeast"/>
        </w:trPr>
        <w:tc>
          <w:tcPr>
            <w:tcW w:w="1515" w:type="dxa"/>
          </w:tcPr>
          <w:p>
            <w:pPr>
              <w:pStyle w:val="TableParagraph"/>
              <w:spacing w:line="205" w:lineRule="exact" w:before="0"/>
              <w:rPr>
                <w:b/>
                <w:sz w:val="21"/>
              </w:rPr>
            </w:pPr>
            <w:r>
              <w:rPr>
                <w:b/>
                <w:sz w:val="21"/>
              </w:rPr>
              <w:t>90.湿性年龄</w:t>
            </w:r>
          </w:p>
          <w:p>
            <w:pPr>
              <w:pStyle w:val="TableParagraph"/>
              <w:spacing w:line="273" w:lineRule="auto"/>
              <w:ind w:right="111"/>
              <w:rPr>
                <w:b/>
                <w:sz w:val="21"/>
              </w:rPr>
            </w:pPr>
            <w:r>
              <w:rPr>
                <w:b/>
                <w:sz w:val="21"/>
              </w:rPr>
              <w:t>相 关性黄斑变性</w:t>
            </w:r>
          </w:p>
        </w:tc>
        <w:tc>
          <w:tcPr>
            <w:tcW w:w="7939" w:type="dxa"/>
          </w:tcPr>
          <w:p>
            <w:pPr>
              <w:pStyle w:val="TableParagraph"/>
              <w:spacing w:line="205" w:lineRule="exact" w:before="0"/>
              <w:ind w:left="103"/>
              <w:rPr>
                <w:sz w:val="21"/>
              </w:rPr>
            </w:pPr>
            <w:r>
              <w:rPr>
                <w:sz w:val="21"/>
              </w:rPr>
              <w:t>又称为新生血管性年龄相关性黄斑变性或“渗出性”年龄相关性黄斑变性，发生脉</w:t>
            </w:r>
          </w:p>
          <w:p>
            <w:pPr>
              <w:pStyle w:val="TableParagraph"/>
              <w:spacing w:line="273" w:lineRule="auto"/>
              <w:ind w:left="103" w:right="197"/>
              <w:rPr>
                <w:sz w:val="21"/>
              </w:rPr>
            </w:pPr>
            <w:r>
              <w:rPr>
                <w:spacing w:val="-2"/>
                <w:sz w:val="21"/>
              </w:rPr>
              <w:t>络膜新生血管</w:t>
            </w:r>
            <w:r>
              <w:rPr>
                <w:sz w:val="21"/>
              </w:rPr>
              <w:t>（CNV）</w:t>
            </w:r>
            <w:r>
              <w:rPr>
                <w:spacing w:val="-3"/>
                <w:sz w:val="21"/>
              </w:rPr>
              <w:t>异常生长穿透玻璃膜进入视网膜，新生血管渗漏，渗出、出 </w:t>
            </w:r>
            <w:r>
              <w:rPr>
                <w:spacing w:val="-7"/>
                <w:sz w:val="21"/>
              </w:rPr>
              <w:t>血及已经出现瘢痕组织。该病必须由荧光素眼底血管造影检查提示黄斑区新生血管</w:t>
            </w:r>
            <w:r>
              <w:rPr>
                <w:spacing w:val="-5"/>
                <w:sz w:val="21"/>
              </w:rPr>
              <w:t>及瘢痕组织形成，并且必须由医院的眼科专科医生确诊为湿性年龄相关性黄斑变  </w:t>
            </w:r>
            <w:r>
              <w:rPr>
                <w:spacing w:val="-10"/>
                <w:sz w:val="21"/>
              </w:rPr>
              <w:t>性。被保险人申请理赔时须提供近</w:t>
            </w:r>
            <w:r>
              <w:rPr>
                <w:sz w:val="21"/>
              </w:rPr>
              <w:t>3</w:t>
            </w:r>
            <w:r>
              <w:rPr>
                <w:spacing w:val="-8"/>
                <w:sz w:val="21"/>
              </w:rPr>
              <w:t> 个月内视力改变显示病情恶化的相关检查报告、</w:t>
            </w:r>
            <w:r>
              <w:rPr>
                <w:spacing w:val="-5"/>
                <w:sz w:val="21"/>
              </w:rPr>
              <w:t>诊断证明及病历报告。</w:t>
            </w:r>
          </w:p>
        </w:tc>
      </w:tr>
      <w:tr>
        <w:trPr>
          <w:trHeight w:val="1095" w:hRule="atLeast"/>
        </w:trPr>
        <w:tc>
          <w:tcPr>
            <w:tcW w:w="1515" w:type="dxa"/>
          </w:tcPr>
          <w:p>
            <w:pPr>
              <w:pStyle w:val="TableParagraph"/>
              <w:spacing w:line="273" w:lineRule="auto" w:before="55"/>
              <w:ind w:right="101"/>
              <w:jc w:val="both"/>
              <w:rPr>
                <w:b/>
                <w:sz w:val="21"/>
              </w:rPr>
            </w:pPr>
            <w:r>
              <w:rPr>
                <w:b/>
                <w:sz w:val="21"/>
              </w:rPr>
              <w:t>91.进行性多灶 性白质脑病</w:t>
            </w:r>
          </w:p>
        </w:tc>
        <w:tc>
          <w:tcPr>
            <w:tcW w:w="7939" w:type="dxa"/>
          </w:tcPr>
          <w:p>
            <w:pPr>
              <w:pStyle w:val="TableParagraph"/>
              <w:spacing w:line="273" w:lineRule="auto" w:before="55"/>
              <w:ind w:left="103" w:right="303"/>
              <w:rPr>
                <w:sz w:val="21"/>
              </w:rPr>
            </w:pPr>
            <w:r>
              <w:rPr>
                <w:spacing w:val="-6"/>
                <w:sz w:val="21"/>
              </w:rPr>
              <w:t>是一种亚急性脱髓鞘性脑病，常常发现于免疫缺陷的病人。必须根据脑组织活检确诊。</w:t>
            </w:r>
          </w:p>
        </w:tc>
      </w:tr>
      <w:tr>
        <w:trPr>
          <w:trHeight w:val="1049" w:hRule="atLeast"/>
        </w:trPr>
        <w:tc>
          <w:tcPr>
            <w:tcW w:w="1515" w:type="dxa"/>
          </w:tcPr>
          <w:p>
            <w:pPr>
              <w:pStyle w:val="TableParagraph"/>
              <w:spacing w:line="273" w:lineRule="auto" w:before="66"/>
              <w:ind w:right="101"/>
              <w:jc w:val="both"/>
              <w:rPr>
                <w:b/>
                <w:sz w:val="21"/>
              </w:rPr>
            </w:pPr>
            <w:r>
              <w:rPr>
                <w:b/>
                <w:spacing w:val="2"/>
                <w:sz w:val="21"/>
              </w:rPr>
              <w:t>92</w:t>
            </w:r>
            <w:r>
              <w:rPr>
                <w:b/>
                <w:spacing w:val="5"/>
                <w:sz w:val="21"/>
              </w:rPr>
              <w:t>.严重登革</w:t>
            </w:r>
            <w:r>
              <w:rPr>
                <w:b/>
                <w:spacing w:val="-63"/>
                <w:sz w:val="21"/>
              </w:rPr>
              <w:t>热</w:t>
            </w:r>
            <w:r>
              <w:rPr>
                <w:b/>
                <w:sz w:val="21"/>
              </w:rPr>
              <w:t>（出血性登革热）</w:t>
            </w:r>
          </w:p>
        </w:tc>
        <w:tc>
          <w:tcPr>
            <w:tcW w:w="7939" w:type="dxa"/>
          </w:tcPr>
          <w:p>
            <w:pPr>
              <w:pStyle w:val="TableParagraph"/>
              <w:spacing w:line="273" w:lineRule="auto" w:before="66"/>
              <w:ind w:left="103" w:right="303"/>
              <w:jc w:val="both"/>
              <w:rPr>
                <w:sz w:val="21"/>
              </w:rPr>
            </w:pPr>
            <w:r>
              <w:rPr>
                <w:spacing w:val="-8"/>
                <w:sz w:val="21"/>
              </w:rPr>
              <w:t>出现全部四种症状，包括发高烧、出血现象、肝肿大和循环衰竭</w:t>
            </w:r>
            <w:r>
              <w:rPr>
                <w:spacing w:val="-3"/>
                <w:sz w:val="21"/>
              </w:rPr>
              <w:t>（登革热休克综合</w:t>
            </w:r>
            <w:r>
              <w:rPr>
                <w:spacing w:val="-12"/>
                <w:sz w:val="21"/>
              </w:rPr>
              <w:t>症即符合 </w:t>
            </w:r>
            <w:r>
              <w:rPr>
                <w:sz w:val="21"/>
              </w:rPr>
              <w:t>WHO</w:t>
            </w:r>
            <w:r>
              <w:rPr>
                <w:spacing w:val="-19"/>
                <w:sz w:val="21"/>
              </w:rPr>
              <w:t> 登革热第 </w:t>
            </w:r>
            <w:r>
              <w:rPr>
                <w:sz w:val="21"/>
              </w:rPr>
              <w:t>III</w:t>
            </w:r>
            <w:r>
              <w:rPr>
                <w:spacing w:val="-21"/>
                <w:sz w:val="21"/>
              </w:rPr>
              <w:t> 级及第 </w:t>
            </w:r>
            <w:r>
              <w:rPr>
                <w:sz w:val="21"/>
              </w:rPr>
              <w:t>IV</w:t>
            </w:r>
            <w:r>
              <w:rPr>
                <w:spacing w:val="-25"/>
                <w:sz w:val="21"/>
              </w:rPr>
              <w:t> 级</w:t>
            </w:r>
            <w:r>
              <w:rPr>
                <w:spacing w:val="-108"/>
                <w:sz w:val="21"/>
              </w:rPr>
              <w:t>）</w:t>
            </w:r>
            <w:r>
              <w:rPr>
                <w:spacing w:val="-8"/>
                <w:sz w:val="21"/>
              </w:rPr>
              <w:t>。出血性登革热的诊断必须由本公司认可</w:t>
            </w:r>
            <w:r>
              <w:rPr>
                <w:spacing w:val="-5"/>
                <w:sz w:val="21"/>
              </w:rPr>
              <w:t>医院的专科医生证实。</w:t>
            </w:r>
          </w:p>
        </w:tc>
      </w:tr>
      <w:tr>
        <w:trPr>
          <w:trHeight w:val="397" w:hRule="atLeast"/>
        </w:trPr>
        <w:tc>
          <w:tcPr>
            <w:tcW w:w="1515" w:type="dxa"/>
          </w:tcPr>
          <w:p>
            <w:pPr>
              <w:pStyle w:val="TableParagraph"/>
              <w:spacing w:before="0"/>
              <w:ind w:left="0"/>
              <w:rPr>
                <w:rFonts w:ascii="Times New Roman"/>
                <w:sz w:val="20"/>
              </w:rPr>
            </w:pPr>
          </w:p>
        </w:tc>
        <w:tc>
          <w:tcPr>
            <w:tcW w:w="7939" w:type="dxa"/>
          </w:tcPr>
          <w:p>
            <w:pPr>
              <w:pStyle w:val="TableParagraph"/>
              <w:spacing w:before="8"/>
              <w:ind w:left="103"/>
              <w:rPr>
                <w:rFonts w:ascii="黑体" w:eastAsia="黑体" w:hint="eastAsia"/>
                <w:sz w:val="21"/>
              </w:rPr>
            </w:pPr>
            <w:r>
              <w:rPr>
                <w:rFonts w:ascii="黑体" w:eastAsia="黑体" w:hint="eastAsia"/>
                <w:sz w:val="21"/>
              </w:rPr>
              <w:t>非出血性登革热并不在保障范围内。</w:t>
            </w:r>
          </w:p>
        </w:tc>
      </w:tr>
      <w:tr>
        <w:trPr>
          <w:trHeight w:val="2347" w:hRule="atLeast"/>
        </w:trPr>
        <w:tc>
          <w:tcPr>
            <w:tcW w:w="1515" w:type="dxa"/>
          </w:tcPr>
          <w:p>
            <w:pPr>
              <w:pStyle w:val="TableParagraph"/>
              <w:spacing w:line="273" w:lineRule="auto" w:before="38"/>
              <w:ind w:right="101"/>
              <w:rPr>
                <w:b/>
                <w:sz w:val="21"/>
              </w:rPr>
            </w:pPr>
            <w:r>
              <w:rPr>
                <w:b/>
                <w:sz w:val="21"/>
              </w:rPr>
              <w:t>93.范可尼综合征</w:t>
            </w:r>
          </w:p>
        </w:tc>
        <w:tc>
          <w:tcPr>
            <w:tcW w:w="7939" w:type="dxa"/>
          </w:tcPr>
          <w:p>
            <w:pPr>
              <w:pStyle w:val="TableParagraph"/>
              <w:spacing w:line="273" w:lineRule="auto" w:before="38"/>
              <w:ind w:left="103" w:right="303"/>
              <w:rPr>
                <w:sz w:val="21"/>
              </w:rPr>
            </w:pPr>
            <w:r>
              <w:rPr>
                <w:spacing w:val="-12"/>
                <w:sz w:val="21"/>
              </w:rPr>
              <w:t>也称 </w:t>
            </w:r>
            <w:r>
              <w:rPr>
                <w:sz w:val="21"/>
              </w:rPr>
              <w:t>Fanconi</w:t>
            </w:r>
            <w:r>
              <w:rPr>
                <w:spacing w:val="-11"/>
                <w:sz w:val="21"/>
              </w:rPr>
              <w:t> 综合征，指近端肾小管的功能异常引起的一组症候群。须经专科医生</w:t>
            </w:r>
            <w:r>
              <w:rPr>
                <w:spacing w:val="-6"/>
                <w:sz w:val="21"/>
              </w:rPr>
              <w:t>诊断，且须满足下列至少三项条件：</w:t>
            </w:r>
          </w:p>
          <w:p>
            <w:pPr>
              <w:pStyle w:val="TableParagraph"/>
              <w:spacing w:before="7"/>
              <w:ind w:left="103"/>
              <w:rPr>
                <w:sz w:val="21"/>
              </w:rPr>
            </w:pPr>
            <w:r>
              <w:rPr>
                <w:sz w:val="21"/>
              </w:rPr>
              <w:t>(1)尿液检查出现肾性糖尿、全氨基酸糖尿或磷酸盐尿；</w:t>
            </w:r>
          </w:p>
          <w:p>
            <w:pPr>
              <w:pStyle w:val="TableParagraph"/>
              <w:spacing w:before="36"/>
              <w:ind w:left="103"/>
              <w:rPr>
                <w:sz w:val="21"/>
              </w:rPr>
            </w:pPr>
            <w:r>
              <w:rPr>
                <w:sz w:val="21"/>
              </w:rPr>
              <w:t>(2)血液检查出现低磷血症、低尿酸血症或近端肾小管酸中毒；</w:t>
            </w:r>
          </w:p>
          <w:p>
            <w:pPr>
              <w:pStyle w:val="TableParagraph"/>
              <w:spacing w:before="36"/>
              <w:ind w:left="103"/>
              <w:rPr>
                <w:sz w:val="21"/>
              </w:rPr>
            </w:pPr>
            <w:r>
              <w:rPr>
                <w:sz w:val="21"/>
              </w:rPr>
              <w:t>(3)出现骨质疏松、骨骼畸形或尿路结石。</w:t>
            </w:r>
          </w:p>
          <w:p>
            <w:pPr>
              <w:pStyle w:val="TableParagraph"/>
              <w:spacing w:before="36"/>
              <w:ind w:left="103"/>
              <w:rPr>
                <w:sz w:val="21"/>
              </w:rPr>
            </w:pPr>
            <w:r>
              <w:rPr>
                <w:sz w:val="21"/>
              </w:rPr>
              <w:t>(4)通过骨髓片、白细胞、直肠黏膜中的结晶分析或裂隙灯检查角膜有胱氨酸结晶。</w:t>
            </w:r>
          </w:p>
          <w:p>
            <w:pPr>
              <w:pStyle w:val="TableParagraph"/>
              <w:spacing w:before="36"/>
              <w:ind w:left="103"/>
              <w:rPr>
                <w:rFonts w:ascii="黑体" w:eastAsia="黑体" w:hint="eastAsia"/>
                <w:sz w:val="21"/>
              </w:rPr>
            </w:pPr>
            <w:r>
              <w:rPr>
                <w:rFonts w:ascii="黑体" w:eastAsia="黑体" w:hint="eastAsia"/>
                <w:sz w:val="21"/>
              </w:rPr>
              <w:t>保险人在三周岁之前罹患该疾病，本公司不承担保险责任。</w:t>
            </w:r>
          </w:p>
        </w:tc>
      </w:tr>
      <w:tr>
        <w:trPr>
          <w:trHeight w:val="1731" w:hRule="atLeast"/>
        </w:trPr>
        <w:tc>
          <w:tcPr>
            <w:tcW w:w="1515" w:type="dxa"/>
          </w:tcPr>
          <w:p>
            <w:pPr>
              <w:pStyle w:val="TableParagraph"/>
              <w:spacing w:line="273" w:lineRule="auto" w:before="86"/>
              <w:ind w:right="101"/>
              <w:jc w:val="both"/>
              <w:rPr>
                <w:b/>
                <w:sz w:val="21"/>
              </w:rPr>
            </w:pPr>
            <w:r>
              <w:rPr>
                <w:b/>
                <w:sz w:val="21"/>
              </w:rPr>
              <w:t>94.肾上腺脑白 质营养不良</w:t>
            </w:r>
          </w:p>
        </w:tc>
        <w:tc>
          <w:tcPr>
            <w:tcW w:w="7939" w:type="dxa"/>
          </w:tcPr>
          <w:p>
            <w:pPr>
              <w:pStyle w:val="TableParagraph"/>
              <w:spacing w:line="273" w:lineRule="auto" w:before="86"/>
              <w:ind w:left="103" w:right="303"/>
              <w:jc w:val="both"/>
              <w:rPr>
                <w:sz w:val="21"/>
              </w:rPr>
            </w:pPr>
            <w:r>
              <w:rPr>
                <w:spacing w:val="-6"/>
                <w:sz w:val="21"/>
              </w:rPr>
              <w:t>指一种最常见的过氧化物酶体病，主要累及肾上腺和脑白质，主要表现为进行性的</w:t>
            </w:r>
            <w:r>
              <w:rPr>
                <w:spacing w:val="-7"/>
                <w:sz w:val="21"/>
              </w:rPr>
              <w:t>精神运动障碍，视力及听力下降和</w:t>
            </w:r>
            <w:r>
              <w:rPr>
                <w:spacing w:val="-3"/>
                <w:sz w:val="21"/>
              </w:rPr>
              <w:t>（</w:t>
            </w:r>
            <w:r>
              <w:rPr>
                <w:sz w:val="21"/>
              </w:rPr>
              <w:t>或</w:t>
            </w:r>
            <w:r>
              <w:rPr>
                <w:spacing w:val="-10"/>
                <w:sz w:val="21"/>
              </w:rPr>
              <w:t>）</w:t>
            </w:r>
            <w:r>
              <w:rPr>
                <w:spacing w:val="-4"/>
                <w:sz w:val="21"/>
              </w:rPr>
              <w:t>肾上腺皮质功能低下等。须经专科医生诊</w:t>
            </w:r>
            <w:r>
              <w:rPr>
                <w:spacing w:val="-7"/>
                <w:sz w:val="21"/>
              </w:rPr>
              <w:t>断，且已经造成自主生活能力完全丧失，无法独立完成六项基本日常生活活动中的</w:t>
            </w:r>
            <w:r>
              <w:rPr>
                <w:spacing w:val="-8"/>
                <w:sz w:val="21"/>
              </w:rPr>
              <w:t>三项或三项以上，持续至少 </w:t>
            </w:r>
            <w:r>
              <w:rPr>
                <w:sz w:val="21"/>
              </w:rPr>
              <w:t>180</w:t>
            </w:r>
            <w:r>
              <w:rPr>
                <w:spacing w:val="-16"/>
                <w:sz w:val="21"/>
              </w:rPr>
              <w:t> 天。</w:t>
            </w:r>
          </w:p>
          <w:p>
            <w:pPr>
              <w:pStyle w:val="TableParagraph"/>
              <w:spacing w:before="7"/>
              <w:ind w:left="103"/>
              <w:jc w:val="both"/>
              <w:rPr>
                <w:rFonts w:ascii="黑体" w:eastAsia="黑体" w:hint="eastAsia"/>
                <w:sz w:val="21"/>
              </w:rPr>
            </w:pPr>
            <w:r>
              <w:rPr>
                <w:rFonts w:ascii="黑体" w:eastAsia="黑体" w:hint="eastAsia"/>
                <w:sz w:val="21"/>
              </w:rPr>
              <w:t>保险人在三周岁之前罹患该疾病，本公司不承担保险责任。</w:t>
            </w:r>
          </w:p>
        </w:tc>
      </w:tr>
      <w:tr>
        <w:trPr>
          <w:trHeight w:val="1048" w:hRule="atLeast"/>
        </w:trPr>
        <w:tc>
          <w:tcPr>
            <w:tcW w:w="1515" w:type="dxa"/>
          </w:tcPr>
          <w:p>
            <w:pPr>
              <w:pStyle w:val="TableParagraph"/>
              <w:spacing w:line="273" w:lineRule="auto" w:before="46"/>
              <w:ind w:right="101"/>
              <w:jc w:val="both"/>
              <w:rPr>
                <w:b/>
                <w:sz w:val="21"/>
              </w:rPr>
            </w:pPr>
            <w:r>
              <w:rPr>
                <w:b/>
                <w:sz w:val="21"/>
              </w:rPr>
              <w:t>95.婴儿进行性 脊肌萎缩症</w:t>
            </w:r>
          </w:p>
        </w:tc>
        <w:tc>
          <w:tcPr>
            <w:tcW w:w="7939" w:type="dxa"/>
          </w:tcPr>
          <w:p>
            <w:pPr>
              <w:pStyle w:val="TableParagraph"/>
              <w:spacing w:line="273" w:lineRule="auto" w:before="46"/>
              <w:ind w:left="103" w:right="269"/>
              <w:rPr>
                <w:sz w:val="21"/>
              </w:rPr>
            </w:pPr>
            <w:r>
              <w:rPr>
                <w:sz w:val="21"/>
              </w:rPr>
              <w:t>该病是累及脊髓前角细胞及延髓运动核的神经元退行性变性病。在出生后两年内出现的脊髓和脑干颅神经前角细胞进行性机能障碍，伴随肌肉无力和延髓机能障碍。</w:t>
            </w:r>
          </w:p>
        </w:tc>
      </w:tr>
      <w:tr>
        <w:trPr>
          <w:trHeight w:val="1060" w:hRule="atLeast"/>
        </w:trPr>
        <w:tc>
          <w:tcPr>
            <w:tcW w:w="1515" w:type="dxa"/>
          </w:tcPr>
          <w:p>
            <w:pPr>
              <w:pStyle w:val="TableParagraph"/>
              <w:spacing w:before="27"/>
              <w:rPr>
                <w:b/>
                <w:sz w:val="21"/>
              </w:rPr>
            </w:pPr>
            <w:r>
              <w:rPr>
                <w:b/>
                <w:sz w:val="21"/>
              </w:rPr>
              <w:t>96.脊柱裂</w:t>
            </w:r>
          </w:p>
        </w:tc>
        <w:tc>
          <w:tcPr>
            <w:tcW w:w="7939" w:type="dxa"/>
          </w:tcPr>
          <w:p>
            <w:pPr>
              <w:pStyle w:val="TableParagraph"/>
              <w:spacing w:line="273" w:lineRule="auto" w:before="27"/>
              <w:ind w:left="103" w:right="303"/>
              <w:jc w:val="both"/>
              <w:rPr>
                <w:sz w:val="21"/>
              </w:rPr>
            </w:pPr>
            <w:r>
              <w:rPr>
                <w:spacing w:val="-6"/>
                <w:sz w:val="21"/>
              </w:rPr>
              <w:t>指脊椎或颅骨不完全闭合，导致脊髓脊膜突出，脑</w:t>
            </w:r>
            <w:r>
              <w:rPr>
                <w:sz w:val="21"/>
              </w:rPr>
              <w:t>（脊</w:t>
            </w:r>
            <w:r>
              <w:rPr>
                <w:spacing w:val="-10"/>
                <w:sz w:val="21"/>
              </w:rPr>
              <w:t>）</w:t>
            </w:r>
            <w:r>
              <w:rPr>
                <w:spacing w:val="-4"/>
                <w:sz w:val="21"/>
              </w:rPr>
              <w:t>膜突出或脑膨出，合并大</w:t>
            </w:r>
            <w:r>
              <w:rPr>
                <w:spacing w:val="-12"/>
                <w:sz w:val="21"/>
              </w:rPr>
              <w:t>小便失禁，部分或完全性下肢瘫痪或畸形等神经学上的异常，但不包括由 </w:t>
            </w:r>
            <w:r>
              <w:rPr>
                <w:sz w:val="21"/>
              </w:rPr>
              <w:t>X</w:t>
            </w:r>
            <w:r>
              <w:rPr>
                <w:spacing w:val="5"/>
                <w:sz w:val="21"/>
              </w:rPr>
              <w:t> 线摄片</w:t>
            </w:r>
            <w:r>
              <w:rPr>
                <w:spacing w:val="-3"/>
                <w:sz w:val="21"/>
              </w:rPr>
              <w:t>发现的没有合并脊椎脊膜突出或脑（</w:t>
            </w:r>
            <w:r>
              <w:rPr>
                <w:sz w:val="21"/>
              </w:rPr>
              <w:t>脊</w:t>
            </w:r>
            <w:r>
              <w:rPr>
                <w:spacing w:val="-3"/>
                <w:sz w:val="21"/>
              </w:rPr>
              <w:t>）膜突出的隐形脊椎裂。</w:t>
            </w:r>
          </w:p>
        </w:tc>
      </w:tr>
      <w:tr>
        <w:trPr>
          <w:trHeight w:val="2210" w:hRule="atLeast"/>
        </w:trPr>
        <w:tc>
          <w:tcPr>
            <w:tcW w:w="1515" w:type="dxa"/>
          </w:tcPr>
          <w:p>
            <w:pPr>
              <w:pStyle w:val="TableParagraph"/>
              <w:spacing w:line="273" w:lineRule="auto" w:before="57"/>
              <w:ind w:right="101"/>
              <w:rPr>
                <w:b/>
                <w:sz w:val="21"/>
              </w:rPr>
            </w:pPr>
            <w:r>
              <w:rPr>
                <w:b/>
                <w:sz w:val="21"/>
              </w:rPr>
              <w:t>97.脊髓小脑变性症</w:t>
            </w:r>
          </w:p>
        </w:tc>
        <w:tc>
          <w:tcPr>
            <w:tcW w:w="7939" w:type="dxa"/>
          </w:tcPr>
          <w:p>
            <w:pPr>
              <w:pStyle w:val="TableParagraph"/>
              <w:spacing w:line="273" w:lineRule="auto" w:before="57"/>
              <w:ind w:left="103" w:right="262"/>
              <w:rPr>
                <w:sz w:val="21"/>
              </w:rPr>
            </w:pPr>
            <w:r>
              <w:rPr>
                <w:sz w:val="21"/>
              </w:rPr>
              <w:t>脊髓小脑变性症为一组以小脑萎缩和共济失调为主要临床特点的疾病。必须符合所有以下条件：</w:t>
            </w:r>
          </w:p>
          <w:p>
            <w:pPr>
              <w:pStyle w:val="TableParagraph"/>
              <w:spacing w:before="7"/>
              <w:ind w:left="103"/>
              <w:rPr>
                <w:sz w:val="21"/>
              </w:rPr>
            </w:pPr>
            <w:r>
              <w:rPr>
                <w:sz w:val="21"/>
              </w:rPr>
              <w:t>（1）脊髓小脑变性症必须由三甲医院诊断，并有以下证据支持</w:t>
            </w:r>
          </w:p>
          <w:p>
            <w:pPr>
              <w:pStyle w:val="TableParagraph"/>
              <w:numPr>
                <w:ilvl w:val="0"/>
                <w:numId w:val="65"/>
              </w:numPr>
              <w:tabs>
                <w:tab w:pos="947" w:val="left" w:leader="none"/>
              </w:tabs>
              <w:spacing w:line="240" w:lineRule="auto" w:before="37" w:after="0"/>
              <w:ind w:left="946" w:right="0" w:hanging="317"/>
              <w:jc w:val="left"/>
              <w:rPr>
                <w:sz w:val="21"/>
              </w:rPr>
            </w:pPr>
            <w:r>
              <w:rPr>
                <w:spacing w:val="-3"/>
                <w:sz w:val="21"/>
              </w:rPr>
              <w:t>影像学检查证实存在小脑萎缩；</w:t>
            </w:r>
          </w:p>
          <w:p>
            <w:pPr>
              <w:pStyle w:val="TableParagraph"/>
              <w:numPr>
                <w:ilvl w:val="0"/>
                <w:numId w:val="65"/>
              </w:numPr>
              <w:tabs>
                <w:tab w:pos="947" w:val="left" w:leader="none"/>
              </w:tabs>
              <w:spacing w:line="240" w:lineRule="auto" w:before="37" w:after="0"/>
              <w:ind w:left="946" w:right="0" w:hanging="317"/>
              <w:jc w:val="left"/>
              <w:rPr>
                <w:sz w:val="21"/>
              </w:rPr>
            </w:pPr>
            <w:r>
              <w:rPr>
                <w:spacing w:val="-3"/>
                <w:sz w:val="21"/>
              </w:rPr>
              <w:t>临床表现存在共济失调、语言障碍和肌张力异常；</w:t>
            </w:r>
          </w:p>
          <w:p>
            <w:pPr>
              <w:pStyle w:val="TableParagraph"/>
              <w:spacing w:line="310" w:lineRule="atLeast" w:before="1"/>
              <w:ind w:left="103" w:right="373"/>
              <w:rPr>
                <w:sz w:val="21"/>
              </w:rPr>
            </w:pPr>
            <w:r>
              <w:rPr>
                <w:sz w:val="21"/>
              </w:rPr>
              <w:t>（2）被保险人运动功能严重障碍，自主生活能力完全丧失，无法独立完成六项基本日常生活活动中的三项或三项以上。</w:t>
            </w:r>
          </w:p>
        </w:tc>
      </w:tr>
    </w:tbl>
    <w:p>
      <w:pPr>
        <w:spacing w:after="0" w:line="310" w:lineRule="atLeast"/>
        <w:rPr>
          <w:sz w:val="21"/>
        </w:rPr>
        <w:sectPr>
          <w:pgSz w:w="11910" w:h="16840"/>
          <w:pgMar w:header="0" w:footer="377" w:top="1340" w:bottom="560" w:left="15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84"/>
        <w:gridCol w:w="7914"/>
      </w:tblGrid>
      <w:tr>
        <w:trPr>
          <w:trHeight w:val="1879" w:hRule="atLeast"/>
        </w:trPr>
        <w:tc>
          <w:tcPr>
            <w:tcW w:w="768" w:type="dxa"/>
          </w:tcPr>
          <w:p>
            <w:pPr>
              <w:pStyle w:val="TableParagraph"/>
              <w:spacing w:before="0"/>
              <w:ind w:left="0"/>
              <w:rPr>
                <w:rFonts w:ascii="Times New Roman"/>
                <w:sz w:val="20"/>
              </w:rPr>
            </w:pPr>
          </w:p>
        </w:tc>
        <w:tc>
          <w:tcPr>
            <w:tcW w:w="1484" w:type="dxa"/>
          </w:tcPr>
          <w:p>
            <w:pPr>
              <w:pStyle w:val="TableParagraph"/>
              <w:spacing w:line="205" w:lineRule="exact" w:before="0"/>
              <w:ind w:left="145"/>
              <w:rPr>
                <w:b/>
                <w:sz w:val="21"/>
              </w:rPr>
            </w:pPr>
            <w:r>
              <w:rPr>
                <w:b/>
                <w:sz w:val="21"/>
              </w:rPr>
              <w:t>98.严重的原</w:t>
            </w:r>
          </w:p>
          <w:p>
            <w:pPr>
              <w:pStyle w:val="TableParagraph"/>
              <w:ind w:left="145"/>
              <w:rPr>
                <w:b/>
                <w:sz w:val="21"/>
              </w:rPr>
            </w:pPr>
            <w:r>
              <w:rPr>
                <w:b/>
                <w:sz w:val="21"/>
              </w:rPr>
              <w:t>发性心肌病</w:t>
            </w:r>
          </w:p>
        </w:tc>
        <w:tc>
          <w:tcPr>
            <w:tcW w:w="7914" w:type="dxa"/>
          </w:tcPr>
          <w:p>
            <w:pPr>
              <w:pStyle w:val="TableParagraph"/>
              <w:spacing w:line="205" w:lineRule="exact" w:before="0"/>
              <w:ind w:left="79"/>
              <w:rPr>
                <w:sz w:val="21"/>
              </w:rPr>
            </w:pPr>
            <w:r>
              <w:rPr>
                <w:sz w:val="21"/>
              </w:rPr>
              <w:t>指不明原因引起的一类心肌病变，包括原发性扩张型心肌病、原发性肥厚型心肌病</w:t>
            </w:r>
          </w:p>
          <w:p>
            <w:pPr>
              <w:pStyle w:val="TableParagraph"/>
              <w:spacing w:line="273" w:lineRule="auto"/>
              <w:ind w:left="79" w:right="302"/>
              <w:jc w:val="both"/>
              <w:rPr>
                <w:sz w:val="21"/>
              </w:rPr>
            </w:pPr>
            <w:r>
              <w:rPr>
                <w:spacing w:val="-6"/>
                <w:sz w:val="21"/>
              </w:rPr>
              <w:t>及原发性限制型心肌病三种，病变必须已造成事实上心室功能障碍而出现明显的心</w:t>
            </w:r>
            <w:r>
              <w:rPr>
                <w:spacing w:val="-9"/>
                <w:sz w:val="21"/>
              </w:rPr>
              <w:t>功能衰竭</w:t>
            </w:r>
            <w:r>
              <w:rPr>
                <w:sz w:val="21"/>
              </w:rPr>
              <w:t>（</w:t>
            </w:r>
            <w:r>
              <w:rPr>
                <w:spacing w:val="-4"/>
                <w:sz w:val="21"/>
              </w:rPr>
              <w:t>指按照美国纽约心脏病学会提出的新功能状态分级的标准判定，心功能</w:t>
            </w:r>
            <w:r>
              <w:rPr>
                <w:spacing w:val="-12"/>
                <w:sz w:val="21"/>
              </w:rPr>
              <w:t>状态已达 </w:t>
            </w:r>
            <w:r>
              <w:rPr>
                <w:sz w:val="21"/>
              </w:rPr>
              <w:t>IV</w:t>
            </w:r>
            <w:r>
              <w:rPr>
                <w:spacing w:val="-23"/>
                <w:sz w:val="21"/>
              </w:rPr>
              <w:t> 级</w:t>
            </w:r>
            <w:r>
              <w:rPr>
                <w:spacing w:val="-99"/>
                <w:sz w:val="21"/>
              </w:rPr>
              <w:t>）</w:t>
            </w:r>
            <w:r>
              <w:rPr>
                <w:spacing w:val="-16"/>
                <w:sz w:val="21"/>
              </w:rPr>
              <w:t>，且有相关住院医疗记录显示 </w:t>
            </w:r>
            <w:r>
              <w:rPr>
                <w:sz w:val="21"/>
              </w:rPr>
              <w:t>IV</w:t>
            </w:r>
            <w:r>
              <w:rPr>
                <w:spacing w:val="-12"/>
                <w:sz w:val="21"/>
              </w:rPr>
              <w:t> 级心功能衰竭状态已持续至少 </w:t>
            </w:r>
            <w:r>
              <w:rPr>
                <w:sz w:val="21"/>
              </w:rPr>
              <w:t>180 </w:t>
            </w:r>
            <w:r>
              <w:rPr>
                <w:spacing w:val="-3"/>
                <w:sz w:val="21"/>
              </w:rPr>
              <w:t>日。本病须经专科医生明确诊断。</w:t>
            </w:r>
          </w:p>
          <w:p>
            <w:pPr>
              <w:pStyle w:val="TableParagraph"/>
              <w:spacing w:before="7"/>
              <w:ind w:left="79"/>
              <w:jc w:val="both"/>
              <w:rPr>
                <w:rFonts w:ascii="黑体" w:eastAsia="黑体" w:hint="eastAsia"/>
                <w:sz w:val="21"/>
              </w:rPr>
            </w:pPr>
            <w:r>
              <w:rPr>
                <w:rFonts w:ascii="黑体" w:eastAsia="黑体" w:hint="eastAsia"/>
                <w:sz w:val="21"/>
              </w:rPr>
              <w:t>继发于全身性疾病或其他器官系统疾病造成的心肌病变不在保障范围内。</w:t>
            </w:r>
          </w:p>
        </w:tc>
      </w:tr>
      <w:tr>
        <w:trPr>
          <w:trHeight w:val="794" w:hRule="atLeast"/>
        </w:trPr>
        <w:tc>
          <w:tcPr>
            <w:tcW w:w="768" w:type="dxa"/>
          </w:tcPr>
          <w:p>
            <w:pPr>
              <w:pStyle w:val="TableParagraph"/>
              <w:spacing w:before="0"/>
              <w:ind w:left="0"/>
              <w:rPr>
                <w:rFonts w:ascii="Times New Roman"/>
                <w:sz w:val="20"/>
              </w:rPr>
            </w:pPr>
          </w:p>
        </w:tc>
        <w:tc>
          <w:tcPr>
            <w:tcW w:w="1484" w:type="dxa"/>
          </w:tcPr>
          <w:p>
            <w:pPr>
              <w:pStyle w:val="TableParagraph"/>
              <w:spacing w:line="273" w:lineRule="auto" w:before="38"/>
              <w:ind w:left="145" w:right="124"/>
              <w:rPr>
                <w:b/>
                <w:sz w:val="21"/>
              </w:rPr>
            </w:pPr>
            <w:r>
              <w:rPr>
                <w:b/>
                <w:sz w:val="21"/>
              </w:rPr>
              <w:t>99.永久性脑脊液分流术</w:t>
            </w:r>
          </w:p>
        </w:tc>
        <w:tc>
          <w:tcPr>
            <w:tcW w:w="7914" w:type="dxa"/>
          </w:tcPr>
          <w:p>
            <w:pPr>
              <w:pStyle w:val="TableParagraph"/>
              <w:spacing w:line="273" w:lineRule="auto" w:before="38"/>
              <w:ind w:left="79" w:right="302"/>
              <w:rPr>
                <w:sz w:val="21"/>
              </w:rPr>
            </w:pPr>
            <w:r>
              <w:rPr>
                <w:spacing w:val="-6"/>
                <w:sz w:val="21"/>
              </w:rPr>
              <w:t>指因先天性脑积水</w:t>
            </w:r>
            <w:r>
              <w:rPr>
                <w:sz w:val="21"/>
              </w:rPr>
              <w:t>（</w:t>
            </w:r>
            <w:r>
              <w:rPr>
                <w:spacing w:val="-4"/>
                <w:sz w:val="21"/>
              </w:rPr>
              <w:t>即先天性的脑脊液循环或吸收功能障碍，使脑脊液大量积滞而</w:t>
            </w:r>
            <w:r>
              <w:rPr>
                <w:spacing w:val="-3"/>
                <w:w w:val="100"/>
                <w:sz w:val="21"/>
              </w:rPr>
              <w:t>导致脑室或蛛网膜下腔扩大</w:t>
            </w:r>
            <w:r>
              <w:rPr>
                <w:spacing w:val="-106"/>
                <w:w w:val="100"/>
                <w:sz w:val="21"/>
              </w:rPr>
              <w:t>）</w:t>
            </w:r>
            <w:r>
              <w:rPr>
                <w:spacing w:val="-3"/>
                <w:w w:val="100"/>
                <w:sz w:val="21"/>
              </w:rPr>
              <w:t>，而接受的永久性脑脊液分流手术。</w:t>
            </w:r>
          </w:p>
        </w:tc>
      </w:tr>
      <w:tr>
        <w:trPr>
          <w:trHeight w:val="774" w:hRule="atLeast"/>
        </w:trPr>
        <w:tc>
          <w:tcPr>
            <w:tcW w:w="768" w:type="dxa"/>
          </w:tcPr>
          <w:p>
            <w:pPr>
              <w:pStyle w:val="TableParagraph"/>
              <w:spacing w:before="0"/>
              <w:ind w:left="0"/>
              <w:rPr>
                <w:rFonts w:ascii="Times New Roman"/>
                <w:sz w:val="20"/>
              </w:rPr>
            </w:pPr>
          </w:p>
        </w:tc>
        <w:tc>
          <w:tcPr>
            <w:tcW w:w="1484" w:type="dxa"/>
          </w:tcPr>
          <w:p>
            <w:pPr>
              <w:pStyle w:val="TableParagraph"/>
              <w:spacing w:line="273" w:lineRule="auto" w:before="93"/>
              <w:ind w:left="145" w:right="86"/>
              <w:rPr>
                <w:b/>
                <w:sz w:val="21"/>
              </w:rPr>
            </w:pPr>
            <w:r>
              <w:rPr>
                <w:b/>
                <w:sz w:val="21"/>
              </w:rPr>
              <w:t>100. 严重面部烧伤</w:t>
            </w:r>
          </w:p>
        </w:tc>
        <w:tc>
          <w:tcPr>
            <w:tcW w:w="7914" w:type="dxa"/>
          </w:tcPr>
          <w:p>
            <w:pPr>
              <w:pStyle w:val="TableParagraph"/>
              <w:spacing w:before="93"/>
              <w:ind w:left="79"/>
              <w:rPr>
                <w:sz w:val="21"/>
              </w:rPr>
            </w:pPr>
            <w:r>
              <w:rPr>
                <w:sz w:val="21"/>
              </w:rPr>
              <w:t>指烧伤程度为Ⅲ度，且Ⅲ度烧伤的面积达到面部表面积的 80％或 80％以上。</w:t>
            </w:r>
          </w:p>
        </w:tc>
      </w:tr>
      <w:tr>
        <w:trPr>
          <w:trHeight w:val="8040" w:hRule="atLeast"/>
        </w:trPr>
        <w:tc>
          <w:tcPr>
            <w:tcW w:w="768" w:type="dxa"/>
          </w:tcPr>
          <w:p>
            <w:pPr>
              <w:pStyle w:val="TableParagraph"/>
              <w:spacing w:before="0"/>
              <w:ind w:left="0"/>
              <w:rPr>
                <w:rFonts w:ascii="Times New Roman"/>
                <w:sz w:val="20"/>
              </w:rPr>
            </w:pPr>
          </w:p>
        </w:tc>
        <w:tc>
          <w:tcPr>
            <w:tcW w:w="1484" w:type="dxa"/>
          </w:tcPr>
          <w:p>
            <w:pPr>
              <w:pStyle w:val="TableParagraph"/>
              <w:spacing w:line="273" w:lineRule="auto" w:before="40"/>
              <w:ind w:left="145" w:right="69"/>
              <w:rPr>
                <w:b/>
                <w:sz w:val="21"/>
              </w:rPr>
            </w:pPr>
            <w:r>
              <w:rPr>
                <w:b/>
                <w:sz w:val="21"/>
              </w:rPr>
              <w:t>重大疾病定 义中所用到 的术语定义：</w:t>
            </w:r>
          </w:p>
        </w:tc>
        <w:tc>
          <w:tcPr>
            <w:tcW w:w="7914" w:type="dxa"/>
          </w:tcPr>
          <w:p>
            <w:pPr>
              <w:pStyle w:val="TableParagraph"/>
              <w:spacing w:line="273" w:lineRule="exact" w:before="18"/>
              <w:ind w:left="77"/>
              <w:rPr>
                <w:sz w:val="21"/>
              </w:rPr>
            </w:pPr>
            <w:r>
              <w:rPr>
                <w:sz w:val="21"/>
              </w:rPr>
              <w:t>1.六项基本日常生活活动</w:t>
            </w:r>
          </w:p>
          <w:p>
            <w:pPr>
              <w:pStyle w:val="TableParagraph"/>
              <w:spacing w:line="237" w:lineRule="auto" w:before="0"/>
              <w:ind w:left="286" w:right="270"/>
              <w:jc w:val="both"/>
              <w:rPr>
                <w:sz w:val="21"/>
              </w:rPr>
            </w:pPr>
            <w:r>
              <w:rPr>
                <w:spacing w:val="-12"/>
                <w:w w:val="100"/>
                <w:sz w:val="21"/>
              </w:rPr>
              <w:t>六项基本日常生活活动是指：</w:t>
            </w:r>
            <w:r>
              <w:rPr>
                <w:w w:val="100"/>
                <w:sz w:val="21"/>
              </w:rPr>
              <w:t>（</w:t>
            </w:r>
            <w:r>
              <w:rPr>
                <w:spacing w:val="-3"/>
                <w:w w:val="100"/>
                <w:sz w:val="21"/>
              </w:rPr>
              <w:t>1</w:t>
            </w:r>
            <w:r>
              <w:rPr>
                <w:spacing w:val="-5"/>
                <w:w w:val="100"/>
                <w:sz w:val="21"/>
              </w:rPr>
              <w:t>）</w:t>
            </w:r>
            <w:r>
              <w:rPr>
                <w:spacing w:val="-12"/>
                <w:w w:val="100"/>
                <w:sz w:val="21"/>
              </w:rPr>
              <w:t>穿衣：自己能够穿衣及脱衣；</w:t>
            </w:r>
            <w:r>
              <w:rPr>
                <w:spacing w:val="-3"/>
                <w:w w:val="100"/>
                <w:sz w:val="21"/>
              </w:rPr>
              <w:t>（2</w:t>
            </w:r>
            <w:r>
              <w:rPr>
                <w:spacing w:val="-5"/>
                <w:w w:val="100"/>
                <w:sz w:val="21"/>
              </w:rPr>
              <w:t>）</w:t>
            </w:r>
            <w:r>
              <w:rPr>
                <w:spacing w:val="-3"/>
                <w:w w:val="100"/>
                <w:sz w:val="21"/>
              </w:rPr>
              <w:t>移动：自己</w:t>
            </w:r>
            <w:r>
              <w:rPr>
                <w:spacing w:val="-13"/>
                <w:w w:val="100"/>
                <w:sz w:val="21"/>
              </w:rPr>
              <w:t>从一个房间到另一个房间；</w:t>
            </w:r>
            <w:r>
              <w:rPr>
                <w:w w:val="100"/>
                <w:sz w:val="21"/>
              </w:rPr>
              <w:t>（</w:t>
            </w:r>
            <w:r>
              <w:rPr>
                <w:spacing w:val="-3"/>
                <w:w w:val="100"/>
                <w:sz w:val="21"/>
              </w:rPr>
              <w:t>3</w:t>
            </w:r>
            <w:r>
              <w:rPr>
                <w:spacing w:val="-5"/>
                <w:w w:val="100"/>
                <w:sz w:val="21"/>
              </w:rPr>
              <w:t>）</w:t>
            </w:r>
            <w:r>
              <w:rPr>
                <w:spacing w:val="-12"/>
                <w:w w:val="100"/>
                <w:sz w:val="21"/>
              </w:rPr>
              <w:t>行动：自己上下床或上下轮椅；</w:t>
            </w:r>
            <w:r>
              <w:rPr>
                <w:w w:val="100"/>
                <w:sz w:val="21"/>
              </w:rPr>
              <w:t>（</w:t>
            </w:r>
            <w:r>
              <w:rPr>
                <w:spacing w:val="-3"/>
                <w:w w:val="100"/>
                <w:sz w:val="21"/>
              </w:rPr>
              <w:t>4</w:t>
            </w:r>
            <w:r>
              <w:rPr>
                <w:spacing w:val="-8"/>
                <w:w w:val="100"/>
                <w:sz w:val="21"/>
              </w:rPr>
              <w:t>）</w:t>
            </w:r>
            <w:r>
              <w:rPr>
                <w:spacing w:val="-3"/>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line="271" w:lineRule="exact" w:before="0"/>
              <w:ind w:left="77"/>
              <w:rPr>
                <w:sz w:val="21"/>
              </w:rPr>
            </w:pPr>
            <w:r>
              <w:rPr>
                <w:sz w:val="21"/>
              </w:rPr>
              <w:t>2.肢体机能完全丧失</w:t>
            </w:r>
          </w:p>
          <w:p>
            <w:pPr>
              <w:pStyle w:val="TableParagraph"/>
              <w:spacing w:line="237" w:lineRule="auto" w:before="3"/>
              <w:ind w:left="286" w:right="302"/>
              <w:jc w:val="both"/>
              <w:rPr>
                <w:sz w:val="21"/>
              </w:rPr>
            </w:pPr>
            <w:r>
              <w:rPr>
                <w:spacing w:val="-5"/>
                <w:sz w:val="21"/>
              </w:rPr>
              <w:t>指肢体的三大关节中的两大关节僵硬，或不能随意识活动。肢体是指包括肩关节</w:t>
            </w:r>
            <w:r>
              <w:rPr>
                <w:spacing w:val="-4"/>
                <w:sz w:val="21"/>
              </w:rPr>
              <w:t>的整个上肢或包括髋关节的整个下肢。</w:t>
            </w:r>
          </w:p>
          <w:p>
            <w:pPr>
              <w:pStyle w:val="TableParagraph"/>
              <w:spacing w:line="272" w:lineRule="exact" w:before="0"/>
              <w:ind w:left="77"/>
              <w:rPr>
                <w:sz w:val="21"/>
              </w:rPr>
            </w:pPr>
            <w:r>
              <w:rPr>
                <w:sz w:val="21"/>
              </w:rPr>
              <w:t>3.语言能力或咀嚼吞咽能力完全丧失</w:t>
            </w:r>
          </w:p>
          <w:p>
            <w:pPr>
              <w:pStyle w:val="TableParagraph"/>
              <w:spacing w:line="237" w:lineRule="auto" w:before="1"/>
              <w:ind w:left="286" w:right="302"/>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3"/>
                <w:sz w:val="21"/>
              </w:rPr>
              <w:t>中的任何三种、或声带全部切除，或因大脑语言中枢受伤害而患失语症。 </w:t>
            </w:r>
            <w:r>
              <w:rPr>
                <w:spacing w:val="-6"/>
                <w:sz w:val="21"/>
              </w:rPr>
              <w:t>咀嚼吞咽能力完全丧失，指因牙齿以外的原因导致器质障碍或机能障碍，以致不</w:t>
            </w:r>
            <w:r>
              <w:rPr>
                <w:spacing w:val="-4"/>
                <w:sz w:val="21"/>
              </w:rPr>
              <w:t>能作咀嚼吞咽运动，除流质食物外不能摄取或吞咽的状态。</w:t>
            </w:r>
          </w:p>
          <w:p>
            <w:pPr>
              <w:pStyle w:val="TableParagraph"/>
              <w:spacing w:line="272" w:lineRule="exact" w:before="0"/>
              <w:ind w:left="77"/>
              <w:rPr>
                <w:sz w:val="21"/>
              </w:rPr>
            </w:pPr>
            <w:r>
              <w:rPr>
                <w:sz w:val="21"/>
              </w:rPr>
              <w:t>4.永久不可逆</w:t>
            </w:r>
          </w:p>
          <w:p>
            <w:pPr>
              <w:pStyle w:val="TableParagraph"/>
              <w:spacing w:before="0"/>
              <w:ind w:left="286" w:right="302"/>
              <w:jc w:val="both"/>
              <w:rPr>
                <w:sz w:val="21"/>
              </w:rPr>
            </w:pPr>
            <w:r>
              <w:rPr>
                <w:spacing w:val="-6"/>
                <w:sz w:val="21"/>
              </w:rPr>
              <w:t>指自疾病确诊或意外伤害发生之日起，经过积极治疗 </w:t>
            </w:r>
            <w:r>
              <w:rPr>
                <w:sz w:val="21"/>
              </w:rPr>
              <w:t>180</w:t>
            </w:r>
            <w:r>
              <w:rPr>
                <w:spacing w:val="-9"/>
                <w:sz w:val="21"/>
              </w:rPr>
              <w:t> 天后，仍无法通过现有</w:t>
            </w:r>
            <w:r>
              <w:rPr>
                <w:spacing w:val="-5"/>
                <w:sz w:val="21"/>
              </w:rPr>
              <w:t>医疗手段恢复。</w:t>
            </w:r>
          </w:p>
          <w:p>
            <w:pPr>
              <w:pStyle w:val="TableParagraph"/>
              <w:spacing w:line="271" w:lineRule="exact" w:before="2"/>
              <w:ind w:left="77"/>
              <w:rPr>
                <w:sz w:val="21"/>
              </w:rPr>
            </w:pPr>
            <w:r>
              <w:rPr>
                <w:sz w:val="21"/>
              </w:rPr>
              <w:t>5.专科医生</w:t>
            </w:r>
          </w:p>
          <w:p>
            <w:pPr>
              <w:pStyle w:val="TableParagraph"/>
              <w:spacing w:line="237" w:lineRule="auto" w:before="2"/>
              <w:ind w:left="286" w:right="302"/>
              <w:jc w:val="both"/>
              <w:rPr>
                <w:sz w:val="21"/>
              </w:rPr>
            </w:pPr>
            <w:r>
              <w:rPr>
                <w:spacing w:val="-3"/>
                <w:w w:val="100"/>
                <w:sz w:val="21"/>
              </w:rPr>
              <w:t>专科医生应当同时满足以下四项资格条件</w:t>
            </w:r>
            <w:r>
              <w:rPr>
                <w:spacing w:val="-118"/>
                <w:w w:val="100"/>
                <w:sz w:val="21"/>
              </w:rPr>
              <w:t>：</w:t>
            </w:r>
            <w:r>
              <w:rPr>
                <w:w w:val="100"/>
                <w:sz w:val="21"/>
              </w:rPr>
              <w:t>（1</w:t>
            </w:r>
            <w:r>
              <w:rPr>
                <w:spacing w:val="-15"/>
                <w:w w:val="100"/>
                <w:sz w:val="21"/>
              </w:rPr>
              <w:t>）</w:t>
            </w:r>
            <w:r>
              <w:rPr>
                <w:spacing w:val="-4"/>
                <w:w w:val="100"/>
                <w:sz w:val="21"/>
              </w:rPr>
              <w:t>具有有效的中华人民共和国《医</w:t>
            </w:r>
            <w:r>
              <w:rPr>
                <w:spacing w:val="-35"/>
                <w:w w:val="100"/>
                <w:sz w:val="21"/>
              </w:rPr>
              <w:t>师资格证书》；</w:t>
            </w:r>
            <w:r>
              <w:rPr>
                <w:w w:val="100"/>
                <w:sz w:val="21"/>
              </w:rPr>
              <w:t>（</w:t>
            </w:r>
            <w:r>
              <w:rPr>
                <w:spacing w:val="-3"/>
                <w:w w:val="100"/>
                <w:sz w:val="21"/>
              </w:rPr>
              <w:t>2</w:t>
            </w:r>
            <w:r>
              <w:rPr>
                <w:spacing w:val="-10"/>
                <w:w w:val="100"/>
                <w:sz w:val="21"/>
              </w:rPr>
              <w:t>）具有有效的中华人民共和国《医师执业证书》，并按期到相关</w:t>
            </w:r>
            <w:r>
              <w:rPr>
                <w:spacing w:val="-23"/>
                <w:w w:val="100"/>
                <w:sz w:val="21"/>
              </w:rPr>
              <w:t>部门登记注册；</w:t>
            </w:r>
            <w:r>
              <w:rPr>
                <w:w w:val="100"/>
                <w:sz w:val="21"/>
              </w:rPr>
              <w:t>（3</w:t>
            </w:r>
            <w:r>
              <w:rPr>
                <w:spacing w:val="-20"/>
                <w:w w:val="100"/>
                <w:sz w:val="21"/>
              </w:rPr>
              <w:t>）</w:t>
            </w:r>
            <w:r>
              <w:rPr>
                <w:spacing w:val="-3"/>
                <w:w w:val="100"/>
                <w:sz w:val="21"/>
              </w:rPr>
              <w:t>具有有效的中华人民共和国主治医师或主治医师以上职称的</w:t>
            </w:r>
          </w:p>
          <w:p>
            <w:pPr>
              <w:pStyle w:val="TableParagraph"/>
              <w:spacing w:before="0"/>
              <w:ind w:left="286" w:right="310"/>
              <w:jc w:val="both"/>
              <w:rPr>
                <w:sz w:val="21"/>
              </w:rPr>
            </w:pPr>
            <w:r>
              <w:rPr>
                <w:spacing w:val="-24"/>
                <w:w w:val="100"/>
                <w:sz w:val="21"/>
              </w:rPr>
              <w:t>《医师职称证书》；</w:t>
            </w:r>
            <w:r>
              <w:rPr>
                <w:spacing w:val="2"/>
                <w:w w:val="100"/>
                <w:sz w:val="21"/>
              </w:rPr>
              <w:t>（</w:t>
            </w:r>
            <w:r>
              <w:rPr>
                <w:w w:val="100"/>
                <w:sz w:val="21"/>
              </w:rPr>
              <w:t>4）在二级或二级以上医院的相应科室从事临床工作三年以</w:t>
            </w:r>
            <w:r>
              <w:rPr>
                <w:sz w:val="21"/>
              </w:rPr>
              <w:t>上。</w:t>
            </w:r>
          </w:p>
          <w:p>
            <w:pPr>
              <w:pStyle w:val="TableParagraph"/>
              <w:spacing w:line="271" w:lineRule="exact" w:before="3"/>
              <w:ind w:left="77"/>
              <w:rPr>
                <w:sz w:val="21"/>
              </w:rPr>
            </w:pPr>
            <w:r>
              <w:rPr>
                <w:sz w:val="21"/>
              </w:rPr>
              <w:t>6.遗传性疾病</w:t>
            </w:r>
          </w:p>
          <w:p>
            <w:pPr>
              <w:pStyle w:val="TableParagraph"/>
              <w:spacing w:line="237" w:lineRule="auto" w:before="1"/>
              <w:ind w:left="286" w:right="197"/>
              <w:rPr>
                <w:sz w:val="21"/>
              </w:rPr>
            </w:pPr>
            <w:r>
              <w:rPr>
                <w:spacing w:val="-8"/>
                <w:sz w:val="21"/>
              </w:rPr>
              <w:t>指生殖细胞或受精卵的遗传物质</w:t>
            </w:r>
            <w:r>
              <w:rPr>
                <w:sz w:val="21"/>
              </w:rPr>
              <w:t>（</w:t>
            </w:r>
            <w:r>
              <w:rPr>
                <w:spacing w:val="-3"/>
                <w:sz w:val="21"/>
              </w:rPr>
              <w:t>染色体和基因</w:t>
            </w:r>
            <w:r>
              <w:rPr>
                <w:spacing w:val="-70"/>
                <w:sz w:val="21"/>
              </w:rPr>
              <w:t>）</w:t>
            </w:r>
            <w:r>
              <w:rPr>
                <w:spacing w:val="-3"/>
                <w:sz w:val="21"/>
              </w:rPr>
              <w:t>发生突变或畸变所引起的疾病， 通常具有由亲代传至后代的垂直传递的特征。</w:t>
            </w:r>
          </w:p>
          <w:p>
            <w:pPr>
              <w:pStyle w:val="TableParagraph"/>
              <w:spacing w:line="272" w:lineRule="exact" w:before="0"/>
              <w:ind w:left="72"/>
              <w:rPr>
                <w:sz w:val="21"/>
              </w:rPr>
            </w:pPr>
            <w:r>
              <w:rPr>
                <w:sz w:val="21"/>
              </w:rPr>
              <w:t>7.先天性畸形、变形和染色体异常</w:t>
            </w:r>
          </w:p>
          <w:p>
            <w:pPr>
              <w:pStyle w:val="TableParagraph"/>
              <w:spacing w:line="237" w:lineRule="auto" w:before="1"/>
              <w:ind w:left="283" w:right="304"/>
              <w:jc w:val="both"/>
              <w:rPr>
                <w:sz w:val="21"/>
              </w:rPr>
            </w:pPr>
            <w:r>
              <w:rPr>
                <w:spacing w:val="-6"/>
                <w:sz w:val="21"/>
              </w:rPr>
              <w:t>指被保险人出生时就具有的畸形、变形或染色体异常。先天性畸形、变形和染色</w:t>
            </w:r>
            <w:r>
              <w:rPr>
                <w:spacing w:val="-10"/>
                <w:sz w:val="21"/>
              </w:rPr>
              <w:t>体异常依照世界卫生组织《疾病和有关健康问题的国际统计分类》</w:t>
            </w:r>
            <w:r>
              <w:rPr>
                <w:sz w:val="21"/>
              </w:rPr>
              <w:t>（ICD-10）确定。</w:t>
            </w:r>
          </w:p>
        </w:tc>
      </w:tr>
      <w:tr>
        <w:trPr>
          <w:trHeight w:val="2832" w:hRule="atLeast"/>
        </w:trPr>
        <w:tc>
          <w:tcPr>
            <w:tcW w:w="768" w:type="dxa"/>
          </w:tcPr>
          <w:p>
            <w:pPr>
              <w:pStyle w:val="TableParagraph"/>
              <w:spacing w:before="55"/>
              <w:rPr>
                <w:b/>
                <w:sz w:val="21"/>
              </w:rPr>
            </w:pPr>
            <w:r>
              <w:rPr>
                <w:b/>
                <w:sz w:val="21"/>
              </w:rPr>
              <w:t>9.12</w:t>
            </w:r>
          </w:p>
        </w:tc>
        <w:tc>
          <w:tcPr>
            <w:tcW w:w="1484" w:type="dxa"/>
          </w:tcPr>
          <w:p>
            <w:pPr>
              <w:pStyle w:val="TableParagraph"/>
              <w:spacing w:before="55"/>
              <w:ind w:left="145"/>
              <w:rPr>
                <w:b/>
                <w:sz w:val="21"/>
              </w:rPr>
            </w:pPr>
            <w:r>
              <w:rPr>
                <w:b/>
                <w:sz w:val="21"/>
              </w:rPr>
              <w:t>全残</w:t>
            </w:r>
          </w:p>
        </w:tc>
        <w:tc>
          <w:tcPr>
            <w:tcW w:w="7914" w:type="dxa"/>
          </w:tcPr>
          <w:p>
            <w:pPr>
              <w:pStyle w:val="TableParagraph"/>
              <w:spacing w:before="55"/>
              <w:ind w:left="79"/>
              <w:rPr>
                <w:sz w:val="21"/>
              </w:rPr>
            </w:pPr>
            <w:r>
              <w:rPr>
                <w:sz w:val="21"/>
              </w:rPr>
              <w:t>本合同所述</w:t>
            </w:r>
            <w:r>
              <w:rPr>
                <w:rFonts w:ascii="Arial" w:hAnsi="Arial" w:eastAsia="Arial"/>
                <w:sz w:val="21"/>
              </w:rPr>
              <w:t>“</w:t>
            </w:r>
            <w:r>
              <w:rPr>
                <w:sz w:val="21"/>
              </w:rPr>
              <w:t>全残</w:t>
            </w:r>
            <w:r>
              <w:rPr>
                <w:rFonts w:ascii="Arial" w:hAnsi="Arial" w:eastAsia="Arial"/>
                <w:sz w:val="21"/>
              </w:rPr>
              <w:t>”</w:t>
            </w:r>
            <w:r>
              <w:rPr>
                <w:sz w:val="21"/>
              </w:rPr>
              <w:t>指下列情形之一：</w:t>
            </w:r>
          </w:p>
          <w:p>
            <w:pPr>
              <w:pStyle w:val="TableParagraph"/>
              <w:spacing w:before="22"/>
              <w:ind w:left="79"/>
              <w:rPr>
                <w:sz w:val="21"/>
              </w:rPr>
            </w:pPr>
            <w:r>
              <w:rPr>
                <w:sz w:val="21"/>
              </w:rPr>
              <w:t>1.双目永久完全失明；</w:t>
            </w:r>
          </w:p>
          <w:p>
            <w:pPr>
              <w:pStyle w:val="TableParagraph"/>
              <w:ind w:left="79"/>
              <w:rPr>
                <w:sz w:val="21"/>
              </w:rPr>
            </w:pPr>
            <w:r>
              <w:rPr>
                <w:sz w:val="21"/>
              </w:rPr>
              <w:t>2.两上肢腕关节以上或两下肢踝关节以上缺失；</w:t>
            </w:r>
          </w:p>
          <w:p>
            <w:pPr>
              <w:pStyle w:val="TableParagraph"/>
              <w:ind w:left="79"/>
              <w:rPr>
                <w:sz w:val="21"/>
              </w:rPr>
            </w:pPr>
            <w:r>
              <w:rPr>
                <w:sz w:val="21"/>
              </w:rPr>
              <w:t>3.一上肢腕关节以上及一下肢踝关节以上缺失；</w:t>
            </w:r>
          </w:p>
          <w:p>
            <w:pPr>
              <w:pStyle w:val="TableParagraph"/>
              <w:ind w:left="79"/>
              <w:rPr>
                <w:sz w:val="21"/>
              </w:rPr>
            </w:pPr>
            <w:r>
              <w:rPr>
                <w:sz w:val="21"/>
              </w:rPr>
              <w:t>4.一目永久完全失明及一上肢腕关节以上缺失；</w:t>
            </w:r>
          </w:p>
          <w:p>
            <w:pPr>
              <w:pStyle w:val="TableParagraph"/>
              <w:ind w:left="79"/>
              <w:rPr>
                <w:sz w:val="21"/>
              </w:rPr>
            </w:pPr>
            <w:r>
              <w:rPr>
                <w:sz w:val="21"/>
              </w:rPr>
              <w:t>5.一目永久完全失明及一下肢踝关节以上缺失；</w:t>
            </w:r>
          </w:p>
          <w:p>
            <w:pPr>
              <w:pStyle w:val="TableParagraph"/>
              <w:spacing w:before="36"/>
              <w:ind w:left="79"/>
              <w:rPr>
                <w:sz w:val="21"/>
              </w:rPr>
            </w:pPr>
            <w:r>
              <w:rPr>
                <w:sz w:val="21"/>
              </w:rPr>
              <w:t>6.四肢关节机能永久完全丧失；</w:t>
            </w:r>
          </w:p>
          <w:p>
            <w:pPr>
              <w:pStyle w:val="TableParagraph"/>
              <w:spacing w:before="36"/>
              <w:ind w:left="79"/>
              <w:rPr>
                <w:sz w:val="21"/>
              </w:rPr>
            </w:pPr>
            <w:r>
              <w:rPr>
                <w:sz w:val="21"/>
              </w:rPr>
              <w:t>7.咀嚼、吞咽机能永久完全丧失；</w:t>
            </w:r>
          </w:p>
          <w:p>
            <w:pPr>
              <w:pStyle w:val="TableParagraph"/>
              <w:spacing w:line="261" w:lineRule="exact" w:before="36"/>
              <w:ind w:left="79"/>
              <w:rPr>
                <w:sz w:val="21"/>
              </w:rPr>
            </w:pPr>
            <w:r>
              <w:rPr>
                <w:sz w:val="21"/>
              </w:rPr>
              <w:t>8.中枢神经系统机能或胸、腹部脏器机能极度障碍，导致终身不能从事任何工作，</w:t>
            </w:r>
          </w:p>
        </w:tc>
      </w:tr>
    </w:tbl>
    <w:p>
      <w:pPr>
        <w:spacing w:after="0" w:line="261" w:lineRule="exact"/>
        <w:rPr>
          <w:sz w:val="21"/>
        </w:rPr>
        <w:sectPr>
          <w:pgSz w:w="11910" w:h="16840"/>
          <w:pgMar w:header="0" w:footer="377" w:top="1340" w:bottom="560" w:left="8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382"/>
        <w:gridCol w:w="8014"/>
      </w:tblGrid>
      <w:tr>
        <w:trPr>
          <w:trHeight w:val="3459" w:hRule="atLeast"/>
        </w:trPr>
        <w:tc>
          <w:tcPr>
            <w:tcW w:w="768" w:type="dxa"/>
          </w:tcPr>
          <w:p>
            <w:pPr>
              <w:pStyle w:val="TableParagraph"/>
              <w:spacing w:before="0"/>
              <w:ind w:left="0"/>
              <w:rPr>
                <w:rFonts w:ascii="Times New Roman"/>
                <w:sz w:val="20"/>
              </w:rPr>
            </w:pPr>
          </w:p>
        </w:tc>
        <w:tc>
          <w:tcPr>
            <w:tcW w:w="1382" w:type="dxa"/>
          </w:tcPr>
          <w:p>
            <w:pPr>
              <w:pStyle w:val="TableParagraph"/>
              <w:spacing w:before="0"/>
              <w:ind w:left="0"/>
              <w:rPr>
                <w:rFonts w:ascii="Times New Roman"/>
                <w:sz w:val="20"/>
              </w:rPr>
            </w:pPr>
          </w:p>
        </w:tc>
        <w:tc>
          <w:tcPr>
            <w:tcW w:w="8014" w:type="dxa"/>
          </w:tcPr>
          <w:p>
            <w:pPr>
              <w:pStyle w:val="TableParagraph"/>
              <w:spacing w:line="205" w:lineRule="exact" w:before="0"/>
              <w:ind w:left="181"/>
              <w:rPr>
                <w:sz w:val="21"/>
              </w:rPr>
            </w:pPr>
            <w:r>
              <w:rPr>
                <w:sz w:val="21"/>
              </w:rPr>
              <w:t>为维持生命必要的日常生活活动，全需他人扶助的。</w:t>
            </w:r>
          </w:p>
          <w:p>
            <w:pPr>
              <w:pStyle w:val="TableParagraph"/>
              <w:spacing w:before="9"/>
              <w:ind w:left="0"/>
              <w:rPr>
                <w:sz w:val="14"/>
              </w:rPr>
            </w:pPr>
          </w:p>
          <w:p>
            <w:pPr>
              <w:pStyle w:val="TableParagraph"/>
              <w:spacing w:line="273" w:lineRule="auto" w:before="1"/>
              <w:ind w:left="181" w:right="196"/>
              <w:jc w:val="both"/>
              <w:rPr>
                <w:sz w:val="21"/>
              </w:rPr>
            </w:pPr>
            <w:r>
              <w:rPr>
                <w:b/>
                <w:sz w:val="21"/>
              </w:rPr>
              <w:t>失明</w:t>
            </w:r>
            <w:r>
              <w:rPr>
                <w:spacing w:val="-7"/>
                <w:sz w:val="21"/>
              </w:rPr>
              <w:t>：包括眼球缺失或摘除、或不能辨别明暗、或仅能辨别眼前手动者，最佳矫正</w:t>
            </w:r>
            <w:r>
              <w:rPr>
                <w:spacing w:val="-9"/>
                <w:sz w:val="21"/>
              </w:rPr>
              <w:t>视力低于国际标准视力表 </w:t>
            </w:r>
            <w:r>
              <w:rPr>
                <w:spacing w:val="-7"/>
                <w:sz w:val="21"/>
              </w:rPr>
              <w:t>0.02</w:t>
            </w:r>
            <w:r>
              <w:rPr>
                <w:spacing w:val="-10"/>
                <w:sz w:val="21"/>
              </w:rPr>
              <w:t>，或视野半径小于 </w:t>
            </w:r>
            <w:r>
              <w:rPr>
                <w:sz w:val="21"/>
              </w:rPr>
              <w:t>5</w:t>
            </w:r>
            <w:r>
              <w:rPr>
                <w:spacing w:val="-15"/>
                <w:sz w:val="21"/>
              </w:rPr>
              <w:t> 度，且病程持续超过 </w:t>
            </w:r>
            <w:r>
              <w:rPr>
                <w:sz w:val="21"/>
              </w:rPr>
              <w:t>180</w:t>
            </w:r>
            <w:r>
              <w:rPr>
                <w:spacing w:val="-40"/>
                <w:sz w:val="21"/>
              </w:rPr>
              <w:t> 天</w:t>
            </w:r>
            <w:r>
              <w:rPr>
                <w:spacing w:val="-3"/>
                <w:sz w:val="21"/>
              </w:rPr>
              <w:t>（</w:t>
            </w:r>
            <w:r>
              <w:rPr>
                <w:sz w:val="21"/>
              </w:rPr>
              <w:t>眼</w:t>
            </w:r>
            <w:r>
              <w:rPr>
                <w:spacing w:val="-3"/>
                <w:sz w:val="21"/>
              </w:rPr>
              <w:t>球缺失或摘除不在此限</w:t>
            </w:r>
            <w:r>
              <w:rPr>
                <w:spacing w:val="-74"/>
                <w:sz w:val="21"/>
              </w:rPr>
              <w:t>）</w:t>
            </w:r>
            <w:r>
              <w:rPr>
                <w:spacing w:val="-10"/>
                <w:sz w:val="21"/>
              </w:rPr>
              <w:t>，并由本公司确定的有资格的眼科医师出具医疗诊断证明。</w:t>
            </w:r>
          </w:p>
          <w:p>
            <w:pPr>
              <w:pStyle w:val="TableParagraph"/>
              <w:spacing w:before="164"/>
              <w:ind w:left="181"/>
              <w:rPr>
                <w:sz w:val="21"/>
              </w:rPr>
            </w:pPr>
            <w:r>
              <w:rPr>
                <w:b/>
                <w:sz w:val="21"/>
              </w:rPr>
              <w:t>关节机能的丧失</w:t>
            </w:r>
            <w:r>
              <w:rPr>
                <w:sz w:val="21"/>
              </w:rPr>
              <w:t>：指关节永久完全僵硬、或麻痹、或关节不能随意识活动。</w:t>
            </w:r>
          </w:p>
          <w:p>
            <w:pPr>
              <w:pStyle w:val="TableParagraph"/>
              <w:spacing w:before="10"/>
              <w:ind w:left="0"/>
              <w:rPr>
                <w:sz w:val="14"/>
              </w:rPr>
            </w:pPr>
          </w:p>
          <w:p>
            <w:pPr>
              <w:pStyle w:val="TableParagraph"/>
              <w:spacing w:line="273" w:lineRule="auto" w:before="0"/>
              <w:ind w:left="181" w:right="259"/>
              <w:rPr>
                <w:sz w:val="21"/>
              </w:rPr>
            </w:pPr>
            <w:r>
              <w:rPr>
                <w:b/>
                <w:sz w:val="21"/>
              </w:rPr>
              <w:t>咀嚼、吞咽机能的丧失</w:t>
            </w:r>
            <w:r>
              <w:rPr>
                <w:sz w:val="21"/>
              </w:rPr>
              <w:t>：指由于牙齿以外的原因引起器质障碍或机能障碍，以至不能作咀嚼、吞咽运动，除流质食物外不能摄取或吞咽的状态。</w:t>
            </w:r>
          </w:p>
          <w:p>
            <w:pPr>
              <w:pStyle w:val="TableParagraph"/>
              <w:spacing w:line="273" w:lineRule="auto" w:before="163"/>
              <w:ind w:left="181" w:right="244"/>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1404" w:hRule="atLeast"/>
        </w:trPr>
        <w:tc>
          <w:tcPr>
            <w:tcW w:w="768" w:type="dxa"/>
          </w:tcPr>
          <w:p>
            <w:pPr>
              <w:pStyle w:val="TableParagraph"/>
              <w:spacing w:before="59"/>
              <w:ind w:left="179" w:right="125"/>
              <w:jc w:val="center"/>
              <w:rPr>
                <w:b/>
                <w:sz w:val="21"/>
              </w:rPr>
            </w:pPr>
            <w:r>
              <w:rPr>
                <w:b/>
                <w:sz w:val="21"/>
              </w:rPr>
              <w:t>9.13</w:t>
            </w:r>
          </w:p>
        </w:tc>
        <w:tc>
          <w:tcPr>
            <w:tcW w:w="1382" w:type="dxa"/>
          </w:tcPr>
          <w:p>
            <w:pPr>
              <w:pStyle w:val="TableParagraph"/>
              <w:spacing w:before="59"/>
              <w:ind w:left="145"/>
              <w:rPr>
                <w:b/>
                <w:sz w:val="21"/>
              </w:rPr>
            </w:pPr>
            <w:r>
              <w:rPr>
                <w:b/>
                <w:sz w:val="21"/>
              </w:rPr>
              <w:t>疾病终末期</w:t>
            </w:r>
          </w:p>
        </w:tc>
        <w:tc>
          <w:tcPr>
            <w:tcW w:w="8014" w:type="dxa"/>
          </w:tcPr>
          <w:p>
            <w:pPr>
              <w:pStyle w:val="TableParagraph"/>
              <w:spacing w:line="273" w:lineRule="auto" w:before="59"/>
              <w:ind w:left="181" w:right="259"/>
              <w:rPr>
                <w:sz w:val="21"/>
              </w:rPr>
            </w:pPr>
            <w:r>
              <w:rPr>
                <w:sz w:val="21"/>
              </w:rPr>
              <w:t>疾病终末期阶段需由专科医生出具诊断证明和提交临床检查证据，证明被保险人所患疾病同时满足以下两个条件：</w:t>
            </w:r>
          </w:p>
          <w:p>
            <w:pPr>
              <w:pStyle w:val="TableParagraph"/>
              <w:spacing w:before="7"/>
              <w:ind w:left="181"/>
              <w:rPr>
                <w:sz w:val="21"/>
              </w:rPr>
            </w:pPr>
            <w:r>
              <w:rPr>
                <w:sz w:val="21"/>
              </w:rPr>
              <w:t>1.依现有医疗技术无法缓解；</w:t>
            </w:r>
          </w:p>
          <w:p>
            <w:pPr>
              <w:pStyle w:val="TableParagraph"/>
              <w:spacing w:before="36"/>
              <w:ind w:left="181"/>
              <w:rPr>
                <w:sz w:val="21"/>
              </w:rPr>
            </w:pPr>
            <w:r>
              <w:rPr>
                <w:sz w:val="21"/>
              </w:rPr>
              <w:t>2.根据临床医学经验判断被保险人存活期低于六个月。</w:t>
            </w:r>
          </w:p>
        </w:tc>
      </w:tr>
      <w:tr>
        <w:trPr>
          <w:trHeight w:val="808" w:hRule="atLeast"/>
        </w:trPr>
        <w:tc>
          <w:tcPr>
            <w:tcW w:w="768" w:type="dxa"/>
          </w:tcPr>
          <w:p>
            <w:pPr>
              <w:pStyle w:val="TableParagraph"/>
              <w:spacing w:before="58"/>
              <w:ind w:left="179" w:right="125"/>
              <w:jc w:val="center"/>
              <w:rPr>
                <w:b/>
                <w:sz w:val="21"/>
              </w:rPr>
            </w:pPr>
            <w:r>
              <w:rPr>
                <w:b/>
                <w:sz w:val="21"/>
              </w:rPr>
              <w:t>9.14</w:t>
            </w:r>
          </w:p>
        </w:tc>
        <w:tc>
          <w:tcPr>
            <w:tcW w:w="1382" w:type="dxa"/>
          </w:tcPr>
          <w:p>
            <w:pPr>
              <w:pStyle w:val="TableParagraph"/>
              <w:spacing w:line="273" w:lineRule="auto" w:before="58"/>
              <w:ind w:left="145" w:right="178"/>
              <w:rPr>
                <w:b/>
                <w:sz w:val="21"/>
              </w:rPr>
            </w:pPr>
            <w:r>
              <w:rPr>
                <w:b/>
                <w:sz w:val="21"/>
              </w:rPr>
              <w:t>累计已交保险费</w:t>
            </w:r>
          </w:p>
        </w:tc>
        <w:tc>
          <w:tcPr>
            <w:tcW w:w="8014" w:type="dxa"/>
          </w:tcPr>
          <w:p>
            <w:pPr>
              <w:pStyle w:val="TableParagraph"/>
              <w:spacing w:line="273" w:lineRule="auto" w:before="58"/>
              <w:ind w:left="181" w:right="259"/>
              <w:rPr>
                <w:sz w:val="21"/>
              </w:rPr>
            </w:pPr>
            <w:r>
              <w:rPr>
                <w:sz w:val="21"/>
              </w:rPr>
              <w:t>指投保人依据本合同已经向公司交纳的保险费；如本合同发生过减保情形，则实际交纳的保险费为扣除每次减保所对应的保险费后的余额。</w:t>
            </w:r>
          </w:p>
        </w:tc>
      </w:tr>
      <w:tr>
        <w:trPr>
          <w:trHeight w:val="496" w:hRule="atLeast"/>
        </w:trPr>
        <w:tc>
          <w:tcPr>
            <w:tcW w:w="768" w:type="dxa"/>
          </w:tcPr>
          <w:p>
            <w:pPr>
              <w:pStyle w:val="TableParagraph"/>
              <w:spacing w:before="87"/>
              <w:ind w:left="179" w:right="125"/>
              <w:jc w:val="center"/>
              <w:rPr>
                <w:b/>
                <w:sz w:val="21"/>
              </w:rPr>
            </w:pPr>
            <w:r>
              <w:rPr>
                <w:b/>
                <w:sz w:val="21"/>
              </w:rPr>
              <w:t>9.15</w:t>
            </w:r>
          </w:p>
        </w:tc>
        <w:tc>
          <w:tcPr>
            <w:tcW w:w="1382" w:type="dxa"/>
          </w:tcPr>
          <w:p>
            <w:pPr>
              <w:pStyle w:val="TableParagraph"/>
              <w:spacing w:before="87"/>
              <w:ind w:left="145"/>
              <w:rPr>
                <w:b/>
                <w:sz w:val="21"/>
              </w:rPr>
            </w:pPr>
            <w:r>
              <w:rPr>
                <w:b/>
                <w:sz w:val="21"/>
              </w:rPr>
              <w:t>保险事故</w:t>
            </w:r>
          </w:p>
        </w:tc>
        <w:tc>
          <w:tcPr>
            <w:tcW w:w="8014" w:type="dxa"/>
          </w:tcPr>
          <w:p>
            <w:pPr>
              <w:pStyle w:val="TableParagraph"/>
              <w:spacing w:before="87"/>
              <w:ind w:left="181"/>
              <w:rPr>
                <w:sz w:val="21"/>
              </w:rPr>
            </w:pPr>
            <w:r>
              <w:rPr>
                <w:sz w:val="21"/>
              </w:rPr>
              <w:t>指本合同约定的保险责任范围内的事故。</w:t>
            </w:r>
          </w:p>
        </w:tc>
      </w:tr>
      <w:tr>
        <w:trPr>
          <w:trHeight w:val="780" w:hRule="atLeast"/>
        </w:trPr>
        <w:tc>
          <w:tcPr>
            <w:tcW w:w="768" w:type="dxa"/>
          </w:tcPr>
          <w:p>
            <w:pPr>
              <w:pStyle w:val="TableParagraph"/>
              <w:spacing w:before="58"/>
              <w:ind w:left="179" w:right="125"/>
              <w:jc w:val="center"/>
              <w:rPr>
                <w:b/>
                <w:sz w:val="21"/>
              </w:rPr>
            </w:pPr>
            <w:r>
              <w:rPr>
                <w:b/>
                <w:sz w:val="21"/>
              </w:rPr>
              <w:t>9.16</w:t>
            </w:r>
          </w:p>
        </w:tc>
        <w:tc>
          <w:tcPr>
            <w:tcW w:w="1382" w:type="dxa"/>
          </w:tcPr>
          <w:p>
            <w:pPr>
              <w:pStyle w:val="TableParagraph"/>
              <w:spacing w:before="58"/>
              <w:ind w:left="145"/>
              <w:rPr>
                <w:b/>
                <w:sz w:val="21"/>
              </w:rPr>
            </w:pPr>
            <w:r>
              <w:rPr>
                <w:b/>
                <w:sz w:val="21"/>
              </w:rPr>
              <w:t>毒品</w:t>
            </w:r>
          </w:p>
        </w:tc>
        <w:tc>
          <w:tcPr>
            <w:tcW w:w="8014" w:type="dxa"/>
          </w:tcPr>
          <w:p>
            <w:pPr>
              <w:pStyle w:val="TableParagraph"/>
              <w:spacing w:line="273" w:lineRule="auto" w:before="58"/>
              <w:ind w:left="181" w:right="305"/>
              <w:rPr>
                <w:sz w:val="21"/>
              </w:rPr>
            </w:pPr>
            <w:r>
              <w:rPr>
                <w:sz w:val="21"/>
              </w:rPr>
              <w:t>指鸦片、海洛因、甲基苯丙胺（冰毒</w:t>
            </w:r>
            <w:r>
              <w:rPr>
                <w:spacing w:val="-104"/>
                <w:sz w:val="21"/>
              </w:rPr>
              <w:t>）</w:t>
            </w:r>
            <w:r>
              <w:rPr>
                <w:sz w:val="21"/>
              </w:rPr>
              <w:t>、吗啡、大麻、可卡因以及索赔当时政府规</w:t>
            </w:r>
            <w:r>
              <w:rPr>
                <w:spacing w:val="-3"/>
                <w:sz w:val="21"/>
              </w:rPr>
              <w:t>定管制的其他能够使人形成瘾癖的麻醉药品和精神药品。</w:t>
            </w:r>
          </w:p>
        </w:tc>
      </w:tr>
      <w:tr>
        <w:trPr>
          <w:trHeight w:val="1093" w:hRule="atLeast"/>
        </w:trPr>
        <w:tc>
          <w:tcPr>
            <w:tcW w:w="768" w:type="dxa"/>
          </w:tcPr>
          <w:p>
            <w:pPr>
              <w:pStyle w:val="TableParagraph"/>
              <w:spacing w:before="58"/>
              <w:ind w:left="179" w:right="125"/>
              <w:jc w:val="center"/>
              <w:rPr>
                <w:b/>
                <w:sz w:val="21"/>
              </w:rPr>
            </w:pPr>
            <w:r>
              <w:rPr>
                <w:b/>
                <w:sz w:val="21"/>
              </w:rPr>
              <w:t>9.17</w:t>
            </w:r>
          </w:p>
        </w:tc>
        <w:tc>
          <w:tcPr>
            <w:tcW w:w="1382" w:type="dxa"/>
          </w:tcPr>
          <w:p>
            <w:pPr>
              <w:pStyle w:val="TableParagraph"/>
              <w:spacing w:before="58"/>
              <w:ind w:left="145"/>
              <w:rPr>
                <w:b/>
                <w:sz w:val="21"/>
              </w:rPr>
            </w:pPr>
            <w:r>
              <w:rPr>
                <w:b/>
                <w:sz w:val="21"/>
              </w:rPr>
              <w:t>酒后驾驶</w:t>
            </w:r>
          </w:p>
        </w:tc>
        <w:tc>
          <w:tcPr>
            <w:tcW w:w="8014" w:type="dxa"/>
          </w:tcPr>
          <w:p>
            <w:pPr>
              <w:pStyle w:val="TableParagraph"/>
              <w:spacing w:line="273" w:lineRule="auto" w:before="58"/>
              <w:ind w:left="181" w:right="300"/>
              <w:jc w:val="both"/>
              <w:rPr>
                <w:sz w:val="21"/>
              </w:rPr>
            </w:pPr>
            <w:r>
              <w:rPr>
                <w:spacing w:val="-8"/>
                <w:sz w:val="21"/>
              </w:rPr>
              <w:t>指经检测或鉴定，发生事故时车辆驾驶人员每百毫升血液中的酒精含量达到或超过</w:t>
            </w:r>
            <w:r>
              <w:rPr>
                <w:spacing w:val="-9"/>
                <w:sz w:val="21"/>
              </w:rPr>
              <w:t>一定的标准，公安机关交通管理部门依据《道路交通安全法》的规定认定为饮酒后</w:t>
            </w:r>
            <w:r>
              <w:rPr>
                <w:spacing w:val="-5"/>
                <w:sz w:val="21"/>
              </w:rPr>
              <w:t>驾驶或醉酒后驾驶。</w:t>
            </w:r>
          </w:p>
        </w:tc>
      </w:tr>
      <w:tr>
        <w:trPr>
          <w:trHeight w:val="2663" w:hRule="atLeast"/>
        </w:trPr>
        <w:tc>
          <w:tcPr>
            <w:tcW w:w="768" w:type="dxa"/>
          </w:tcPr>
          <w:p>
            <w:pPr>
              <w:pStyle w:val="TableParagraph"/>
              <w:spacing w:before="60"/>
              <w:ind w:left="179" w:right="125"/>
              <w:jc w:val="center"/>
              <w:rPr>
                <w:b/>
                <w:sz w:val="21"/>
              </w:rPr>
            </w:pPr>
            <w:r>
              <w:rPr>
                <w:b/>
                <w:sz w:val="21"/>
              </w:rPr>
              <w:t>9.18</w:t>
            </w:r>
          </w:p>
        </w:tc>
        <w:tc>
          <w:tcPr>
            <w:tcW w:w="1382" w:type="dxa"/>
          </w:tcPr>
          <w:p>
            <w:pPr>
              <w:pStyle w:val="TableParagraph"/>
              <w:spacing w:line="273" w:lineRule="auto" w:before="60"/>
              <w:ind w:left="145" w:right="178"/>
              <w:rPr>
                <w:b/>
                <w:sz w:val="21"/>
              </w:rPr>
            </w:pPr>
            <w:r>
              <w:rPr>
                <w:b/>
                <w:sz w:val="21"/>
              </w:rPr>
              <w:t>无合法有效驾驶证驾驶</w:t>
            </w:r>
          </w:p>
        </w:tc>
        <w:tc>
          <w:tcPr>
            <w:tcW w:w="8014" w:type="dxa"/>
          </w:tcPr>
          <w:p>
            <w:pPr>
              <w:pStyle w:val="TableParagraph"/>
              <w:spacing w:before="60"/>
              <w:ind w:left="181"/>
              <w:rPr>
                <w:sz w:val="21"/>
              </w:rPr>
            </w:pPr>
            <w:r>
              <w:rPr>
                <w:sz w:val="21"/>
              </w:rPr>
              <w:t>指下列情形之一：</w:t>
            </w:r>
          </w:p>
          <w:p>
            <w:pPr>
              <w:pStyle w:val="TableParagraph"/>
              <w:numPr>
                <w:ilvl w:val="0"/>
                <w:numId w:val="66"/>
              </w:numPr>
              <w:tabs>
                <w:tab w:pos="749" w:val="left" w:leader="none"/>
              </w:tabs>
              <w:spacing w:line="240" w:lineRule="auto" w:before="37" w:after="0"/>
              <w:ind w:left="748" w:right="0" w:hanging="567"/>
              <w:jc w:val="left"/>
              <w:rPr>
                <w:sz w:val="21"/>
              </w:rPr>
            </w:pPr>
            <w:r>
              <w:rPr>
                <w:spacing w:val="-3"/>
                <w:sz w:val="21"/>
              </w:rPr>
              <w:t>没有驾驶证驾驶；</w:t>
            </w:r>
          </w:p>
          <w:p>
            <w:pPr>
              <w:pStyle w:val="TableParagraph"/>
              <w:numPr>
                <w:ilvl w:val="0"/>
                <w:numId w:val="66"/>
              </w:numPr>
              <w:tabs>
                <w:tab w:pos="749" w:val="left" w:leader="none"/>
              </w:tabs>
              <w:spacing w:line="240" w:lineRule="auto" w:before="22" w:after="0"/>
              <w:ind w:left="748" w:right="0" w:hanging="567"/>
              <w:jc w:val="left"/>
              <w:rPr>
                <w:sz w:val="21"/>
              </w:rPr>
            </w:pPr>
            <w:r>
              <w:rPr>
                <w:spacing w:val="-3"/>
                <w:sz w:val="21"/>
              </w:rPr>
              <w:t>驾驶与驾驶证准驾车型不相符合的车辆；</w:t>
            </w:r>
          </w:p>
          <w:p>
            <w:pPr>
              <w:pStyle w:val="TableParagraph"/>
              <w:numPr>
                <w:ilvl w:val="0"/>
                <w:numId w:val="66"/>
              </w:numPr>
              <w:tabs>
                <w:tab w:pos="749" w:val="left" w:leader="none"/>
              </w:tabs>
              <w:spacing w:line="240" w:lineRule="auto" w:before="22" w:after="0"/>
              <w:ind w:left="748" w:right="0" w:hanging="567"/>
              <w:jc w:val="left"/>
              <w:rPr>
                <w:sz w:val="21"/>
              </w:rPr>
            </w:pPr>
            <w:r>
              <w:rPr>
                <w:spacing w:val="-3"/>
                <w:sz w:val="21"/>
              </w:rPr>
              <w:t>驾驶员持审验不合格的驾驶证驾驶；</w:t>
            </w:r>
          </w:p>
          <w:p>
            <w:pPr>
              <w:pStyle w:val="TableParagraph"/>
              <w:numPr>
                <w:ilvl w:val="0"/>
                <w:numId w:val="66"/>
              </w:numPr>
              <w:tabs>
                <w:tab w:pos="749" w:val="left" w:leader="none"/>
              </w:tabs>
              <w:spacing w:line="240" w:lineRule="auto" w:before="22" w:after="0"/>
              <w:ind w:left="748" w:right="0" w:hanging="567"/>
              <w:jc w:val="left"/>
              <w:rPr>
                <w:sz w:val="21"/>
              </w:rPr>
            </w:pPr>
            <w:r>
              <w:rPr>
                <w:spacing w:val="-3"/>
                <w:sz w:val="21"/>
              </w:rPr>
              <w:t>未经公安交通管理部门同意，持未审验的驾驶证驾驶；</w:t>
            </w:r>
          </w:p>
          <w:p>
            <w:pPr>
              <w:pStyle w:val="TableParagraph"/>
              <w:numPr>
                <w:ilvl w:val="0"/>
                <w:numId w:val="66"/>
              </w:numPr>
              <w:tabs>
                <w:tab w:pos="749" w:val="left" w:leader="none"/>
              </w:tabs>
              <w:spacing w:line="259" w:lineRule="auto" w:before="22" w:after="0"/>
              <w:ind w:left="748" w:right="305" w:hanging="567"/>
              <w:jc w:val="left"/>
              <w:rPr>
                <w:sz w:val="21"/>
              </w:rPr>
            </w:pPr>
            <w:r>
              <w:rPr>
                <w:spacing w:val="-3"/>
                <w:sz w:val="21"/>
              </w:rPr>
              <w:t>持学习驾驶证学习驾车时，无教练员随车指导，或不按指定时间、路线学习驾车；</w:t>
            </w:r>
          </w:p>
          <w:p>
            <w:pPr>
              <w:pStyle w:val="TableParagraph"/>
              <w:numPr>
                <w:ilvl w:val="0"/>
                <w:numId w:val="66"/>
              </w:numPr>
              <w:tabs>
                <w:tab w:pos="749" w:val="left" w:leader="none"/>
              </w:tabs>
              <w:spacing w:line="240" w:lineRule="auto" w:before="20" w:after="0"/>
              <w:ind w:left="748" w:right="0" w:hanging="567"/>
              <w:jc w:val="left"/>
              <w:rPr>
                <w:sz w:val="21"/>
              </w:rPr>
            </w:pPr>
            <w:r>
              <w:rPr>
                <w:spacing w:val="-3"/>
                <w:sz w:val="21"/>
              </w:rPr>
              <w:t>公安交通管理部门规定的其他无有效驾驶证驾驶的情况。</w:t>
            </w:r>
          </w:p>
        </w:tc>
      </w:tr>
      <w:tr>
        <w:trPr>
          <w:trHeight w:val="1094" w:hRule="atLeast"/>
        </w:trPr>
        <w:tc>
          <w:tcPr>
            <w:tcW w:w="768" w:type="dxa"/>
          </w:tcPr>
          <w:p>
            <w:pPr>
              <w:pStyle w:val="TableParagraph"/>
              <w:spacing w:before="53"/>
              <w:ind w:left="179" w:right="125"/>
              <w:jc w:val="center"/>
              <w:rPr>
                <w:b/>
                <w:sz w:val="21"/>
              </w:rPr>
            </w:pPr>
            <w:r>
              <w:rPr>
                <w:b/>
                <w:sz w:val="21"/>
              </w:rPr>
              <w:t>9.19</w:t>
            </w:r>
          </w:p>
        </w:tc>
        <w:tc>
          <w:tcPr>
            <w:tcW w:w="1382" w:type="dxa"/>
          </w:tcPr>
          <w:p>
            <w:pPr>
              <w:pStyle w:val="TableParagraph"/>
              <w:spacing w:line="273" w:lineRule="auto" w:before="53"/>
              <w:ind w:left="145" w:right="178"/>
              <w:rPr>
                <w:b/>
                <w:sz w:val="21"/>
              </w:rPr>
            </w:pPr>
            <w:r>
              <w:rPr>
                <w:b/>
                <w:sz w:val="21"/>
              </w:rPr>
              <w:t>无有效行驶证</w:t>
            </w:r>
          </w:p>
        </w:tc>
        <w:tc>
          <w:tcPr>
            <w:tcW w:w="8014" w:type="dxa"/>
          </w:tcPr>
          <w:p>
            <w:pPr>
              <w:pStyle w:val="TableParagraph"/>
              <w:spacing w:before="53"/>
              <w:ind w:left="181"/>
              <w:rPr>
                <w:sz w:val="21"/>
              </w:rPr>
            </w:pPr>
            <w:r>
              <w:rPr>
                <w:sz w:val="21"/>
              </w:rPr>
              <w:t>指下列情形之一：</w:t>
            </w:r>
          </w:p>
          <w:p>
            <w:pPr>
              <w:pStyle w:val="TableParagraph"/>
              <w:numPr>
                <w:ilvl w:val="0"/>
                <w:numId w:val="67"/>
              </w:numPr>
              <w:tabs>
                <w:tab w:pos="749" w:val="left" w:leader="none"/>
              </w:tabs>
              <w:spacing w:line="240" w:lineRule="auto" w:before="36" w:after="0"/>
              <w:ind w:left="748" w:right="0" w:hanging="567"/>
              <w:jc w:val="left"/>
              <w:rPr>
                <w:sz w:val="21"/>
              </w:rPr>
            </w:pPr>
            <w:r>
              <w:rPr>
                <w:spacing w:val="-3"/>
                <w:sz w:val="21"/>
              </w:rPr>
              <w:t>没有机动车行驶证；</w:t>
            </w:r>
          </w:p>
          <w:p>
            <w:pPr>
              <w:pStyle w:val="TableParagraph"/>
              <w:numPr>
                <w:ilvl w:val="0"/>
                <w:numId w:val="67"/>
              </w:numPr>
              <w:tabs>
                <w:tab w:pos="749" w:val="left" w:leader="none"/>
              </w:tabs>
              <w:spacing w:line="240" w:lineRule="auto" w:before="21" w:after="0"/>
              <w:ind w:left="748" w:right="0" w:hanging="567"/>
              <w:jc w:val="left"/>
              <w:rPr>
                <w:sz w:val="21"/>
              </w:rPr>
            </w:pPr>
            <w:r>
              <w:rPr>
                <w:spacing w:val="-3"/>
                <w:sz w:val="21"/>
              </w:rPr>
              <w:t>未在法律规定期限内按时进行或通过安全技术检验。</w:t>
            </w:r>
          </w:p>
        </w:tc>
      </w:tr>
      <w:tr>
        <w:trPr>
          <w:trHeight w:val="774" w:hRule="atLeast"/>
        </w:trPr>
        <w:tc>
          <w:tcPr>
            <w:tcW w:w="768" w:type="dxa"/>
          </w:tcPr>
          <w:p>
            <w:pPr>
              <w:pStyle w:val="TableParagraph"/>
              <w:spacing w:before="51"/>
              <w:ind w:left="179" w:right="125"/>
              <w:jc w:val="center"/>
              <w:rPr>
                <w:b/>
                <w:sz w:val="21"/>
              </w:rPr>
            </w:pPr>
            <w:r>
              <w:rPr>
                <w:b/>
                <w:sz w:val="21"/>
              </w:rPr>
              <w:t>9.20</w:t>
            </w:r>
          </w:p>
        </w:tc>
        <w:tc>
          <w:tcPr>
            <w:tcW w:w="1382" w:type="dxa"/>
          </w:tcPr>
          <w:p>
            <w:pPr>
              <w:pStyle w:val="TableParagraph"/>
              <w:spacing w:before="51"/>
              <w:ind w:left="145"/>
              <w:rPr>
                <w:b/>
                <w:sz w:val="21"/>
              </w:rPr>
            </w:pPr>
            <w:r>
              <w:rPr>
                <w:b/>
                <w:sz w:val="21"/>
              </w:rPr>
              <w:t>机动车</w:t>
            </w:r>
          </w:p>
        </w:tc>
        <w:tc>
          <w:tcPr>
            <w:tcW w:w="8014" w:type="dxa"/>
          </w:tcPr>
          <w:p>
            <w:pPr>
              <w:pStyle w:val="TableParagraph"/>
              <w:spacing w:line="273" w:lineRule="auto" w:before="51"/>
              <w:ind w:left="181" w:right="300"/>
              <w:rPr>
                <w:sz w:val="21"/>
              </w:rPr>
            </w:pPr>
            <w:r>
              <w:rPr>
                <w:spacing w:val="-6"/>
                <w:sz w:val="21"/>
              </w:rPr>
              <w:t>指以动力装置驱动或者牵引，上道路行驶的供人员乘用或用于运送物品以及进行工</w:t>
            </w:r>
            <w:r>
              <w:rPr>
                <w:spacing w:val="-4"/>
                <w:sz w:val="21"/>
              </w:rPr>
              <w:t>程专项作业的轮式车辆。</w:t>
            </w:r>
          </w:p>
        </w:tc>
      </w:tr>
      <w:tr>
        <w:trPr>
          <w:trHeight w:val="1406" w:hRule="atLeast"/>
        </w:trPr>
        <w:tc>
          <w:tcPr>
            <w:tcW w:w="768" w:type="dxa"/>
          </w:tcPr>
          <w:p>
            <w:pPr>
              <w:pStyle w:val="TableParagraph"/>
              <w:spacing w:before="61"/>
              <w:ind w:left="179" w:right="125"/>
              <w:jc w:val="center"/>
              <w:rPr>
                <w:b/>
                <w:sz w:val="21"/>
              </w:rPr>
            </w:pPr>
            <w:r>
              <w:rPr>
                <w:b/>
                <w:sz w:val="21"/>
              </w:rPr>
              <w:t>9.21</w:t>
            </w:r>
          </w:p>
        </w:tc>
        <w:tc>
          <w:tcPr>
            <w:tcW w:w="1382" w:type="dxa"/>
          </w:tcPr>
          <w:p>
            <w:pPr>
              <w:pStyle w:val="TableParagraph"/>
              <w:spacing w:line="273" w:lineRule="auto" w:before="61"/>
              <w:ind w:left="145" w:right="178"/>
              <w:jc w:val="both"/>
              <w:rPr>
                <w:b/>
                <w:sz w:val="21"/>
              </w:rPr>
            </w:pPr>
            <w:r>
              <w:rPr>
                <w:b/>
                <w:sz w:val="21"/>
              </w:rPr>
              <w:t>感染艾滋病病毒或患艾滋病</w:t>
            </w:r>
          </w:p>
        </w:tc>
        <w:tc>
          <w:tcPr>
            <w:tcW w:w="8014" w:type="dxa"/>
          </w:tcPr>
          <w:p>
            <w:pPr>
              <w:pStyle w:val="TableParagraph"/>
              <w:spacing w:line="273" w:lineRule="auto" w:before="61"/>
              <w:ind w:left="181" w:right="299"/>
              <w:jc w:val="both"/>
              <w:rPr>
                <w:sz w:val="21"/>
              </w:rPr>
            </w:pPr>
            <w:r>
              <w:rPr>
                <w:spacing w:val="-4"/>
                <w:sz w:val="21"/>
              </w:rPr>
              <w:t>艾滋病病毒指人类免疫缺陷病毒，英文缩写为 </w:t>
            </w:r>
            <w:r>
              <w:rPr>
                <w:sz w:val="21"/>
              </w:rPr>
              <w:t>HIV</w:t>
            </w:r>
            <w:r>
              <w:rPr>
                <w:spacing w:val="-3"/>
                <w:sz w:val="21"/>
              </w:rPr>
              <w:t>。艾滋病指人类免疫缺陷病毒引</w:t>
            </w:r>
            <w:r>
              <w:rPr>
                <w:spacing w:val="-8"/>
                <w:sz w:val="21"/>
              </w:rPr>
              <w:t>起的获得性免疫缺陷综合征，英文缩写为 </w:t>
            </w:r>
            <w:r>
              <w:rPr>
                <w:sz w:val="21"/>
              </w:rPr>
              <w:t>AIDS</w:t>
            </w:r>
            <w:r>
              <w:rPr>
                <w:spacing w:val="-8"/>
                <w:sz w:val="21"/>
              </w:rPr>
              <w:t>。在人体血液或其他样本中检测到艾滋病病毒或其抗体呈阳性，没有出现临床症状或体征的，为感染艾滋病病毒；如果</w:t>
            </w:r>
            <w:r>
              <w:rPr>
                <w:spacing w:val="-5"/>
                <w:sz w:val="21"/>
              </w:rPr>
              <w:t>同时出现了明显临床症状或体征的，为患艾滋病。</w:t>
            </w:r>
          </w:p>
        </w:tc>
      </w:tr>
      <w:tr>
        <w:trPr>
          <w:trHeight w:val="339" w:hRule="atLeast"/>
        </w:trPr>
        <w:tc>
          <w:tcPr>
            <w:tcW w:w="768" w:type="dxa"/>
          </w:tcPr>
          <w:p>
            <w:pPr>
              <w:pStyle w:val="TableParagraph"/>
              <w:spacing w:line="261" w:lineRule="exact" w:before="58"/>
              <w:ind w:left="179" w:right="125"/>
              <w:jc w:val="center"/>
              <w:rPr>
                <w:b/>
                <w:sz w:val="21"/>
              </w:rPr>
            </w:pPr>
            <w:r>
              <w:rPr>
                <w:b/>
                <w:sz w:val="21"/>
              </w:rPr>
              <w:t>9.22</w:t>
            </w:r>
          </w:p>
        </w:tc>
        <w:tc>
          <w:tcPr>
            <w:tcW w:w="1382" w:type="dxa"/>
          </w:tcPr>
          <w:p>
            <w:pPr>
              <w:pStyle w:val="TableParagraph"/>
              <w:spacing w:line="261" w:lineRule="exact" w:before="58"/>
              <w:ind w:left="145"/>
              <w:rPr>
                <w:b/>
                <w:sz w:val="21"/>
              </w:rPr>
            </w:pPr>
            <w:r>
              <w:rPr>
                <w:b/>
                <w:sz w:val="21"/>
              </w:rPr>
              <w:t>遗传性疾病</w:t>
            </w:r>
          </w:p>
        </w:tc>
        <w:tc>
          <w:tcPr>
            <w:tcW w:w="8014" w:type="dxa"/>
          </w:tcPr>
          <w:p>
            <w:pPr>
              <w:pStyle w:val="TableParagraph"/>
              <w:spacing w:line="261" w:lineRule="exact" w:before="58"/>
              <w:ind w:left="181"/>
              <w:rPr>
                <w:sz w:val="21"/>
              </w:rPr>
            </w:pPr>
            <w:r>
              <w:rPr>
                <w:sz w:val="21"/>
              </w:rPr>
              <w:t>指生殖细胞或受精卵的遗传物质（染色体和基因）发生突变（或畸变）所引起的疾</w:t>
            </w:r>
          </w:p>
        </w:tc>
      </w:tr>
    </w:tbl>
    <w:p>
      <w:pPr>
        <w:spacing w:after="0" w:line="261" w:lineRule="exact"/>
        <w:rPr>
          <w:sz w:val="21"/>
        </w:rPr>
        <w:sectPr>
          <w:pgSz w:w="11910" w:h="16840"/>
          <w:pgMar w:header="0" w:footer="377" w:top="1340" w:bottom="560" w:left="8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88"/>
        <w:gridCol w:w="7806"/>
      </w:tblGrid>
      <w:tr>
        <w:trPr>
          <w:trHeight w:val="339" w:hRule="atLeast"/>
        </w:trPr>
        <w:tc>
          <w:tcPr>
            <w:tcW w:w="768" w:type="dxa"/>
          </w:tcPr>
          <w:p>
            <w:pPr>
              <w:pStyle w:val="TableParagraph"/>
              <w:spacing w:before="0"/>
              <w:ind w:left="0"/>
              <w:rPr>
                <w:rFonts w:ascii="Times New Roman"/>
                <w:sz w:val="20"/>
              </w:rPr>
            </w:pPr>
          </w:p>
        </w:tc>
        <w:tc>
          <w:tcPr>
            <w:tcW w:w="1488" w:type="dxa"/>
          </w:tcPr>
          <w:p>
            <w:pPr>
              <w:pStyle w:val="TableParagraph"/>
              <w:spacing w:before="0"/>
              <w:ind w:left="0"/>
              <w:rPr>
                <w:rFonts w:ascii="Times New Roman"/>
                <w:sz w:val="20"/>
              </w:rPr>
            </w:pPr>
          </w:p>
        </w:tc>
        <w:tc>
          <w:tcPr>
            <w:tcW w:w="7806" w:type="dxa"/>
          </w:tcPr>
          <w:p>
            <w:pPr>
              <w:pStyle w:val="TableParagraph"/>
              <w:spacing w:line="205" w:lineRule="exact" w:before="0"/>
              <w:ind w:left="75"/>
              <w:rPr>
                <w:sz w:val="21"/>
              </w:rPr>
            </w:pPr>
            <w:r>
              <w:rPr>
                <w:sz w:val="21"/>
              </w:rPr>
              <w:t>病，通常具有由亲代传至后代的垂直传递的特征。</w:t>
            </w:r>
          </w:p>
        </w:tc>
      </w:tr>
      <w:tr>
        <w:trPr>
          <w:trHeight w:val="1088" w:hRule="atLeast"/>
        </w:trPr>
        <w:tc>
          <w:tcPr>
            <w:tcW w:w="768" w:type="dxa"/>
          </w:tcPr>
          <w:p>
            <w:pPr>
              <w:pStyle w:val="TableParagraph"/>
              <w:spacing w:before="58"/>
              <w:ind w:left="179" w:right="125"/>
              <w:jc w:val="center"/>
              <w:rPr>
                <w:b/>
                <w:sz w:val="21"/>
              </w:rPr>
            </w:pPr>
            <w:r>
              <w:rPr>
                <w:b/>
                <w:sz w:val="21"/>
              </w:rPr>
              <w:t>9.23</w:t>
            </w:r>
          </w:p>
        </w:tc>
        <w:tc>
          <w:tcPr>
            <w:tcW w:w="1488" w:type="dxa"/>
          </w:tcPr>
          <w:p>
            <w:pPr>
              <w:pStyle w:val="TableParagraph"/>
              <w:spacing w:line="273" w:lineRule="auto" w:before="58"/>
              <w:ind w:left="145" w:right="73"/>
              <w:rPr>
                <w:b/>
                <w:sz w:val="21"/>
              </w:rPr>
            </w:pPr>
            <w:r>
              <w:rPr>
                <w:b/>
                <w:sz w:val="21"/>
              </w:rPr>
              <w:t>先天性畸形、变形或染色 体异常</w:t>
            </w:r>
          </w:p>
        </w:tc>
        <w:tc>
          <w:tcPr>
            <w:tcW w:w="7806" w:type="dxa"/>
          </w:tcPr>
          <w:p>
            <w:pPr>
              <w:pStyle w:val="TableParagraph"/>
              <w:spacing w:line="273" w:lineRule="auto" w:before="58"/>
              <w:ind w:left="75" w:right="198"/>
              <w:rPr>
                <w:sz w:val="21"/>
              </w:rPr>
            </w:pPr>
            <w:r>
              <w:rPr>
                <w:spacing w:val="-6"/>
                <w:sz w:val="21"/>
              </w:rPr>
              <w:t>指被保险人出生时就具有的畸形、变形或染色体异常。先天性畸形、变形和染色体</w:t>
            </w:r>
            <w:r>
              <w:rPr>
                <w:spacing w:val="-7"/>
                <w:sz w:val="21"/>
              </w:rPr>
              <w:t>异常依照世界卫生组织《疾病和有关健康问题的国际统计分类》</w:t>
            </w:r>
            <w:r>
              <w:rPr>
                <w:sz w:val="21"/>
              </w:rPr>
              <w:t>（ICD-10）</w:t>
            </w:r>
            <w:r>
              <w:rPr>
                <w:spacing w:val="-2"/>
                <w:sz w:val="21"/>
              </w:rPr>
              <w:t>确定。</w:t>
            </w:r>
          </w:p>
        </w:tc>
      </w:tr>
      <w:tr>
        <w:trPr>
          <w:trHeight w:val="464" w:hRule="atLeast"/>
        </w:trPr>
        <w:tc>
          <w:tcPr>
            <w:tcW w:w="768" w:type="dxa"/>
          </w:tcPr>
          <w:p>
            <w:pPr>
              <w:pStyle w:val="TableParagraph"/>
              <w:spacing w:before="55"/>
              <w:ind w:left="179" w:right="125"/>
              <w:jc w:val="center"/>
              <w:rPr>
                <w:b/>
                <w:sz w:val="21"/>
              </w:rPr>
            </w:pPr>
            <w:r>
              <w:rPr>
                <w:b/>
                <w:sz w:val="21"/>
              </w:rPr>
              <w:t>9.24</w:t>
            </w:r>
          </w:p>
        </w:tc>
        <w:tc>
          <w:tcPr>
            <w:tcW w:w="1488" w:type="dxa"/>
          </w:tcPr>
          <w:p>
            <w:pPr>
              <w:pStyle w:val="TableParagraph"/>
              <w:spacing w:before="55"/>
              <w:ind w:left="145"/>
              <w:rPr>
                <w:b/>
                <w:sz w:val="21"/>
              </w:rPr>
            </w:pPr>
            <w:r>
              <w:rPr>
                <w:b/>
                <w:sz w:val="21"/>
              </w:rPr>
              <w:t>其他权利人</w:t>
            </w:r>
          </w:p>
        </w:tc>
        <w:tc>
          <w:tcPr>
            <w:tcW w:w="7806" w:type="dxa"/>
          </w:tcPr>
          <w:p>
            <w:pPr>
              <w:pStyle w:val="TableParagraph"/>
              <w:spacing w:before="55"/>
              <w:ind w:left="75"/>
              <w:rPr>
                <w:sz w:val="21"/>
              </w:rPr>
            </w:pPr>
            <w:r>
              <w:rPr>
                <w:sz w:val="21"/>
              </w:rPr>
              <w:t>其他权利人按照被保险人、被保险人继承人的顺序确定。</w:t>
            </w:r>
          </w:p>
        </w:tc>
      </w:tr>
      <w:tr>
        <w:trPr>
          <w:trHeight w:val="467" w:hRule="atLeast"/>
        </w:trPr>
        <w:tc>
          <w:tcPr>
            <w:tcW w:w="768" w:type="dxa"/>
          </w:tcPr>
          <w:p>
            <w:pPr>
              <w:pStyle w:val="TableParagraph"/>
              <w:spacing w:before="58"/>
              <w:ind w:left="179" w:right="125"/>
              <w:jc w:val="center"/>
              <w:rPr>
                <w:b/>
                <w:sz w:val="21"/>
              </w:rPr>
            </w:pPr>
            <w:r>
              <w:rPr>
                <w:b/>
                <w:sz w:val="21"/>
              </w:rPr>
              <w:t>9.25</w:t>
            </w:r>
          </w:p>
        </w:tc>
        <w:tc>
          <w:tcPr>
            <w:tcW w:w="1488" w:type="dxa"/>
          </w:tcPr>
          <w:p>
            <w:pPr>
              <w:pStyle w:val="TableParagraph"/>
              <w:spacing w:before="58"/>
              <w:ind w:left="145"/>
              <w:rPr>
                <w:b/>
                <w:sz w:val="21"/>
              </w:rPr>
            </w:pPr>
            <w:r>
              <w:rPr>
                <w:b/>
                <w:sz w:val="21"/>
              </w:rPr>
              <w:t>不可抗力</w:t>
            </w:r>
          </w:p>
        </w:tc>
        <w:tc>
          <w:tcPr>
            <w:tcW w:w="7806" w:type="dxa"/>
          </w:tcPr>
          <w:p>
            <w:pPr>
              <w:pStyle w:val="TableParagraph"/>
              <w:spacing w:before="58"/>
              <w:ind w:left="75"/>
              <w:rPr>
                <w:sz w:val="21"/>
              </w:rPr>
            </w:pPr>
            <w:r>
              <w:rPr>
                <w:sz w:val="21"/>
              </w:rPr>
              <w:t>指不能预见、不能避免、不能克服的客观情况。</w:t>
            </w:r>
          </w:p>
        </w:tc>
      </w:tr>
      <w:tr>
        <w:trPr>
          <w:trHeight w:val="801" w:hRule="atLeast"/>
        </w:trPr>
        <w:tc>
          <w:tcPr>
            <w:tcW w:w="768" w:type="dxa"/>
          </w:tcPr>
          <w:p>
            <w:pPr>
              <w:pStyle w:val="TableParagraph"/>
              <w:spacing w:before="58"/>
              <w:ind w:left="179" w:right="125"/>
              <w:jc w:val="center"/>
              <w:rPr>
                <w:b/>
                <w:sz w:val="21"/>
              </w:rPr>
            </w:pPr>
            <w:r>
              <w:rPr>
                <w:b/>
                <w:sz w:val="21"/>
              </w:rPr>
              <w:t>9.26</w:t>
            </w:r>
          </w:p>
        </w:tc>
        <w:tc>
          <w:tcPr>
            <w:tcW w:w="1488" w:type="dxa"/>
          </w:tcPr>
          <w:p>
            <w:pPr>
              <w:pStyle w:val="TableParagraph"/>
              <w:spacing w:line="273" w:lineRule="auto" w:before="58"/>
              <w:ind w:left="145" w:right="284"/>
              <w:rPr>
                <w:b/>
                <w:sz w:val="21"/>
              </w:rPr>
            </w:pPr>
            <w:r>
              <w:rPr>
                <w:b/>
                <w:sz w:val="21"/>
              </w:rPr>
              <w:t>法定身份证明</w:t>
            </w:r>
          </w:p>
        </w:tc>
        <w:tc>
          <w:tcPr>
            <w:tcW w:w="7806" w:type="dxa"/>
          </w:tcPr>
          <w:p>
            <w:pPr>
              <w:pStyle w:val="TableParagraph"/>
              <w:spacing w:line="273" w:lineRule="auto" w:before="58"/>
              <w:ind w:left="75" w:right="198"/>
              <w:rPr>
                <w:sz w:val="21"/>
              </w:rPr>
            </w:pPr>
            <w:r>
              <w:rPr>
                <w:spacing w:val="-7"/>
                <w:sz w:val="21"/>
              </w:rPr>
              <w:t>指依据法律规定，由有权机构制作颁发的证明身份的证件、文件等，如：居民身份</w:t>
            </w:r>
            <w:r>
              <w:rPr>
                <w:spacing w:val="-5"/>
                <w:sz w:val="21"/>
              </w:rPr>
              <w:t>证、户口簿、护照、军人证等。</w:t>
            </w:r>
          </w:p>
        </w:tc>
      </w:tr>
      <w:tr>
        <w:trPr>
          <w:trHeight w:val="819" w:hRule="atLeast"/>
        </w:trPr>
        <w:tc>
          <w:tcPr>
            <w:tcW w:w="768" w:type="dxa"/>
          </w:tcPr>
          <w:p>
            <w:pPr>
              <w:pStyle w:val="TableParagraph"/>
              <w:spacing w:before="80"/>
              <w:ind w:left="179" w:right="125"/>
              <w:jc w:val="center"/>
              <w:rPr>
                <w:b/>
                <w:sz w:val="21"/>
              </w:rPr>
            </w:pPr>
            <w:r>
              <w:rPr>
                <w:b/>
                <w:sz w:val="21"/>
              </w:rPr>
              <w:t>9.27</w:t>
            </w:r>
          </w:p>
        </w:tc>
        <w:tc>
          <w:tcPr>
            <w:tcW w:w="1488" w:type="dxa"/>
          </w:tcPr>
          <w:p>
            <w:pPr>
              <w:pStyle w:val="TableParagraph"/>
              <w:spacing w:line="273" w:lineRule="auto" w:before="80"/>
              <w:ind w:left="145" w:right="284"/>
              <w:rPr>
                <w:b/>
                <w:sz w:val="21"/>
              </w:rPr>
            </w:pPr>
            <w:r>
              <w:rPr>
                <w:b/>
                <w:sz w:val="21"/>
              </w:rPr>
              <w:t>现金价值净额</w:t>
            </w:r>
          </w:p>
        </w:tc>
        <w:tc>
          <w:tcPr>
            <w:tcW w:w="7806" w:type="dxa"/>
          </w:tcPr>
          <w:p>
            <w:pPr>
              <w:pStyle w:val="TableParagraph"/>
              <w:spacing w:line="273" w:lineRule="auto" w:before="80"/>
              <w:ind w:left="75" w:right="157"/>
              <w:rPr>
                <w:sz w:val="21"/>
              </w:rPr>
            </w:pPr>
            <w:r>
              <w:rPr>
                <w:sz w:val="21"/>
              </w:rPr>
              <w:t>指现金价值在扣除尚未偿还的保单贷款、欠交的保险费、累积利息和其它未还款项后的余额。</w:t>
            </w:r>
          </w:p>
        </w:tc>
      </w:tr>
      <w:tr>
        <w:trPr>
          <w:trHeight w:val="669" w:hRule="atLeast"/>
        </w:trPr>
        <w:tc>
          <w:tcPr>
            <w:tcW w:w="768" w:type="dxa"/>
          </w:tcPr>
          <w:p>
            <w:pPr>
              <w:pStyle w:val="TableParagraph"/>
              <w:spacing w:before="76"/>
              <w:ind w:left="179" w:right="125"/>
              <w:jc w:val="center"/>
              <w:rPr>
                <w:b/>
                <w:sz w:val="21"/>
              </w:rPr>
            </w:pPr>
            <w:r>
              <w:rPr>
                <w:b/>
                <w:sz w:val="21"/>
              </w:rPr>
              <w:t>9.28</w:t>
            </w:r>
          </w:p>
        </w:tc>
        <w:tc>
          <w:tcPr>
            <w:tcW w:w="1488" w:type="dxa"/>
          </w:tcPr>
          <w:p>
            <w:pPr>
              <w:pStyle w:val="TableParagraph"/>
              <w:spacing w:before="76"/>
              <w:ind w:left="145"/>
              <w:rPr>
                <w:b/>
                <w:sz w:val="21"/>
              </w:rPr>
            </w:pPr>
            <w:r>
              <w:rPr>
                <w:b/>
                <w:sz w:val="21"/>
              </w:rPr>
              <w:t>约定利率</w:t>
            </w:r>
          </w:p>
        </w:tc>
        <w:tc>
          <w:tcPr>
            <w:tcW w:w="7806" w:type="dxa"/>
          </w:tcPr>
          <w:p>
            <w:pPr>
              <w:pStyle w:val="TableParagraph"/>
              <w:spacing w:line="310" w:lineRule="atLeast" w:before="41"/>
              <w:ind w:left="75" w:right="199"/>
              <w:rPr>
                <w:sz w:val="21"/>
              </w:rPr>
            </w:pPr>
            <w:r>
              <w:rPr>
                <w:sz w:val="21"/>
              </w:rPr>
              <w:t>本合同所列明的利率按本公司每年参照一年期流动资金贷款法定利率向上浮动 1% 后宣布的利率计算。</w:t>
            </w:r>
          </w:p>
        </w:tc>
      </w:tr>
    </w:tbl>
    <w:sectPr>
      <w:pgSz w:w="11910" w:h="16840"/>
      <w:pgMar w:header="0" w:footer="377" w:top="1340" w:bottom="56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808.059937pt;width:13.15pt;height:12pt;mso-position-horizontal-relative:page;mso-position-vertical-relative:page;z-index:-62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6">
    <w:multiLevelType w:val="hybridMultilevel"/>
    <w:lvl w:ilvl="0">
      <w:start w:val="1"/>
      <w:numFmt w:val="decimal"/>
      <w:lvlText w:val="（%1）"/>
      <w:lvlJc w:val="left"/>
      <w:pPr>
        <w:ind w:left="748"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2" w:hanging="567"/>
      </w:pPr>
      <w:rPr>
        <w:rFonts w:hint="default"/>
      </w:rPr>
    </w:lvl>
    <w:lvl w:ilvl="4">
      <w:start w:val="0"/>
      <w:numFmt w:val="bullet"/>
      <w:lvlText w:val="•"/>
      <w:lvlJc w:val="left"/>
      <w:pPr>
        <w:ind w:left="3649" w:hanging="567"/>
      </w:pPr>
      <w:rPr>
        <w:rFonts w:hint="default"/>
      </w:rPr>
    </w:lvl>
    <w:lvl w:ilvl="5">
      <w:start w:val="0"/>
      <w:numFmt w:val="bullet"/>
      <w:lvlText w:val="•"/>
      <w:lvlJc w:val="left"/>
      <w:pPr>
        <w:ind w:left="4377" w:hanging="567"/>
      </w:pPr>
      <w:rPr>
        <w:rFonts w:hint="default"/>
      </w:rPr>
    </w:lvl>
    <w:lvl w:ilvl="6">
      <w:start w:val="0"/>
      <w:numFmt w:val="bullet"/>
      <w:lvlText w:val="•"/>
      <w:lvlJc w:val="left"/>
      <w:pPr>
        <w:ind w:left="5104" w:hanging="567"/>
      </w:pPr>
      <w:rPr>
        <w:rFonts w:hint="default"/>
      </w:rPr>
    </w:lvl>
    <w:lvl w:ilvl="7">
      <w:start w:val="0"/>
      <w:numFmt w:val="bullet"/>
      <w:lvlText w:val="•"/>
      <w:lvlJc w:val="left"/>
      <w:pPr>
        <w:ind w:left="5831" w:hanging="567"/>
      </w:pPr>
      <w:rPr>
        <w:rFonts w:hint="default"/>
      </w:rPr>
    </w:lvl>
    <w:lvl w:ilvl="8">
      <w:start w:val="0"/>
      <w:numFmt w:val="bullet"/>
      <w:lvlText w:val="•"/>
      <w:lvlJc w:val="left"/>
      <w:pPr>
        <w:ind w:left="6559" w:hanging="567"/>
      </w:pPr>
      <w:rPr>
        <w:rFonts w:hint="default"/>
      </w:rPr>
    </w:lvl>
  </w:abstractNum>
  <w:abstractNum w:abstractNumId="65">
    <w:multiLevelType w:val="hybridMultilevel"/>
    <w:lvl w:ilvl="0">
      <w:start w:val="1"/>
      <w:numFmt w:val="decimal"/>
      <w:lvlText w:val="（%1）"/>
      <w:lvlJc w:val="left"/>
      <w:pPr>
        <w:ind w:left="748"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2" w:hanging="567"/>
      </w:pPr>
      <w:rPr>
        <w:rFonts w:hint="default"/>
      </w:rPr>
    </w:lvl>
    <w:lvl w:ilvl="4">
      <w:start w:val="0"/>
      <w:numFmt w:val="bullet"/>
      <w:lvlText w:val="•"/>
      <w:lvlJc w:val="left"/>
      <w:pPr>
        <w:ind w:left="3649" w:hanging="567"/>
      </w:pPr>
      <w:rPr>
        <w:rFonts w:hint="default"/>
      </w:rPr>
    </w:lvl>
    <w:lvl w:ilvl="5">
      <w:start w:val="0"/>
      <w:numFmt w:val="bullet"/>
      <w:lvlText w:val="•"/>
      <w:lvlJc w:val="left"/>
      <w:pPr>
        <w:ind w:left="4377" w:hanging="567"/>
      </w:pPr>
      <w:rPr>
        <w:rFonts w:hint="default"/>
      </w:rPr>
    </w:lvl>
    <w:lvl w:ilvl="6">
      <w:start w:val="0"/>
      <w:numFmt w:val="bullet"/>
      <w:lvlText w:val="•"/>
      <w:lvlJc w:val="left"/>
      <w:pPr>
        <w:ind w:left="5104" w:hanging="567"/>
      </w:pPr>
      <w:rPr>
        <w:rFonts w:hint="default"/>
      </w:rPr>
    </w:lvl>
    <w:lvl w:ilvl="7">
      <w:start w:val="0"/>
      <w:numFmt w:val="bullet"/>
      <w:lvlText w:val="•"/>
      <w:lvlJc w:val="left"/>
      <w:pPr>
        <w:ind w:left="5831" w:hanging="567"/>
      </w:pPr>
      <w:rPr>
        <w:rFonts w:hint="default"/>
      </w:rPr>
    </w:lvl>
    <w:lvl w:ilvl="8">
      <w:start w:val="0"/>
      <w:numFmt w:val="bullet"/>
      <w:lvlText w:val="•"/>
      <w:lvlJc w:val="left"/>
      <w:pPr>
        <w:ind w:left="6559" w:hanging="567"/>
      </w:pPr>
      <w:rPr>
        <w:rFonts w:hint="default"/>
      </w:rPr>
    </w:lvl>
  </w:abstractNum>
  <w:abstractNum w:abstractNumId="64">
    <w:multiLevelType w:val="hybridMultilevel"/>
    <w:lvl w:ilvl="0">
      <w:start w:val="1"/>
      <w:numFmt w:val="lowerLetter"/>
      <w:lvlText w:val="%1."/>
      <w:lvlJc w:val="left"/>
      <w:pPr>
        <w:ind w:left="946" w:hanging="317"/>
        <w:jc w:val="left"/>
      </w:pPr>
      <w:rPr>
        <w:rFonts w:hint="default" w:ascii="仿宋" w:hAnsi="仿宋" w:eastAsia="仿宋" w:cs="仿宋"/>
        <w:w w:val="100"/>
        <w:sz w:val="21"/>
        <w:szCs w:val="21"/>
      </w:rPr>
    </w:lvl>
    <w:lvl w:ilvl="1">
      <w:start w:val="0"/>
      <w:numFmt w:val="bullet"/>
      <w:lvlText w:val="•"/>
      <w:lvlJc w:val="left"/>
      <w:pPr>
        <w:ind w:left="1639" w:hanging="317"/>
      </w:pPr>
      <w:rPr>
        <w:rFonts w:hint="default"/>
      </w:rPr>
    </w:lvl>
    <w:lvl w:ilvl="2">
      <w:start w:val="0"/>
      <w:numFmt w:val="bullet"/>
      <w:lvlText w:val="•"/>
      <w:lvlJc w:val="left"/>
      <w:pPr>
        <w:ind w:left="2339" w:hanging="317"/>
      </w:pPr>
      <w:rPr>
        <w:rFonts w:hint="default"/>
      </w:rPr>
    </w:lvl>
    <w:lvl w:ilvl="3">
      <w:start w:val="0"/>
      <w:numFmt w:val="bullet"/>
      <w:lvlText w:val="•"/>
      <w:lvlJc w:val="left"/>
      <w:pPr>
        <w:ind w:left="3039" w:hanging="317"/>
      </w:pPr>
      <w:rPr>
        <w:rFonts w:hint="default"/>
      </w:rPr>
    </w:lvl>
    <w:lvl w:ilvl="4">
      <w:start w:val="0"/>
      <w:numFmt w:val="bullet"/>
      <w:lvlText w:val="•"/>
      <w:lvlJc w:val="left"/>
      <w:pPr>
        <w:ind w:left="3739" w:hanging="317"/>
      </w:pPr>
      <w:rPr>
        <w:rFonts w:hint="default"/>
      </w:rPr>
    </w:lvl>
    <w:lvl w:ilvl="5">
      <w:start w:val="0"/>
      <w:numFmt w:val="bullet"/>
      <w:lvlText w:val="•"/>
      <w:lvlJc w:val="left"/>
      <w:pPr>
        <w:ind w:left="4439" w:hanging="317"/>
      </w:pPr>
      <w:rPr>
        <w:rFonts w:hint="default"/>
      </w:rPr>
    </w:lvl>
    <w:lvl w:ilvl="6">
      <w:start w:val="0"/>
      <w:numFmt w:val="bullet"/>
      <w:lvlText w:val="•"/>
      <w:lvlJc w:val="left"/>
      <w:pPr>
        <w:ind w:left="5139" w:hanging="317"/>
      </w:pPr>
      <w:rPr>
        <w:rFonts w:hint="default"/>
      </w:rPr>
    </w:lvl>
    <w:lvl w:ilvl="7">
      <w:start w:val="0"/>
      <w:numFmt w:val="bullet"/>
      <w:lvlText w:val="•"/>
      <w:lvlJc w:val="left"/>
      <w:pPr>
        <w:ind w:left="5839" w:hanging="317"/>
      </w:pPr>
      <w:rPr>
        <w:rFonts w:hint="default"/>
      </w:rPr>
    </w:lvl>
    <w:lvl w:ilvl="8">
      <w:start w:val="0"/>
      <w:numFmt w:val="bullet"/>
      <w:lvlText w:val="•"/>
      <w:lvlJc w:val="left"/>
      <w:pPr>
        <w:ind w:left="6539" w:hanging="317"/>
      </w:pPr>
      <w:rPr>
        <w:rFonts w:hint="default"/>
      </w:rPr>
    </w:lvl>
  </w:abstractNum>
  <w:abstractNum w:abstractNumId="63">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62">
    <w:multiLevelType w:val="hybridMultilevel"/>
    <w:lvl w:ilvl="0">
      <w:start w:val="1"/>
      <w:numFmt w:val="decimal"/>
      <w:lvlText w:val="（%1）"/>
      <w:lvlJc w:val="left"/>
      <w:pPr>
        <w:ind w:left="786" w:hanging="721"/>
        <w:jc w:val="left"/>
      </w:pPr>
      <w:rPr>
        <w:rFonts w:hint="default" w:ascii="仿宋" w:hAnsi="仿宋" w:eastAsia="仿宋" w:cs="仿宋"/>
        <w:w w:val="100"/>
        <w:sz w:val="21"/>
        <w:szCs w:val="21"/>
      </w:rPr>
    </w:lvl>
    <w:lvl w:ilvl="1">
      <w:start w:val="0"/>
      <w:numFmt w:val="bullet"/>
      <w:lvlText w:val="•"/>
      <w:lvlJc w:val="left"/>
      <w:pPr>
        <w:ind w:left="1491" w:hanging="721"/>
      </w:pPr>
      <w:rPr>
        <w:rFonts w:hint="default"/>
      </w:rPr>
    </w:lvl>
    <w:lvl w:ilvl="2">
      <w:start w:val="0"/>
      <w:numFmt w:val="bullet"/>
      <w:lvlText w:val="•"/>
      <w:lvlJc w:val="left"/>
      <w:pPr>
        <w:ind w:left="2203" w:hanging="721"/>
      </w:pPr>
      <w:rPr>
        <w:rFonts w:hint="default"/>
      </w:rPr>
    </w:lvl>
    <w:lvl w:ilvl="3">
      <w:start w:val="0"/>
      <w:numFmt w:val="bullet"/>
      <w:lvlText w:val="•"/>
      <w:lvlJc w:val="left"/>
      <w:pPr>
        <w:ind w:left="2915" w:hanging="721"/>
      </w:pPr>
      <w:rPr>
        <w:rFonts w:hint="default"/>
      </w:rPr>
    </w:lvl>
    <w:lvl w:ilvl="4">
      <w:start w:val="0"/>
      <w:numFmt w:val="bullet"/>
      <w:lvlText w:val="•"/>
      <w:lvlJc w:val="left"/>
      <w:pPr>
        <w:ind w:left="3627" w:hanging="721"/>
      </w:pPr>
      <w:rPr>
        <w:rFonts w:hint="default"/>
      </w:rPr>
    </w:lvl>
    <w:lvl w:ilvl="5">
      <w:start w:val="0"/>
      <w:numFmt w:val="bullet"/>
      <w:lvlText w:val="•"/>
      <w:lvlJc w:val="left"/>
      <w:pPr>
        <w:ind w:left="4339" w:hanging="721"/>
      </w:pPr>
      <w:rPr>
        <w:rFonts w:hint="default"/>
      </w:rPr>
    </w:lvl>
    <w:lvl w:ilvl="6">
      <w:start w:val="0"/>
      <w:numFmt w:val="bullet"/>
      <w:lvlText w:val="•"/>
      <w:lvlJc w:val="left"/>
      <w:pPr>
        <w:ind w:left="5051" w:hanging="721"/>
      </w:pPr>
      <w:rPr>
        <w:rFonts w:hint="default"/>
      </w:rPr>
    </w:lvl>
    <w:lvl w:ilvl="7">
      <w:start w:val="0"/>
      <w:numFmt w:val="bullet"/>
      <w:lvlText w:val="•"/>
      <w:lvlJc w:val="left"/>
      <w:pPr>
        <w:ind w:left="5763" w:hanging="721"/>
      </w:pPr>
      <w:rPr>
        <w:rFonts w:hint="default"/>
      </w:rPr>
    </w:lvl>
    <w:lvl w:ilvl="8">
      <w:start w:val="0"/>
      <w:numFmt w:val="bullet"/>
      <w:lvlText w:val="•"/>
      <w:lvlJc w:val="left"/>
      <w:pPr>
        <w:ind w:left="6475" w:hanging="721"/>
      </w:pPr>
      <w:rPr>
        <w:rFonts w:hint="default"/>
      </w:rPr>
    </w:lvl>
  </w:abstractNum>
  <w:abstractNum w:abstractNumId="61">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60">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9">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8">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7">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6">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5">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4">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3">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2">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51">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50">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9">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8">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7">
    <w:multiLevelType w:val="hybridMultilevel"/>
    <w:lvl w:ilvl="0">
      <w:start w:val="1"/>
      <w:numFmt w:val="decimal"/>
      <w:lvlText w:val="（%1）"/>
      <w:lvlJc w:val="left"/>
      <w:pPr>
        <w:ind w:left="810" w:hanging="721"/>
        <w:jc w:val="left"/>
      </w:pPr>
      <w:rPr>
        <w:rFonts w:hint="default" w:ascii="仿宋" w:hAnsi="仿宋" w:eastAsia="仿宋" w:cs="仿宋"/>
        <w:w w:val="100"/>
        <w:sz w:val="21"/>
        <w:szCs w:val="21"/>
      </w:rPr>
    </w:lvl>
    <w:lvl w:ilvl="1">
      <w:start w:val="0"/>
      <w:numFmt w:val="bullet"/>
      <w:lvlText w:val="•"/>
      <w:lvlJc w:val="left"/>
      <w:pPr>
        <w:ind w:left="1530" w:hanging="721"/>
      </w:pPr>
      <w:rPr>
        <w:rFonts w:hint="default"/>
      </w:rPr>
    </w:lvl>
    <w:lvl w:ilvl="2">
      <w:start w:val="0"/>
      <w:numFmt w:val="bullet"/>
      <w:lvlText w:val="•"/>
      <w:lvlJc w:val="left"/>
      <w:pPr>
        <w:ind w:left="2241" w:hanging="721"/>
      </w:pPr>
      <w:rPr>
        <w:rFonts w:hint="default"/>
      </w:rPr>
    </w:lvl>
    <w:lvl w:ilvl="3">
      <w:start w:val="0"/>
      <w:numFmt w:val="bullet"/>
      <w:lvlText w:val="•"/>
      <w:lvlJc w:val="left"/>
      <w:pPr>
        <w:ind w:left="2951" w:hanging="721"/>
      </w:pPr>
      <w:rPr>
        <w:rFonts w:hint="default"/>
      </w:rPr>
    </w:lvl>
    <w:lvl w:ilvl="4">
      <w:start w:val="0"/>
      <w:numFmt w:val="bullet"/>
      <w:lvlText w:val="•"/>
      <w:lvlJc w:val="left"/>
      <w:pPr>
        <w:ind w:left="3662" w:hanging="721"/>
      </w:pPr>
      <w:rPr>
        <w:rFonts w:hint="default"/>
      </w:rPr>
    </w:lvl>
    <w:lvl w:ilvl="5">
      <w:start w:val="0"/>
      <w:numFmt w:val="bullet"/>
      <w:lvlText w:val="•"/>
      <w:lvlJc w:val="left"/>
      <w:pPr>
        <w:ind w:left="4372" w:hanging="721"/>
      </w:pPr>
      <w:rPr>
        <w:rFonts w:hint="default"/>
      </w:rPr>
    </w:lvl>
    <w:lvl w:ilvl="6">
      <w:start w:val="0"/>
      <w:numFmt w:val="bullet"/>
      <w:lvlText w:val="•"/>
      <w:lvlJc w:val="left"/>
      <w:pPr>
        <w:ind w:left="5083" w:hanging="721"/>
      </w:pPr>
      <w:rPr>
        <w:rFonts w:hint="default"/>
      </w:rPr>
    </w:lvl>
    <w:lvl w:ilvl="7">
      <w:start w:val="0"/>
      <w:numFmt w:val="bullet"/>
      <w:lvlText w:val="•"/>
      <w:lvlJc w:val="left"/>
      <w:pPr>
        <w:ind w:left="5793" w:hanging="721"/>
      </w:pPr>
      <w:rPr>
        <w:rFonts w:hint="default"/>
      </w:rPr>
    </w:lvl>
    <w:lvl w:ilvl="8">
      <w:start w:val="0"/>
      <w:numFmt w:val="bullet"/>
      <w:lvlText w:val="•"/>
      <w:lvlJc w:val="left"/>
      <w:pPr>
        <w:ind w:left="6504" w:hanging="721"/>
      </w:pPr>
      <w:rPr>
        <w:rFonts w:hint="default"/>
      </w:rPr>
    </w:lvl>
  </w:abstractNum>
  <w:abstractNum w:abstractNumId="46">
    <w:multiLevelType w:val="hybridMultilevel"/>
    <w:lvl w:ilvl="0">
      <w:start w:val="1"/>
      <w:numFmt w:val="decimal"/>
      <w:lvlText w:val="（%1）"/>
      <w:lvlJc w:val="left"/>
      <w:pPr>
        <w:ind w:left="810" w:hanging="721"/>
        <w:jc w:val="left"/>
      </w:pPr>
      <w:rPr>
        <w:rFonts w:hint="default" w:ascii="仿宋" w:hAnsi="仿宋" w:eastAsia="仿宋" w:cs="仿宋"/>
        <w:w w:val="100"/>
        <w:sz w:val="21"/>
        <w:szCs w:val="21"/>
      </w:rPr>
    </w:lvl>
    <w:lvl w:ilvl="1">
      <w:start w:val="0"/>
      <w:numFmt w:val="bullet"/>
      <w:lvlText w:val="•"/>
      <w:lvlJc w:val="left"/>
      <w:pPr>
        <w:ind w:left="1530" w:hanging="721"/>
      </w:pPr>
      <w:rPr>
        <w:rFonts w:hint="default"/>
      </w:rPr>
    </w:lvl>
    <w:lvl w:ilvl="2">
      <w:start w:val="0"/>
      <w:numFmt w:val="bullet"/>
      <w:lvlText w:val="•"/>
      <w:lvlJc w:val="left"/>
      <w:pPr>
        <w:ind w:left="2241" w:hanging="721"/>
      </w:pPr>
      <w:rPr>
        <w:rFonts w:hint="default"/>
      </w:rPr>
    </w:lvl>
    <w:lvl w:ilvl="3">
      <w:start w:val="0"/>
      <w:numFmt w:val="bullet"/>
      <w:lvlText w:val="•"/>
      <w:lvlJc w:val="left"/>
      <w:pPr>
        <w:ind w:left="2951" w:hanging="721"/>
      </w:pPr>
      <w:rPr>
        <w:rFonts w:hint="default"/>
      </w:rPr>
    </w:lvl>
    <w:lvl w:ilvl="4">
      <w:start w:val="0"/>
      <w:numFmt w:val="bullet"/>
      <w:lvlText w:val="•"/>
      <w:lvlJc w:val="left"/>
      <w:pPr>
        <w:ind w:left="3662" w:hanging="721"/>
      </w:pPr>
      <w:rPr>
        <w:rFonts w:hint="default"/>
      </w:rPr>
    </w:lvl>
    <w:lvl w:ilvl="5">
      <w:start w:val="0"/>
      <w:numFmt w:val="bullet"/>
      <w:lvlText w:val="•"/>
      <w:lvlJc w:val="left"/>
      <w:pPr>
        <w:ind w:left="4372" w:hanging="721"/>
      </w:pPr>
      <w:rPr>
        <w:rFonts w:hint="default"/>
      </w:rPr>
    </w:lvl>
    <w:lvl w:ilvl="6">
      <w:start w:val="0"/>
      <w:numFmt w:val="bullet"/>
      <w:lvlText w:val="•"/>
      <w:lvlJc w:val="left"/>
      <w:pPr>
        <w:ind w:left="5083" w:hanging="721"/>
      </w:pPr>
      <w:rPr>
        <w:rFonts w:hint="default"/>
      </w:rPr>
    </w:lvl>
    <w:lvl w:ilvl="7">
      <w:start w:val="0"/>
      <w:numFmt w:val="bullet"/>
      <w:lvlText w:val="•"/>
      <w:lvlJc w:val="left"/>
      <w:pPr>
        <w:ind w:left="5793" w:hanging="721"/>
      </w:pPr>
      <w:rPr>
        <w:rFonts w:hint="default"/>
      </w:rPr>
    </w:lvl>
    <w:lvl w:ilvl="8">
      <w:start w:val="0"/>
      <w:numFmt w:val="bullet"/>
      <w:lvlText w:val="•"/>
      <w:lvlJc w:val="left"/>
      <w:pPr>
        <w:ind w:left="6504" w:hanging="721"/>
      </w:pPr>
      <w:rPr>
        <w:rFonts w:hint="default"/>
      </w:rPr>
    </w:lvl>
  </w:abstractNum>
  <w:abstractNum w:abstractNumId="45">
    <w:multiLevelType w:val="hybridMultilevel"/>
    <w:lvl w:ilvl="0">
      <w:start w:val="1"/>
      <w:numFmt w:val="decimal"/>
      <w:lvlText w:val="（%1）"/>
      <w:lvlJc w:val="left"/>
      <w:pPr>
        <w:ind w:left="810" w:hanging="721"/>
        <w:jc w:val="left"/>
      </w:pPr>
      <w:rPr>
        <w:rFonts w:hint="default" w:ascii="仿宋" w:hAnsi="仿宋" w:eastAsia="仿宋" w:cs="仿宋"/>
        <w:w w:val="100"/>
        <w:sz w:val="21"/>
        <w:szCs w:val="21"/>
      </w:rPr>
    </w:lvl>
    <w:lvl w:ilvl="1">
      <w:start w:val="0"/>
      <w:numFmt w:val="bullet"/>
      <w:lvlText w:val="•"/>
      <w:lvlJc w:val="left"/>
      <w:pPr>
        <w:ind w:left="1530" w:hanging="721"/>
      </w:pPr>
      <w:rPr>
        <w:rFonts w:hint="default"/>
      </w:rPr>
    </w:lvl>
    <w:lvl w:ilvl="2">
      <w:start w:val="0"/>
      <w:numFmt w:val="bullet"/>
      <w:lvlText w:val="•"/>
      <w:lvlJc w:val="left"/>
      <w:pPr>
        <w:ind w:left="2241" w:hanging="721"/>
      </w:pPr>
      <w:rPr>
        <w:rFonts w:hint="default"/>
      </w:rPr>
    </w:lvl>
    <w:lvl w:ilvl="3">
      <w:start w:val="0"/>
      <w:numFmt w:val="bullet"/>
      <w:lvlText w:val="•"/>
      <w:lvlJc w:val="left"/>
      <w:pPr>
        <w:ind w:left="2951" w:hanging="721"/>
      </w:pPr>
      <w:rPr>
        <w:rFonts w:hint="default"/>
      </w:rPr>
    </w:lvl>
    <w:lvl w:ilvl="4">
      <w:start w:val="0"/>
      <w:numFmt w:val="bullet"/>
      <w:lvlText w:val="•"/>
      <w:lvlJc w:val="left"/>
      <w:pPr>
        <w:ind w:left="3662" w:hanging="721"/>
      </w:pPr>
      <w:rPr>
        <w:rFonts w:hint="default"/>
      </w:rPr>
    </w:lvl>
    <w:lvl w:ilvl="5">
      <w:start w:val="0"/>
      <w:numFmt w:val="bullet"/>
      <w:lvlText w:val="•"/>
      <w:lvlJc w:val="left"/>
      <w:pPr>
        <w:ind w:left="4372" w:hanging="721"/>
      </w:pPr>
      <w:rPr>
        <w:rFonts w:hint="default"/>
      </w:rPr>
    </w:lvl>
    <w:lvl w:ilvl="6">
      <w:start w:val="0"/>
      <w:numFmt w:val="bullet"/>
      <w:lvlText w:val="•"/>
      <w:lvlJc w:val="left"/>
      <w:pPr>
        <w:ind w:left="5083" w:hanging="721"/>
      </w:pPr>
      <w:rPr>
        <w:rFonts w:hint="default"/>
      </w:rPr>
    </w:lvl>
    <w:lvl w:ilvl="7">
      <w:start w:val="0"/>
      <w:numFmt w:val="bullet"/>
      <w:lvlText w:val="•"/>
      <w:lvlJc w:val="left"/>
      <w:pPr>
        <w:ind w:left="5793" w:hanging="721"/>
      </w:pPr>
      <w:rPr>
        <w:rFonts w:hint="default"/>
      </w:rPr>
    </w:lvl>
    <w:lvl w:ilvl="8">
      <w:start w:val="0"/>
      <w:numFmt w:val="bullet"/>
      <w:lvlText w:val="•"/>
      <w:lvlJc w:val="left"/>
      <w:pPr>
        <w:ind w:left="6504" w:hanging="721"/>
      </w:pPr>
      <w:rPr>
        <w:rFonts w:hint="default"/>
      </w:rPr>
    </w:lvl>
  </w:abstractNum>
  <w:abstractNum w:abstractNumId="44">
    <w:multiLevelType w:val="hybridMultilevel"/>
    <w:lvl w:ilvl="0">
      <w:start w:val="1"/>
      <w:numFmt w:val="decimal"/>
      <w:lvlText w:val="(%1)"/>
      <w:lvlJc w:val="left"/>
      <w:pPr>
        <w:ind w:left="523" w:hanging="420"/>
        <w:jc w:val="left"/>
      </w:pPr>
      <w:rPr>
        <w:rFonts w:hint="default" w:ascii="仿宋" w:hAnsi="仿宋" w:eastAsia="仿宋" w:cs="仿宋"/>
        <w:w w:val="100"/>
        <w:sz w:val="21"/>
        <w:szCs w:val="21"/>
      </w:rPr>
    </w:lvl>
    <w:lvl w:ilvl="1">
      <w:start w:val="0"/>
      <w:numFmt w:val="bullet"/>
      <w:lvlText w:val="•"/>
      <w:lvlJc w:val="left"/>
      <w:pPr>
        <w:ind w:left="126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45" w:hanging="420"/>
      </w:pPr>
      <w:rPr>
        <w:rFonts w:hint="default"/>
      </w:rPr>
    </w:lvl>
    <w:lvl w:ilvl="4">
      <w:start w:val="0"/>
      <w:numFmt w:val="bullet"/>
      <w:lvlText w:val="•"/>
      <w:lvlJc w:val="left"/>
      <w:pPr>
        <w:ind w:left="3487" w:hanging="420"/>
      </w:pPr>
      <w:rPr>
        <w:rFonts w:hint="default"/>
      </w:rPr>
    </w:lvl>
    <w:lvl w:ilvl="5">
      <w:start w:val="0"/>
      <w:numFmt w:val="bullet"/>
      <w:lvlText w:val="•"/>
      <w:lvlJc w:val="left"/>
      <w:pPr>
        <w:ind w:left="4229" w:hanging="420"/>
      </w:pPr>
      <w:rPr>
        <w:rFonts w:hint="default"/>
      </w:rPr>
    </w:lvl>
    <w:lvl w:ilvl="6">
      <w:start w:val="0"/>
      <w:numFmt w:val="bullet"/>
      <w:lvlText w:val="•"/>
      <w:lvlJc w:val="left"/>
      <w:pPr>
        <w:ind w:left="4971" w:hanging="420"/>
      </w:pPr>
      <w:rPr>
        <w:rFonts w:hint="default"/>
      </w:rPr>
    </w:lvl>
    <w:lvl w:ilvl="7">
      <w:start w:val="0"/>
      <w:numFmt w:val="bullet"/>
      <w:lvlText w:val="•"/>
      <w:lvlJc w:val="left"/>
      <w:pPr>
        <w:ind w:left="5713" w:hanging="420"/>
      </w:pPr>
      <w:rPr>
        <w:rFonts w:hint="default"/>
      </w:rPr>
    </w:lvl>
    <w:lvl w:ilvl="8">
      <w:start w:val="0"/>
      <w:numFmt w:val="bullet"/>
      <w:lvlText w:val="•"/>
      <w:lvlJc w:val="left"/>
      <w:pPr>
        <w:ind w:left="6455" w:hanging="420"/>
      </w:pPr>
      <w:rPr>
        <w:rFonts w:hint="default"/>
      </w:rPr>
    </w:lvl>
  </w:abstractNum>
  <w:abstractNum w:abstractNumId="43">
    <w:multiLevelType w:val="hybridMultilevel"/>
    <w:lvl w:ilvl="0">
      <w:start w:val="1"/>
      <w:numFmt w:val="decimal"/>
      <w:lvlText w:val="(%1)"/>
      <w:lvlJc w:val="left"/>
      <w:pPr>
        <w:ind w:left="523" w:hanging="420"/>
        <w:jc w:val="left"/>
      </w:pPr>
      <w:rPr>
        <w:rFonts w:hint="default" w:ascii="仿宋" w:hAnsi="仿宋" w:eastAsia="仿宋" w:cs="仿宋"/>
        <w:w w:val="100"/>
        <w:sz w:val="21"/>
        <w:szCs w:val="21"/>
      </w:rPr>
    </w:lvl>
    <w:lvl w:ilvl="1">
      <w:start w:val="0"/>
      <w:numFmt w:val="bullet"/>
      <w:lvlText w:val="•"/>
      <w:lvlJc w:val="left"/>
      <w:pPr>
        <w:ind w:left="126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44" w:hanging="420"/>
      </w:pPr>
      <w:rPr>
        <w:rFonts w:hint="default"/>
      </w:rPr>
    </w:lvl>
    <w:lvl w:ilvl="4">
      <w:start w:val="0"/>
      <w:numFmt w:val="bullet"/>
      <w:lvlText w:val="•"/>
      <w:lvlJc w:val="left"/>
      <w:pPr>
        <w:ind w:left="3486" w:hanging="420"/>
      </w:pPr>
      <w:rPr>
        <w:rFonts w:hint="default"/>
      </w:rPr>
    </w:lvl>
    <w:lvl w:ilvl="5">
      <w:start w:val="0"/>
      <w:numFmt w:val="bullet"/>
      <w:lvlText w:val="•"/>
      <w:lvlJc w:val="left"/>
      <w:pPr>
        <w:ind w:left="4228" w:hanging="420"/>
      </w:pPr>
      <w:rPr>
        <w:rFonts w:hint="default"/>
      </w:rPr>
    </w:lvl>
    <w:lvl w:ilvl="6">
      <w:start w:val="0"/>
      <w:numFmt w:val="bullet"/>
      <w:lvlText w:val="•"/>
      <w:lvlJc w:val="left"/>
      <w:pPr>
        <w:ind w:left="4969" w:hanging="420"/>
      </w:pPr>
      <w:rPr>
        <w:rFonts w:hint="default"/>
      </w:rPr>
    </w:lvl>
    <w:lvl w:ilvl="7">
      <w:start w:val="0"/>
      <w:numFmt w:val="bullet"/>
      <w:lvlText w:val="•"/>
      <w:lvlJc w:val="left"/>
      <w:pPr>
        <w:ind w:left="5711" w:hanging="420"/>
      </w:pPr>
      <w:rPr>
        <w:rFonts w:hint="default"/>
      </w:rPr>
    </w:lvl>
    <w:lvl w:ilvl="8">
      <w:start w:val="0"/>
      <w:numFmt w:val="bullet"/>
      <w:lvlText w:val="•"/>
      <w:lvlJc w:val="left"/>
      <w:pPr>
        <w:ind w:left="6452" w:hanging="420"/>
      </w:pPr>
      <w:rPr>
        <w:rFonts w:hint="default"/>
      </w:rPr>
    </w:lvl>
  </w:abstractNum>
  <w:abstractNum w:abstractNumId="42">
    <w:multiLevelType w:val="hybridMultilevel"/>
    <w:lvl w:ilvl="0">
      <w:start w:val="1"/>
      <w:numFmt w:val="decimal"/>
      <w:lvlText w:val="（%1）"/>
      <w:lvlJc w:val="left"/>
      <w:pPr>
        <w:ind w:left="840" w:hanging="738"/>
        <w:jc w:val="left"/>
      </w:pPr>
      <w:rPr>
        <w:rFonts w:hint="default" w:ascii="仿宋" w:hAnsi="仿宋" w:eastAsia="仿宋" w:cs="仿宋"/>
        <w:w w:val="100"/>
        <w:sz w:val="21"/>
        <w:szCs w:val="21"/>
      </w:rPr>
    </w:lvl>
    <w:lvl w:ilvl="1">
      <w:start w:val="0"/>
      <w:numFmt w:val="bullet"/>
      <w:lvlText w:val="•"/>
      <w:lvlJc w:val="left"/>
      <w:pPr>
        <w:ind w:left="1549" w:hanging="738"/>
      </w:pPr>
      <w:rPr>
        <w:rFonts w:hint="default"/>
      </w:rPr>
    </w:lvl>
    <w:lvl w:ilvl="2">
      <w:start w:val="0"/>
      <w:numFmt w:val="bullet"/>
      <w:lvlText w:val="•"/>
      <w:lvlJc w:val="left"/>
      <w:pPr>
        <w:ind w:left="2259" w:hanging="738"/>
      </w:pPr>
      <w:rPr>
        <w:rFonts w:hint="default"/>
      </w:rPr>
    </w:lvl>
    <w:lvl w:ilvl="3">
      <w:start w:val="0"/>
      <w:numFmt w:val="bullet"/>
      <w:lvlText w:val="•"/>
      <w:lvlJc w:val="left"/>
      <w:pPr>
        <w:ind w:left="2968" w:hanging="738"/>
      </w:pPr>
      <w:rPr>
        <w:rFonts w:hint="default"/>
      </w:rPr>
    </w:lvl>
    <w:lvl w:ilvl="4">
      <w:start w:val="0"/>
      <w:numFmt w:val="bullet"/>
      <w:lvlText w:val="•"/>
      <w:lvlJc w:val="left"/>
      <w:pPr>
        <w:ind w:left="3678" w:hanging="738"/>
      </w:pPr>
      <w:rPr>
        <w:rFonts w:hint="default"/>
      </w:rPr>
    </w:lvl>
    <w:lvl w:ilvl="5">
      <w:start w:val="0"/>
      <w:numFmt w:val="bullet"/>
      <w:lvlText w:val="•"/>
      <w:lvlJc w:val="left"/>
      <w:pPr>
        <w:ind w:left="4388" w:hanging="738"/>
      </w:pPr>
      <w:rPr>
        <w:rFonts w:hint="default"/>
      </w:rPr>
    </w:lvl>
    <w:lvl w:ilvl="6">
      <w:start w:val="0"/>
      <w:numFmt w:val="bullet"/>
      <w:lvlText w:val="•"/>
      <w:lvlJc w:val="left"/>
      <w:pPr>
        <w:ind w:left="5097" w:hanging="738"/>
      </w:pPr>
      <w:rPr>
        <w:rFonts w:hint="default"/>
      </w:rPr>
    </w:lvl>
    <w:lvl w:ilvl="7">
      <w:start w:val="0"/>
      <w:numFmt w:val="bullet"/>
      <w:lvlText w:val="•"/>
      <w:lvlJc w:val="left"/>
      <w:pPr>
        <w:ind w:left="5807" w:hanging="738"/>
      </w:pPr>
      <w:rPr>
        <w:rFonts w:hint="default"/>
      </w:rPr>
    </w:lvl>
    <w:lvl w:ilvl="8">
      <w:start w:val="0"/>
      <w:numFmt w:val="bullet"/>
      <w:lvlText w:val="•"/>
      <w:lvlJc w:val="left"/>
      <w:pPr>
        <w:ind w:left="6516" w:hanging="738"/>
      </w:pPr>
      <w:rPr>
        <w:rFonts w:hint="default"/>
      </w:rPr>
    </w:lvl>
  </w:abstractNum>
  <w:abstractNum w:abstractNumId="41">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4" w:hanging="721"/>
      </w:pPr>
      <w:rPr>
        <w:rFonts w:hint="default"/>
      </w:rPr>
    </w:lvl>
    <w:lvl w:ilvl="4">
      <w:start w:val="0"/>
      <w:numFmt w:val="bullet"/>
      <w:lvlText w:val="•"/>
      <w:lvlJc w:val="left"/>
      <w:pPr>
        <w:ind w:left="3666" w:hanging="721"/>
      </w:pPr>
      <w:rPr>
        <w:rFonts w:hint="default"/>
      </w:rPr>
    </w:lvl>
    <w:lvl w:ilvl="5">
      <w:start w:val="0"/>
      <w:numFmt w:val="bullet"/>
      <w:lvlText w:val="•"/>
      <w:lvlJc w:val="left"/>
      <w:pPr>
        <w:ind w:left="4378" w:hanging="721"/>
      </w:pPr>
      <w:rPr>
        <w:rFonts w:hint="default"/>
      </w:rPr>
    </w:lvl>
    <w:lvl w:ilvl="6">
      <w:start w:val="0"/>
      <w:numFmt w:val="bullet"/>
      <w:lvlText w:val="•"/>
      <w:lvlJc w:val="left"/>
      <w:pPr>
        <w:ind w:left="5089" w:hanging="721"/>
      </w:pPr>
      <w:rPr>
        <w:rFonts w:hint="default"/>
      </w:rPr>
    </w:lvl>
    <w:lvl w:ilvl="7">
      <w:start w:val="0"/>
      <w:numFmt w:val="bullet"/>
      <w:lvlText w:val="•"/>
      <w:lvlJc w:val="left"/>
      <w:pPr>
        <w:ind w:left="5801" w:hanging="721"/>
      </w:pPr>
      <w:rPr>
        <w:rFonts w:hint="default"/>
      </w:rPr>
    </w:lvl>
    <w:lvl w:ilvl="8">
      <w:start w:val="0"/>
      <w:numFmt w:val="bullet"/>
      <w:lvlText w:val="•"/>
      <w:lvlJc w:val="left"/>
      <w:pPr>
        <w:ind w:left="6512" w:hanging="721"/>
      </w:pPr>
      <w:rPr>
        <w:rFonts w:hint="default"/>
      </w:rPr>
    </w:lvl>
  </w:abstractNum>
  <w:abstractNum w:abstractNumId="40">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9">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8">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7">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6">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5">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4">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3">
    <w:multiLevelType w:val="hybridMultilevel"/>
    <w:lvl w:ilvl="0">
      <w:start w:val="1"/>
      <w:numFmt w:val="decimal"/>
      <w:lvlText w:val="(%1)"/>
      <w:lvlJc w:val="left"/>
      <w:pPr>
        <w:ind w:left="547" w:hanging="420"/>
        <w:jc w:val="left"/>
      </w:pPr>
      <w:rPr>
        <w:rFonts w:hint="default" w:ascii="黑体" w:hAnsi="黑体" w:eastAsia="黑体" w:cs="黑体"/>
        <w:w w:val="100"/>
        <w:sz w:val="21"/>
        <w:szCs w:val="21"/>
      </w:rPr>
    </w:lvl>
    <w:lvl w:ilvl="1">
      <w:start w:val="0"/>
      <w:numFmt w:val="bullet"/>
      <w:lvlText w:val="•"/>
      <w:lvlJc w:val="left"/>
      <w:pPr>
        <w:ind w:left="1282" w:hanging="420"/>
      </w:pPr>
      <w:rPr>
        <w:rFonts w:hint="default"/>
      </w:rPr>
    </w:lvl>
    <w:lvl w:ilvl="2">
      <w:start w:val="0"/>
      <w:numFmt w:val="bullet"/>
      <w:lvlText w:val="•"/>
      <w:lvlJc w:val="left"/>
      <w:pPr>
        <w:ind w:left="2025" w:hanging="420"/>
      </w:pPr>
      <w:rPr>
        <w:rFonts w:hint="default"/>
      </w:rPr>
    </w:lvl>
    <w:lvl w:ilvl="3">
      <w:start w:val="0"/>
      <w:numFmt w:val="bullet"/>
      <w:lvlText w:val="•"/>
      <w:lvlJc w:val="left"/>
      <w:pPr>
        <w:ind w:left="2767" w:hanging="420"/>
      </w:pPr>
      <w:rPr>
        <w:rFonts w:hint="default"/>
      </w:rPr>
    </w:lvl>
    <w:lvl w:ilvl="4">
      <w:start w:val="0"/>
      <w:numFmt w:val="bullet"/>
      <w:lvlText w:val="•"/>
      <w:lvlJc w:val="left"/>
      <w:pPr>
        <w:ind w:left="3510" w:hanging="420"/>
      </w:pPr>
      <w:rPr>
        <w:rFonts w:hint="default"/>
      </w:rPr>
    </w:lvl>
    <w:lvl w:ilvl="5">
      <w:start w:val="0"/>
      <w:numFmt w:val="bullet"/>
      <w:lvlText w:val="•"/>
      <w:lvlJc w:val="left"/>
      <w:pPr>
        <w:ind w:left="4252" w:hanging="420"/>
      </w:pPr>
      <w:rPr>
        <w:rFonts w:hint="default"/>
      </w:rPr>
    </w:lvl>
    <w:lvl w:ilvl="6">
      <w:start w:val="0"/>
      <w:numFmt w:val="bullet"/>
      <w:lvlText w:val="•"/>
      <w:lvlJc w:val="left"/>
      <w:pPr>
        <w:ind w:left="4995" w:hanging="420"/>
      </w:pPr>
      <w:rPr>
        <w:rFonts w:hint="default"/>
      </w:rPr>
    </w:lvl>
    <w:lvl w:ilvl="7">
      <w:start w:val="0"/>
      <w:numFmt w:val="bullet"/>
      <w:lvlText w:val="•"/>
      <w:lvlJc w:val="left"/>
      <w:pPr>
        <w:ind w:left="5737" w:hanging="420"/>
      </w:pPr>
      <w:rPr>
        <w:rFonts w:hint="default"/>
      </w:rPr>
    </w:lvl>
    <w:lvl w:ilvl="8">
      <w:start w:val="0"/>
      <w:numFmt w:val="bullet"/>
      <w:lvlText w:val="•"/>
      <w:lvlJc w:val="left"/>
      <w:pPr>
        <w:ind w:left="6480" w:hanging="420"/>
      </w:pPr>
      <w:rPr>
        <w:rFonts w:hint="default"/>
      </w:rPr>
    </w:lvl>
  </w:abstractNum>
  <w:abstractNum w:abstractNumId="32">
    <w:multiLevelType w:val="hybridMultilevel"/>
    <w:lvl w:ilvl="0">
      <w:start w:val="1"/>
      <w:numFmt w:val="decimal"/>
      <w:lvlText w:val="（%1）"/>
      <w:lvlJc w:val="left"/>
      <w:pPr>
        <w:ind w:left="761"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3" w:hanging="632"/>
      </w:pPr>
      <w:rPr>
        <w:rFonts w:hint="default"/>
      </w:rPr>
    </w:lvl>
    <w:lvl w:ilvl="7">
      <w:start w:val="0"/>
      <w:numFmt w:val="bullet"/>
      <w:lvlText w:val="•"/>
      <w:lvlJc w:val="left"/>
      <w:pPr>
        <w:ind w:left="5803" w:hanging="632"/>
      </w:pPr>
      <w:rPr>
        <w:rFonts w:hint="default"/>
      </w:rPr>
    </w:lvl>
    <w:lvl w:ilvl="8">
      <w:start w:val="0"/>
      <w:numFmt w:val="bullet"/>
      <w:lvlText w:val="•"/>
      <w:lvlJc w:val="left"/>
      <w:pPr>
        <w:ind w:left="6524" w:hanging="632"/>
      </w:pPr>
      <w:rPr>
        <w:rFonts w:hint="default"/>
      </w:rPr>
    </w:lvl>
  </w:abstractNum>
  <w:abstractNum w:abstractNumId="31">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73"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4042" w:hanging="632"/>
      </w:pPr>
      <w:rPr>
        <w:rFonts w:hint="default"/>
      </w:rPr>
    </w:lvl>
    <w:lvl w:ilvl="6">
      <w:start w:val="0"/>
      <w:numFmt w:val="bullet"/>
      <w:lvlText w:val="•"/>
      <w:lvlJc w:val="left"/>
      <w:pPr>
        <w:ind w:left="4826" w:hanging="632"/>
      </w:pPr>
      <w:rPr>
        <w:rFonts w:hint="default"/>
      </w:rPr>
    </w:lvl>
    <w:lvl w:ilvl="7">
      <w:start w:val="0"/>
      <w:numFmt w:val="bullet"/>
      <w:lvlText w:val="•"/>
      <w:lvlJc w:val="left"/>
      <w:pPr>
        <w:ind w:left="5610" w:hanging="632"/>
      </w:pPr>
      <w:rPr>
        <w:rFonts w:hint="default"/>
      </w:rPr>
    </w:lvl>
    <w:lvl w:ilvl="8">
      <w:start w:val="0"/>
      <w:numFmt w:val="bullet"/>
      <w:lvlText w:val="•"/>
      <w:lvlJc w:val="left"/>
      <w:pPr>
        <w:ind w:left="6395" w:hanging="632"/>
      </w:pPr>
      <w:rPr>
        <w:rFonts w:hint="default"/>
      </w:rPr>
    </w:lvl>
  </w:abstractNum>
  <w:abstractNum w:abstractNumId="30">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73"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4042" w:hanging="632"/>
      </w:pPr>
      <w:rPr>
        <w:rFonts w:hint="default"/>
      </w:rPr>
    </w:lvl>
    <w:lvl w:ilvl="6">
      <w:start w:val="0"/>
      <w:numFmt w:val="bullet"/>
      <w:lvlText w:val="•"/>
      <w:lvlJc w:val="left"/>
      <w:pPr>
        <w:ind w:left="4826" w:hanging="632"/>
      </w:pPr>
      <w:rPr>
        <w:rFonts w:hint="default"/>
      </w:rPr>
    </w:lvl>
    <w:lvl w:ilvl="7">
      <w:start w:val="0"/>
      <w:numFmt w:val="bullet"/>
      <w:lvlText w:val="•"/>
      <w:lvlJc w:val="left"/>
      <w:pPr>
        <w:ind w:left="5610" w:hanging="632"/>
      </w:pPr>
      <w:rPr>
        <w:rFonts w:hint="default"/>
      </w:rPr>
    </w:lvl>
    <w:lvl w:ilvl="8">
      <w:start w:val="0"/>
      <w:numFmt w:val="bullet"/>
      <w:lvlText w:val="•"/>
      <w:lvlJc w:val="left"/>
      <w:pPr>
        <w:ind w:left="6395" w:hanging="632"/>
      </w:pPr>
      <w:rPr>
        <w:rFonts w:hint="default"/>
      </w:rPr>
    </w:lvl>
  </w:abstractNum>
  <w:abstractNum w:abstractNumId="29">
    <w:multiLevelType w:val="hybridMultilevel"/>
    <w:lvl w:ilvl="0">
      <w:start w:val="1"/>
      <w:numFmt w:val="decimal"/>
      <w:lvlText w:val="（%1）"/>
      <w:lvlJc w:val="left"/>
      <w:pPr>
        <w:ind w:left="128" w:hanging="615"/>
        <w:jc w:val="left"/>
      </w:pPr>
      <w:rPr>
        <w:rFonts w:hint="default" w:ascii="仿宋" w:hAnsi="仿宋" w:eastAsia="仿宋" w:cs="仿宋"/>
        <w:w w:val="100"/>
        <w:sz w:val="21"/>
        <w:szCs w:val="21"/>
      </w:rPr>
    </w:lvl>
    <w:lvl w:ilvl="1">
      <w:start w:val="0"/>
      <w:numFmt w:val="bullet"/>
      <w:lvlText w:val="•"/>
      <w:lvlJc w:val="left"/>
      <w:pPr>
        <w:ind w:left="904" w:hanging="615"/>
      </w:pPr>
      <w:rPr>
        <w:rFonts w:hint="default"/>
      </w:rPr>
    </w:lvl>
    <w:lvl w:ilvl="2">
      <w:start w:val="0"/>
      <w:numFmt w:val="bullet"/>
      <w:lvlText w:val="•"/>
      <w:lvlJc w:val="left"/>
      <w:pPr>
        <w:ind w:left="1688" w:hanging="615"/>
      </w:pPr>
      <w:rPr>
        <w:rFonts w:hint="default"/>
      </w:rPr>
    </w:lvl>
    <w:lvl w:ilvl="3">
      <w:start w:val="0"/>
      <w:numFmt w:val="bullet"/>
      <w:lvlText w:val="•"/>
      <w:lvlJc w:val="left"/>
      <w:pPr>
        <w:ind w:left="2473" w:hanging="615"/>
      </w:pPr>
      <w:rPr>
        <w:rFonts w:hint="default"/>
      </w:rPr>
    </w:lvl>
    <w:lvl w:ilvl="4">
      <w:start w:val="0"/>
      <w:numFmt w:val="bullet"/>
      <w:lvlText w:val="•"/>
      <w:lvlJc w:val="left"/>
      <w:pPr>
        <w:ind w:left="3257" w:hanging="615"/>
      </w:pPr>
      <w:rPr>
        <w:rFonts w:hint="default"/>
      </w:rPr>
    </w:lvl>
    <w:lvl w:ilvl="5">
      <w:start w:val="0"/>
      <w:numFmt w:val="bullet"/>
      <w:lvlText w:val="•"/>
      <w:lvlJc w:val="left"/>
      <w:pPr>
        <w:ind w:left="4042" w:hanging="615"/>
      </w:pPr>
      <w:rPr>
        <w:rFonts w:hint="default"/>
      </w:rPr>
    </w:lvl>
    <w:lvl w:ilvl="6">
      <w:start w:val="0"/>
      <w:numFmt w:val="bullet"/>
      <w:lvlText w:val="•"/>
      <w:lvlJc w:val="left"/>
      <w:pPr>
        <w:ind w:left="4826" w:hanging="615"/>
      </w:pPr>
      <w:rPr>
        <w:rFonts w:hint="default"/>
      </w:rPr>
    </w:lvl>
    <w:lvl w:ilvl="7">
      <w:start w:val="0"/>
      <w:numFmt w:val="bullet"/>
      <w:lvlText w:val="•"/>
      <w:lvlJc w:val="left"/>
      <w:pPr>
        <w:ind w:left="5610" w:hanging="615"/>
      </w:pPr>
      <w:rPr>
        <w:rFonts w:hint="default"/>
      </w:rPr>
    </w:lvl>
    <w:lvl w:ilvl="8">
      <w:start w:val="0"/>
      <w:numFmt w:val="bullet"/>
      <w:lvlText w:val="•"/>
      <w:lvlJc w:val="left"/>
      <w:pPr>
        <w:ind w:left="6395" w:hanging="615"/>
      </w:pPr>
      <w:rPr>
        <w:rFonts w:hint="default"/>
      </w:rPr>
    </w:lvl>
  </w:abstractNum>
  <w:abstractNum w:abstractNumId="28">
    <w:multiLevelType w:val="hybridMultilevel"/>
    <w:lvl w:ilvl="0">
      <w:start w:val="1"/>
      <w:numFmt w:val="decimal"/>
      <w:lvlText w:val="（%1）"/>
      <w:lvlJc w:val="left"/>
      <w:pPr>
        <w:ind w:left="760"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7">
    <w:multiLevelType w:val="hybridMultilevel"/>
    <w:lvl w:ilvl="0">
      <w:start w:val="1"/>
      <w:numFmt w:val="decimal"/>
      <w:lvlText w:val="（%1）"/>
      <w:lvlJc w:val="left"/>
      <w:pPr>
        <w:ind w:left="760" w:hanging="632"/>
        <w:jc w:val="left"/>
      </w:pPr>
      <w:rPr>
        <w:rFonts w:hint="default" w:ascii="黑体" w:hAnsi="黑体" w:eastAsia="黑体" w:cs="黑体"/>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6">
    <w:multiLevelType w:val="hybridMultilevel"/>
    <w:lvl w:ilvl="0">
      <w:start w:val="1"/>
      <w:numFmt w:val="decimal"/>
      <w:lvlText w:val="（%1）"/>
      <w:lvlJc w:val="left"/>
      <w:pPr>
        <w:ind w:left="128" w:hanging="639"/>
        <w:jc w:val="left"/>
      </w:pPr>
      <w:rPr>
        <w:rFonts w:hint="default" w:ascii="仿宋" w:hAnsi="仿宋" w:eastAsia="仿宋" w:cs="仿宋"/>
        <w:spacing w:val="0"/>
        <w:w w:val="100"/>
        <w:sz w:val="21"/>
        <w:szCs w:val="21"/>
      </w:rPr>
    </w:lvl>
    <w:lvl w:ilvl="1">
      <w:start w:val="0"/>
      <w:numFmt w:val="bullet"/>
      <w:lvlText w:val="•"/>
      <w:lvlJc w:val="left"/>
      <w:pPr>
        <w:ind w:left="904" w:hanging="639"/>
      </w:pPr>
      <w:rPr>
        <w:rFonts w:hint="default"/>
      </w:rPr>
    </w:lvl>
    <w:lvl w:ilvl="2">
      <w:start w:val="0"/>
      <w:numFmt w:val="bullet"/>
      <w:lvlText w:val="•"/>
      <w:lvlJc w:val="left"/>
      <w:pPr>
        <w:ind w:left="1688" w:hanging="639"/>
      </w:pPr>
      <w:rPr>
        <w:rFonts w:hint="default"/>
      </w:rPr>
    </w:lvl>
    <w:lvl w:ilvl="3">
      <w:start w:val="0"/>
      <w:numFmt w:val="bullet"/>
      <w:lvlText w:val="•"/>
      <w:lvlJc w:val="left"/>
      <w:pPr>
        <w:ind w:left="2473" w:hanging="639"/>
      </w:pPr>
      <w:rPr>
        <w:rFonts w:hint="default"/>
      </w:rPr>
    </w:lvl>
    <w:lvl w:ilvl="4">
      <w:start w:val="0"/>
      <w:numFmt w:val="bullet"/>
      <w:lvlText w:val="•"/>
      <w:lvlJc w:val="left"/>
      <w:pPr>
        <w:ind w:left="3257" w:hanging="639"/>
      </w:pPr>
      <w:rPr>
        <w:rFonts w:hint="default"/>
      </w:rPr>
    </w:lvl>
    <w:lvl w:ilvl="5">
      <w:start w:val="0"/>
      <w:numFmt w:val="bullet"/>
      <w:lvlText w:val="•"/>
      <w:lvlJc w:val="left"/>
      <w:pPr>
        <w:ind w:left="4042" w:hanging="639"/>
      </w:pPr>
      <w:rPr>
        <w:rFonts w:hint="default"/>
      </w:rPr>
    </w:lvl>
    <w:lvl w:ilvl="6">
      <w:start w:val="0"/>
      <w:numFmt w:val="bullet"/>
      <w:lvlText w:val="•"/>
      <w:lvlJc w:val="left"/>
      <w:pPr>
        <w:ind w:left="4826" w:hanging="639"/>
      </w:pPr>
      <w:rPr>
        <w:rFonts w:hint="default"/>
      </w:rPr>
    </w:lvl>
    <w:lvl w:ilvl="7">
      <w:start w:val="0"/>
      <w:numFmt w:val="bullet"/>
      <w:lvlText w:val="•"/>
      <w:lvlJc w:val="left"/>
      <w:pPr>
        <w:ind w:left="5610" w:hanging="639"/>
      </w:pPr>
      <w:rPr>
        <w:rFonts w:hint="default"/>
      </w:rPr>
    </w:lvl>
    <w:lvl w:ilvl="8">
      <w:start w:val="0"/>
      <w:numFmt w:val="bullet"/>
      <w:lvlText w:val="•"/>
      <w:lvlJc w:val="left"/>
      <w:pPr>
        <w:ind w:left="6395" w:hanging="639"/>
      </w:pPr>
      <w:rPr>
        <w:rFonts w:hint="default"/>
      </w:rPr>
    </w:lvl>
  </w:abstractNum>
  <w:abstractNum w:abstractNumId="25">
    <w:multiLevelType w:val="hybridMultilevel"/>
    <w:lvl w:ilvl="0">
      <w:start w:val="1"/>
      <w:numFmt w:val="decimal"/>
      <w:lvlText w:val="（%1）"/>
      <w:lvlJc w:val="left"/>
      <w:pPr>
        <w:ind w:left="760"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4">
    <w:multiLevelType w:val="hybridMultilevel"/>
    <w:lvl w:ilvl="0">
      <w:start w:val="1"/>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4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70" w:hanging="632"/>
      </w:pPr>
      <w:rPr>
        <w:rFonts w:hint="default"/>
      </w:rPr>
    </w:lvl>
    <w:lvl w:ilvl="6">
      <w:start w:val="0"/>
      <w:numFmt w:val="bullet"/>
      <w:lvlText w:val="•"/>
      <w:lvlJc w:val="left"/>
      <w:pPr>
        <w:ind w:left="4984" w:hanging="632"/>
      </w:pPr>
      <w:rPr>
        <w:rFonts w:hint="default"/>
      </w:rPr>
    </w:lvl>
    <w:lvl w:ilvl="7">
      <w:start w:val="0"/>
      <w:numFmt w:val="bullet"/>
      <w:lvlText w:val="•"/>
      <w:lvlJc w:val="left"/>
      <w:pPr>
        <w:ind w:left="5698" w:hanging="632"/>
      </w:pPr>
      <w:rPr>
        <w:rFonts w:hint="default"/>
      </w:rPr>
    </w:lvl>
    <w:lvl w:ilvl="8">
      <w:start w:val="0"/>
      <w:numFmt w:val="bullet"/>
      <w:lvlText w:val="•"/>
      <w:lvlJc w:val="left"/>
      <w:pPr>
        <w:ind w:left="6412" w:hanging="632"/>
      </w:pPr>
      <w:rPr>
        <w:rFonts w:hint="default"/>
      </w:rPr>
    </w:lvl>
  </w:abstractNum>
  <w:abstractNum w:abstractNumId="23">
    <w:multiLevelType w:val="hybridMultilevel"/>
    <w:lvl w:ilvl="0">
      <w:start w:val="1"/>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4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70" w:hanging="632"/>
      </w:pPr>
      <w:rPr>
        <w:rFonts w:hint="default"/>
      </w:rPr>
    </w:lvl>
    <w:lvl w:ilvl="6">
      <w:start w:val="0"/>
      <w:numFmt w:val="bullet"/>
      <w:lvlText w:val="•"/>
      <w:lvlJc w:val="left"/>
      <w:pPr>
        <w:ind w:left="4984" w:hanging="632"/>
      </w:pPr>
      <w:rPr>
        <w:rFonts w:hint="default"/>
      </w:rPr>
    </w:lvl>
    <w:lvl w:ilvl="7">
      <w:start w:val="0"/>
      <w:numFmt w:val="bullet"/>
      <w:lvlText w:val="•"/>
      <w:lvlJc w:val="left"/>
      <w:pPr>
        <w:ind w:left="5698" w:hanging="632"/>
      </w:pPr>
      <w:rPr>
        <w:rFonts w:hint="default"/>
      </w:rPr>
    </w:lvl>
    <w:lvl w:ilvl="8">
      <w:start w:val="0"/>
      <w:numFmt w:val="bullet"/>
      <w:lvlText w:val="•"/>
      <w:lvlJc w:val="left"/>
      <w:pPr>
        <w:ind w:left="6412" w:hanging="632"/>
      </w:pPr>
      <w:rPr>
        <w:rFonts w:hint="default"/>
      </w:rPr>
    </w:lvl>
  </w:abstractNum>
  <w:abstractNum w:abstractNumId="22">
    <w:multiLevelType w:val="hybridMultilevel"/>
    <w:lvl w:ilvl="0">
      <w:start w:val="1"/>
      <w:numFmt w:val="decimal"/>
      <w:lvlText w:val="（%1）"/>
      <w:lvlJc w:val="left"/>
      <w:pPr>
        <w:ind w:left="106" w:hanging="632"/>
        <w:jc w:val="left"/>
      </w:pPr>
      <w:rPr>
        <w:rFonts w:hint="default" w:ascii="仿宋" w:hAnsi="仿宋" w:eastAsia="仿宋" w:cs="仿宋"/>
        <w:w w:val="100"/>
        <w:sz w:val="21"/>
        <w:szCs w:val="21"/>
      </w:rPr>
    </w:lvl>
    <w:lvl w:ilvl="1">
      <w:start w:val="0"/>
      <w:numFmt w:val="bullet"/>
      <w:lvlText w:val="•"/>
      <w:lvlJc w:val="left"/>
      <w:pPr>
        <w:ind w:left="883" w:hanging="632"/>
      </w:pPr>
      <w:rPr>
        <w:rFonts w:hint="default"/>
      </w:rPr>
    </w:lvl>
    <w:lvl w:ilvl="2">
      <w:start w:val="0"/>
      <w:numFmt w:val="bullet"/>
      <w:lvlText w:val="•"/>
      <w:lvlJc w:val="left"/>
      <w:pPr>
        <w:ind w:left="1666" w:hanging="632"/>
      </w:pPr>
      <w:rPr>
        <w:rFonts w:hint="default"/>
      </w:rPr>
    </w:lvl>
    <w:lvl w:ilvl="3">
      <w:start w:val="0"/>
      <w:numFmt w:val="bullet"/>
      <w:lvlText w:val="•"/>
      <w:lvlJc w:val="left"/>
      <w:pPr>
        <w:ind w:left="2450" w:hanging="632"/>
      </w:pPr>
      <w:rPr>
        <w:rFonts w:hint="default"/>
      </w:rPr>
    </w:lvl>
    <w:lvl w:ilvl="4">
      <w:start w:val="0"/>
      <w:numFmt w:val="bullet"/>
      <w:lvlText w:val="•"/>
      <w:lvlJc w:val="left"/>
      <w:pPr>
        <w:ind w:left="3233" w:hanging="632"/>
      </w:pPr>
      <w:rPr>
        <w:rFonts w:hint="default"/>
      </w:rPr>
    </w:lvl>
    <w:lvl w:ilvl="5">
      <w:start w:val="0"/>
      <w:numFmt w:val="bullet"/>
      <w:lvlText w:val="•"/>
      <w:lvlJc w:val="left"/>
      <w:pPr>
        <w:ind w:left="4017" w:hanging="632"/>
      </w:pPr>
      <w:rPr>
        <w:rFonts w:hint="default"/>
      </w:rPr>
    </w:lvl>
    <w:lvl w:ilvl="6">
      <w:start w:val="0"/>
      <w:numFmt w:val="bullet"/>
      <w:lvlText w:val="•"/>
      <w:lvlJc w:val="left"/>
      <w:pPr>
        <w:ind w:left="4800" w:hanging="632"/>
      </w:pPr>
      <w:rPr>
        <w:rFonts w:hint="default"/>
      </w:rPr>
    </w:lvl>
    <w:lvl w:ilvl="7">
      <w:start w:val="0"/>
      <w:numFmt w:val="bullet"/>
      <w:lvlText w:val="•"/>
      <w:lvlJc w:val="left"/>
      <w:pPr>
        <w:ind w:left="5583" w:hanging="632"/>
      </w:pPr>
      <w:rPr>
        <w:rFonts w:hint="default"/>
      </w:rPr>
    </w:lvl>
    <w:lvl w:ilvl="8">
      <w:start w:val="0"/>
      <w:numFmt w:val="bullet"/>
      <w:lvlText w:val="•"/>
      <w:lvlJc w:val="left"/>
      <w:pPr>
        <w:ind w:left="6367" w:hanging="632"/>
      </w:pPr>
      <w:rPr>
        <w:rFonts w:hint="default"/>
      </w:rPr>
    </w:lvl>
  </w:abstractNum>
  <w:abstractNum w:abstractNumId="21">
    <w:multiLevelType w:val="hybridMultilevel"/>
    <w:lvl w:ilvl="0">
      <w:start w:val="2"/>
      <w:numFmt w:val="decimal"/>
      <w:lvlText w:val="（%1）"/>
      <w:lvlJc w:val="left"/>
      <w:pPr>
        <w:ind w:left="738" w:hanging="632"/>
        <w:jc w:val="left"/>
      </w:pPr>
      <w:rPr>
        <w:rFonts w:hint="default" w:ascii="仿宋" w:hAnsi="仿宋" w:eastAsia="仿宋" w:cs="仿宋"/>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178" w:hanging="632"/>
      </w:pPr>
      <w:rPr>
        <w:rFonts w:hint="default"/>
      </w:rPr>
    </w:lvl>
    <w:lvl w:ilvl="3">
      <w:start w:val="0"/>
      <w:numFmt w:val="bullet"/>
      <w:lvlText w:val="•"/>
      <w:lvlJc w:val="left"/>
      <w:pPr>
        <w:ind w:left="2898" w:hanging="632"/>
      </w:pPr>
      <w:rPr>
        <w:rFonts w:hint="default"/>
      </w:rPr>
    </w:lvl>
    <w:lvl w:ilvl="4">
      <w:start w:val="0"/>
      <w:numFmt w:val="bullet"/>
      <w:lvlText w:val="•"/>
      <w:lvlJc w:val="left"/>
      <w:pPr>
        <w:ind w:left="3617" w:hanging="632"/>
      </w:pPr>
      <w:rPr>
        <w:rFonts w:hint="default"/>
      </w:rPr>
    </w:lvl>
    <w:lvl w:ilvl="5">
      <w:start w:val="0"/>
      <w:numFmt w:val="bullet"/>
      <w:lvlText w:val="•"/>
      <w:lvlJc w:val="left"/>
      <w:pPr>
        <w:ind w:left="4337" w:hanging="632"/>
      </w:pPr>
      <w:rPr>
        <w:rFonts w:hint="default"/>
      </w:rPr>
    </w:lvl>
    <w:lvl w:ilvl="6">
      <w:start w:val="0"/>
      <w:numFmt w:val="bullet"/>
      <w:lvlText w:val="•"/>
      <w:lvlJc w:val="left"/>
      <w:pPr>
        <w:ind w:left="5056" w:hanging="632"/>
      </w:pPr>
      <w:rPr>
        <w:rFonts w:hint="default"/>
      </w:rPr>
    </w:lvl>
    <w:lvl w:ilvl="7">
      <w:start w:val="0"/>
      <w:numFmt w:val="bullet"/>
      <w:lvlText w:val="•"/>
      <w:lvlJc w:val="left"/>
      <w:pPr>
        <w:ind w:left="5775" w:hanging="632"/>
      </w:pPr>
      <w:rPr>
        <w:rFonts w:hint="default"/>
      </w:rPr>
    </w:lvl>
    <w:lvl w:ilvl="8">
      <w:start w:val="0"/>
      <w:numFmt w:val="bullet"/>
      <w:lvlText w:val="•"/>
      <w:lvlJc w:val="left"/>
      <w:pPr>
        <w:ind w:left="6495" w:hanging="632"/>
      </w:pPr>
      <w:rPr>
        <w:rFonts w:hint="default"/>
      </w:rPr>
    </w:lvl>
  </w:abstractNum>
  <w:abstractNum w:abstractNumId="20">
    <w:multiLevelType w:val="hybridMultilevel"/>
    <w:lvl w:ilvl="0">
      <w:start w:val="1"/>
      <w:numFmt w:val="decimal"/>
      <w:lvlText w:val="（%1）"/>
      <w:lvlJc w:val="left"/>
      <w:pPr>
        <w:ind w:left="106" w:hanging="632"/>
        <w:jc w:val="left"/>
      </w:pPr>
      <w:rPr>
        <w:rFonts w:hint="default" w:ascii="仿宋" w:hAnsi="仿宋" w:eastAsia="仿宋" w:cs="仿宋"/>
        <w:w w:val="100"/>
        <w:sz w:val="21"/>
        <w:szCs w:val="21"/>
      </w:rPr>
    </w:lvl>
    <w:lvl w:ilvl="1">
      <w:start w:val="0"/>
      <w:numFmt w:val="bullet"/>
      <w:lvlText w:val="•"/>
      <w:lvlJc w:val="left"/>
      <w:pPr>
        <w:ind w:left="883" w:hanging="632"/>
      </w:pPr>
      <w:rPr>
        <w:rFonts w:hint="default"/>
      </w:rPr>
    </w:lvl>
    <w:lvl w:ilvl="2">
      <w:start w:val="0"/>
      <w:numFmt w:val="bullet"/>
      <w:lvlText w:val="•"/>
      <w:lvlJc w:val="left"/>
      <w:pPr>
        <w:ind w:left="1666" w:hanging="632"/>
      </w:pPr>
      <w:rPr>
        <w:rFonts w:hint="default"/>
      </w:rPr>
    </w:lvl>
    <w:lvl w:ilvl="3">
      <w:start w:val="0"/>
      <w:numFmt w:val="bullet"/>
      <w:lvlText w:val="•"/>
      <w:lvlJc w:val="left"/>
      <w:pPr>
        <w:ind w:left="2450" w:hanging="632"/>
      </w:pPr>
      <w:rPr>
        <w:rFonts w:hint="default"/>
      </w:rPr>
    </w:lvl>
    <w:lvl w:ilvl="4">
      <w:start w:val="0"/>
      <w:numFmt w:val="bullet"/>
      <w:lvlText w:val="•"/>
      <w:lvlJc w:val="left"/>
      <w:pPr>
        <w:ind w:left="3233" w:hanging="632"/>
      </w:pPr>
      <w:rPr>
        <w:rFonts w:hint="default"/>
      </w:rPr>
    </w:lvl>
    <w:lvl w:ilvl="5">
      <w:start w:val="0"/>
      <w:numFmt w:val="bullet"/>
      <w:lvlText w:val="•"/>
      <w:lvlJc w:val="left"/>
      <w:pPr>
        <w:ind w:left="4017" w:hanging="632"/>
      </w:pPr>
      <w:rPr>
        <w:rFonts w:hint="default"/>
      </w:rPr>
    </w:lvl>
    <w:lvl w:ilvl="6">
      <w:start w:val="0"/>
      <w:numFmt w:val="bullet"/>
      <w:lvlText w:val="•"/>
      <w:lvlJc w:val="left"/>
      <w:pPr>
        <w:ind w:left="4800" w:hanging="632"/>
      </w:pPr>
      <w:rPr>
        <w:rFonts w:hint="default"/>
      </w:rPr>
    </w:lvl>
    <w:lvl w:ilvl="7">
      <w:start w:val="0"/>
      <w:numFmt w:val="bullet"/>
      <w:lvlText w:val="•"/>
      <w:lvlJc w:val="left"/>
      <w:pPr>
        <w:ind w:left="5583" w:hanging="632"/>
      </w:pPr>
      <w:rPr>
        <w:rFonts w:hint="default"/>
      </w:rPr>
    </w:lvl>
    <w:lvl w:ilvl="8">
      <w:start w:val="0"/>
      <w:numFmt w:val="bullet"/>
      <w:lvlText w:val="•"/>
      <w:lvlJc w:val="left"/>
      <w:pPr>
        <w:ind w:left="6367" w:hanging="632"/>
      </w:pPr>
      <w:rPr>
        <w:rFonts w:hint="default"/>
      </w:rPr>
    </w:lvl>
  </w:abstractNum>
  <w:abstractNum w:abstractNumId="19">
    <w:multiLevelType w:val="hybridMultilevel"/>
    <w:lvl w:ilvl="0">
      <w:start w:val="1"/>
      <w:numFmt w:val="decimal"/>
      <w:lvlText w:val="（%1）"/>
      <w:lvlJc w:val="left"/>
      <w:pPr>
        <w:ind w:left="901" w:hanging="721"/>
        <w:jc w:val="left"/>
      </w:pPr>
      <w:rPr>
        <w:rFonts w:hint="default" w:ascii="仿宋" w:hAnsi="仿宋" w:eastAsia="仿宋" w:cs="仿宋"/>
        <w:w w:val="100"/>
        <w:sz w:val="21"/>
        <w:szCs w:val="21"/>
      </w:rPr>
    </w:lvl>
    <w:lvl w:ilvl="1">
      <w:start w:val="0"/>
      <w:numFmt w:val="bullet"/>
      <w:lvlText w:val="•"/>
      <w:lvlJc w:val="left"/>
      <w:pPr>
        <w:ind w:left="1611" w:hanging="721"/>
      </w:pPr>
      <w:rPr>
        <w:rFonts w:hint="default"/>
      </w:rPr>
    </w:lvl>
    <w:lvl w:ilvl="2">
      <w:start w:val="0"/>
      <w:numFmt w:val="bullet"/>
      <w:lvlText w:val="•"/>
      <w:lvlJc w:val="left"/>
      <w:pPr>
        <w:ind w:left="2323" w:hanging="721"/>
      </w:pPr>
      <w:rPr>
        <w:rFonts w:hint="default"/>
      </w:rPr>
    </w:lvl>
    <w:lvl w:ilvl="3">
      <w:start w:val="0"/>
      <w:numFmt w:val="bullet"/>
      <w:lvlText w:val="•"/>
      <w:lvlJc w:val="left"/>
      <w:pPr>
        <w:ind w:left="3035" w:hanging="721"/>
      </w:pPr>
      <w:rPr>
        <w:rFonts w:hint="default"/>
      </w:rPr>
    </w:lvl>
    <w:lvl w:ilvl="4">
      <w:start w:val="0"/>
      <w:numFmt w:val="bullet"/>
      <w:lvlText w:val="•"/>
      <w:lvlJc w:val="left"/>
      <w:pPr>
        <w:ind w:left="3746" w:hanging="721"/>
      </w:pPr>
      <w:rPr>
        <w:rFonts w:hint="default"/>
      </w:rPr>
    </w:lvl>
    <w:lvl w:ilvl="5">
      <w:start w:val="0"/>
      <w:numFmt w:val="bullet"/>
      <w:lvlText w:val="•"/>
      <w:lvlJc w:val="left"/>
      <w:pPr>
        <w:ind w:left="4458" w:hanging="721"/>
      </w:pPr>
      <w:rPr>
        <w:rFonts w:hint="default"/>
      </w:rPr>
    </w:lvl>
    <w:lvl w:ilvl="6">
      <w:start w:val="0"/>
      <w:numFmt w:val="bullet"/>
      <w:lvlText w:val="•"/>
      <w:lvlJc w:val="left"/>
      <w:pPr>
        <w:ind w:left="5170" w:hanging="721"/>
      </w:pPr>
      <w:rPr>
        <w:rFonts w:hint="default"/>
      </w:rPr>
    </w:lvl>
    <w:lvl w:ilvl="7">
      <w:start w:val="0"/>
      <w:numFmt w:val="bullet"/>
      <w:lvlText w:val="•"/>
      <w:lvlJc w:val="left"/>
      <w:pPr>
        <w:ind w:left="5881" w:hanging="721"/>
      </w:pPr>
      <w:rPr>
        <w:rFonts w:hint="default"/>
      </w:rPr>
    </w:lvl>
    <w:lvl w:ilvl="8">
      <w:start w:val="0"/>
      <w:numFmt w:val="bullet"/>
      <w:lvlText w:val="•"/>
      <w:lvlJc w:val="left"/>
      <w:pPr>
        <w:ind w:left="6593" w:hanging="721"/>
      </w:pPr>
      <w:rPr>
        <w:rFonts w:hint="default"/>
      </w:rPr>
    </w:lvl>
  </w:abstractNum>
  <w:abstractNum w:abstractNumId="18">
    <w:multiLevelType w:val="hybridMultilevel"/>
    <w:lvl w:ilvl="0">
      <w:start w:val="1"/>
      <w:numFmt w:val="decimal"/>
      <w:lvlText w:val="（%1）"/>
      <w:lvlJc w:val="left"/>
      <w:pPr>
        <w:ind w:left="901" w:hanging="721"/>
        <w:jc w:val="left"/>
      </w:pPr>
      <w:rPr>
        <w:rFonts w:hint="default" w:ascii="仿宋" w:hAnsi="仿宋" w:eastAsia="仿宋" w:cs="仿宋"/>
        <w:w w:val="100"/>
        <w:sz w:val="21"/>
        <w:szCs w:val="21"/>
      </w:rPr>
    </w:lvl>
    <w:lvl w:ilvl="1">
      <w:start w:val="0"/>
      <w:numFmt w:val="bullet"/>
      <w:lvlText w:val="•"/>
      <w:lvlJc w:val="left"/>
      <w:pPr>
        <w:ind w:left="1611" w:hanging="721"/>
      </w:pPr>
      <w:rPr>
        <w:rFonts w:hint="default"/>
      </w:rPr>
    </w:lvl>
    <w:lvl w:ilvl="2">
      <w:start w:val="0"/>
      <w:numFmt w:val="bullet"/>
      <w:lvlText w:val="•"/>
      <w:lvlJc w:val="left"/>
      <w:pPr>
        <w:ind w:left="2323" w:hanging="721"/>
      </w:pPr>
      <w:rPr>
        <w:rFonts w:hint="default"/>
      </w:rPr>
    </w:lvl>
    <w:lvl w:ilvl="3">
      <w:start w:val="0"/>
      <w:numFmt w:val="bullet"/>
      <w:lvlText w:val="•"/>
      <w:lvlJc w:val="left"/>
      <w:pPr>
        <w:ind w:left="3035" w:hanging="721"/>
      </w:pPr>
      <w:rPr>
        <w:rFonts w:hint="default"/>
      </w:rPr>
    </w:lvl>
    <w:lvl w:ilvl="4">
      <w:start w:val="0"/>
      <w:numFmt w:val="bullet"/>
      <w:lvlText w:val="•"/>
      <w:lvlJc w:val="left"/>
      <w:pPr>
        <w:ind w:left="3746" w:hanging="721"/>
      </w:pPr>
      <w:rPr>
        <w:rFonts w:hint="default"/>
      </w:rPr>
    </w:lvl>
    <w:lvl w:ilvl="5">
      <w:start w:val="0"/>
      <w:numFmt w:val="bullet"/>
      <w:lvlText w:val="•"/>
      <w:lvlJc w:val="left"/>
      <w:pPr>
        <w:ind w:left="4458" w:hanging="721"/>
      </w:pPr>
      <w:rPr>
        <w:rFonts w:hint="default"/>
      </w:rPr>
    </w:lvl>
    <w:lvl w:ilvl="6">
      <w:start w:val="0"/>
      <w:numFmt w:val="bullet"/>
      <w:lvlText w:val="•"/>
      <w:lvlJc w:val="left"/>
      <w:pPr>
        <w:ind w:left="5170" w:hanging="721"/>
      </w:pPr>
      <w:rPr>
        <w:rFonts w:hint="default"/>
      </w:rPr>
    </w:lvl>
    <w:lvl w:ilvl="7">
      <w:start w:val="0"/>
      <w:numFmt w:val="bullet"/>
      <w:lvlText w:val="•"/>
      <w:lvlJc w:val="left"/>
      <w:pPr>
        <w:ind w:left="5881" w:hanging="721"/>
      </w:pPr>
      <w:rPr>
        <w:rFonts w:hint="default"/>
      </w:rPr>
    </w:lvl>
    <w:lvl w:ilvl="8">
      <w:start w:val="0"/>
      <w:numFmt w:val="bullet"/>
      <w:lvlText w:val="•"/>
      <w:lvlJc w:val="left"/>
      <w:pPr>
        <w:ind w:left="6593" w:hanging="721"/>
      </w:pPr>
      <w:rPr>
        <w:rFonts w:hint="default"/>
      </w:rPr>
    </w:lvl>
  </w:abstractNum>
  <w:abstractNum w:abstractNumId="17">
    <w:multiLevelType w:val="hybridMultilevel"/>
    <w:lvl w:ilvl="0">
      <w:start w:val="1"/>
      <w:numFmt w:val="decimal"/>
      <w:lvlText w:val="（%1）"/>
      <w:lvlJc w:val="left"/>
      <w:pPr>
        <w:ind w:left="901" w:hanging="721"/>
        <w:jc w:val="left"/>
      </w:pPr>
      <w:rPr>
        <w:rFonts w:hint="default" w:ascii="仿宋" w:hAnsi="仿宋" w:eastAsia="仿宋" w:cs="仿宋"/>
        <w:w w:val="100"/>
        <w:sz w:val="21"/>
        <w:szCs w:val="21"/>
      </w:rPr>
    </w:lvl>
    <w:lvl w:ilvl="1">
      <w:start w:val="0"/>
      <w:numFmt w:val="bullet"/>
      <w:lvlText w:val="•"/>
      <w:lvlJc w:val="left"/>
      <w:pPr>
        <w:ind w:left="1591" w:hanging="721"/>
      </w:pPr>
      <w:rPr>
        <w:rFonts w:hint="default"/>
      </w:rPr>
    </w:lvl>
    <w:lvl w:ilvl="2">
      <w:start w:val="0"/>
      <w:numFmt w:val="bullet"/>
      <w:lvlText w:val="•"/>
      <w:lvlJc w:val="left"/>
      <w:pPr>
        <w:ind w:left="2282" w:hanging="721"/>
      </w:pPr>
      <w:rPr>
        <w:rFonts w:hint="default"/>
      </w:rPr>
    </w:lvl>
    <w:lvl w:ilvl="3">
      <w:start w:val="0"/>
      <w:numFmt w:val="bullet"/>
      <w:lvlText w:val="•"/>
      <w:lvlJc w:val="left"/>
      <w:pPr>
        <w:ind w:left="2973" w:hanging="721"/>
      </w:pPr>
      <w:rPr>
        <w:rFonts w:hint="default"/>
      </w:rPr>
    </w:lvl>
    <w:lvl w:ilvl="4">
      <w:start w:val="0"/>
      <w:numFmt w:val="bullet"/>
      <w:lvlText w:val="•"/>
      <w:lvlJc w:val="left"/>
      <w:pPr>
        <w:ind w:left="3664" w:hanging="721"/>
      </w:pPr>
      <w:rPr>
        <w:rFonts w:hint="default"/>
      </w:rPr>
    </w:lvl>
    <w:lvl w:ilvl="5">
      <w:start w:val="0"/>
      <w:numFmt w:val="bullet"/>
      <w:lvlText w:val="•"/>
      <w:lvlJc w:val="left"/>
      <w:pPr>
        <w:ind w:left="4356" w:hanging="721"/>
      </w:pPr>
      <w:rPr>
        <w:rFonts w:hint="default"/>
      </w:rPr>
    </w:lvl>
    <w:lvl w:ilvl="6">
      <w:start w:val="0"/>
      <w:numFmt w:val="bullet"/>
      <w:lvlText w:val="•"/>
      <w:lvlJc w:val="left"/>
      <w:pPr>
        <w:ind w:left="5047" w:hanging="721"/>
      </w:pPr>
      <w:rPr>
        <w:rFonts w:hint="default"/>
      </w:rPr>
    </w:lvl>
    <w:lvl w:ilvl="7">
      <w:start w:val="0"/>
      <w:numFmt w:val="bullet"/>
      <w:lvlText w:val="•"/>
      <w:lvlJc w:val="left"/>
      <w:pPr>
        <w:ind w:left="5738" w:hanging="721"/>
      </w:pPr>
      <w:rPr>
        <w:rFonts w:hint="default"/>
      </w:rPr>
    </w:lvl>
    <w:lvl w:ilvl="8">
      <w:start w:val="0"/>
      <w:numFmt w:val="bullet"/>
      <w:lvlText w:val="•"/>
      <w:lvlJc w:val="left"/>
      <w:pPr>
        <w:ind w:left="6429" w:hanging="721"/>
      </w:pPr>
      <w:rPr>
        <w:rFonts w:hint="default"/>
      </w:rPr>
    </w:lvl>
  </w:abstractNum>
  <w:abstractNum w:abstractNumId="16">
    <w:multiLevelType w:val="hybridMultilevel"/>
    <w:lvl w:ilvl="0">
      <w:start w:val="1"/>
      <w:numFmt w:val="decimal"/>
      <w:lvlText w:val="（%1）"/>
      <w:lvlJc w:val="left"/>
      <w:pPr>
        <w:ind w:left="805" w:hanging="625"/>
        <w:jc w:val="left"/>
      </w:pPr>
      <w:rPr>
        <w:rFonts w:hint="default" w:ascii="仿宋" w:hAnsi="仿宋" w:eastAsia="仿宋" w:cs="仿宋"/>
        <w:w w:val="100"/>
        <w:sz w:val="21"/>
        <w:szCs w:val="21"/>
      </w:rPr>
    </w:lvl>
    <w:lvl w:ilvl="1">
      <w:start w:val="0"/>
      <w:numFmt w:val="bullet"/>
      <w:lvlText w:val="•"/>
      <w:lvlJc w:val="left"/>
      <w:pPr>
        <w:ind w:left="1501" w:hanging="625"/>
      </w:pPr>
      <w:rPr>
        <w:rFonts w:hint="default"/>
      </w:rPr>
    </w:lvl>
    <w:lvl w:ilvl="2">
      <w:start w:val="0"/>
      <w:numFmt w:val="bullet"/>
      <w:lvlText w:val="•"/>
      <w:lvlJc w:val="left"/>
      <w:pPr>
        <w:ind w:left="2202" w:hanging="625"/>
      </w:pPr>
      <w:rPr>
        <w:rFonts w:hint="default"/>
      </w:rPr>
    </w:lvl>
    <w:lvl w:ilvl="3">
      <w:start w:val="0"/>
      <w:numFmt w:val="bullet"/>
      <w:lvlText w:val="•"/>
      <w:lvlJc w:val="left"/>
      <w:pPr>
        <w:ind w:left="2903" w:hanging="625"/>
      </w:pPr>
      <w:rPr>
        <w:rFonts w:hint="default"/>
      </w:rPr>
    </w:lvl>
    <w:lvl w:ilvl="4">
      <w:start w:val="0"/>
      <w:numFmt w:val="bullet"/>
      <w:lvlText w:val="•"/>
      <w:lvlJc w:val="left"/>
      <w:pPr>
        <w:ind w:left="3604" w:hanging="625"/>
      </w:pPr>
      <w:rPr>
        <w:rFonts w:hint="default"/>
      </w:rPr>
    </w:lvl>
    <w:lvl w:ilvl="5">
      <w:start w:val="0"/>
      <w:numFmt w:val="bullet"/>
      <w:lvlText w:val="•"/>
      <w:lvlJc w:val="left"/>
      <w:pPr>
        <w:ind w:left="4306" w:hanging="625"/>
      </w:pPr>
      <w:rPr>
        <w:rFonts w:hint="default"/>
      </w:rPr>
    </w:lvl>
    <w:lvl w:ilvl="6">
      <w:start w:val="0"/>
      <w:numFmt w:val="bullet"/>
      <w:lvlText w:val="•"/>
      <w:lvlJc w:val="left"/>
      <w:pPr>
        <w:ind w:left="5007" w:hanging="625"/>
      </w:pPr>
      <w:rPr>
        <w:rFonts w:hint="default"/>
      </w:rPr>
    </w:lvl>
    <w:lvl w:ilvl="7">
      <w:start w:val="0"/>
      <w:numFmt w:val="bullet"/>
      <w:lvlText w:val="•"/>
      <w:lvlJc w:val="left"/>
      <w:pPr>
        <w:ind w:left="5708" w:hanging="625"/>
      </w:pPr>
      <w:rPr>
        <w:rFonts w:hint="default"/>
      </w:rPr>
    </w:lvl>
    <w:lvl w:ilvl="8">
      <w:start w:val="0"/>
      <w:numFmt w:val="bullet"/>
      <w:lvlText w:val="•"/>
      <w:lvlJc w:val="left"/>
      <w:pPr>
        <w:ind w:left="6409" w:hanging="625"/>
      </w:pPr>
      <w:rPr>
        <w:rFonts w:hint="default"/>
      </w:rPr>
    </w:lvl>
  </w:abstractNum>
  <w:abstractNum w:abstractNumId="15">
    <w:multiLevelType w:val="hybridMultilevel"/>
    <w:lvl w:ilvl="0">
      <w:start w:val="1"/>
      <w:numFmt w:val="decimal"/>
      <w:lvlText w:val="（%1）"/>
      <w:lvlJc w:val="left"/>
      <w:pPr>
        <w:ind w:left="862" w:hanging="577"/>
        <w:jc w:val="left"/>
      </w:pPr>
      <w:rPr>
        <w:rFonts w:hint="default" w:ascii="仿宋" w:hAnsi="仿宋" w:eastAsia="仿宋" w:cs="仿宋"/>
        <w:w w:val="100"/>
        <w:sz w:val="21"/>
        <w:szCs w:val="21"/>
      </w:rPr>
    </w:lvl>
    <w:lvl w:ilvl="1">
      <w:start w:val="0"/>
      <w:numFmt w:val="bullet"/>
      <w:lvlText w:val="•"/>
      <w:lvlJc w:val="left"/>
      <w:pPr>
        <w:ind w:left="1565" w:hanging="577"/>
      </w:pPr>
      <w:rPr>
        <w:rFonts w:hint="default"/>
      </w:rPr>
    </w:lvl>
    <w:lvl w:ilvl="2">
      <w:start w:val="0"/>
      <w:numFmt w:val="bullet"/>
      <w:lvlText w:val="•"/>
      <w:lvlJc w:val="left"/>
      <w:pPr>
        <w:ind w:left="2271" w:hanging="577"/>
      </w:pPr>
      <w:rPr>
        <w:rFonts w:hint="default"/>
      </w:rPr>
    </w:lvl>
    <w:lvl w:ilvl="3">
      <w:start w:val="0"/>
      <w:numFmt w:val="bullet"/>
      <w:lvlText w:val="•"/>
      <w:lvlJc w:val="left"/>
      <w:pPr>
        <w:ind w:left="2977" w:hanging="577"/>
      </w:pPr>
      <w:rPr>
        <w:rFonts w:hint="default"/>
      </w:rPr>
    </w:lvl>
    <w:lvl w:ilvl="4">
      <w:start w:val="0"/>
      <w:numFmt w:val="bullet"/>
      <w:lvlText w:val="•"/>
      <w:lvlJc w:val="left"/>
      <w:pPr>
        <w:ind w:left="3683" w:hanging="577"/>
      </w:pPr>
      <w:rPr>
        <w:rFonts w:hint="default"/>
      </w:rPr>
    </w:lvl>
    <w:lvl w:ilvl="5">
      <w:start w:val="0"/>
      <w:numFmt w:val="bullet"/>
      <w:lvlText w:val="•"/>
      <w:lvlJc w:val="left"/>
      <w:pPr>
        <w:ind w:left="4389" w:hanging="577"/>
      </w:pPr>
      <w:rPr>
        <w:rFonts w:hint="default"/>
      </w:rPr>
    </w:lvl>
    <w:lvl w:ilvl="6">
      <w:start w:val="0"/>
      <w:numFmt w:val="bullet"/>
      <w:lvlText w:val="•"/>
      <w:lvlJc w:val="left"/>
      <w:pPr>
        <w:ind w:left="5095" w:hanging="577"/>
      </w:pPr>
      <w:rPr>
        <w:rFonts w:hint="default"/>
      </w:rPr>
    </w:lvl>
    <w:lvl w:ilvl="7">
      <w:start w:val="0"/>
      <w:numFmt w:val="bullet"/>
      <w:lvlText w:val="•"/>
      <w:lvlJc w:val="left"/>
      <w:pPr>
        <w:ind w:left="5801" w:hanging="577"/>
      </w:pPr>
      <w:rPr>
        <w:rFonts w:hint="default"/>
      </w:rPr>
    </w:lvl>
    <w:lvl w:ilvl="8">
      <w:start w:val="0"/>
      <w:numFmt w:val="bullet"/>
      <w:lvlText w:val="•"/>
      <w:lvlJc w:val="left"/>
      <w:pPr>
        <w:ind w:left="6507" w:hanging="577"/>
      </w:pPr>
      <w:rPr>
        <w:rFonts w:hint="default"/>
      </w:rPr>
    </w:lvl>
  </w:abstractNum>
  <w:abstractNum w:abstractNumId="14">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3">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2">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1">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0">
    <w:multiLevelType w:val="hybridMultilevel"/>
    <w:lvl w:ilvl="0">
      <w:start w:val="1"/>
      <w:numFmt w:val="decimal"/>
      <w:lvlText w:val="（%1）"/>
      <w:lvlJc w:val="left"/>
      <w:pPr>
        <w:ind w:left="813" w:hanging="632"/>
        <w:jc w:val="left"/>
      </w:pPr>
      <w:rPr>
        <w:rFonts w:hint="default" w:ascii="仿宋" w:hAnsi="仿宋" w:eastAsia="仿宋" w:cs="仿宋"/>
        <w:w w:val="100"/>
        <w:sz w:val="21"/>
        <w:szCs w:val="21"/>
      </w:rPr>
    </w:lvl>
    <w:lvl w:ilvl="1">
      <w:start w:val="0"/>
      <w:numFmt w:val="bullet"/>
      <w:lvlText w:val="•"/>
      <w:lvlJc w:val="left"/>
      <w:pPr>
        <w:ind w:left="1519" w:hanging="632"/>
      </w:pPr>
      <w:rPr>
        <w:rFonts w:hint="default"/>
      </w:rPr>
    </w:lvl>
    <w:lvl w:ilvl="2">
      <w:start w:val="0"/>
      <w:numFmt w:val="bullet"/>
      <w:lvlText w:val="•"/>
      <w:lvlJc w:val="left"/>
      <w:pPr>
        <w:ind w:left="2218" w:hanging="632"/>
      </w:pPr>
      <w:rPr>
        <w:rFonts w:hint="default"/>
      </w:rPr>
    </w:lvl>
    <w:lvl w:ilvl="3">
      <w:start w:val="0"/>
      <w:numFmt w:val="bullet"/>
      <w:lvlText w:val="•"/>
      <w:lvlJc w:val="left"/>
      <w:pPr>
        <w:ind w:left="2918" w:hanging="632"/>
      </w:pPr>
      <w:rPr>
        <w:rFonts w:hint="default"/>
      </w:rPr>
    </w:lvl>
    <w:lvl w:ilvl="4">
      <w:start w:val="0"/>
      <w:numFmt w:val="bullet"/>
      <w:lvlText w:val="•"/>
      <w:lvlJc w:val="left"/>
      <w:pPr>
        <w:ind w:left="3617" w:hanging="632"/>
      </w:pPr>
      <w:rPr>
        <w:rFonts w:hint="default"/>
      </w:rPr>
    </w:lvl>
    <w:lvl w:ilvl="5">
      <w:start w:val="0"/>
      <w:numFmt w:val="bullet"/>
      <w:lvlText w:val="•"/>
      <w:lvlJc w:val="left"/>
      <w:pPr>
        <w:ind w:left="4317" w:hanging="632"/>
      </w:pPr>
      <w:rPr>
        <w:rFonts w:hint="default"/>
      </w:rPr>
    </w:lvl>
    <w:lvl w:ilvl="6">
      <w:start w:val="0"/>
      <w:numFmt w:val="bullet"/>
      <w:lvlText w:val="•"/>
      <w:lvlJc w:val="left"/>
      <w:pPr>
        <w:ind w:left="5016" w:hanging="632"/>
      </w:pPr>
      <w:rPr>
        <w:rFonts w:hint="default"/>
      </w:rPr>
    </w:lvl>
    <w:lvl w:ilvl="7">
      <w:start w:val="0"/>
      <w:numFmt w:val="bullet"/>
      <w:lvlText w:val="•"/>
      <w:lvlJc w:val="left"/>
      <w:pPr>
        <w:ind w:left="5715" w:hanging="632"/>
      </w:pPr>
      <w:rPr>
        <w:rFonts w:hint="default"/>
      </w:rPr>
    </w:lvl>
    <w:lvl w:ilvl="8">
      <w:start w:val="0"/>
      <w:numFmt w:val="bullet"/>
      <w:lvlText w:val="•"/>
      <w:lvlJc w:val="left"/>
      <w:pPr>
        <w:ind w:left="6415" w:hanging="632"/>
      </w:pPr>
      <w:rPr>
        <w:rFonts w:hint="default"/>
      </w:rPr>
    </w:lvl>
  </w:abstractNum>
  <w:abstractNum w:abstractNumId="9">
    <w:multiLevelType w:val="hybridMultilevel"/>
    <w:lvl w:ilvl="0">
      <w:start w:val="1"/>
      <w:numFmt w:val="decimal"/>
      <w:lvlText w:val="%1"/>
      <w:lvlJc w:val="left"/>
      <w:pPr>
        <w:ind w:left="938" w:hanging="675"/>
        <w:jc w:val="left"/>
      </w:pPr>
      <w:rPr>
        <w:rFonts w:hint="default" w:ascii="仿宋" w:hAnsi="仿宋" w:eastAsia="仿宋" w:cs="仿宋"/>
        <w:b/>
        <w:bCs/>
        <w:w w:val="98"/>
        <w:position w:val="-2"/>
        <w:sz w:val="32"/>
        <w:szCs w:val="32"/>
      </w:rPr>
    </w:lvl>
    <w:lvl w:ilvl="1">
      <w:start w:val="1"/>
      <w:numFmt w:val="decimal"/>
      <w:lvlText w:val="%1.%2"/>
      <w:lvlJc w:val="left"/>
      <w:pPr>
        <w:ind w:left="2357" w:hanging="714"/>
        <w:jc w:val="left"/>
      </w:pPr>
      <w:rPr>
        <w:rFonts w:hint="default" w:ascii="仿宋" w:hAnsi="仿宋" w:eastAsia="仿宋" w:cs="仿宋"/>
        <w:b/>
        <w:bCs/>
        <w:w w:val="99"/>
        <w:sz w:val="21"/>
        <w:szCs w:val="21"/>
      </w:rPr>
    </w:lvl>
    <w:lvl w:ilvl="2">
      <w:start w:val="0"/>
      <w:numFmt w:val="bullet"/>
      <w:lvlText w:val="•"/>
      <w:lvlJc w:val="left"/>
      <w:pPr>
        <w:ind w:left="3220" w:hanging="714"/>
      </w:pPr>
      <w:rPr>
        <w:rFonts w:hint="default"/>
      </w:rPr>
    </w:lvl>
    <w:lvl w:ilvl="3">
      <w:start w:val="0"/>
      <w:numFmt w:val="bullet"/>
      <w:lvlText w:val="•"/>
      <w:lvlJc w:val="left"/>
      <w:pPr>
        <w:ind w:left="4081" w:hanging="714"/>
      </w:pPr>
      <w:rPr>
        <w:rFonts w:hint="default"/>
      </w:rPr>
    </w:lvl>
    <w:lvl w:ilvl="4">
      <w:start w:val="0"/>
      <w:numFmt w:val="bullet"/>
      <w:lvlText w:val="•"/>
      <w:lvlJc w:val="left"/>
      <w:pPr>
        <w:ind w:left="4942" w:hanging="714"/>
      </w:pPr>
      <w:rPr>
        <w:rFonts w:hint="default"/>
      </w:rPr>
    </w:lvl>
    <w:lvl w:ilvl="5">
      <w:start w:val="0"/>
      <w:numFmt w:val="bullet"/>
      <w:lvlText w:val="•"/>
      <w:lvlJc w:val="left"/>
      <w:pPr>
        <w:ind w:left="5802" w:hanging="714"/>
      </w:pPr>
      <w:rPr>
        <w:rFonts w:hint="default"/>
      </w:rPr>
    </w:lvl>
    <w:lvl w:ilvl="6">
      <w:start w:val="0"/>
      <w:numFmt w:val="bullet"/>
      <w:lvlText w:val="•"/>
      <w:lvlJc w:val="left"/>
      <w:pPr>
        <w:ind w:left="6663" w:hanging="714"/>
      </w:pPr>
      <w:rPr>
        <w:rFonts w:hint="default"/>
      </w:rPr>
    </w:lvl>
    <w:lvl w:ilvl="7">
      <w:start w:val="0"/>
      <w:numFmt w:val="bullet"/>
      <w:lvlText w:val="•"/>
      <w:lvlJc w:val="left"/>
      <w:pPr>
        <w:ind w:left="7524" w:hanging="714"/>
      </w:pPr>
      <w:rPr>
        <w:rFonts w:hint="default"/>
      </w:rPr>
    </w:lvl>
    <w:lvl w:ilvl="8">
      <w:start w:val="0"/>
      <w:numFmt w:val="bullet"/>
      <w:lvlText w:val="•"/>
      <w:lvlJc w:val="left"/>
      <w:pPr>
        <w:ind w:left="8384" w:hanging="714"/>
      </w:pPr>
      <w:rPr>
        <w:rFonts w:hint="default"/>
      </w:rPr>
    </w:lvl>
  </w:abstractNum>
  <w:abstractNum w:abstractNumId="8">
    <w:multiLevelType w:val="hybridMultilevel"/>
    <w:lvl w:ilvl="0">
      <w:start w:val="9"/>
      <w:numFmt w:val="decimal"/>
      <w:lvlText w:val="%1"/>
      <w:lvlJc w:val="left"/>
      <w:pPr>
        <w:ind w:left="1217" w:hanging="423"/>
        <w:jc w:val="left"/>
      </w:pPr>
      <w:rPr>
        <w:rFonts w:hint="default"/>
      </w:rPr>
    </w:lvl>
    <w:lvl w:ilvl="1">
      <w:start w:val="1"/>
      <w:numFmt w:val="decimal"/>
      <w:lvlText w:val="%1.%2"/>
      <w:lvlJc w:val="left"/>
      <w:pPr>
        <w:ind w:left="1215" w:hanging="423"/>
        <w:jc w:val="right"/>
      </w:pPr>
      <w:rPr>
        <w:rFonts w:hint="default" w:ascii="仿宋" w:hAnsi="仿宋" w:eastAsia="仿宋" w:cs="仿宋"/>
        <w:w w:val="100"/>
        <w:sz w:val="21"/>
        <w:szCs w:val="21"/>
      </w:rPr>
    </w:lvl>
    <w:lvl w:ilvl="2">
      <w:start w:val="0"/>
      <w:numFmt w:val="bullet"/>
      <w:lvlText w:val="•"/>
      <w:lvlJc w:val="left"/>
      <w:pPr>
        <w:ind w:left="1597"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197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353" w:hanging="423"/>
      </w:pPr>
      <w:rPr>
        <w:rFonts w:hint="default"/>
      </w:rPr>
    </w:lvl>
    <w:lvl w:ilvl="7">
      <w:start w:val="0"/>
      <w:numFmt w:val="bullet"/>
      <w:lvlText w:val="•"/>
      <w:lvlJc w:val="left"/>
      <w:pPr>
        <w:ind w:left="2542" w:hanging="423"/>
      </w:pPr>
      <w:rPr>
        <w:rFonts w:hint="default"/>
      </w:rPr>
    </w:lvl>
    <w:lvl w:ilvl="8">
      <w:start w:val="0"/>
      <w:numFmt w:val="bullet"/>
      <w:lvlText w:val="•"/>
      <w:lvlJc w:val="left"/>
      <w:pPr>
        <w:ind w:left="2731" w:hanging="423"/>
      </w:pPr>
      <w:rPr>
        <w:rFonts w:hint="default"/>
      </w:rPr>
    </w:lvl>
  </w:abstractNum>
  <w:abstractNum w:abstractNumId="7">
    <w:multiLevelType w:val="hybridMultilevel"/>
    <w:lvl w:ilvl="0">
      <w:start w:val="8"/>
      <w:numFmt w:val="decimal"/>
      <w:lvlText w:val="%1"/>
      <w:lvlJc w:val="left"/>
      <w:pPr>
        <w:ind w:left="1217" w:hanging="423"/>
        <w:jc w:val="left"/>
      </w:pPr>
      <w:rPr>
        <w:rFonts w:hint="default"/>
      </w:rPr>
    </w:lvl>
    <w:lvl w:ilvl="1">
      <w:start w:val="1"/>
      <w:numFmt w:val="decimal"/>
      <w:lvlText w:val="%1.%2"/>
      <w:lvlJc w:val="left"/>
      <w:pPr>
        <w:ind w:left="1217" w:hanging="423"/>
        <w:jc w:val="left"/>
      </w:pPr>
      <w:rPr>
        <w:rFonts w:hint="default" w:ascii="仿宋" w:hAnsi="仿宋" w:eastAsia="仿宋" w:cs="仿宋"/>
        <w:w w:val="100"/>
        <w:sz w:val="21"/>
        <w:szCs w:val="21"/>
      </w:rPr>
    </w:lvl>
    <w:lvl w:ilvl="2">
      <w:start w:val="0"/>
      <w:numFmt w:val="bullet"/>
      <w:lvlText w:val="•"/>
      <w:lvlJc w:val="left"/>
      <w:pPr>
        <w:ind w:left="1597"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197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353" w:hanging="423"/>
      </w:pPr>
      <w:rPr>
        <w:rFonts w:hint="default"/>
      </w:rPr>
    </w:lvl>
    <w:lvl w:ilvl="7">
      <w:start w:val="0"/>
      <w:numFmt w:val="bullet"/>
      <w:lvlText w:val="•"/>
      <w:lvlJc w:val="left"/>
      <w:pPr>
        <w:ind w:left="2542" w:hanging="423"/>
      </w:pPr>
      <w:rPr>
        <w:rFonts w:hint="default"/>
      </w:rPr>
    </w:lvl>
    <w:lvl w:ilvl="8">
      <w:start w:val="0"/>
      <w:numFmt w:val="bullet"/>
      <w:lvlText w:val="•"/>
      <w:lvlJc w:val="left"/>
      <w:pPr>
        <w:ind w:left="2731" w:hanging="423"/>
      </w:pPr>
      <w:rPr>
        <w:rFonts w:hint="default"/>
      </w:rPr>
    </w:lvl>
  </w:abstractNum>
  <w:abstractNum w:abstractNumId="6">
    <w:multiLevelType w:val="hybridMultilevel"/>
    <w:lvl w:ilvl="0">
      <w:start w:val="6"/>
      <w:numFmt w:val="decimal"/>
      <w:lvlText w:val="%1"/>
      <w:lvlJc w:val="left"/>
      <w:pPr>
        <w:ind w:left="1217" w:hanging="423"/>
        <w:jc w:val="left"/>
      </w:pPr>
      <w:rPr>
        <w:rFonts w:hint="default"/>
      </w:rPr>
    </w:lvl>
    <w:lvl w:ilvl="1">
      <w:start w:val="1"/>
      <w:numFmt w:val="decimal"/>
      <w:lvlText w:val="%1.%2"/>
      <w:lvlJc w:val="left"/>
      <w:pPr>
        <w:ind w:left="1217" w:hanging="423"/>
        <w:jc w:val="left"/>
      </w:pPr>
      <w:rPr>
        <w:rFonts w:hint="default" w:ascii="仿宋" w:hAnsi="仿宋" w:eastAsia="仿宋" w:cs="仿宋"/>
        <w:w w:val="100"/>
        <w:sz w:val="21"/>
        <w:szCs w:val="21"/>
      </w:rPr>
    </w:lvl>
    <w:lvl w:ilvl="2">
      <w:start w:val="0"/>
      <w:numFmt w:val="bullet"/>
      <w:lvlText w:val="•"/>
      <w:lvlJc w:val="left"/>
      <w:pPr>
        <w:ind w:left="1597"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197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353" w:hanging="423"/>
      </w:pPr>
      <w:rPr>
        <w:rFonts w:hint="default"/>
      </w:rPr>
    </w:lvl>
    <w:lvl w:ilvl="7">
      <w:start w:val="0"/>
      <w:numFmt w:val="bullet"/>
      <w:lvlText w:val="•"/>
      <w:lvlJc w:val="left"/>
      <w:pPr>
        <w:ind w:left="2542" w:hanging="423"/>
      </w:pPr>
      <w:rPr>
        <w:rFonts w:hint="default"/>
      </w:rPr>
    </w:lvl>
    <w:lvl w:ilvl="8">
      <w:start w:val="0"/>
      <w:numFmt w:val="bullet"/>
      <w:lvlText w:val="•"/>
      <w:lvlJc w:val="left"/>
      <w:pPr>
        <w:ind w:left="2731" w:hanging="423"/>
      </w:pPr>
      <w:rPr>
        <w:rFonts w:hint="default"/>
      </w:rPr>
    </w:lvl>
  </w:abstractNum>
  <w:abstractNum w:abstractNumId="5">
    <w:multiLevelType w:val="hybridMultilevel"/>
    <w:lvl w:ilvl="0">
      <w:start w:val="5"/>
      <w:numFmt w:val="decimal"/>
      <w:lvlText w:val="%1"/>
      <w:lvlJc w:val="left"/>
      <w:pPr>
        <w:ind w:left="1781" w:hanging="370"/>
        <w:jc w:val="left"/>
      </w:pPr>
      <w:rPr>
        <w:rFonts w:hint="default"/>
      </w:rPr>
    </w:lvl>
    <w:lvl w:ilvl="1">
      <w:start w:val="1"/>
      <w:numFmt w:val="decimal"/>
      <w:lvlText w:val="%1.%2"/>
      <w:lvlJc w:val="left"/>
      <w:pPr>
        <w:ind w:left="1781" w:hanging="370"/>
        <w:jc w:val="right"/>
      </w:pPr>
      <w:rPr>
        <w:rFonts w:hint="default" w:ascii="仿宋" w:hAnsi="仿宋" w:eastAsia="仿宋" w:cs="仿宋"/>
        <w:w w:val="100"/>
        <w:sz w:val="21"/>
        <w:szCs w:val="21"/>
      </w:rPr>
    </w:lvl>
    <w:lvl w:ilvl="2">
      <w:start w:val="0"/>
      <w:numFmt w:val="bullet"/>
      <w:lvlText w:val="•"/>
      <w:lvlJc w:val="left"/>
      <w:pPr>
        <w:ind w:left="2169" w:hanging="370"/>
      </w:pPr>
      <w:rPr>
        <w:rFonts w:hint="default"/>
      </w:rPr>
    </w:lvl>
    <w:lvl w:ilvl="3">
      <w:start w:val="0"/>
      <w:numFmt w:val="bullet"/>
      <w:lvlText w:val="•"/>
      <w:lvlJc w:val="left"/>
      <w:pPr>
        <w:ind w:left="2363" w:hanging="370"/>
      </w:pPr>
      <w:rPr>
        <w:rFonts w:hint="default"/>
      </w:rPr>
    </w:lvl>
    <w:lvl w:ilvl="4">
      <w:start w:val="0"/>
      <w:numFmt w:val="bullet"/>
      <w:lvlText w:val="•"/>
      <w:lvlJc w:val="left"/>
      <w:pPr>
        <w:ind w:left="2558" w:hanging="370"/>
      </w:pPr>
      <w:rPr>
        <w:rFonts w:hint="default"/>
      </w:rPr>
    </w:lvl>
    <w:lvl w:ilvl="5">
      <w:start w:val="0"/>
      <w:numFmt w:val="bullet"/>
      <w:lvlText w:val="•"/>
      <w:lvlJc w:val="left"/>
      <w:pPr>
        <w:ind w:left="2752" w:hanging="370"/>
      </w:pPr>
      <w:rPr>
        <w:rFonts w:hint="default"/>
      </w:rPr>
    </w:lvl>
    <w:lvl w:ilvl="6">
      <w:start w:val="0"/>
      <w:numFmt w:val="bullet"/>
      <w:lvlText w:val="•"/>
      <w:lvlJc w:val="left"/>
      <w:pPr>
        <w:ind w:left="2947" w:hanging="370"/>
      </w:pPr>
      <w:rPr>
        <w:rFonts w:hint="default"/>
      </w:rPr>
    </w:lvl>
    <w:lvl w:ilvl="7">
      <w:start w:val="0"/>
      <w:numFmt w:val="bullet"/>
      <w:lvlText w:val="•"/>
      <w:lvlJc w:val="left"/>
      <w:pPr>
        <w:ind w:left="3141" w:hanging="370"/>
      </w:pPr>
      <w:rPr>
        <w:rFonts w:hint="default"/>
      </w:rPr>
    </w:lvl>
    <w:lvl w:ilvl="8">
      <w:start w:val="0"/>
      <w:numFmt w:val="bullet"/>
      <w:lvlText w:val="•"/>
      <w:lvlJc w:val="left"/>
      <w:pPr>
        <w:ind w:left="3336" w:hanging="370"/>
      </w:pPr>
      <w:rPr>
        <w:rFonts w:hint="default"/>
      </w:rPr>
    </w:lvl>
  </w:abstractNum>
  <w:abstractNum w:abstractNumId="4">
    <w:multiLevelType w:val="hybridMultilevel"/>
    <w:lvl w:ilvl="0">
      <w:start w:val="4"/>
      <w:numFmt w:val="decimal"/>
      <w:lvlText w:val="%1"/>
      <w:lvlJc w:val="left"/>
      <w:pPr>
        <w:ind w:left="1834" w:hanging="423"/>
        <w:jc w:val="left"/>
      </w:pPr>
      <w:rPr>
        <w:rFonts w:hint="default"/>
      </w:rPr>
    </w:lvl>
    <w:lvl w:ilvl="1">
      <w:start w:val="1"/>
      <w:numFmt w:val="decimal"/>
      <w:lvlText w:val="%1.%2"/>
      <w:lvlJc w:val="left"/>
      <w:pPr>
        <w:ind w:left="1834"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3">
    <w:multiLevelType w:val="hybridMultilevel"/>
    <w:lvl w:ilvl="0">
      <w:start w:val="3"/>
      <w:numFmt w:val="decimal"/>
      <w:lvlText w:val="%1"/>
      <w:lvlJc w:val="left"/>
      <w:pPr>
        <w:ind w:left="1834" w:hanging="423"/>
        <w:jc w:val="left"/>
      </w:pPr>
      <w:rPr>
        <w:rFonts w:hint="default"/>
      </w:rPr>
    </w:lvl>
    <w:lvl w:ilvl="1">
      <w:start w:val="1"/>
      <w:numFmt w:val="decimal"/>
      <w:lvlText w:val="%1.%2"/>
      <w:lvlJc w:val="left"/>
      <w:pPr>
        <w:ind w:left="1834"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2">
    <w:multiLevelType w:val="hybridMultilevel"/>
    <w:lvl w:ilvl="0">
      <w:start w:val="2"/>
      <w:numFmt w:val="decimal"/>
      <w:lvlText w:val="%1"/>
      <w:lvlJc w:val="left"/>
      <w:pPr>
        <w:ind w:left="1834" w:hanging="423"/>
        <w:jc w:val="left"/>
      </w:pPr>
      <w:rPr>
        <w:rFonts w:hint="default"/>
      </w:rPr>
    </w:lvl>
    <w:lvl w:ilvl="1">
      <w:start w:val="1"/>
      <w:numFmt w:val="decimal"/>
      <w:lvlText w:val="%1.%2"/>
      <w:lvlJc w:val="left"/>
      <w:pPr>
        <w:ind w:left="1831"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1">
    <w:multiLevelType w:val="hybridMultilevel"/>
    <w:lvl w:ilvl="0">
      <w:start w:val="1"/>
      <w:numFmt w:val="decimal"/>
      <w:lvlText w:val="%1"/>
      <w:lvlJc w:val="left"/>
      <w:pPr>
        <w:ind w:left="1834" w:hanging="423"/>
        <w:jc w:val="left"/>
      </w:pPr>
      <w:rPr>
        <w:rFonts w:hint="default"/>
      </w:rPr>
    </w:lvl>
    <w:lvl w:ilvl="1">
      <w:start w:val="1"/>
      <w:numFmt w:val="decimal"/>
      <w:lvlText w:val="%1.%2"/>
      <w:lvlJc w:val="left"/>
      <w:pPr>
        <w:ind w:left="1834"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仿宋" w:hAnsi="仿宋" w:eastAsia="仿宋" w:cs="仿宋"/>
      <w:sz w:val="21"/>
      <w:szCs w:val="21"/>
    </w:rPr>
  </w:style>
  <w:style w:styleId="ListParagraph" w:type="paragraph">
    <w:name w:val="List Paragraph"/>
    <w:basedOn w:val="Normal"/>
    <w:uiPriority w:val="1"/>
    <w:qFormat/>
    <w:pPr>
      <w:spacing w:line="260" w:lineRule="exact"/>
      <w:ind w:left="1218" w:hanging="420"/>
    </w:pPr>
    <w:rPr>
      <w:rFonts w:ascii="仿宋" w:hAnsi="仿宋" w:eastAsia="仿宋" w:cs="仿宋"/>
    </w:rPr>
  </w:style>
  <w:style w:styleId="TableParagraph" w:type="paragraph">
    <w:name w:val="Table Paragraph"/>
    <w:basedOn w:val="Normal"/>
    <w:uiPriority w:val="1"/>
    <w:qFormat/>
    <w:pPr>
      <w:spacing w:before="37"/>
      <w:ind w:left="200"/>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2018-10-20T07:53:26Z</dcterms:created>
  <dcterms:modified xsi:type="dcterms:W3CDTF">2018-10-20T07:53:26Z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Microsoft® Word 2010</vt:lpwstr>
  </property>
  <property fmtid="{D5CDD505-2E9C-101B-9397-08002B2CF9AE}" pid="4" name="LastSaved">
    <vt:filetime>2018-10-19T00:00:00Z</vt:filetime>
  </property>
</Properties>
</file>