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6"/>
        <w:ind w:right="116"/>
        <w:jc w:val="right"/>
        <w:rPr>
          <w:rFonts w:ascii="宋体" w:eastAsia="宋体" w:hint="eastAsia"/>
        </w:rPr>
      </w:pPr>
      <w:r>
        <w:rPr/>
        <w:drawing>
          <wp:anchor distT="0" distB="0" distL="0" distR="0" allowOverlap="1" layoutInCell="1" locked="0" behindDoc="0" simplePos="0" relativeHeight="0">
            <wp:simplePos x="0" y="0"/>
            <wp:positionH relativeFrom="page">
              <wp:posOffset>6057900</wp:posOffset>
            </wp:positionH>
            <wp:positionV relativeFrom="paragraph">
              <wp:posOffset>256455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宋体" w:eastAsia="宋体" w:hint="eastAsia"/>
        </w:rPr>
        <w:t>中韩人寿〔</w:t>
      </w:r>
      <w:r>
        <w:rPr>
          <w:rFonts w:ascii="Times New Roman" w:eastAsia="Times New Roman"/>
        </w:rPr>
        <w:t>2015</w:t>
      </w:r>
      <w:r>
        <w:rPr>
          <w:rFonts w:ascii="宋体" w:eastAsia="宋体" w:hint="eastAsia"/>
        </w:rPr>
        <w:t>〕疾病保险 </w:t>
      </w:r>
      <w:r>
        <w:rPr>
          <w:rFonts w:ascii="Times New Roman" w:eastAsia="Times New Roman"/>
        </w:rPr>
        <w:t>002 </w:t>
      </w:r>
      <w:r>
        <w:rPr>
          <w:rFonts w:ascii="宋体" w:eastAsia="宋体" w:hint="eastAsia"/>
        </w:rPr>
        <w:t>号</w:t>
      </w:r>
    </w:p>
    <w:p>
      <w:pPr>
        <w:spacing w:line="240" w:lineRule="auto" w:before="2"/>
        <w:rPr>
          <w:sz w:val="24"/>
        </w:rPr>
      </w:pPr>
    </w:p>
    <w:p>
      <w:pPr>
        <w:spacing w:after="0" w:line="240" w:lineRule="auto"/>
        <w:rPr>
          <w:sz w:val="24"/>
        </w:rPr>
        <w:sectPr>
          <w:type w:val="continuous"/>
          <w:pgSz w:w="11910" w:h="16840"/>
          <w:pgMar w:top="180" w:bottom="280" w:left="1020" w:right="220"/>
        </w:sectPr>
      </w:pPr>
    </w:p>
    <w:p>
      <w:pPr>
        <w:spacing w:before="1"/>
        <w:ind w:left="232" w:right="0" w:firstLine="0"/>
        <w:jc w:val="left"/>
        <w:rPr>
          <w:rFonts w:ascii="黑体" w:eastAsia="黑体" w:hint="eastAsia"/>
          <w:sz w:val="32"/>
        </w:rPr>
      </w:pPr>
      <w:r>
        <w:rPr>
          <w:rFonts w:ascii="黑体" w:eastAsia="黑体" w:hint="eastAsia"/>
          <w:spacing w:val="-27"/>
          <w:sz w:val="32"/>
        </w:rPr>
        <w:t>附件 </w:t>
      </w:r>
      <w:r>
        <w:rPr>
          <w:rFonts w:ascii="黑体" w:eastAsia="黑体" w:hint="eastAsia"/>
          <w:sz w:val="32"/>
        </w:rPr>
        <w:t>2</w:t>
      </w:r>
    </w:p>
    <w:p>
      <w:pPr>
        <w:pStyle w:val="BodyText"/>
        <w:rPr>
          <w:sz w:val="32"/>
        </w:rPr>
      </w:pPr>
      <w:r>
        <w:rPr/>
        <w:br w:type="column"/>
      </w:r>
      <w:r>
        <w:rPr>
          <w:sz w:val="32"/>
        </w:rPr>
      </w:r>
    </w:p>
    <w:p>
      <w:pPr>
        <w:pStyle w:val="Heading1"/>
        <w:spacing w:before="218"/>
      </w:pPr>
      <w:bookmarkStart w:name="中韩人寿保险有限公司" w:id="1"/>
      <w:bookmarkEnd w:id="1"/>
      <w:r>
        <w:rPr>
          <w:b w:val="0"/>
        </w:rPr>
      </w:r>
      <w:r>
        <w:rPr>
          <w:w w:val="95"/>
        </w:rPr>
        <w:t>中韩人寿保险有限公司</w:t>
      </w:r>
    </w:p>
    <w:p>
      <w:pPr>
        <w:spacing w:before="205"/>
        <w:ind w:left="229" w:right="0" w:firstLine="0"/>
        <w:jc w:val="center"/>
        <w:rPr>
          <w:rFonts w:ascii="黑体" w:eastAsia="黑体" w:hint="eastAsia"/>
          <w:b/>
          <w:sz w:val="32"/>
        </w:rPr>
      </w:pPr>
      <w:bookmarkStart w:name="中韩团体终身重大疾病保险A款条款" w:id="2"/>
      <w:bookmarkEnd w:id="2"/>
      <w:r>
        <w:rPr/>
      </w:r>
      <w:r>
        <w:rPr>
          <w:rFonts w:ascii="黑体" w:eastAsia="黑体" w:hint="eastAsia"/>
          <w:b/>
          <w:sz w:val="32"/>
        </w:rPr>
        <w:t>中韩团体终身重大疾病保险 A 款条款</w:t>
      </w:r>
    </w:p>
    <w:p>
      <w:pPr>
        <w:spacing w:before="113"/>
        <w:ind w:left="231" w:right="0" w:firstLine="0"/>
        <w:jc w:val="center"/>
        <w:rPr>
          <w:rFonts w:ascii="黑体" w:eastAsia="黑体" w:hint="eastAsia"/>
          <w:b/>
          <w:sz w:val="24"/>
        </w:rPr>
      </w:pPr>
      <w:r>
        <w:rPr>
          <w:rFonts w:ascii="黑体" w:eastAsia="黑体" w:hint="eastAsia"/>
          <w:b/>
          <w:sz w:val="24"/>
        </w:rPr>
        <w:t>阅 读 指 引</w:t>
      </w:r>
    </w:p>
    <w:p>
      <w:pPr>
        <w:pStyle w:val="BodyText"/>
        <w:spacing w:line="341" w:lineRule="exact" w:before="27"/>
        <w:ind w:left="232"/>
        <w:jc w:val="center"/>
      </w:pPr>
      <w:r>
        <w:rPr/>
        <w:pict>
          <v:shapetype id="_x0000_t202" o:spt="202" coordsize="21600,21600" path="m,l,21600r21600,l21600,xe">
            <v:stroke joinstyle="miter"/>
            <v:path gradientshapeok="t" o:connecttype="rect"/>
          </v:shapetype>
          <v:shape style="position:absolute;margin-left:56.639999pt;margin-top:18.415127pt;width:24.55pt;height:27.5pt;mso-position-horizontal-relative:page;mso-position-vertical-relative:paragraph;z-index:-3536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149"/>
          <w:w w:val="100"/>
        </w:rPr>
        <w:t>本</w:t>
      </w:r>
      <w:r>
        <w:rPr>
          <w:rFonts w:ascii="宋体" w:eastAsia="宋体" w:hint="eastAsia"/>
          <w:spacing w:val="-63"/>
          <w:w w:val="100"/>
          <w:position w:val="-7"/>
        </w:rPr>
        <w:t>．</w:t>
      </w:r>
      <w:r>
        <w:rPr>
          <w:spacing w:val="-149"/>
          <w:w w:val="100"/>
        </w:rPr>
        <w:t>阅</w:t>
      </w:r>
      <w:r>
        <w:rPr>
          <w:rFonts w:ascii="宋体" w:eastAsia="宋体" w:hint="eastAsia"/>
          <w:spacing w:val="-63"/>
          <w:w w:val="100"/>
          <w:position w:val="-7"/>
        </w:rPr>
        <w:t>．</w:t>
      </w:r>
      <w:r>
        <w:rPr>
          <w:spacing w:val="-152"/>
          <w:w w:val="100"/>
        </w:rPr>
        <w:t>读</w:t>
      </w:r>
      <w:r>
        <w:rPr>
          <w:rFonts w:ascii="宋体" w:eastAsia="宋体" w:hint="eastAsia"/>
          <w:spacing w:val="-63"/>
          <w:w w:val="100"/>
          <w:position w:val="-7"/>
        </w:rPr>
        <w:t>．</w:t>
      </w:r>
      <w:r>
        <w:rPr>
          <w:spacing w:val="-149"/>
          <w:w w:val="100"/>
        </w:rPr>
        <w:t>指</w:t>
      </w:r>
      <w:r>
        <w:rPr>
          <w:rFonts w:ascii="宋体" w:eastAsia="宋体" w:hint="eastAsia"/>
          <w:spacing w:val="-63"/>
          <w:w w:val="100"/>
          <w:position w:val="-7"/>
        </w:rPr>
        <w:t>．</w:t>
      </w:r>
      <w:r>
        <w:rPr>
          <w:spacing w:val="-152"/>
          <w:w w:val="100"/>
        </w:rPr>
        <w:t>引</w:t>
      </w:r>
      <w:r>
        <w:rPr>
          <w:rFonts w:ascii="宋体" w:eastAsia="宋体" w:hint="eastAsia"/>
          <w:spacing w:val="-63"/>
          <w:w w:val="100"/>
          <w:position w:val="-7"/>
        </w:rPr>
        <w:t>．</w:t>
      </w:r>
      <w:r>
        <w:rPr>
          <w:spacing w:val="-149"/>
          <w:w w:val="100"/>
        </w:rPr>
        <w:t>有</w:t>
      </w:r>
      <w:r>
        <w:rPr>
          <w:rFonts w:ascii="宋体" w:eastAsia="宋体" w:hint="eastAsia"/>
          <w:spacing w:val="-63"/>
          <w:w w:val="100"/>
          <w:position w:val="-7"/>
        </w:rPr>
        <w:t>．</w:t>
      </w:r>
      <w:r>
        <w:rPr>
          <w:spacing w:val="-152"/>
          <w:w w:val="100"/>
        </w:rPr>
        <w:t>助</w:t>
      </w:r>
      <w:r>
        <w:rPr>
          <w:rFonts w:ascii="宋体" w:eastAsia="宋体" w:hint="eastAsia"/>
          <w:spacing w:val="-63"/>
          <w:w w:val="100"/>
          <w:position w:val="-7"/>
        </w:rPr>
        <w:t>．</w:t>
      </w:r>
      <w:r>
        <w:rPr>
          <w:spacing w:val="-149"/>
          <w:w w:val="100"/>
        </w:rPr>
        <w:t>于</w:t>
      </w:r>
      <w:r>
        <w:rPr>
          <w:rFonts w:ascii="宋体" w:eastAsia="宋体" w:hint="eastAsia"/>
          <w:spacing w:val="-63"/>
          <w:w w:val="100"/>
          <w:position w:val="-7"/>
        </w:rPr>
        <w:t>．</w:t>
      </w:r>
      <w:r>
        <w:rPr>
          <w:spacing w:val="-152"/>
          <w:w w:val="100"/>
        </w:rPr>
        <w:t>理</w:t>
      </w:r>
      <w:r>
        <w:rPr>
          <w:rFonts w:ascii="宋体" w:eastAsia="宋体" w:hint="eastAsia"/>
          <w:spacing w:val="-63"/>
          <w:w w:val="100"/>
          <w:position w:val="-7"/>
        </w:rPr>
        <w:t>．</w:t>
      </w:r>
      <w:r>
        <w:rPr>
          <w:spacing w:val="-149"/>
          <w:w w:val="100"/>
        </w:rPr>
        <w:t>解</w:t>
      </w:r>
      <w:r>
        <w:rPr>
          <w:rFonts w:ascii="宋体" w:eastAsia="宋体" w:hint="eastAsia"/>
          <w:spacing w:val="-63"/>
          <w:w w:val="100"/>
          <w:position w:val="-7"/>
        </w:rPr>
        <w:t>．</w:t>
      </w:r>
      <w:r>
        <w:rPr>
          <w:spacing w:val="-152"/>
          <w:w w:val="100"/>
        </w:rPr>
        <w:t>条</w:t>
      </w:r>
      <w:r>
        <w:rPr>
          <w:rFonts w:ascii="宋体" w:eastAsia="宋体" w:hint="eastAsia"/>
          <w:spacing w:val="-63"/>
          <w:w w:val="100"/>
          <w:position w:val="-7"/>
        </w:rPr>
        <w:t>．</w:t>
      </w:r>
      <w:r>
        <w:rPr>
          <w:spacing w:val="-149"/>
          <w:w w:val="100"/>
        </w:rPr>
        <w:t>款</w:t>
      </w:r>
      <w:r>
        <w:rPr>
          <w:rFonts w:ascii="宋体" w:eastAsia="宋体" w:hint="eastAsia"/>
          <w:spacing w:val="-63"/>
          <w:w w:val="100"/>
          <w:position w:val="-7"/>
        </w:rPr>
        <w:t>．</w:t>
      </w:r>
      <w:r>
        <w:rPr>
          <w:spacing w:val="-149"/>
          <w:w w:val="100"/>
        </w:rPr>
        <w:t>，</w:t>
      </w:r>
      <w:r>
        <w:rPr>
          <w:rFonts w:ascii="宋体" w:eastAsia="宋体" w:hint="eastAsia"/>
          <w:spacing w:val="-63"/>
          <w:w w:val="100"/>
          <w:position w:val="-7"/>
        </w:rPr>
        <w:t>．</w:t>
      </w:r>
      <w:r>
        <w:rPr>
          <w:spacing w:val="-152"/>
          <w:w w:val="100"/>
        </w:rPr>
        <w:t>对</w:t>
      </w:r>
      <w:r>
        <w:rPr>
          <w:rFonts w:ascii="宋体" w:eastAsia="宋体" w:hint="eastAsia"/>
          <w:spacing w:val="-63"/>
          <w:w w:val="100"/>
          <w:position w:val="-7"/>
        </w:rPr>
        <w:t>．</w:t>
      </w:r>
      <w:r>
        <w:rPr>
          <w:spacing w:val="-149"/>
          <w:w w:val="100"/>
        </w:rPr>
        <w:t>本</w:t>
      </w:r>
      <w:r>
        <w:rPr>
          <w:rFonts w:ascii="宋体" w:eastAsia="宋体" w:hint="eastAsia"/>
          <w:spacing w:val="-63"/>
          <w:w w:val="100"/>
          <w:position w:val="-7"/>
        </w:rPr>
        <w:t>．</w:t>
      </w:r>
      <w:r>
        <w:rPr>
          <w:spacing w:val="-152"/>
          <w:w w:val="100"/>
        </w:rPr>
        <w:t>合</w:t>
      </w:r>
      <w:r>
        <w:rPr>
          <w:rFonts w:ascii="宋体" w:eastAsia="宋体" w:hint="eastAsia"/>
          <w:spacing w:val="-63"/>
          <w:w w:val="100"/>
          <w:position w:val="-7"/>
        </w:rPr>
        <w:t>．</w:t>
      </w:r>
      <w:r>
        <w:rPr>
          <w:spacing w:val="-149"/>
          <w:w w:val="100"/>
        </w:rPr>
        <w:t>同</w:t>
      </w:r>
      <w:r>
        <w:rPr>
          <w:rFonts w:ascii="宋体" w:eastAsia="宋体" w:hint="eastAsia"/>
          <w:spacing w:val="-63"/>
          <w:w w:val="100"/>
          <w:position w:val="-7"/>
        </w:rPr>
        <w:t>．</w:t>
      </w:r>
      <w:r>
        <w:rPr>
          <w:spacing w:val="-152"/>
          <w:w w:val="100"/>
        </w:rPr>
        <w:t>内</w:t>
      </w:r>
      <w:r>
        <w:rPr>
          <w:rFonts w:ascii="宋体" w:eastAsia="宋体" w:hint="eastAsia"/>
          <w:spacing w:val="-63"/>
          <w:w w:val="100"/>
          <w:position w:val="-7"/>
        </w:rPr>
        <w:t>．</w:t>
      </w:r>
      <w:r>
        <w:rPr>
          <w:spacing w:val="-149"/>
          <w:w w:val="100"/>
        </w:rPr>
        <w:t>容</w:t>
      </w:r>
      <w:r>
        <w:rPr>
          <w:rFonts w:ascii="宋体" w:eastAsia="宋体" w:hint="eastAsia"/>
          <w:spacing w:val="-63"/>
          <w:w w:val="100"/>
          <w:position w:val="-7"/>
        </w:rPr>
        <w:t>．</w:t>
      </w:r>
      <w:r>
        <w:rPr>
          <w:spacing w:val="-152"/>
          <w:w w:val="100"/>
        </w:rPr>
        <w:t>的</w:t>
      </w:r>
      <w:r>
        <w:rPr>
          <w:rFonts w:ascii="宋体" w:eastAsia="宋体" w:hint="eastAsia"/>
          <w:spacing w:val="-63"/>
          <w:w w:val="100"/>
          <w:position w:val="-7"/>
        </w:rPr>
        <w:t>．</w:t>
      </w:r>
      <w:r>
        <w:rPr>
          <w:spacing w:val="-149"/>
          <w:w w:val="100"/>
        </w:rPr>
        <w:t>解</w:t>
      </w:r>
      <w:r>
        <w:rPr>
          <w:rFonts w:ascii="宋体" w:eastAsia="宋体" w:hint="eastAsia"/>
          <w:spacing w:val="-63"/>
          <w:w w:val="100"/>
          <w:position w:val="-7"/>
        </w:rPr>
        <w:t>．</w:t>
      </w:r>
      <w:r>
        <w:rPr>
          <w:spacing w:val="-152"/>
          <w:w w:val="100"/>
        </w:rPr>
        <w:t>释</w:t>
      </w:r>
      <w:r>
        <w:rPr>
          <w:rFonts w:ascii="宋体" w:eastAsia="宋体" w:hint="eastAsia"/>
          <w:spacing w:val="-63"/>
          <w:w w:val="100"/>
          <w:position w:val="-7"/>
        </w:rPr>
        <w:t>．</w:t>
      </w:r>
      <w:r>
        <w:rPr>
          <w:spacing w:val="-149"/>
          <w:w w:val="100"/>
        </w:rPr>
        <w:t>以</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52"/>
          <w:w w:val="100"/>
        </w:rPr>
        <w:t>款</w:t>
      </w:r>
      <w:r>
        <w:rPr>
          <w:rFonts w:ascii="宋体" w:eastAsia="宋体" w:hint="eastAsia"/>
          <w:spacing w:val="-63"/>
          <w:w w:val="100"/>
          <w:position w:val="-7"/>
        </w:rPr>
        <w:t>．</w:t>
      </w:r>
      <w:r>
        <w:rPr>
          <w:spacing w:val="-149"/>
          <w:w w:val="100"/>
        </w:rPr>
        <w:t>为</w:t>
      </w:r>
      <w:r>
        <w:rPr>
          <w:rFonts w:ascii="宋体" w:eastAsia="宋体" w:hint="eastAsia"/>
          <w:spacing w:val="-63"/>
          <w:w w:val="100"/>
          <w:position w:val="-7"/>
        </w:rPr>
        <w:t>．</w:t>
      </w:r>
      <w:r>
        <w:rPr>
          <w:spacing w:val="-152"/>
          <w:w w:val="100"/>
        </w:rPr>
        <w:t>准</w:t>
      </w:r>
      <w:r>
        <w:rPr>
          <w:rFonts w:ascii="宋体" w:eastAsia="宋体" w:hint="eastAsia"/>
          <w:spacing w:val="-63"/>
          <w:w w:val="100"/>
          <w:position w:val="-7"/>
        </w:rPr>
        <w:t>．</w:t>
      </w:r>
      <w:r>
        <w:rPr>
          <w:w w:val="100"/>
        </w:rPr>
        <w:t>。</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67"/>
        <w:ind w:left="165"/>
        <w:rPr>
          <w:rFonts w:ascii="宋体" w:eastAsia="宋体" w:hint="eastAsia"/>
        </w:rPr>
      </w:pPr>
      <w:r>
        <w:rPr>
          <w:rFonts w:ascii="宋体" w:eastAsia="宋体" w:hint="eastAsia"/>
        </w:rPr>
        <w:t>请扫描以查询验证条款</w:t>
      </w:r>
    </w:p>
    <w:p>
      <w:pPr>
        <w:spacing w:after="0"/>
        <w:rPr>
          <w:rFonts w:ascii="宋体" w:eastAsia="宋体" w:hint="eastAsia"/>
        </w:rPr>
        <w:sectPr>
          <w:type w:val="continuous"/>
          <w:pgSz w:w="11910" w:h="16840"/>
          <w:pgMar w:top="180" w:bottom="280" w:left="1020" w:right="220"/>
          <w:cols w:num="3" w:equalWidth="0">
            <w:col w:w="1115" w:space="642"/>
            <w:col w:w="6119" w:space="39"/>
            <w:col w:w="2755"/>
          </w:cols>
        </w:sectPr>
      </w:pPr>
    </w:p>
    <w:p>
      <w:pPr>
        <w:spacing w:before="73"/>
        <w:ind w:left="842" w:right="0" w:firstLine="0"/>
        <w:jc w:val="left"/>
        <w:rPr>
          <w:b/>
          <w:sz w:val="21"/>
        </w:rPr>
      </w:pPr>
      <w:r>
        <w:rPr>
          <w:b/>
          <w:sz w:val="21"/>
        </w:rPr>
        <w:t>投保人拥有的重要权益</w:t>
      </w:r>
    </w:p>
    <w:p>
      <w:pPr>
        <w:pStyle w:val="ListParagraph"/>
        <w:numPr>
          <w:ilvl w:val="0"/>
          <w:numId w:val="1"/>
        </w:numPr>
        <w:tabs>
          <w:tab w:pos="849" w:val="left" w:leader="none"/>
          <w:tab w:pos="850" w:val="left" w:leader="none"/>
          <w:tab w:pos="9753" w:val="right" w:leader="dot"/>
        </w:tabs>
        <w:spacing w:line="240" w:lineRule="auto" w:before="27" w:after="0"/>
        <w:ind w:left="849" w:right="0" w:hanging="453"/>
        <w:jc w:val="left"/>
        <w:rPr>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w:t>
      </w:r>
      <w:r>
        <w:rPr>
          <w:spacing w:val="-52"/>
          <w:sz w:val="21"/>
        </w:rPr>
        <w:t> </w:t>
      </w:r>
      <w:r>
        <w:rPr>
          <w:sz w:val="21"/>
        </w:rPr>
        <w:t>10</w:t>
      </w:r>
      <w:r>
        <w:rPr>
          <w:spacing w:val="-52"/>
          <w:sz w:val="21"/>
        </w:rPr>
        <w:t> </w:t>
      </w:r>
      <w:r>
        <w:rPr>
          <w:spacing w:val="-10"/>
          <w:sz w:val="21"/>
        </w:rPr>
        <w:t>日</w:t>
      </w:r>
      <w:r>
        <w:rPr>
          <w:spacing w:val="-3"/>
          <w:sz w:val="21"/>
        </w:rPr>
        <w:t>（即犹</w:t>
      </w:r>
      <w:r>
        <w:rPr>
          <w:sz w:val="21"/>
        </w:rPr>
        <w:t>豫</w:t>
      </w:r>
      <w:r>
        <w:rPr>
          <w:spacing w:val="-3"/>
          <w:sz w:val="21"/>
        </w:rPr>
        <w:t>期</w:t>
      </w:r>
      <w:r>
        <w:rPr>
          <w:spacing w:val="-8"/>
          <w:sz w:val="21"/>
        </w:rPr>
        <w:t>）</w:t>
      </w:r>
      <w:r>
        <w:rPr>
          <w:spacing w:val="-3"/>
          <w:sz w:val="21"/>
        </w:rPr>
        <w:t>内投</w:t>
      </w:r>
      <w:r>
        <w:rPr>
          <w:sz w:val="21"/>
        </w:rPr>
        <w:t>保</w:t>
      </w:r>
      <w:r>
        <w:rPr>
          <w:spacing w:val="-3"/>
          <w:sz w:val="21"/>
        </w:rPr>
        <w:t>人</w:t>
      </w:r>
      <w:r>
        <w:rPr>
          <w:sz w:val="21"/>
        </w:rPr>
        <w:t>若</w:t>
      </w:r>
      <w:r>
        <w:rPr>
          <w:spacing w:val="-3"/>
          <w:sz w:val="21"/>
        </w:rPr>
        <w:t>要求退</w:t>
      </w:r>
      <w:r>
        <w:rPr>
          <w:sz w:val="21"/>
        </w:rPr>
        <w:t>保</w:t>
      </w:r>
      <w:r>
        <w:rPr>
          <w:spacing w:val="-10"/>
          <w:sz w:val="21"/>
        </w:rPr>
        <w:t>，</w:t>
      </w:r>
      <w:r>
        <w:rPr>
          <w:spacing w:val="-3"/>
          <w:sz w:val="21"/>
        </w:rPr>
        <w:t>本</w:t>
      </w:r>
      <w:r>
        <w:rPr>
          <w:sz w:val="21"/>
        </w:rPr>
        <w:t>公</w:t>
      </w:r>
      <w:r>
        <w:rPr>
          <w:spacing w:val="-3"/>
          <w:sz w:val="21"/>
        </w:rPr>
        <w:t>司</w:t>
      </w:r>
      <w:r>
        <w:rPr>
          <w:sz w:val="21"/>
        </w:rPr>
        <w:t>退</w:t>
      </w:r>
      <w:r>
        <w:rPr>
          <w:spacing w:val="-3"/>
          <w:sz w:val="21"/>
        </w:rPr>
        <w:t>还</w:t>
      </w:r>
      <w:r>
        <w:rPr>
          <w:sz w:val="21"/>
        </w:rPr>
        <w:t>保</w:t>
      </w:r>
      <w:r>
        <w:rPr>
          <w:spacing w:val="-3"/>
          <w:sz w:val="21"/>
        </w:rPr>
        <w:t>险费</w:t>
        <w:tab/>
      </w:r>
      <w:r>
        <w:rPr>
          <w:sz w:val="21"/>
        </w:rPr>
        <w:t>1.5</w:t>
      </w:r>
    </w:p>
    <w:p>
      <w:pPr>
        <w:pStyle w:val="ListParagraph"/>
        <w:numPr>
          <w:ilvl w:val="0"/>
          <w:numId w:val="1"/>
        </w:numPr>
        <w:tabs>
          <w:tab w:pos="849" w:val="left" w:leader="none"/>
          <w:tab w:pos="850" w:val="left" w:leader="none"/>
          <w:tab w:pos="9753" w:val="right" w:leader="dot"/>
        </w:tabs>
        <w:spacing w:line="240" w:lineRule="auto" w:before="22" w:after="0"/>
        <w:ind w:left="849" w:right="0" w:hanging="453"/>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2.4</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pict>
          <v:shape style="position:absolute;margin-left:56.639999pt;margin-top:14.930907pt;width:24.55pt;height:27.5pt;mso-position-horizontal-relative:page;mso-position-vertical-relative:paragraph;z-index:-35344"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投</w:t>
      </w:r>
      <w:r>
        <w:rPr>
          <w:sz w:val="21"/>
        </w:rPr>
        <w:t>保人</w:t>
      </w:r>
      <w:r>
        <w:rPr>
          <w:spacing w:val="2"/>
          <w:sz w:val="21"/>
        </w:rPr>
        <w:t>有</w:t>
      </w:r>
      <w:r>
        <w:rPr>
          <w:sz w:val="21"/>
        </w:rPr>
        <w:t>退保</w:t>
      </w:r>
      <w:r>
        <w:rPr>
          <w:spacing w:val="2"/>
          <w:sz w:val="21"/>
        </w:rPr>
        <w:t>的</w:t>
      </w:r>
      <w:r>
        <w:rPr>
          <w:sz w:val="21"/>
        </w:rPr>
        <w:t>权利</w:t>
        <w:tab/>
        <w:t>6.1</w:t>
      </w:r>
    </w:p>
    <w:p>
      <w:pPr>
        <w:spacing w:before="60"/>
        <w:ind w:left="842" w:right="0" w:firstLine="0"/>
        <w:jc w:val="left"/>
        <w:rPr>
          <w:b/>
          <w:sz w:val="21"/>
        </w:rPr>
      </w:pPr>
      <w:r>
        <w:rPr>
          <w:b/>
          <w:sz w:val="21"/>
        </w:rPr>
        <w:t>投保人应当特别注意的事项</w:t>
      </w:r>
    </w:p>
    <w:p>
      <w:pPr>
        <w:pStyle w:val="ListParagraph"/>
        <w:numPr>
          <w:ilvl w:val="0"/>
          <w:numId w:val="1"/>
        </w:numPr>
        <w:tabs>
          <w:tab w:pos="849" w:val="left" w:leader="none"/>
          <w:tab w:pos="850" w:val="left" w:leader="none"/>
          <w:tab w:pos="9753" w:val="right" w:leader="dot"/>
        </w:tabs>
        <w:spacing w:line="240" w:lineRule="auto" w:before="26" w:after="0"/>
        <w:ind w:left="849" w:right="0" w:hanging="453"/>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w:t>
      </w:r>
      <w:r>
        <w:rPr>
          <w:spacing w:val="-3"/>
          <w:sz w:val="21"/>
        </w:rPr>
        <w:t>注意</w:t>
        <w:tab/>
      </w:r>
      <w:r>
        <w:rPr>
          <w:sz w:val="21"/>
        </w:rPr>
        <w:t>2.5</w:t>
      </w:r>
    </w:p>
    <w:p>
      <w:pPr>
        <w:pStyle w:val="ListParagraph"/>
        <w:numPr>
          <w:ilvl w:val="0"/>
          <w:numId w:val="1"/>
        </w:numPr>
        <w:tabs>
          <w:tab w:pos="849" w:val="left" w:leader="none"/>
          <w:tab w:pos="850" w:val="left" w:leader="none"/>
          <w:tab w:pos="9751" w:val="right" w:leader="dot"/>
        </w:tabs>
        <w:spacing w:line="240" w:lineRule="auto" w:before="21" w:after="0"/>
        <w:ind w:left="849" w:right="0" w:hanging="453"/>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本公司</w:t>
        <w:tab/>
        <w:t>3.2</w:t>
      </w:r>
    </w:p>
    <w:p>
      <w:pPr>
        <w:pStyle w:val="ListParagraph"/>
        <w:numPr>
          <w:ilvl w:val="0"/>
          <w:numId w:val="1"/>
        </w:numPr>
        <w:tabs>
          <w:tab w:pos="849" w:val="left" w:leader="none"/>
          <w:tab w:pos="850" w:val="left" w:leader="none"/>
          <w:tab w:pos="9751" w:val="right" w:leader="dot"/>
        </w:tabs>
        <w:spacing w:line="240" w:lineRule="auto" w:before="21" w:after="0"/>
        <w:ind w:left="849" w:right="0" w:hanging="454"/>
        <w:jc w:val="left"/>
        <w:rPr>
          <w:sz w:val="21"/>
        </w:rPr>
      </w:pPr>
      <w:r>
        <w:rPr>
          <w:sz w:val="21"/>
        </w:rPr>
        <w:t>退保</w:t>
      </w:r>
      <w:r>
        <w:rPr>
          <w:spacing w:val="-3"/>
          <w:sz w:val="21"/>
        </w:rPr>
        <w:t>会</w:t>
      </w:r>
      <w:r>
        <w:rPr>
          <w:sz w:val="21"/>
        </w:rPr>
        <w:t>给</w:t>
      </w:r>
      <w:r>
        <w:rPr>
          <w:spacing w:val="-3"/>
          <w:sz w:val="21"/>
        </w:rPr>
        <w:t>投保</w:t>
      </w:r>
      <w:r>
        <w:rPr>
          <w:sz w:val="21"/>
        </w:rPr>
        <w:t>人造</w:t>
      </w:r>
      <w:r>
        <w:rPr>
          <w:spacing w:val="-3"/>
          <w:sz w:val="21"/>
        </w:rPr>
        <w:t>成</w:t>
      </w:r>
      <w:r>
        <w:rPr>
          <w:sz w:val="21"/>
        </w:rPr>
        <w:t>一</w:t>
      </w:r>
      <w:r>
        <w:rPr>
          <w:spacing w:val="-3"/>
          <w:sz w:val="21"/>
        </w:rPr>
        <w:t>定</w:t>
      </w:r>
      <w:r>
        <w:rPr>
          <w:sz w:val="21"/>
        </w:rPr>
        <w:t>的损</w:t>
      </w:r>
      <w:r>
        <w:rPr>
          <w:spacing w:val="-3"/>
          <w:sz w:val="21"/>
        </w:rPr>
        <w:t>失</w:t>
      </w:r>
      <w:r>
        <w:rPr>
          <w:spacing w:val="-25"/>
          <w:sz w:val="21"/>
        </w:rPr>
        <w:t>，</w:t>
      </w:r>
      <w:r>
        <w:rPr>
          <w:spacing w:val="-3"/>
          <w:sz w:val="21"/>
        </w:rPr>
        <w:t>请慎</w:t>
      </w:r>
      <w:r>
        <w:rPr>
          <w:sz w:val="21"/>
        </w:rPr>
        <w:t>重</w:t>
      </w:r>
      <w:r>
        <w:rPr>
          <w:spacing w:val="-3"/>
          <w:sz w:val="21"/>
        </w:rPr>
        <w:t>决策</w:t>
        <w:tab/>
        <w:t>6.1</w:t>
      </w:r>
    </w:p>
    <w:p>
      <w:pPr>
        <w:pStyle w:val="ListParagraph"/>
        <w:numPr>
          <w:ilvl w:val="0"/>
          <w:numId w:val="1"/>
        </w:numPr>
        <w:tabs>
          <w:tab w:pos="849" w:val="left" w:leader="none"/>
          <w:tab w:pos="850" w:val="left" w:leader="none"/>
          <w:tab w:pos="9755" w:val="right" w:leader="dot"/>
        </w:tabs>
        <w:spacing w:line="240" w:lineRule="auto" w:before="21" w:after="0"/>
        <w:ind w:left="849" w:right="0" w:hanging="453"/>
        <w:jc w:val="left"/>
        <w:rPr>
          <w:sz w:val="21"/>
        </w:rPr>
      </w:pPr>
      <w:r>
        <w:rPr>
          <w:sz w:val="21"/>
        </w:rPr>
        <w:t>投保人有如实告知的义务</w:t>
        <w:tab/>
        <w:t>7.1</w:t>
      </w:r>
    </w:p>
    <w:p>
      <w:pPr>
        <w:pStyle w:val="ListParagraph"/>
        <w:numPr>
          <w:ilvl w:val="0"/>
          <w:numId w:val="1"/>
        </w:numPr>
        <w:tabs>
          <w:tab w:pos="849" w:val="left" w:leader="none"/>
          <w:tab w:pos="850" w:val="left" w:leader="none"/>
          <w:tab w:pos="9700" w:val="right" w:leader="dot"/>
        </w:tabs>
        <w:spacing w:line="269" w:lineRule="exact" w:before="21" w:after="0"/>
        <w:ind w:left="849" w:right="0" w:hanging="454"/>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重要</w:t>
      </w:r>
      <w:r>
        <w:rPr>
          <w:sz w:val="21"/>
        </w:rPr>
        <w:t>术</w:t>
      </w:r>
      <w:r>
        <w:rPr>
          <w:spacing w:val="-3"/>
          <w:sz w:val="21"/>
        </w:rPr>
        <w:t>语</w:t>
      </w:r>
      <w:r>
        <w:rPr>
          <w:sz w:val="21"/>
        </w:rPr>
        <w:t>进</w:t>
      </w:r>
      <w:r>
        <w:rPr>
          <w:spacing w:val="-3"/>
          <w:sz w:val="21"/>
        </w:rPr>
        <w:t>行了</w:t>
      </w:r>
      <w:r>
        <w:rPr>
          <w:sz w:val="21"/>
        </w:rPr>
        <w:t>解</w:t>
      </w:r>
      <w:r>
        <w:rPr>
          <w:spacing w:val="-3"/>
          <w:sz w:val="21"/>
        </w:rPr>
        <w:t>释</w:t>
      </w:r>
      <w:r>
        <w:rPr>
          <w:spacing w:val="-37"/>
          <w:sz w:val="21"/>
        </w:rPr>
        <w:t>，</w:t>
      </w:r>
      <w:r>
        <w:rPr>
          <w:spacing w:val="-3"/>
          <w:sz w:val="21"/>
        </w:rPr>
        <w:t>并作</w:t>
      </w:r>
      <w:r>
        <w:rPr>
          <w:sz w:val="21"/>
        </w:rPr>
        <w:t>了</w:t>
      </w:r>
      <w:r>
        <w:rPr>
          <w:spacing w:val="-3"/>
          <w:sz w:val="21"/>
        </w:rPr>
        <w:t>显</w:t>
      </w:r>
      <w:r>
        <w:rPr>
          <w:sz w:val="21"/>
        </w:rPr>
        <w:t>著</w:t>
      </w:r>
      <w:r>
        <w:rPr>
          <w:spacing w:val="-3"/>
          <w:sz w:val="21"/>
        </w:rPr>
        <w:t>标识</w:t>
      </w:r>
      <w:r>
        <w:rPr>
          <w:spacing w:val="-37"/>
          <w:sz w:val="21"/>
        </w:rPr>
        <w:t>，</w:t>
      </w:r>
      <w:r>
        <w:rPr>
          <w:spacing w:val="-3"/>
          <w:sz w:val="21"/>
        </w:rPr>
        <w:t>请</w:t>
      </w:r>
      <w:r>
        <w:rPr>
          <w:sz w:val="21"/>
        </w:rPr>
        <w:t>注意</w:t>
        <w:tab/>
      </w:r>
      <w:r>
        <w:rPr>
          <w:spacing w:val="-3"/>
          <w:sz w:val="21"/>
        </w:rPr>
        <w:t>10</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保险条款是保险合同的重要内容，为充分保障投保人的权益，请仔细阅读本保险条款。</w:t>
      </w:r>
    </w:p>
    <w:p>
      <w:pPr>
        <w:tabs>
          <w:tab w:pos="842" w:val="left" w:leader="none"/>
        </w:tabs>
        <w:spacing w:line="373" w:lineRule="exact" w:before="0"/>
        <w:ind w:left="112" w:right="0" w:firstLine="0"/>
        <w:jc w:val="left"/>
        <w:rPr>
          <w:b/>
          <w:sz w:val="21"/>
        </w:rPr>
      </w:pPr>
      <w:r>
        <w:rPr/>
        <w:pict>
          <v:rect style="position:absolute;margin-left:77.639999pt;margin-top:17.043846pt;width:134.76pt;height:13.68pt;mso-position-horizontal-relative:page;mso-position-vertical-relative:paragraph;z-index:-35392" filled="true" fillcolor="#a7a8a7"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180" w:bottom="280" w:left="1020" w:right="220"/>
        </w:sectPr>
      </w:pPr>
    </w:p>
    <w:p>
      <w:pPr>
        <w:pStyle w:val="BodyText"/>
        <w:spacing w:line="210" w:lineRule="exact"/>
        <w:ind w:left="532"/>
      </w:pPr>
      <w:r>
        <w:rPr/>
        <w:pict>
          <v:shape style="position:absolute;margin-left:75.139999pt;margin-top:15.916242pt;width:462.4pt;height:74.650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06"/>
                    <w:gridCol w:w="3666"/>
                    <w:gridCol w:w="757"/>
                    <w:gridCol w:w="2200"/>
                  </w:tblGrid>
                  <w:tr>
                    <w:trPr>
                      <w:trHeight w:val="266" w:hRule="atLeast"/>
                    </w:trPr>
                    <w:tc>
                      <w:tcPr>
                        <w:tcW w:w="420" w:type="dxa"/>
                      </w:tcPr>
                      <w:p>
                        <w:pPr>
                          <w:pStyle w:val="TableParagraph"/>
                          <w:spacing w:line="211" w:lineRule="exact"/>
                          <w:ind w:left="50"/>
                          <w:rPr>
                            <w:rFonts w:ascii="黑体"/>
                            <w:sz w:val="21"/>
                          </w:rPr>
                        </w:pPr>
                        <w:r>
                          <w:rPr>
                            <w:rFonts w:ascii="黑体"/>
                            <w:sz w:val="21"/>
                          </w:rPr>
                          <w:t>1.1</w:t>
                        </w:r>
                      </w:p>
                    </w:tc>
                    <w:tc>
                      <w:tcPr>
                        <w:tcW w:w="2206"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3666" w:type="dxa"/>
                      </w:tcPr>
                      <w:p>
                        <w:pPr>
                          <w:pStyle w:val="TableParagraph"/>
                          <w:tabs>
                            <w:tab w:pos="3380" w:val="left" w:leader="none"/>
                          </w:tabs>
                          <w:spacing w:line="211" w:lineRule="exact"/>
                          <w:ind w:left="685"/>
                          <w:rPr>
                            <w:rFonts w:ascii="黑体" w:eastAsia="黑体" w:hint="eastAsia"/>
                            <w:sz w:val="21"/>
                          </w:rPr>
                        </w:pPr>
                        <w:r>
                          <w:rPr>
                            <w:rFonts w:ascii="黑体" w:eastAsia="黑体" w:hint="eastAsia"/>
                            <w:spacing w:val="-1"/>
                            <w:sz w:val="21"/>
                            <w:shd w:fill="A7A8A7" w:color="auto" w:val="clear"/>
                          </w:rPr>
                          <w:t>5．现</w:t>
                        </w:r>
                        <w:r>
                          <w:rPr>
                            <w:rFonts w:ascii="黑体" w:eastAsia="黑体" w:hint="eastAsia"/>
                            <w:spacing w:val="-3"/>
                            <w:sz w:val="21"/>
                            <w:shd w:fill="A7A8A7" w:color="auto" w:val="clear"/>
                          </w:rPr>
                          <w:t>金</w:t>
                        </w:r>
                        <w:r>
                          <w:rPr>
                            <w:rFonts w:ascii="黑体" w:eastAsia="黑体" w:hint="eastAsia"/>
                            <w:sz w:val="21"/>
                            <w:shd w:fill="A7A8A7" w:color="auto" w:val="clear"/>
                          </w:rPr>
                          <w:t>价值</w:t>
                          <w:tab/>
                        </w:r>
                      </w:p>
                    </w:tc>
                    <w:tc>
                      <w:tcPr>
                        <w:tcW w:w="757" w:type="dxa"/>
                      </w:tcPr>
                      <w:p>
                        <w:pPr>
                          <w:pStyle w:val="TableParagraph"/>
                          <w:spacing w:line="211" w:lineRule="exact"/>
                          <w:ind w:left="0" w:right="51"/>
                          <w:jc w:val="right"/>
                          <w:rPr>
                            <w:rFonts w:ascii="黑体"/>
                            <w:sz w:val="21"/>
                          </w:rPr>
                        </w:pPr>
                        <w:r>
                          <w:rPr>
                            <w:rFonts w:ascii="黑体"/>
                            <w:sz w:val="21"/>
                          </w:rPr>
                          <w:t>10.2</w:t>
                        </w:r>
                      </w:p>
                    </w:tc>
                    <w:tc>
                      <w:tcPr>
                        <w:tcW w:w="2200" w:type="dxa"/>
                      </w:tcPr>
                      <w:p>
                        <w:pPr>
                          <w:pStyle w:val="TableParagraph"/>
                          <w:spacing w:line="211" w:lineRule="exact"/>
                          <w:ind w:left="50"/>
                          <w:rPr>
                            <w:rFonts w:ascii="黑体" w:eastAsia="黑体" w:hint="eastAsia"/>
                            <w:sz w:val="21"/>
                          </w:rPr>
                        </w:pPr>
                        <w:r>
                          <w:rPr>
                            <w:rFonts w:ascii="黑体" w:eastAsia="黑体" w:hint="eastAsia"/>
                            <w:sz w:val="21"/>
                          </w:rPr>
                          <w:t>意外伤害</w:t>
                        </w:r>
                      </w:p>
                    </w:tc>
                  </w:tr>
                  <w:tr>
                    <w:trPr>
                      <w:trHeight w:val="320" w:hRule="atLeast"/>
                    </w:trPr>
                    <w:tc>
                      <w:tcPr>
                        <w:tcW w:w="420" w:type="dxa"/>
                      </w:tcPr>
                      <w:p>
                        <w:pPr>
                          <w:pStyle w:val="TableParagraph"/>
                          <w:spacing w:line="266" w:lineRule="exact"/>
                          <w:ind w:left="50"/>
                          <w:rPr>
                            <w:rFonts w:ascii="黑体"/>
                            <w:sz w:val="21"/>
                          </w:rPr>
                        </w:pPr>
                        <w:r>
                          <w:rPr>
                            <w:rFonts w:ascii="黑体"/>
                            <w:sz w:val="21"/>
                          </w:rPr>
                          <w:t>1.2</w:t>
                        </w:r>
                      </w:p>
                    </w:tc>
                    <w:tc>
                      <w:tcPr>
                        <w:tcW w:w="2206" w:type="dxa"/>
                      </w:tcPr>
                      <w:p>
                        <w:pPr>
                          <w:pStyle w:val="TableParagraph"/>
                          <w:spacing w:line="266" w:lineRule="exact"/>
                          <w:ind w:left="52"/>
                          <w:rPr>
                            <w:rFonts w:ascii="黑体" w:eastAsia="黑体" w:hint="eastAsia"/>
                            <w:sz w:val="21"/>
                          </w:rPr>
                        </w:pPr>
                        <w:r>
                          <w:rPr>
                            <w:rFonts w:ascii="黑体" w:eastAsia="黑体" w:hint="eastAsia"/>
                            <w:sz w:val="21"/>
                          </w:rPr>
                          <w:t>合同成立与Th效</w:t>
                        </w:r>
                      </w:p>
                    </w:tc>
                    <w:tc>
                      <w:tcPr>
                        <w:tcW w:w="3666" w:type="dxa"/>
                      </w:tcPr>
                      <w:p>
                        <w:pPr>
                          <w:pStyle w:val="TableParagraph"/>
                          <w:spacing w:line="266" w:lineRule="exact"/>
                          <w:ind w:left="685"/>
                          <w:rPr>
                            <w:rFonts w:ascii="黑体" w:eastAsia="黑体" w:hint="eastAsia"/>
                            <w:sz w:val="21"/>
                          </w:rPr>
                        </w:pPr>
                        <w:r>
                          <w:rPr>
                            <w:rFonts w:ascii="黑体" w:eastAsia="黑体" w:hint="eastAsia"/>
                            <w:sz w:val="21"/>
                          </w:rPr>
                          <w:t>5.1 现金价值</w:t>
                        </w:r>
                      </w:p>
                    </w:tc>
                    <w:tc>
                      <w:tcPr>
                        <w:tcW w:w="757" w:type="dxa"/>
                      </w:tcPr>
                      <w:p>
                        <w:pPr>
                          <w:pStyle w:val="TableParagraph"/>
                          <w:spacing w:line="266" w:lineRule="exact"/>
                          <w:ind w:left="0" w:right="51"/>
                          <w:jc w:val="right"/>
                          <w:rPr>
                            <w:rFonts w:ascii="黑体"/>
                            <w:sz w:val="21"/>
                          </w:rPr>
                        </w:pPr>
                        <w:r>
                          <w:rPr>
                            <w:rFonts w:ascii="黑体"/>
                            <w:sz w:val="21"/>
                          </w:rPr>
                          <w:t>10.3</w:t>
                        </w:r>
                      </w:p>
                    </w:tc>
                    <w:tc>
                      <w:tcPr>
                        <w:tcW w:w="2200" w:type="dxa"/>
                      </w:tcPr>
                      <w:p>
                        <w:pPr>
                          <w:pStyle w:val="TableParagraph"/>
                          <w:spacing w:line="266" w:lineRule="exact"/>
                          <w:ind w:left="50"/>
                          <w:rPr>
                            <w:rFonts w:ascii="黑体" w:eastAsia="黑体" w:hint="eastAsia"/>
                            <w:sz w:val="21"/>
                          </w:rPr>
                        </w:pPr>
                        <w:r>
                          <w:rPr>
                            <w:rFonts w:ascii="黑体" w:eastAsia="黑体" w:hint="eastAsia"/>
                            <w:sz w:val="21"/>
                          </w:rPr>
                          <w:t>约定医院</w:t>
                        </w:r>
                      </w:p>
                    </w:tc>
                  </w:tr>
                  <w:tr>
                    <w:trPr>
                      <w:trHeight w:val="319" w:hRule="atLeast"/>
                    </w:trPr>
                    <w:tc>
                      <w:tcPr>
                        <w:tcW w:w="420" w:type="dxa"/>
                      </w:tcPr>
                      <w:p>
                        <w:pPr>
                          <w:pStyle w:val="TableParagraph"/>
                          <w:spacing w:line="265" w:lineRule="exact"/>
                          <w:ind w:left="50"/>
                          <w:rPr>
                            <w:rFonts w:ascii="黑体"/>
                            <w:sz w:val="21"/>
                          </w:rPr>
                        </w:pPr>
                        <w:r>
                          <w:rPr>
                            <w:rFonts w:ascii="黑体"/>
                            <w:sz w:val="21"/>
                          </w:rPr>
                          <w:t>1.3</w:t>
                        </w:r>
                      </w:p>
                    </w:tc>
                    <w:tc>
                      <w:tcPr>
                        <w:tcW w:w="2206"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3666" w:type="dxa"/>
                      </w:tcPr>
                      <w:p>
                        <w:pPr>
                          <w:pStyle w:val="TableParagraph"/>
                          <w:tabs>
                            <w:tab w:pos="3380" w:val="left" w:leader="none"/>
                          </w:tabs>
                          <w:spacing w:line="265" w:lineRule="exact"/>
                          <w:ind w:left="685"/>
                          <w:rPr>
                            <w:rFonts w:ascii="黑体" w:eastAsia="黑体" w:hint="eastAsia"/>
                            <w:sz w:val="21"/>
                          </w:rPr>
                        </w:pPr>
                        <w:r>
                          <w:rPr>
                            <w:rFonts w:ascii="黑体" w:eastAsia="黑体" w:hint="eastAsia"/>
                            <w:spacing w:val="-1"/>
                            <w:sz w:val="21"/>
                            <w:shd w:fill="A7A8A7" w:color="auto" w:val="clear"/>
                          </w:rPr>
                          <w:t>6．合</w:t>
                        </w:r>
                        <w:r>
                          <w:rPr>
                            <w:rFonts w:ascii="黑体" w:eastAsia="黑体" w:hint="eastAsia"/>
                            <w:spacing w:val="-3"/>
                            <w:sz w:val="21"/>
                            <w:shd w:fill="A7A8A7" w:color="auto" w:val="clear"/>
                          </w:rPr>
                          <w:t>同</w:t>
                        </w:r>
                        <w:r>
                          <w:rPr>
                            <w:rFonts w:ascii="黑体" w:eastAsia="黑体" w:hint="eastAsia"/>
                            <w:sz w:val="21"/>
                            <w:shd w:fill="A7A8A7" w:color="auto" w:val="clear"/>
                          </w:rPr>
                          <w:t>解除</w:t>
                          <w:tab/>
                        </w:r>
                      </w:p>
                    </w:tc>
                    <w:tc>
                      <w:tcPr>
                        <w:tcW w:w="757" w:type="dxa"/>
                      </w:tcPr>
                      <w:p>
                        <w:pPr>
                          <w:pStyle w:val="TableParagraph"/>
                          <w:spacing w:line="265" w:lineRule="exact"/>
                          <w:ind w:left="0" w:right="50"/>
                          <w:jc w:val="right"/>
                          <w:rPr>
                            <w:rFonts w:ascii="黑体"/>
                            <w:sz w:val="21"/>
                          </w:rPr>
                        </w:pPr>
                        <w:r>
                          <w:rPr>
                            <w:rFonts w:ascii="黑体"/>
                            <w:sz w:val="21"/>
                          </w:rPr>
                          <w:t>10.4</w:t>
                        </w:r>
                      </w:p>
                    </w:tc>
                    <w:tc>
                      <w:tcPr>
                        <w:tcW w:w="2200" w:type="dxa"/>
                      </w:tcPr>
                      <w:p>
                        <w:pPr>
                          <w:pStyle w:val="TableParagraph"/>
                          <w:spacing w:line="265" w:lineRule="exact"/>
                          <w:ind w:left="50"/>
                          <w:rPr>
                            <w:rFonts w:ascii="黑体" w:eastAsia="黑体" w:hint="eastAsia"/>
                            <w:sz w:val="21"/>
                          </w:rPr>
                        </w:pPr>
                        <w:r>
                          <w:rPr>
                            <w:rFonts w:ascii="黑体" w:eastAsia="黑体" w:hint="eastAsia"/>
                            <w:sz w:val="21"/>
                          </w:rPr>
                          <w:t>毒品</w:t>
                        </w:r>
                      </w:p>
                    </w:tc>
                  </w:tr>
                  <w:tr>
                    <w:trPr>
                      <w:trHeight w:val="320" w:hRule="atLeast"/>
                    </w:trPr>
                    <w:tc>
                      <w:tcPr>
                        <w:tcW w:w="420" w:type="dxa"/>
                      </w:tcPr>
                      <w:p>
                        <w:pPr>
                          <w:pStyle w:val="TableParagraph"/>
                          <w:spacing w:line="265" w:lineRule="exact"/>
                          <w:ind w:left="50"/>
                          <w:rPr>
                            <w:rFonts w:ascii="黑体"/>
                            <w:sz w:val="21"/>
                          </w:rPr>
                        </w:pPr>
                        <w:r>
                          <w:rPr>
                            <w:rFonts w:ascii="黑体"/>
                            <w:sz w:val="21"/>
                          </w:rPr>
                          <w:t>1.4</w:t>
                        </w:r>
                      </w:p>
                    </w:tc>
                    <w:tc>
                      <w:tcPr>
                        <w:tcW w:w="2206" w:type="dxa"/>
                      </w:tcPr>
                      <w:p>
                        <w:pPr>
                          <w:pStyle w:val="TableParagraph"/>
                          <w:spacing w:line="265" w:lineRule="exact"/>
                          <w:ind w:left="52"/>
                          <w:rPr>
                            <w:rFonts w:ascii="黑体" w:eastAsia="黑体" w:hint="eastAsia"/>
                            <w:sz w:val="21"/>
                          </w:rPr>
                        </w:pPr>
                        <w:r>
                          <w:rPr>
                            <w:rFonts w:ascii="黑体" w:eastAsia="黑体" w:hint="eastAsia"/>
                            <w:sz w:val="21"/>
                          </w:rPr>
                          <w:t>投保范围</w:t>
                        </w:r>
                      </w:p>
                    </w:tc>
                    <w:tc>
                      <w:tcPr>
                        <w:tcW w:w="3666" w:type="dxa"/>
                      </w:tcPr>
                      <w:p>
                        <w:pPr>
                          <w:pStyle w:val="TableParagraph"/>
                          <w:spacing w:line="265" w:lineRule="exact"/>
                          <w:ind w:left="685"/>
                          <w:rPr>
                            <w:rFonts w:ascii="黑体" w:eastAsia="黑体" w:hint="eastAsia"/>
                            <w:sz w:val="21"/>
                          </w:rPr>
                        </w:pPr>
                        <w:r>
                          <w:rPr>
                            <w:rFonts w:ascii="黑体" w:eastAsia="黑体" w:hint="eastAsia"/>
                            <w:sz w:val="21"/>
                          </w:rPr>
                          <w:t>6.1 投保人解除合同的手续</w:t>
                        </w:r>
                      </w:p>
                    </w:tc>
                    <w:tc>
                      <w:tcPr>
                        <w:tcW w:w="757" w:type="dxa"/>
                      </w:tcPr>
                      <w:p>
                        <w:pPr>
                          <w:pStyle w:val="TableParagraph"/>
                          <w:spacing w:line="265" w:lineRule="exact"/>
                          <w:ind w:left="0" w:right="50"/>
                          <w:jc w:val="right"/>
                          <w:rPr>
                            <w:rFonts w:ascii="黑体"/>
                            <w:sz w:val="21"/>
                          </w:rPr>
                        </w:pPr>
                        <w:r>
                          <w:rPr>
                            <w:rFonts w:ascii="黑体"/>
                            <w:sz w:val="21"/>
                          </w:rPr>
                          <w:t>10.5</w:t>
                        </w:r>
                      </w:p>
                    </w:tc>
                    <w:tc>
                      <w:tcPr>
                        <w:tcW w:w="2200" w:type="dxa"/>
                      </w:tcPr>
                      <w:p>
                        <w:pPr>
                          <w:pStyle w:val="TableParagraph"/>
                          <w:spacing w:line="265" w:lineRule="exact"/>
                          <w:ind w:left="50"/>
                          <w:rPr>
                            <w:rFonts w:ascii="黑体" w:eastAsia="黑体" w:hint="eastAsia"/>
                            <w:sz w:val="21"/>
                          </w:rPr>
                        </w:pPr>
                        <w:r>
                          <w:rPr>
                            <w:rFonts w:ascii="黑体" w:eastAsia="黑体" w:hint="eastAsia"/>
                            <w:sz w:val="21"/>
                          </w:rPr>
                          <w:t>酒后驾驶</w:t>
                        </w:r>
                      </w:p>
                    </w:tc>
                  </w:tr>
                  <w:tr>
                    <w:trPr>
                      <w:trHeight w:val="266" w:hRule="atLeast"/>
                    </w:trPr>
                    <w:tc>
                      <w:tcPr>
                        <w:tcW w:w="420" w:type="dxa"/>
                      </w:tcPr>
                      <w:p>
                        <w:pPr>
                          <w:pStyle w:val="TableParagraph"/>
                          <w:spacing w:line="247" w:lineRule="exact"/>
                          <w:ind w:left="50"/>
                          <w:rPr>
                            <w:rFonts w:ascii="黑体"/>
                            <w:sz w:val="21"/>
                          </w:rPr>
                        </w:pPr>
                        <w:r>
                          <w:rPr>
                            <w:rFonts w:ascii="黑体"/>
                            <w:sz w:val="21"/>
                          </w:rPr>
                          <w:t>1.5</w:t>
                        </w:r>
                      </w:p>
                    </w:tc>
                    <w:tc>
                      <w:tcPr>
                        <w:tcW w:w="2206" w:type="dxa"/>
                      </w:tcPr>
                      <w:p>
                        <w:pPr>
                          <w:pStyle w:val="TableParagraph"/>
                          <w:spacing w:line="247" w:lineRule="exact"/>
                          <w:ind w:left="52"/>
                          <w:rPr>
                            <w:rFonts w:ascii="黑体" w:eastAsia="黑体" w:hint="eastAsia"/>
                            <w:sz w:val="21"/>
                          </w:rPr>
                        </w:pPr>
                        <w:r>
                          <w:rPr>
                            <w:rFonts w:ascii="黑体" w:eastAsia="黑体" w:hint="eastAsia"/>
                            <w:sz w:val="21"/>
                          </w:rPr>
                          <w:t>犹豫期</w:t>
                        </w:r>
                      </w:p>
                    </w:tc>
                    <w:tc>
                      <w:tcPr>
                        <w:tcW w:w="3666" w:type="dxa"/>
                      </w:tcPr>
                      <w:p>
                        <w:pPr>
                          <w:pStyle w:val="TableParagraph"/>
                          <w:spacing w:line="247" w:lineRule="exact"/>
                          <w:ind w:left="1105"/>
                          <w:rPr>
                            <w:rFonts w:ascii="黑体" w:eastAsia="黑体" w:hint="eastAsia"/>
                            <w:sz w:val="21"/>
                          </w:rPr>
                        </w:pPr>
                        <w:r>
                          <w:rPr>
                            <w:rFonts w:ascii="黑体" w:eastAsia="黑体" w:hint="eastAsia"/>
                            <w:sz w:val="21"/>
                          </w:rPr>
                          <w:t>及风险</w:t>
                        </w:r>
                      </w:p>
                    </w:tc>
                    <w:tc>
                      <w:tcPr>
                        <w:tcW w:w="757" w:type="dxa"/>
                      </w:tcPr>
                      <w:p>
                        <w:pPr>
                          <w:pStyle w:val="TableParagraph"/>
                          <w:spacing w:line="247" w:lineRule="exact"/>
                          <w:ind w:left="0" w:right="50"/>
                          <w:jc w:val="right"/>
                          <w:rPr>
                            <w:rFonts w:ascii="黑体"/>
                            <w:sz w:val="21"/>
                          </w:rPr>
                        </w:pPr>
                        <w:r>
                          <w:rPr>
                            <w:rFonts w:ascii="黑体"/>
                            <w:sz w:val="21"/>
                          </w:rPr>
                          <w:t>10.6</w:t>
                        </w:r>
                      </w:p>
                    </w:tc>
                    <w:tc>
                      <w:tcPr>
                        <w:tcW w:w="2200" w:type="dxa"/>
                      </w:tcPr>
                      <w:p>
                        <w:pPr>
                          <w:pStyle w:val="TableParagraph"/>
                          <w:spacing w:line="247" w:lineRule="exact"/>
                          <w:ind w:left="50"/>
                          <w:rPr>
                            <w:rFonts w:ascii="黑体" w:eastAsia="黑体" w:hint="eastAsia"/>
                            <w:sz w:val="21"/>
                          </w:rPr>
                        </w:pPr>
                        <w:r>
                          <w:rPr>
                            <w:rFonts w:ascii="黑体" w:eastAsia="黑体" w:hint="eastAsia"/>
                            <w:sz w:val="21"/>
                          </w:rPr>
                          <w:t>无合法有效驾驶证驾驶</w:t>
                        </w:r>
                      </w:p>
                    </w:tc>
                  </w:tr>
                </w:tbl>
                <w:p>
                  <w:pPr>
                    <w:pStyle w:val="BodyText"/>
                  </w:pPr>
                </w:p>
              </w:txbxContent>
            </v:textbox>
            <w10:wrap type="none"/>
          </v:shape>
        </w:pict>
      </w:r>
      <w:r>
        <w:rPr/>
        <w:t>1．</w:t>
      </w:r>
      <w:r>
        <w:rPr>
          <w:spacing w:val="-3"/>
        </w:rPr>
        <w:t>双方订立的合同</w:t>
      </w:r>
    </w:p>
    <w:p>
      <w:pPr>
        <w:pStyle w:val="BodyText"/>
        <w:spacing w:line="210" w:lineRule="exact"/>
        <w:ind w:left="532"/>
      </w:pPr>
      <w:r>
        <w:rPr/>
        <w:br w:type="column"/>
      </w:r>
      <w:r>
        <w:rPr/>
        <w:t>4.1 保险费的支付</w:t>
      </w:r>
    </w:p>
    <w:p>
      <w:pPr>
        <w:pStyle w:val="BodyText"/>
        <w:spacing w:line="210" w:lineRule="exact"/>
        <w:ind w:left="532"/>
      </w:pPr>
      <w:r>
        <w:rPr/>
        <w:br w:type="column"/>
      </w:r>
      <w:r>
        <w:rPr/>
        <w:t>10.1 周岁</w:t>
      </w:r>
    </w:p>
    <w:p>
      <w:pPr>
        <w:spacing w:after="0" w:line="210" w:lineRule="exact"/>
        <w:sectPr>
          <w:type w:val="continuous"/>
          <w:pgSz w:w="11910" w:h="16840"/>
          <w:pgMar w:top="180" w:bottom="280" w:left="1020" w:right="220"/>
          <w:cols w:num="3" w:equalWidth="0">
            <w:col w:w="2317" w:space="945"/>
            <w:col w:w="2216" w:space="1045"/>
            <w:col w:w="414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BodyText"/>
        <w:tabs>
          <w:tab w:pos="3227" w:val="left" w:leader="none"/>
        </w:tabs>
        <w:ind w:left="532"/>
      </w:pPr>
      <w:r>
        <w:rPr>
          <w:spacing w:val="-1"/>
          <w:shd w:fill="A7A8A7" w:color="auto" w:val="clear"/>
        </w:rPr>
        <w:t>2．</w:t>
      </w:r>
      <w:r>
        <w:rPr>
          <w:spacing w:val="-3"/>
          <w:shd w:fill="A7A8A7" w:color="auto" w:val="clear"/>
        </w:rPr>
        <w:t>本公</w:t>
      </w:r>
      <w:r>
        <w:rPr>
          <w:shd w:fill="A7A8A7" w:color="auto" w:val="clear"/>
        </w:rPr>
        <w:t>司</w:t>
      </w:r>
      <w:r>
        <w:rPr>
          <w:spacing w:val="-3"/>
          <w:shd w:fill="A7A8A7" w:color="auto" w:val="clear"/>
        </w:rPr>
        <w:t>提</w:t>
      </w:r>
      <w:r>
        <w:rPr>
          <w:shd w:fill="A7A8A7" w:color="auto" w:val="clear"/>
        </w:rPr>
        <w:t>供</w:t>
      </w:r>
      <w:r>
        <w:rPr>
          <w:spacing w:val="-3"/>
          <w:shd w:fill="A7A8A7" w:color="auto" w:val="clear"/>
        </w:rPr>
        <w:t>的</w:t>
      </w:r>
      <w:r>
        <w:rPr>
          <w:shd w:fill="A7A8A7" w:color="auto" w:val="clear"/>
        </w:rPr>
        <w:t>保障</w:t>
        <w:tab/>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保险金额</w:t>
      </w:r>
    </w:p>
    <w:p>
      <w:pPr>
        <w:pStyle w:val="ListParagraph"/>
        <w:numPr>
          <w:ilvl w:val="1"/>
          <w:numId w:val="2"/>
        </w:numPr>
        <w:tabs>
          <w:tab w:pos="956" w:val="left" w:leader="none"/>
        </w:tabs>
        <w:spacing w:line="240" w:lineRule="auto" w:before="47" w:after="0"/>
        <w:ind w:left="955" w:right="0" w:hanging="423"/>
        <w:jc w:val="left"/>
        <w:rPr>
          <w:sz w:val="21"/>
        </w:rPr>
      </w:pPr>
      <w:r>
        <w:rPr>
          <w:spacing w:val="-2"/>
          <w:sz w:val="21"/>
        </w:rPr>
        <w:t>保险期间</w:t>
      </w:r>
    </w:p>
    <w:p>
      <w:pPr>
        <w:pStyle w:val="ListParagraph"/>
        <w:numPr>
          <w:ilvl w:val="1"/>
          <w:numId w:val="2"/>
        </w:numPr>
        <w:tabs>
          <w:tab w:pos="956" w:val="left" w:leader="none"/>
        </w:tabs>
        <w:spacing w:line="240" w:lineRule="auto" w:before="44" w:after="0"/>
        <w:ind w:left="955" w:right="0" w:hanging="423"/>
        <w:jc w:val="left"/>
        <w:rPr>
          <w:sz w:val="21"/>
        </w:rPr>
      </w:pPr>
      <w:r>
        <w:rPr>
          <w:spacing w:val="-3"/>
          <w:sz w:val="21"/>
        </w:rPr>
        <w:t>等待期</w:t>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保险责任</w:t>
      </w:r>
    </w:p>
    <w:p>
      <w:pPr>
        <w:pStyle w:val="ListParagraph"/>
        <w:numPr>
          <w:ilvl w:val="1"/>
          <w:numId w:val="2"/>
        </w:numPr>
        <w:tabs>
          <w:tab w:pos="956" w:val="left" w:leader="none"/>
        </w:tabs>
        <w:spacing w:line="240" w:lineRule="auto" w:before="47" w:after="0"/>
        <w:ind w:left="955" w:right="0" w:hanging="423"/>
        <w:jc w:val="left"/>
        <w:rPr>
          <w:sz w:val="21"/>
        </w:rPr>
      </w:pPr>
      <w:r>
        <w:rPr>
          <w:spacing w:val="-2"/>
          <w:sz w:val="21"/>
        </w:rPr>
        <w:t>责任免除</w:t>
      </w:r>
    </w:p>
    <w:p>
      <w:pPr>
        <w:pStyle w:val="BodyText"/>
        <w:tabs>
          <w:tab w:pos="3227" w:val="left" w:leader="none"/>
        </w:tabs>
        <w:spacing w:before="44"/>
        <w:ind w:left="532"/>
      </w:pPr>
      <w:r>
        <w:rPr>
          <w:spacing w:val="-1"/>
          <w:shd w:fill="A7A8A7" w:color="auto" w:val="clear"/>
        </w:rPr>
        <w:t>3．保</w:t>
      </w:r>
      <w:r>
        <w:rPr>
          <w:spacing w:val="-3"/>
          <w:shd w:fill="A7A8A7" w:color="auto" w:val="clear"/>
        </w:rPr>
        <w:t>险</w:t>
      </w:r>
      <w:r>
        <w:rPr>
          <w:shd w:fill="A7A8A7" w:color="auto" w:val="clear"/>
        </w:rPr>
        <w:t>金</w:t>
      </w:r>
      <w:r>
        <w:rPr>
          <w:spacing w:val="-3"/>
          <w:shd w:fill="A7A8A7" w:color="auto" w:val="clear"/>
        </w:rPr>
        <w:t>的</w:t>
      </w:r>
      <w:r>
        <w:rPr>
          <w:shd w:fill="A7A8A7" w:color="auto" w:val="clear"/>
        </w:rPr>
        <w:t>申请</w:t>
        <w:tab/>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受益人</w:t>
      </w:r>
    </w:p>
    <w:p>
      <w:pPr>
        <w:pStyle w:val="ListParagraph"/>
        <w:numPr>
          <w:ilvl w:val="1"/>
          <w:numId w:val="3"/>
        </w:numPr>
        <w:tabs>
          <w:tab w:pos="956" w:val="left" w:leader="none"/>
        </w:tabs>
        <w:spacing w:line="240" w:lineRule="auto" w:before="47" w:after="0"/>
        <w:ind w:left="955" w:right="0" w:hanging="423"/>
        <w:jc w:val="left"/>
        <w:rPr>
          <w:sz w:val="21"/>
        </w:rPr>
      </w:pPr>
      <w:r>
        <w:rPr>
          <w:spacing w:val="-3"/>
          <w:sz w:val="21"/>
        </w:rPr>
        <w:t>保险事故通知</w:t>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保险金申请</w:t>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保险金给付</w:t>
      </w:r>
    </w:p>
    <w:p>
      <w:pPr>
        <w:pStyle w:val="ListParagraph"/>
        <w:numPr>
          <w:ilvl w:val="1"/>
          <w:numId w:val="3"/>
        </w:numPr>
        <w:tabs>
          <w:tab w:pos="956" w:val="left" w:leader="none"/>
        </w:tabs>
        <w:spacing w:line="240" w:lineRule="auto" w:before="47" w:after="0"/>
        <w:ind w:left="955" w:right="0" w:hanging="423"/>
        <w:jc w:val="left"/>
        <w:rPr>
          <w:sz w:val="21"/>
        </w:rPr>
      </w:pPr>
      <w:r>
        <w:rPr>
          <w:spacing w:val="-3"/>
          <w:sz w:val="21"/>
        </w:rPr>
        <w:t>宣告死亡处理</w:t>
      </w:r>
    </w:p>
    <w:p>
      <w:pPr>
        <w:pStyle w:val="ListParagraph"/>
        <w:numPr>
          <w:ilvl w:val="1"/>
          <w:numId w:val="3"/>
        </w:numPr>
        <w:tabs>
          <w:tab w:pos="956" w:val="left" w:leader="none"/>
        </w:tabs>
        <w:spacing w:line="240" w:lineRule="auto" w:before="44" w:after="0"/>
        <w:ind w:left="955" w:right="0" w:hanging="423"/>
        <w:jc w:val="left"/>
        <w:rPr>
          <w:sz w:val="21"/>
        </w:rPr>
      </w:pPr>
      <w:r>
        <w:rPr>
          <w:spacing w:val="-2"/>
          <w:sz w:val="21"/>
        </w:rPr>
        <w:t>诉讼时效</w:t>
      </w:r>
    </w:p>
    <w:p>
      <w:pPr>
        <w:pStyle w:val="BodyText"/>
        <w:tabs>
          <w:tab w:pos="3227" w:val="left" w:leader="none"/>
        </w:tabs>
        <w:spacing w:before="44"/>
        <w:ind w:left="532"/>
      </w:pPr>
      <w:r>
        <w:rPr>
          <w:shd w:fill="A7A8A7" w:color="auto" w:val="clear"/>
        </w:rPr>
        <w:t>4.</w:t>
      </w:r>
      <w:r>
        <w:rPr>
          <w:spacing w:val="7"/>
          <w:shd w:fill="A7A8A7" w:color="auto" w:val="clear"/>
        </w:rPr>
        <w:t> </w:t>
      </w:r>
      <w:r>
        <w:rPr>
          <w:spacing w:val="-3"/>
          <w:shd w:fill="A7A8A7" w:color="auto" w:val="clear"/>
        </w:rPr>
        <w:t>保险</w:t>
      </w:r>
      <w:r>
        <w:rPr>
          <w:shd w:fill="A7A8A7" w:color="auto" w:val="clear"/>
        </w:rPr>
        <w:t>费</w:t>
      </w:r>
      <w:r>
        <w:rPr>
          <w:spacing w:val="-3"/>
          <w:shd w:fill="A7A8A7" w:color="auto" w:val="clear"/>
        </w:rPr>
        <w:t>的</w:t>
      </w:r>
      <w:r>
        <w:rPr>
          <w:shd w:fill="A7A8A7" w:color="auto" w:val="clear"/>
        </w:rPr>
        <w:t>支付</w:t>
        <w:tab/>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BodyText"/>
        <w:ind w:left="526"/>
      </w:pPr>
      <w:r>
        <w:rPr>
          <w:shd w:fill="A7A8A7" w:color="auto" w:val="clear"/>
        </w:rPr>
        <w:t>7．说明、告知与解除权限制</w:t>
      </w:r>
    </w:p>
    <w:p>
      <w:pPr>
        <w:pStyle w:val="ListParagraph"/>
        <w:numPr>
          <w:ilvl w:val="1"/>
          <w:numId w:val="4"/>
        </w:numPr>
        <w:tabs>
          <w:tab w:pos="949" w:val="left" w:leader="none"/>
        </w:tabs>
        <w:spacing w:line="240" w:lineRule="auto" w:before="44" w:after="0"/>
        <w:ind w:left="948" w:right="0" w:hanging="422"/>
        <w:jc w:val="left"/>
        <w:rPr>
          <w:sz w:val="21"/>
        </w:rPr>
      </w:pPr>
      <w:r>
        <w:rPr>
          <w:spacing w:val="-3"/>
          <w:sz w:val="21"/>
        </w:rPr>
        <w:t>明确说明与如实告知</w:t>
      </w:r>
    </w:p>
    <w:p>
      <w:pPr>
        <w:pStyle w:val="ListParagraph"/>
        <w:numPr>
          <w:ilvl w:val="1"/>
          <w:numId w:val="4"/>
        </w:numPr>
        <w:tabs>
          <w:tab w:pos="896" w:val="left" w:leader="none"/>
        </w:tabs>
        <w:spacing w:line="240" w:lineRule="auto" w:before="47" w:after="0"/>
        <w:ind w:left="896" w:right="0" w:hanging="370"/>
        <w:jc w:val="left"/>
        <w:rPr>
          <w:sz w:val="21"/>
        </w:rPr>
      </w:pPr>
      <w:r>
        <w:rPr>
          <w:spacing w:val="-3"/>
          <w:sz w:val="21"/>
        </w:rPr>
        <w:t>本公司合同解除权的限制</w:t>
      </w:r>
    </w:p>
    <w:p>
      <w:pPr>
        <w:pStyle w:val="BodyText"/>
        <w:tabs>
          <w:tab w:pos="3221" w:val="left" w:leader="none"/>
        </w:tabs>
        <w:spacing w:before="44"/>
        <w:ind w:left="526"/>
      </w:pPr>
      <w:r>
        <w:rPr>
          <w:shd w:fill="A7A8A7" w:color="auto" w:val="clear"/>
        </w:rPr>
        <w:t>8．</w:t>
      </w:r>
      <w:r>
        <w:rPr>
          <w:spacing w:val="-3"/>
          <w:shd w:fill="A7A8A7" w:color="auto" w:val="clear"/>
        </w:rPr>
        <w:t>其</w:t>
      </w:r>
      <w:r>
        <w:rPr>
          <w:shd w:fill="A7A8A7" w:color="auto" w:val="clear"/>
        </w:rPr>
        <w:t>他</w:t>
      </w:r>
      <w:r>
        <w:rPr>
          <w:spacing w:val="-3"/>
          <w:shd w:fill="A7A8A7" w:color="auto" w:val="clear"/>
        </w:rPr>
        <w:t>需</w:t>
      </w:r>
      <w:r>
        <w:rPr>
          <w:shd w:fill="A7A8A7" w:color="auto" w:val="clear"/>
        </w:rPr>
        <w:t>要</w:t>
      </w:r>
      <w:r>
        <w:rPr>
          <w:spacing w:val="-3"/>
          <w:shd w:fill="A7A8A7" w:color="auto" w:val="clear"/>
        </w:rPr>
        <w:t>关</w:t>
      </w:r>
      <w:r>
        <w:rPr>
          <w:shd w:fill="A7A8A7" w:color="auto" w:val="clear"/>
        </w:rPr>
        <w:t>注</w:t>
      </w:r>
      <w:r>
        <w:rPr>
          <w:spacing w:val="-3"/>
          <w:shd w:fill="A7A8A7" w:color="auto" w:val="clear"/>
        </w:rPr>
        <w:t>的</w:t>
      </w:r>
      <w:r>
        <w:rPr>
          <w:shd w:fill="A7A8A7" w:color="auto" w:val="clear"/>
        </w:rPr>
        <w:t>事项</w:t>
        <w:tab/>
      </w:r>
    </w:p>
    <w:p>
      <w:pPr>
        <w:pStyle w:val="ListParagraph"/>
        <w:numPr>
          <w:ilvl w:val="1"/>
          <w:numId w:val="5"/>
        </w:numPr>
        <w:tabs>
          <w:tab w:pos="949" w:val="left" w:leader="none"/>
        </w:tabs>
        <w:spacing w:line="240" w:lineRule="auto" w:before="44" w:after="0"/>
        <w:ind w:left="948" w:right="0" w:hanging="422"/>
        <w:jc w:val="left"/>
        <w:rPr>
          <w:sz w:val="21"/>
        </w:rPr>
      </w:pPr>
      <w:r>
        <w:rPr>
          <w:spacing w:val="-3"/>
          <w:sz w:val="21"/>
        </w:rPr>
        <w:t>年龄性别错误</w:t>
      </w:r>
    </w:p>
    <w:p>
      <w:pPr>
        <w:pStyle w:val="ListParagraph"/>
        <w:numPr>
          <w:ilvl w:val="1"/>
          <w:numId w:val="5"/>
        </w:numPr>
        <w:tabs>
          <w:tab w:pos="949" w:val="left" w:leader="none"/>
        </w:tabs>
        <w:spacing w:line="240" w:lineRule="auto" w:before="47" w:after="0"/>
        <w:ind w:left="948" w:right="0" w:hanging="422"/>
        <w:jc w:val="left"/>
        <w:rPr>
          <w:sz w:val="21"/>
        </w:rPr>
      </w:pPr>
      <w:r>
        <w:rPr>
          <w:spacing w:val="-3"/>
          <w:sz w:val="21"/>
        </w:rPr>
        <w:t>被保险人的变动</w:t>
      </w:r>
    </w:p>
    <w:p>
      <w:pPr>
        <w:pStyle w:val="ListParagraph"/>
        <w:numPr>
          <w:ilvl w:val="1"/>
          <w:numId w:val="5"/>
        </w:numPr>
        <w:tabs>
          <w:tab w:pos="896" w:val="left" w:leader="none"/>
        </w:tabs>
        <w:spacing w:line="240" w:lineRule="auto" w:before="44" w:after="0"/>
        <w:ind w:left="896" w:right="0" w:hanging="370"/>
        <w:jc w:val="left"/>
        <w:rPr>
          <w:sz w:val="21"/>
        </w:rPr>
      </w:pPr>
      <w:r>
        <w:rPr>
          <w:spacing w:val="-3"/>
          <w:sz w:val="21"/>
        </w:rPr>
        <w:t>职业或工种的确定与变更</w:t>
      </w:r>
    </w:p>
    <w:p>
      <w:pPr>
        <w:pStyle w:val="ListParagraph"/>
        <w:numPr>
          <w:ilvl w:val="1"/>
          <w:numId w:val="5"/>
        </w:numPr>
        <w:tabs>
          <w:tab w:pos="949" w:val="left" w:leader="none"/>
        </w:tabs>
        <w:spacing w:line="240" w:lineRule="auto" w:before="44" w:after="0"/>
        <w:ind w:left="948" w:right="0" w:hanging="422"/>
        <w:jc w:val="left"/>
        <w:rPr>
          <w:sz w:val="21"/>
        </w:rPr>
      </w:pPr>
      <w:r>
        <w:rPr>
          <w:spacing w:val="-3"/>
          <w:sz w:val="21"/>
        </w:rPr>
        <w:t>合同内容变更</w:t>
      </w:r>
    </w:p>
    <w:p>
      <w:pPr>
        <w:pStyle w:val="ListParagraph"/>
        <w:numPr>
          <w:ilvl w:val="1"/>
          <w:numId w:val="5"/>
        </w:numPr>
        <w:tabs>
          <w:tab w:pos="949" w:val="left" w:leader="none"/>
        </w:tabs>
        <w:spacing w:line="240" w:lineRule="auto" w:before="47" w:after="0"/>
        <w:ind w:left="948" w:right="0" w:hanging="422"/>
        <w:jc w:val="left"/>
        <w:rPr>
          <w:sz w:val="21"/>
        </w:rPr>
      </w:pPr>
      <w:r>
        <w:rPr>
          <w:spacing w:val="-3"/>
          <w:sz w:val="21"/>
        </w:rPr>
        <w:t>联系方式变更</w:t>
      </w:r>
    </w:p>
    <w:p>
      <w:pPr>
        <w:pStyle w:val="ListParagraph"/>
        <w:numPr>
          <w:ilvl w:val="1"/>
          <w:numId w:val="5"/>
        </w:numPr>
        <w:tabs>
          <w:tab w:pos="949" w:val="left" w:leader="none"/>
        </w:tabs>
        <w:spacing w:line="240" w:lineRule="auto" w:before="44" w:after="0"/>
        <w:ind w:left="948" w:right="0" w:hanging="422"/>
        <w:jc w:val="left"/>
        <w:rPr>
          <w:sz w:val="21"/>
        </w:rPr>
      </w:pPr>
      <w:r>
        <w:rPr>
          <w:spacing w:val="-2"/>
          <w:sz w:val="21"/>
        </w:rPr>
        <w:t>争议处理</w:t>
      </w:r>
    </w:p>
    <w:p>
      <w:pPr>
        <w:pStyle w:val="BodyText"/>
        <w:tabs>
          <w:tab w:pos="3221" w:val="left" w:leader="none"/>
        </w:tabs>
        <w:spacing w:before="44"/>
        <w:ind w:left="526"/>
      </w:pPr>
      <w:r>
        <w:rPr>
          <w:shd w:fill="A7A8A7" w:color="auto" w:val="clear"/>
        </w:rPr>
        <w:t>9．</w:t>
      </w:r>
      <w:r>
        <w:rPr>
          <w:spacing w:val="-3"/>
          <w:shd w:fill="A7A8A7" w:color="auto" w:val="clear"/>
        </w:rPr>
        <w:t>重</w:t>
      </w:r>
      <w:r>
        <w:rPr>
          <w:shd w:fill="A7A8A7" w:color="auto" w:val="clear"/>
        </w:rPr>
        <w:t>大</w:t>
      </w:r>
      <w:r>
        <w:rPr>
          <w:spacing w:val="-3"/>
          <w:shd w:fill="A7A8A7" w:color="auto" w:val="clear"/>
        </w:rPr>
        <w:t>疾</w:t>
      </w:r>
      <w:r>
        <w:rPr>
          <w:shd w:fill="A7A8A7" w:color="auto" w:val="clear"/>
        </w:rPr>
        <w:t>病</w:t>
      </w:r>
      <w:r>
        <w:rPr>
          <w:spacing w:val="-3"/>
          <w:shd w:fill="A7A8A7" w:color="auto" w:val="clear"/>
        </w:rPr>
        <w:t>的</w:t>
      </w:r>
      <w:r>
        <w:rPr>
          <w:shd w:fill="A7A8A7" w:color="auto" w:val="clear"/>
        </w:rPr>
        <w:t>定义</w:t>
        <w:tab/>
      </w:r>
    </w:p>
    <w:p>
      <w:pPr>
        <w:pStyle w:val="ListParagraph"/>
        <w:numPr>
          <w:ilvl w:val="1"/>
          <w:numId w:val="6"/>
        </w:numPr>
        <w:tabs>
          <w:tab w:pos="949" w:val="left" w:leader="none"/>
        </w:tabs>
        <w:spacing w:line="240" w:lineRule="auto" w:before="46" w:after="0"/>
        <w:ind w:left="948" w:right="0" w:hanging="422"/>
        <w:jc w:val="left"/>
        <w:rPr>
          <w:sz w:val="21"/>
        </w:rPr>
      </w:pPr>
      <w:r>
        <w:rPr>
          <w:spacing w:val="-3"/>
          <w:sz w:val="21"/>
        </w:rPr>
        <w:t>重大疾病的定义</w:t>
      </w:r>
    </w:p>
    <w:p>
      <w:pPr>
        <w:pStyle w:val="ListParagraph"/>
        <w:numPr>
          <w:ilvl w:val="1"/>
          <w:numId w:val="6"/>
        </w:numPr>
        <w:tabs>
          <w:tab w:pos="896" w:val="left" w:leader="none"/>
        </w:tabs>
        <w:spacing w:line="240" w:lineRule="auto" w:before="43" w:after="0"/>
        <w:ind w:left="896" w:right="0" w:hanging="370"/>
        <w:jc w:val="left"/>
        <w:rPr>
          <w:sz w:val="21"/>
        </w:rPr>
      </w:pPr>
      <w:r>
        <w:rPr>
          <w:spacing w:val="-3"/>
          <w:sz w:val="21"/>
        </w:rPr>
        <w:t>定义来源及确诊医院范围</w:t>
      </w:r>
    </w:p>
    <w:p>
      <w:pPr>
        <w:pStyle w:val="BodyText"/>
        <w:tabs>
          <w:tab w:pos="3221" w:val="left" w:leader="none"/>
        </w:tabs>
        <w:spacing w:before="43"/>
        <w:ind w:left="526"/>
      </w:pPr>
      <w:r>
        <w:rPr>
          <w:spacing w:val="-1"/>
          <w:shd w:fill="A7A8A7" w:color="auto" w:val="clear"/>
        </w:rPr>
        <w:t>10．</w:t>
      </w:r>
      <w:r>
        <w:rPr>
          <w:shd w:fill="A7A8A7" w:color="auto" w:val="clear"/>
        </w:rPr>
        <w:t>释义</w:t>
        <w:tab/>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ListParagraph"/>
        <w:numPr>
          <w:ilvl w:val="1"/>
          <w:numId w:val="7"/>
        </w:numPr>
        <w:tabs>
          <w:tab w:pos="1053" w:val="left" w:leader="none"/>
        </w:tabs>
        <w:spacing w:line="240" w:lineRule="auto" w:before="0" w:after="0"/>
        <w:ind w:left="1052" w:right="0" w:hanging="525"/>
        <w:jc w:val="left"/>
        <w:rPr>
          <w:sz w:val="21"/>
        </w:rPr>
      </w:pPr>
      <w:r>
        <w:rPr>
          <w:spacing w:val="-3"/>
          <w:sz w:val="21"/>
        </w:rPr>
        <w:t>无有效行驶证</w:t>
      </w:r>
    </w:p>
    <w:p>
      <w:pPr>
        <w:pStyle w:val="ListParagraph"/>
        <w:numPr>
          <w:ilvl w:val="1"/>
          <w:numId w:val="7"/>
        </w:numPr>
        <w:tabs>
          <w:tab w:pos="1060" w:val="left" w:leader="none"/>
        </w:tabs>
        <w:spacing w:line="280" w:lineRule="auto" w:before="44" w:after="0"/>
        <w:ind w:left="1052" w:right="909" w:hanging="525"/>
        <w:jc w:val="left"/>
        <w:rPr>
          <w:sz w:val="21"/>
        </w:rPr>
      </w:pPr>
      <w:r>
        <w:rPr>
          <w:spacing w:val="1"/>
          <w:sz w:val="21"/>
        </w:rPr>
        <w:t>感染艾滋病病毒或患艾滋病</w:t>
      </w:r>
    </w:p>
    <w:p>
      <w:pPr>
        <w:pStyle w:val="ListParagraph"/>
        <w:numPr>
          <w:ilvl w:val="1"/>
          <w:numId w:val="7"/>
        </w:numPr>
        <w:tabs>
          <w:tab w:pos="1053" w:val="left" w:leader="none"/>
        </w:tabs>
        <w:spacing w:line="240" w:lineRule="auto" w:before="8" w:after="0"/>
        <w:ind w:left="1052" w:right="0" w:hanging="525"/>
        <w:jc w:val="left"/>
        <w:rPr>
          <w:sz w:val="21"/>
        </w:rPr>
      </w:pPr>
      <w:r>
        <w:rPr>
          <w:spacing w:val="-3"/>
          <w:sz w:val="21"/>
        </w:rPr>
        <w:t>遗传性疾病</w:t>
      </w:r>
    </w:p>
    <w:p>
      <w:pPr>
        <w:pStyle w:val="ListParagraph"/>
        <w:numPr>
          <w:ilvl w:val="1"/>
          <w:numId w:val="7"/>
        </w:numPr>
        <w:tabs>
          <w:tab w:pos="1159" w:val="left" w:leader="none"/>
        </w:tabs>
        <w:spacing w:line="280" w:lineRule="auto" w:before="43" w:after="0"/>
        <w:ind w:left="1052" w:right="909" w:hanging="525"/>
        <w:jc w:val="left"/>
        <w:rPr>
          <w:sz w:val="21"/>
        </w:rPr>
      </w:pPr>
      <w:r>
        <w:rPr>
          <w:spacing w:val="-8"/>
          <w:sz w:val="21"/>
        </w:rPr>
        <w:t>先天性畸形、变形或染</w:t>
      </w:r>
      <w:r>
        <w:rPr>
          <w:spacing w:val="-6"/>
          <w:sz w:val="21"/>
        </w:rPr>
        <w:t>色体异常</w:t>
      </w:r>
    </w:p>
    <w:p>
      <w:pPr>
        <w:pStyle w:val="ListParagraph"/>
        <w:numPr>
          <w:ilvl w:val="1"/>
          <w:numId w:val="7"/>
        </w:numPr>
        <w:tabs>
          <w:tab w:pos="1159" w:val="left" w:leader="none"/>
        </w:tabs>
        <w:spacing w:line="240" w:lineRule="auto" w:before="8" w:after="0"/>
        <w:ind w:left="1158" w:right="0" w:hanging="631"/>
        <w:jc w:val="left"/>
        <w:rPr>
          <w:sz w:val="21"/>
        </w:rPr>
      </w:pPr>
      <w:r>
        <w:rPr>
          <w:spacing w:val="-3"/>
          <w:sz w:val="21"/>
        </w:rPr>
        <w:t>有效身份证件</w:t>
      </w:r>
    </w:p>
    <w:p>
      <w:pPr>
        <w:pStyle w:val="ListParagraph"/>
        <w:numPr>
          <w:ilvl w:val="1"/>
          <w:numId w:val="7"/>
        </w:numPr>
        <w:tabs>
          <w:tab w:pos="1159" w:val="left" w:leader="none"/>
        </w:tabs>
        <w:spacing w:line="240" w:lineRule="auto" w:before="44" w:after="0"/>
        <w:ind w:left="1158" w:right="0" w:hanging="631"/>
        <w:jc w:val="left"/>
        <w:rPr>
          <w:sz w:val="21"/>
        </w:rPr>
      </w:pPr>
      <w:r>
        <w:rPr>
          <w:spacing w:val="-2"/>
          <w:sz w:val="21"/>
        </w:rPr>
        <w:t>情形复杂</w:t>
      </w:r>
    </w:p>
    <w:p>
      <w:pPr>
        <w:pStyle w:val="ListParagraph"/>
        <w:numPr>
          <w:ilvl w:val="1"/>
          <w:numId w:val="7"/>
        </w:numPr>
        <w:tabs>
          <w:tab w:pos="1159" w:val="left" w:leader="none"/>
        </w:tabs>
        <w:spacing w:line="240" w:lineRule="auto" w:before="46" w:after="0"/>
        <w:ind w:left="1158" w:right="0" w:hanging="631"/>
        <w:jc w:val="left"/>
        <w:rPr>
          <w:sz w:val="21"/>
        </w:rPr>
      </w:pPr>
      <w:r>
        <w:rPr>
          <w:spacing w:val="-2"/>
          <w:sz w:val="21"/>
        </w:rPr>
        <w:t>专科医</w:t>
      </w:r>
      <w:r>
        <w:rPr>
          <w:sz w:val="21"/>
        </w:rPr>
        <w:t>Th</w:t>
      </w:r>
    </w:p>
    <w:p>
      <w:pPr>
        <w:pStyle w:val="ListParagraph"/>
        <w:numPr>
          <w:ilvl w:val="1"/>
          <w:numId w:val="7"/>
        </w:numPr>
        <w:tabs>
          <w:tab w:pos="1159" w:val="left" w:leader="none"/>
        </w:tabs>
        <w:spacing w:line="240" w:lineRule="auto" w:before="44" w:after="0"/>
        <w:ind w:left="1158" w:right="0" w:hanging="631"/>
        <w:jc w:val="left"/>
        <w:rPr>
          <w:sz w:val="21"/>
        </w:rPr>
      </w:pPr>
      <w:r>
        <w:rPr>
          <w:spacing w:val="-3"/>
          <w:sz w:val="21"/>
        </w:rPr>
        <w:t>肢体机能完全丧失</w:t>
      </w:r>
    </w:p>
    <w:p>
      <w:pPr>
        <w:pStyle w:val="ListParagraph"/>
        <w:numPr>
          <w:ilvl w:val="1"/>
          <w:numId w:val="7"/>
        </w:numPr>
        <w:tabs>
          <w:tab w:pos="1178" w:val="left" w:leader="none"/>
        </w:tabs>
        <w:spacing w:line="280" w:lineRule="auto" w:before="44" w:after="0"/>
        <w:ind w:left="1053" w:right="890" w:hanging="526"/>
        <w:jc w:val="left"/>
        <w:rPr>
          <w:sz w:val="21"/>
        </w:rPr>
      </w:pPr>
      <w:r>
        <w:rPr>
          <w:spacing w:val="15"/>
          <w:sz w:val="21"/>
        </w:rPr>
        <w:t>语言能力或咀嚼吞咽</w:t>
      </w:r>
      <w:r>
        <w:rPr>
          <w:spacing w:val="-2"/>
          <w:sz w:val="21"/>
        </w:rPr>
        <w:t>能力完全丧失</w:t>
      </w:r>
    </w:p>
    <w:p>
      <w:pPr>
        <w:pStyle w:val="ListParagraph"/>
        <w:numPr>
          <w:ilvl w:val="1"/>
          <w:numId w:val="7"/>
        </w:numPr>
        <w:tabs>
          <w:tab w:pos="1106" w:val="left" w:leader="none"/>
        </w:tabs>
        <w:spacing w:line="240" w:lineRule="auto" w:before="8" w:after="0"/>
        <w:ind w:left="1105" w:right="0" w:hanging="578"/>
        <w:jc w:val="left"/>
        <w:rPr>
          <w:sz w:val="21"/>
        </w:rPr>
      </w:pPr>
      <w:r>
        <w:rPr>
          <w:spacing w:val="-3"/>
          <w:sz w:val="21"/>
        </w:rPr>
        <w:t>六项基本日常</w:t>
      </w:r>
      <w:r>
        <w:rPr>
          <w:sz w:val="21"/>
        </w:rPr>
        <w:t>Th</w:t>
      </w:r>
      <w:r>
        <w:rPr>
          <w:spacing w:val="-2"/>
          <w:sz w:val="21"/>
        </w:rPr>
        <w:t>活活动</w:t>
      </w:r>
    </w:p>
    <w:p>
      <w:pPr>
        <w:pStyle w:val="ListParagraph"/>
        <w:numPr>
          <w:ilvl w:val="1"/>
          <w:numId w:val="7"/>
        </w:numPr>
        <w:tabs>
          <w:tab w:pos="1158" w:val="left" w:leader="none"/>
        </w:tabs>
        <w:spacing w:line="240" w:lineRule="auto" w:before="44" w:after="0"/>
        <w:ind w:left="1157" w:right="0" w:hanging="631"/>
        <w:jc w:val="left"/>
        <w:rPr>
          <w:sz w:val="21"/>
        </w:rPr>
      </w:pPr>
      <w:r>
        <w:rPr>
          <w:spacing w:val="-3"/>
          <w:sz w:val="21"/>
        </w:rPr>
        <w:t>永久不可逆</w:t>
      </w:r>
    </w:p>
    <w:p>
      <w:pPr>
        <w:spacing w:after="0" w:line="240" w:lineRule="auto"/>
        <w:jc w:val="left"/>
        <w:rPr>
          <w:sz w:val="21"/>
        </w:rPr>
        <w:sectPr>
          <w:type w:val="continuous"/>
          <w:pgSz w:w="11910" w:h="16840"/>
          <w:pgMar w:top="180" w:bottom="280" w:left="1020" w:right="220"/>
          <w:cols w:num="3" w:equalWidth="0">
            <w:col w:w="3228" w:space="40"/>
            <w:col w:w="3222" w:space="40"/>
            <w:col w:w="4140"/>
          </w:cols>
        </w:sectPr>
      </w:pPr>
    </w:p>
    <w:p>
      <w:pPr>
        <w:pStyle w:val="Heading1"/>
        <w:spacing w:line="390" w:lineRule="exact" w:before="0"/>
        <w:ind w:left="3386" w:right="3391"/>
      </w:pPr>
      <w:bookmarkStart w:name="中韩人寿保险有限公司" w:id="3"/>
      <w:bookmarkEnd w:id="3"/>
      <w:r>
        <w:rPr>
          <w:b w:val="0"/>
        </w:rPr>
      </w:r>
      <w:r>
        <w:rPr>
          <w:w w:val="95"/>
        </w:rPr>
        <w:t>中韩人寿保险有限公司</w:t>
      </w:r>
    </w:p>
    <w:p>
      <w:pPr>
        <w:spacing w:before="205"/>
        <w:ind w:left="2361" w:right="0" w:firstLine="0"/>
        <w:jc w:val="left"/>
        <w:rPr>
          <w:rFonts w:ascii="黑体" w:eastAsia="黑体" w:hint="eastAsia"/>
          <w:b/>
          <w:sz w:val="32"/>
        </w:rPr>
      </w:pPr>
      <w:bookmarkStart w:name="中韩团体终身重大疾病保险A款条款" w:id="4"/>
      <w:bookmarkEnd w:id="4"/>
      <w:r>
        <w:rPr/>
      </w:r>
      <w:r>
        <w:rPr>
          <w:rFonts w:ascii="黑体" w:eastAsia="黑体" w:hint="eastAsia"/>
          <w:b/>
          <w:sz w:val="32"/>
        </w:rPr>
        <w:t>中韩团体终身重大疾病保险 A 款条款</w:t>
      </w:r>
    </w:p>
    <w:p>
      <w:pPr>
        <w:pStyle w:val="BodyText"/>
        <w:spacing w:before="1"/>
        <w:rPr>
          <w:b/>
          <w:sz w:val="32"/>
        </w:rPr>
      </w:pPr>
    </w:p>
    <w:p>
      <w:pPr>
        <w:pStyle w:val="BodyText"/>
        <w:spacing w:line="273" w:lineRule="auto"/>
        <w:ind w:left="112" w:right="109" w:firstLine="420"/>
        <w:rPr>
          <w:rFonts w:ascii="宋体" w:hAnsi="宋体" w:eastAsia="宋体" w:hint="eastAsia"/>
        </w:rPr>
      </w:pPr>
      <w:r>
        <w:rPr>
          <w:rFonts w:ascii="宋体" w:hAnsi="宋体" w:eastAsia="宋体" w:hint="eastAsia"/>
          <w:spacing w:val="-18"/>
          <w:w w:val="100"/>
        </w:rPr>
        <w:t>在本保险条款中，“本公司”指中韩人寿保险有限公司，“本合同”指投保人与本公司之间订立的“中</w:t>
      </w:r>
      <w:r>
        <w:rPr>
          <w:rFonts w:ascii="宋体" w:hAnsi="宋体" w:eastAsia="宋体" w:hint="eastAsia"/>
          <w:spacing w:val="-11"/>
        </w:rPr>
        <w:t>韩团体终身重大疾病保险 </w:t>
      </w:r>
      <w:r>
        <w:rPr>
          <w:rFonts w:ascii="宋体" w:hAnsi="宋体" w:eastAsia="宋体" w:hint="eastAsia"/>
        </w:rPr>
        <w:t>A</w:t>
      </w:r>
      <w:r>
        <w:rPr>
          <w:rFonts w:ascii="宋体" w:hAnsi="宋体" w:eastAsia="宋体" w:hint="eastAsia"/>
          <w:spacing w:val="-27"/>
        </w:rPr>
        <w:t> 款合同”。</w:t>
      </w:r>
    </w:p>
    <w:p>
      <w:pPr>
        <w:spacing w:line="240" w:lineRule="auto" w:before="6" w:after="0"/>
        <w:rPr>
          <w:sz w:val="1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543"/>
        <w:gridCol w:w="7260"/>
      </w:tblGrid>
      <w:tr>
        <w:trPr>
          <w:trHeight w:val="311" w:hRule="atLeast"/>
        </w:trPr>
        <w:tc>
          <w:tcPr>
            <w:tcW w:w="739" w:type="dxa"/>
            <w:shd w:val="clear" w:color="auto" w:fill="A7A8A7"/>
          </w:tcPr>
          <w:p>
            <w:pPr>
              <w:pStyle w:val="TableParagraph"/>
              <w:spacing w:line="262" w:lineRule="exact"/>
              <w:ind w:left="108"/>
              <w:rPr>
                <w:b/>
                <w:sz w:val="21"/>
              </w:rPr>
            </w:pPr>
            <w:r>
              <w:rPr>
                <w:b/>
                <w:sz w:val="21"/>
              </w:rPr>
              <w:t>1．</w:t>
            </w:r>
          </w:p>
        </w:tc>
        <w:tc>
          <w:tcPr>
            <w:tcW w:w="8803" w:type="dxa"/>
            <w:gridSpan w:val="2"/>
            <w:shd w:val="clear" w:color="auto" w:fill="A7A8A7"/>
          </w:tcPr>
          <w:p>
            <w:pPr>
              <w:pStyle w:val="TableParagraph"/>
              <w:spacing w:line="262" w:lineRule="exact"/>
              <w:ind w:left="314"/>
              <w:rPr>
                <w:b/>
                <w:sz w:val="21"/>
              </w:rPr>
            </w:pPr>
            <w:r>
              <w:rPr>
                <w:b/>
                <w:sz w:val="21"/>
              </w:rPr>
              <w:t>双方订立的合同</w:t>
            </w:r>
          </w:p>
        </w:tc>
      </w:tr>
      <w:tr>
        <w:trPr>
          <w:trHeight w:val="1151" w:hRule="atLeast"/>
        </w:trPr>
        <w:tc>
          <w:tcPr>
            <w:tcW w:w="739" w:type="dxa"/>
          </w:tcPr>
          <w:p>
            <w:pPr>
              <w:pStyle w:val="TableParagraph"/>
              <w:spacing w:before="131"/>
              <w:ind w:left="108"/>
              <w:rPr>
                <w:b/>
                <w:sz w:val="21"/>
              </w:rPr>
            </w:pPr>
            <w:r>
              <w:rPr>
                <w:b/>
                <w:sz w:val="21"/>
              </w:rPr>
              <w:t>1.1</w:t>
            </w:r>
          </w:p>
        </w:tc>
        <w:tc>
          <w:tcPr>
            <w:tcW w:w="1543" w:type="dxa"/>
          </w:tcPr>
          <w:p>
            <w:pPr>
              <w:pStyle w:val="TableParagraph"/>
              <w:spacing w:before="131"/>
              <w:ind w:left="314"/>
              <w:rPr>
                <w:b/>
                <w:sz w:val="21"/>
              </w:rPr>
            </w:pPr>
            <w:r>
              <w:rPr>
                <w:b/>
                <w:sz w:val="21"/>
              </w:rPr>
              <w:t>合同构成</w:t>
            </w:r>
          </w:p>
        </w:tc>
        <w:tc>
          <w:tcPr>
            <w:tcW w:w="7260" w:type="dxa"/>
          </w:tcPr>
          <w:p>
            <w:pPr>
              <w:pStyle w:val="TableParagraph"/>
              <w:spacing w:line="273" w:lineRule="auto" w:before="131"/>
              <w:ind w:left="173" w:right="105"/>
              <w:jc w:val="both"/>
              <w:rPr>
                <w:sz w:val="21"/>
              </w:rPr>
            </w:pPr>
            <w:r>
              <w:rPr>
                <w:sz w:val="21"/>
              </w:rPr>
              <w:t>本合同是投保人与本公司约定保险权利义务关系的协议，包括本保险条款、保险单或其他保险凭证、投保单及其他投保文件、合法有效的声明、批注、批单及其他投保人与本公司共同认可的书面协议。</w:t>
            </w:r>
          </w:p>
        </w:tc>
      </w:tr>
      <w:tr>
        <w:trPr>
          <w:trHeight w:val="1154" w:hRule="atLeast"/>
        </w:trPr>
        <w:tc>
          <w:tcPr>
            <w:tcW w:w="739" w:type="dxa"/>
          </w:tcPr>
          <w:p>
            <w:pPr>
              <w:pStyle w:val="TableParagraph"/>
              <w:spacing w:before="57"/>
              <w:ind w:left="108"/>
              <w:rPr>
                <w:b/>
                <w:sz w:val="21"/>
              </w:rPr>
            </w:pPr>
            <w:r>
              <w:rPr>
                <w:b/>
                <w:sz w:val="21"/>
              </w:rPr>
              <w:t>1.2</w:t>
            </w:r>
          </w:p>
        </w:tc>
        <w:tc>
          <w:tcPr>
            <w:tcW w:w="1543" w:type="dxa"/>
          </w:tcPr>
          <w:p>
            <w:pPr>
              <w:pStyle w:val="TableParagraph"/>
              <w:spacing w:line="273" w:lineRule="auto" w:before="57"/>
              <w:ind w:left="314" w:right="170"/>
              <w:rPr>
                <w:b/>
                <w:sz w:val="21"/>
              </w:rPr>
            </w:pPr>
            <w:r>
              <w:rPr>
                <w:b/>
                <w:sz w:val="21"/>
              </w:rPr>
              <w:t>合同成立与生效</w:t>
            </w:r>
          </w:p>
        </w:tc>
        <w:tc>
          <w:tcPr>
            <w:tcW w:w="7260" w:type="dxa"/>
          </w:tcPr>
          <w:p>
            <w:pPr>
              <w:pStyle w:val="TableParagraph"/>
              <w:spacing w:before="57"/>
              <w:ind w:left="173"/>
              <w:rPr>
                <w:sz w:val="21"/>
              </w:rPr>
            </w:pPr>
            <w:r>
              <w:rPr>
                <w:sz w:val="21"/>
              </w:rPr>
              <w:t>投保人提出保险申请、本公司同意承保，本合同成立。</w:t>
            </w:r>
          </w:p>
          <w:p>
            <w:pPr>
              <w:pStyle w:val="TableParagraph"/>
              <w:spacing w:line="273" w:lineRule="auto" w:before="113"/>
              <w:ind w:left="173" w:right="105"/>
              <w:rPr>
                <w:sz w:val="21"/>
              </w:rPr>
            </w:pPr>
            <w:r>
              <w:rPr>
                <w:sz w:val="21"/>
              </w:rPr>
              <w:t>本合同自本公司同意承保、收到保险费并签发保险单后开始生效，合同生效日期在保险单上载明。</w:t>
            </w:r>
          </w:p>
        </w:tc>
      </w:tr>
      <w:tr>
        <w:trPr>
          <w:trHeight w:val="1078" w:hRule="atLeast"/>
        </w:trPr>
        <w:tc>
          <w:tcPr>
            <w:tcW w:w="739" w:type="dxa"/>
          </w:tcPr>
          <w:p>
            <w:pPr>
              <w:pStyle w:val="TableParagraph"/>
              <w:spacing w:before="57"/>
              <w:ind w:left="108"/>
              <w:rPr>
                <w:b/>
                <w:sz w:val="21"/>
              </w:rPr>
            </w:pPr>
            <w:r>
              <w:rPr>
                <w:b/>
                <w:sz w:val="21"/>
              </w:rPr>
              <w:t>1.3</w:t>
            </w:r>
          </w:p>
        </w:tc>
        <w:tc>
          <w:tcPr>
            <w:tcW w:w="1543" w:type="dxa"/>
          </w:tcPr>
          <w:p>
            <w:pPr>
              <w:pStyle w:val="TableParagraph"/>
              <w:spacing w:before="57"/>
              <w:ind w:left="314"/>
              <w:rPr>
                <w:b/>
                <w:sz w:val="21"/>
              </w:rPr>
            </w:pPr>
            <w:r>
              <w:rPr>
                <w:b/>
                <w:sz w:val="21"/>
              </w:rPr>
              <w:t>合同终止</w:t>
            </w:r>
          </w:p>
        </w:tc>
        <w:tc>
          <w:tcPr>
            <w:tcW w:w="7260" w:type="dxa"/>
          </w:tcPr>
          <w:p>
            <w:pPr>
              <w:pStyle w:val="TableParagraph"/>
              <w:spacing w:before="57"/>
              <w:ind w:left="173"/>
              <w:rPr>
                <w:sz w:val="21"/>
              </w:rPr>
            </w:pPr>
            <w:r>
              <w:rPr>
                <w:sz w:val="21"/>
              </w:rPr>
              <w:t>发生下列情况之一时，本合同效力即时终止：</w:t>
            </w:r>
          </w:p>
          <w:p>
            <w:pPr>
              <w:pStyle w:val="TableParagraph"/>
              <w:spacing w:before="36"/>
              <w:ind w:left="173"/>
              <w:rPr>
                <w:sz w:val="21"/>
              </w:rPr>
            </w:pPr>
            <w:r>
              <w:rPr>
                <w:sz w:val="21"/>
              </w:rPr>
              <w:t>(1)投保人于合同有效期内向本公司申请解除本合同；</w:t>
            </w:r>
          </w:p>
          <w:p>
            <w:pPr>
              <w:pStyle w:val="TableParagraph"/>
              <w:spacing w:before="36"/>
              <w:ind w:left="173"/>
              <w:rPr>
                <w:sz w:val="21"/>
              </w:rPr>
            </w:pPr>
            <w:r>
              <w:rPr>
                <w:sz w:val="21"/>
              </w:rPr>
              <w:t>(2)本合同约定的其他效力终止的情况。</w:t>
            </w:r>
          </w:p>
        </w:tc>
      </w:tr>
      <w:tr>
        <w:trPr>
          <w:trHeight w:val="1078" w:hRule="atLeast"/>
        </w:trPr>
        <w:tc>
          <w:tcPr>
            <w:tcW w:w="739" w:type="dxa"/>
          </w:tcPr>
          <w:p>
            <w:pPr>
              <w:pStyle w:val="TableParagraph"/>
              <w:spacing w:before="58"/>
              <w:ind w:left="108"/>
              <w:rPr>
                <w:b/>
                <w:sz w:val="21"/>
              </w:rPr>
            </w:pPr>
            <w:r>
              <w:rPr>
                <w:b/>
                <w:sz w:val="21"/>
              </w:rPr>
              <w:t>1.4</w:t>
            </w:r>
          </w:p>
        </w:tc>
        <w:tc>
          <w:tcPr>
            <w:tcW w:w="1543" w:type="dxa"/>
          </w:tcPr>
          <w:p>
            <w:pPr>
              <w:pStyle w:val="TableParagraph"/>
              <w:spacing w:before="58"/>
              <w:ind w:left="314"/>
              <w:rPr>
                <w:b/>
                <w:sz w:val="21"/>
              </w:rPr>
            </w:pPr>
            <w:r>
              <w:rPr>
                <w:b/>
                <w:sz w:val="21"/>
              </w:rPr>
              <w:t>投保范围</w:t>
            </w:r>
          </w:p>
        </w:tc>
        <w:tc>
          <w:tcPr>
            <w:tcW w:w="7260" w:type="dxa"/>
          </w:tcPr>
          <w:p>
            <w:pPr>
              <w:pStyle w:val="TableParagraph"/>
              <w:spacing w:before="58"/>
              <w:ind w:left="173"/>
              <w:rPr>
                <w:sz w:val="21"/>
              </w:rPr>
            </w:pPr>
            <w:r>
              <w:rPr>
                <w:spacing w:val="-7"/>
                <w:sz w:val="21"/>
              </w:rPr>
              <w:t>投保人可为其团体成员投保本保险。投保时，年龄在 </w:t>
            </w:r>
            <w:r>
              <w:rPr>
                <w:sz w:val="21"/>
              </w:rPr>
              <w:t>16 </w:t>
            </w:r>
            <w:r>
              <w:rPr>
                <w:b/>
                <w:spacing w:val="-8"/>
                <w:sz w:val="21"/>
              </w:rPr>
              <w:t>周岁</w:t>
            </w:r>
            <w:r>
              <w:rPr>
                <w:spacing w:val="-3"/>
                <w:sz w:val="21"/>
              </w:rPr>
              <w:t>（详见释义</w:t>
            </w:r>
            <w:r>
              <w:rPr>
                <w:spacing w:val="-15"/>
                <w:sz w:val="21"/>
              </w:rPr>
              <w:t>）</w:t>
            </w:r>
            <w:r>
              <w:rPr>
                <w:sz w:val="21"/>
              </w:rPr>
              <w:t>至</w:t>
            </w:r>
          </w:p>
          <w:p>
            <w:pPr>
              <w:pStyle w:val="TableParagraph"/>
              <w:spacing w:line="273" w:lineRule="auto" w:before="36"/>
              <w:ind w:left="173" w:right="45"/>
              <w:rPr>
                <w:sz w:val="21"/>
              </w:rPr>
            </w:pPr>
            <w:r>
              <w:rPr>
                <w:sz w:val="21"/>
              </w:rPr>
              <w:t>70 周岁、身体健康且能正常工作或劳动的在职员工，可作为被保险人参加本保险。</w:t>
            </w:r>
          </w:p>
        </w:tc>
      </w:tr>
      <w:tr>
        <w:trPr>
          <w:trHeight w:val="2160" w:hRule="atLeast"/>
        </w:trPr>
        <w:tc>
          <w:tcPr>
            <w:tcW w:w="739" w:type="dxa"/>
          </w:tcPr>
          <w:p>
            <w:pPr>
              <w:pStyle w:val="TableParagraph"/>
              <w:spacing w:before="57"/>
              <w:ind w:left="108"/>
              <w:rPr>
                <w:b/>
                <w:sz w:val="21"/>
              </w:rPr>
            </w:pPr>
            <w:r>
              <w:rPr>
                <w:b/>
                <w:sz w:val="21"/>
              </w:rPr>
              <w:t>1.5</w:t>
            </w:r>
          </w:p>
        </w:tc>
        <w:tc>
          <w:tcPr>
            <w:tcW w:w="1543" w:type="dxa"/>
          </w:tcPr>
          <w:p>
            <w:pPr>
              <w:pStyle w:val="TableParagraph"/>
              <w:spacing w:before="57"/>
              <w:ind w:left="314"/>
              <w:rPr>
                <w:b/>
                <w:sz w:val="21"/>
              </w:rPr>
            </w:pPr>
            <w:r>
              <w:rPr>
                <w:b/>
                <w:sz w:val="21"/>
              </w:rPr>
              <w:t>犹豫期</w:t>
            </w:r>
          </w:p>
        </w:tc>
        <w:tc>
          <w:tcPr>
            <w:tcW w:w="7260" w:type="dxa"/>
          </w:tcPr>
          <w:p>
            <w:pPr>
              <w:pStyle w:val="TableParagraph"/>
              <w:spacing w:line="273" w:lineRule="auto" w:before="57"/>
              <w:ind w:left="173" w:right="102"/>
              <w:jc w:val="both"/>
              <w:rPr>
                <w:sz w:val="21"/>
              </w:rPr>
            </w:pPr>
            <w:r>
              <w:rPr>
                <w:spacing w:val="-8"/>
                <w:sz w:val="21"/>
              </w:rPr>
              <w:t>自投保人签收本合同之日起，有 </w:t>
            </w:r>
            <w:r>
              <w:rPr>
                <w:sz w:val="21"/>
              </w:rPr>
              <w:t>10</w:t>
            </w:r>
            <w:r>
              <w:rPr>
                <w:spacing w:val="-10"/>
                <w:sz w:val="21"/>
              </w:rPr>
              <w:t> 日的犹豫期。在此期间，请认真审阅本合同，如果投保人认为本合同与投保人的需求不相符，投保人可以在此期间提</w:t>
            </w:r>
            <w:r>
              <w:rPr>
                <w:spacing w:val="-3"/>
                <w:sz w:val="21"/>
              </w:rPr>
              <w:t>出解除本合同，本公司无息退还投保人所支付的全部保险费。</w:t>
            </w:r>
          </w:p>
          <w:p>
            <w:pPr>
              <w:pStyle w:val="TableParagraph"/>
              <w:spacing w:line="273" w:lineRule="auto" w:before="84"/>
              <w:ind w:left="173" w:right="-15"/>
              <w:rPr>
                <w:sz w:val="21"/>
              </w:rPr>
            </w:pPr>
            <w:r>
              <w:rPr>
                <w:spacing w:val="-9"/>
                <w:sz w:val="21"/>
              </w:rPr>
              <w:t>解除合同时，投保人需要填写申请书，并提供投保人的保险合同及单位证明。自本公司收到投保人解除合同的书面申请时起，本合同即被解除，对于合同</w:t>
            </w:r>
            <w:r>
              <w:rPr>
                <w:spacing w:val="-5"/>
                <w:sz w:val="21"/>
              </w:rPr>
              <w:t>解除前发生的保险事故，本公司不承担保险责任。</w:t>
            </w:r>
          </w:p>
        </w:tc>
      </w:tr>
      <w:tr>
        <w:trPr>
          <w:trHeight w:val="312" w:hRule="atLeast"/>
        </w:trPr>
        <w:tc>
          <w:tcPr>
            <w:tcW w:w="739" w:type="dxa"/>
            <w:shd w:val="clear" w:color="auto" w:fill="A7A8A7"/>
          </w:tcPr>
          <w:p>
            <w:pPr>
              <w:pStyle w:val="TableParagraph"/>
              <w:spacing w:line="262" w:lineRule="exact"/>
              <w:ind w:left="108"/>
              <w:rPr>
                <w:b/>
                <w:sz w:val="21"/>
              </w:rPr>
            </w:pPr>
            <w:r>
              <w:rPr>
                <w:b/>
                <w:sz w:val="21"/>
              </w:rPr>
              <w:t>2．</w:t>
            </w:r>
          </w:p>
        </w:tc>
        <w:tc>
          <w:tcPr>
            <w:tcW w:w="8803" w:type="dxa"/>
            <w:gridSpan w:val="2"/>
            <w:shd w:val="clear" w:color="auto" w:fill="A7A8A7"/>
          </w:tcPr>
          <w:p>
            <w:pPr>
              <w:pStyle w:val="TableParagraph"/>
              <w:spacing w:line="262" w:lineRule="exact"/>
              <w:ind w:left="314"/>
              <w:rPr>
                <w:b/>
                <w:sz w:val="21"/>
              </w:rPr>
            </w:pPr>
            <w:r>
              <w:rPr>
                <w:b/>
                <w:sz w:val="21"/>
              </w:rPr>
              <w:t>本公司提供的保障</w:t>
            </w:r>
          </w:p>
        </w:tc>
      </w:tr>
      <w:tr>
        <w:trPr>
          <w:trHeight w:val="839" w:hRule="atLeast"/>
        </w:trPr>
        <w:tc>
          <w:tcPr>
            <w:tcW w:w="739" w:type="dxa"/>
          </w:tcPr>
          <w:p>
            <w:pPr>
              <w:pStyle w:val="TableParagraph"/>
              <w:spacing w:before="131"/>
              <w:ind w:left="108"/>
              <w:rPr>
                <w:b/>
                <w:sz w:val="21"/>
              </w:rPr>
            </w:pPr>
            <w:r>
              <w:rPr>
                <w:b/>
                <w:sz w:val="21"/>
              </w:rPr>
              <w:t>2.1</w:t>
            </w:r>
          </w:p>
        </w:tc>
        <w:tc>
          <w:tcPr>
            <w:tcW w:w="1543" w:type="dxa"/>
          </w:tcPr>
          <w:p>
            <w:pPr>
              <w:pStyle w:val="TableParagraph"/>
              <w:spacing w:before="131"/>
              <w:ind w:left="314"/>
              <w:rPr>
                <w:b/>
                <w:sz w:val="21"/>
              </w:rPr>
            </w:pPr>
            <w:r>
              <w:rPr>
                <w:b/>
                <w:sz w:val="21"/>
              </w:rPr>
              <w:t>保险金额</w:t>
            </w:r>
          </w:p>
        </w:tc>
        <w:tc>
          <w:tcPr>
            <w:tcW w:w="7260" w:type="dxa"/>
          </w:tcPr>
          <w:p>
            <w:pPr>
              <w:pStyle w:val="TableParagraph"/>
              <w:spacing w:line="273" w:lineRule="auto" w:before="131"/>
              <w:ind w:left="173" w:right="105"/>
              <w:rPr>
                <w:sz w:val="21"/>
              </w:rPr>
            </w:pPr>
            <w:r>
              <w:rPr>
                <w:sz w:val="21"/>
              </w:rPr>
              <w:t>本合同项下每一被保险人的保险金额由投保人在投保时与本公司约定并在保险单上载明。</w:t>
            </w:r>
          </w:p>
        </w:tc>
      </w:tr>
      <w:tr>
        <w:trPr>
          <w:trHeight w:val="453" w:hRule="atLeast"/>
        </w:trPr>
        <w:tc>
          <w:tcPr>
            <w:tcW w:w="739" w:type="dxa"/>
          </w:tcPr>
          <w:p>
            <w:pPr>
              <w:pStyle w:val="TableParagraph"/>
              <w:spacing w:before="57"/>
              <w:ind w:left="108"/>
              <w:rPr>
                <w:b/>
                <w:sz w:val="21"/>
              </w:rPr>
            </w:pPr>
            <w:r>
              <w:rPr>
                <w:b/>
                <w:sz w:val="21"/>
              </w:rPr>
              <w:t>2.2</w:t>
            </w:r>
          </w:p>
        </w:tc>
        <w:tc>
          <w:tcPr>
            <w:tcW w:w="1543" w:type="dxa"/>
          </w:tcPr>
          <w:p>
            <w:pPr>
              <w:pStyle w:val="TableParagraph"/>
              <w:spacing w:before="57"/>
              <w:ind w:left="314"/>
              <w:rPr>
                <w:b/>
                <w:sz w:val="21"/>
              </w:rPr>
            </w:pPr>
            <w:r>
              <w:rPr>
                <w:b/>
                <w:sz w:val="21"/>
              </w:rPr>
              <w:t>保险期间</w:t>
            </w:r>
          </w:p>
        </w:tc>
        <w:tc>
          <w:tcPr>
            <w:tcW w:w="7260" w:type="dxa"/>
          </w:tcPr>
          <w:p>
            <w:pPr>
              <w:pStyle w:val="TableParagraph"/>
              <w:spacing w:before="57"/>
              <w:ind w:left="173"/>
              <w:rPr>
                <w:sz w:val="21"/>
              </w:rPr>
            </w:pPr>
            <w:r>
              <w:rPr>
                <w:sz w:val="21"/>
              </w:rPr>
              <w:t>本合同的保险期间为终身，并载明于保险单上。</w:t>
            </w:r>
          </w:p>
        </w:tc>
      </w:tr>
      <w:tr>
        <w:trPr>
          <w:trHeight w:val="2637" w:hRule="atLeast"/>
        </w:trPr>
        <w:tc>
          <w:tcPr>
            <w:tcW w:w="739" w:type="dxa"/>
          </w:tcPr>
          <w:p>
            <w:pPr>
              <w:pStyle w:val="TableParagraph"/>
              <w:spacing w:before="57"/>
              <w:ind w:left="108"/>
              <w:rPr>
                <w:b/>
                <w:sz w:val="21"/>
              </w:rPr>
            </w:pPr>
            <w:r>
              <w:rPr>
                <w:b/>
                <w:sz w:val="21"/>
              </w:rPr>
              <w:t>2.3</w:t>
            </w:r>
          </w:p>
        </w:tc>
        <w:tc>
          <w:tcPr>
            <w:tcW w:w="1543" w:type="dxa"/>
          </w:tcPr>
          <w:p>
            <w:pPr>
              <w:pStyle w:val="TableParagraph"/>
              <w:spacing w:before="57"/>
              <w:ind w:left="314"/>
              <w:rPr>
                <w:b/>
                <w:sz w:val="21"/>
              </w:rPr>
            </w:pPr>
            <w:r>
              <w:rPr>
                <w:b/>
                <w:sz w:val="21"/>
              </w:rPr>
              <w:t>等待期</w:t>
            </w:r>
          </w:p>
        </w:tc>
        <w:tc>
          <w:tcPr>
            <w:tcW w:w="7260" w:type="dxa"/>
          </w:tcPr>
          <w:p>
            <w:pPr>
              <w:pStyle w:val="TableParagraph"/>
              <w:spacing w:before="57"/>
              <w:ind w:left="173"/>
              <w:rPr>
                <w:rFonts w:ascii="黑体" w:eastAsia="黑体" w:hint="eastAsia"/>
                <w:sz w:val="21"/>
              </w:rPr>
            </w:pPr>
            <w:r>
              <w:rPr>
                <w:rFonts w:ascii="黑体" w:eastAsia="黑体" w:hint="eastAsia"/>
                <w:spacing w:val="-3"/>
                <w:sz w:val="21"/>
              </w:rPr>
              <w:t>从本合同</w:t>
            </w:r>
            <w:r>
              <w:rPr>
                <w:rFonts w:ascii="黑体" w:eastAsia="黑体" w:hint="eastAsia"/>
                <w:sz w:val="21"/>
              </w:rPr>
              <w:t>Th</w:t>
            </w:r>
            <w:r>
              <w:rPr>
                <w:rFonts w:ascii="黑体" w:eastAsia="黑体" w:hint="eastAsia"/>
                <w:spacing w:val="-12"/>
                <w:sz w:val="21"/>
              </w:rPr>
              <w:t>效之日起 </w:t>
            </w:r>
            <w:r>
              <w:rPr>
                <w:rFonts w:ascii="黑体" w:eastAsia="黑体" w:hint="eastAsia"/>
                <w:sz w:val="21"/>
              </w:rPr>
              <w:t>60</w:t>
            </w:r>
            <w:r>
              <w:rPr>
                <w:rFonts w:ascii="黑体" w:eastAsia="黑体" w:hint="eastAsia"/>
                <w:spacing w:val="-27"/>
                <w:sz w:val="21"/>
              </w:rPr>
              <w:t> 日内</w:t>
            </w:r>
            <w:r>
              <w:rPr>
                <w:rFonts w:ascii="黑体" w:eastAsia="黑体" w:hint="eastAsia"/>
                <w:spacing w:val="-3"/>
                <w:sz w:val="21"/>
              </w:rPr>
              <w:t>（</w:t>
            </w:r>
            <w:r>
              <w:rPr>
                <w:rFonts w:ascii="黑体" w:eastAsia="黑体" w:hint="eastAsia"/>
                <w:spacing w:val="-15"/>
                <w:sz w:val="21"/>
              </w:rPr>
              <w:t>含第 </w:t>
            </w:r>
            <w:r>
              <w:rPr>
                <w:rFonts w:ascii="黑体" w:eastAsia="黑体" w:hint="eastAsia"/>
                <w:sz w:val="21"/>
              </w:rPr>
              <w:t>60</w:t>
            </w:r>
            <w:r>
              <w:rPr>
                <w:rFonts w:ascii="黑体" w:eastAsia="黑体" w:hint="eastAsia"/>
                <w:spacing w:val="-22"/>
                <w:sz w:val="21"/>
              </w:rPr>
              <w:t> 日</w:t>
            </w:r>
            <w:r>
              <w:rPr>
                <w:rFonts w:ascii="黑体" w:eastAsia="黑体" w:hint="eastAsia"/>
                <w:spacing w:val="-69"/>
                <w:sz w:val="21"/>
              </w:rPr>
              <w:t>）</w:t>
            </w:r>
            <w:r>
              <w:rPr>
                <w:rFonts w:ascii="黑体" w:eastAsia="黑体" w:hint="eastAsia"/>
                <w:spacing w:val="-11"/>
                <w:sz w:val="21"/>
              </w:rPr>
              <w:t>，被保险人因疾病发</w:t>
            </w:r>
            <w:r>
              <w:rPr>
                <w:rFonts w:ascii="黑体" w:eastAsia="黑体" w:hint="eastAsia"/>
                <w:sz w:val="21"/>
              </w:rPr>
              <w:t>Th</w:t>
            </w:r>
            <w:r>
              <w:rPr>
                <w:rFonts w:ascii="黑体" w:eastAsia="黑体" w:hint="eastAsia"/>
                <w:spacing w:val="-3"/>
                <w:sz w:val="21"/>
              </w:rPr>
              <w:t>下列情形之</w:t>
            </w:r>
          </w:p>
          <w:p>
            <w:pPr>
              <w:pStyle w:val="TableParagraph"/>
              <w:spacing w:line="273" w:lineRule="auto" w:before="36"/>
              <w:ind w:left="173" w:right="105" w:hanging="1"/>
              <w:jc w:val="both"/>
              <w:rPr>
                <w:rFonts w:ascii="黑体" w:eastAsia="黑体" w:hint="eastAsia"/>
                <w:sz w:val="21"/>
              </w:rPr>
            </w:pPr>
            <w:r>
              <w:rPr>
                <w:rFonts w:ascii="黑体" w:eastAsia="黑体" w:hint="eastAsia"/>
                <w:spacing w:val="-8"/>
                <w:w w:val="100"/>
                <w:sz w:val="21"/>
              </w:rPr>
              <w:t>一的：</w:t>
            </w:r>
            <w:r>
              <w:rPr>
                <w:rFonts w:ascii="黑体" w:eastAsia="黑体" w:hint="eastAsia"/>
                <w:w w:val="100"/>
                <w:sz w:val="21"/>
              </w:rPr>
              <w:t>(1</w:t>
            </w:r>
            <w:r>
              <w:rPr>
                <w:rFonts w:ascii="黑体" w:eastAsia="黑体" w:hint="eastAsia"/>
                <w:spacing w:val="-3"/>
                <w:w w:val="100"/>
                <w:sz w:val="21"/>
              </w:rPr>
              <w:t>)符合本合同第</w:t>
            </w:r>
            <w:r>
              <w:rPr>
                <w:rFonts w:ascii="黑体" w:eastAsia="黑体" w:hint="eastAsia"/>
                <w:spacing w:val="-55"/>
                <w:sz w:val="21"/>
              </w:rPr>
              <w:t> </w:t>
            </w:r>
            <w:r>
              <w:rPr>
                <w:rFonts w:ascii="黑体" w:eastAsia="黑体" w:hint="eastAsia"/>
                <w:w w:val="100"/>
                <w:sz w:val="21"/>
              </w:rPr>
              <w:t>8</w:t>
            </w:r>
            <w:r>
              <w:rPr>
                <w:rFonts w:ascii="黑体" w:eastAsia="黑体" w:hint="eastAsia"/>
                <w:spacing w:val="-55"/>
                <w:sz w:val="21"/>
              </w:rPr>
              <w:t> </w:t>
            </w:r>
            <w:r>
              <w:rPr>
                <w:rFonts w:ascii="黑体" w:eastAsia="黑体" w:hint="eastAsia"/>
                <w:spacing w:val="-6"/>
                <w:w w:val="100"/>
                <w:sz w:val="21"/>
              </w:rPr>
              <w:t>条定义的重大疾病</w:t>
            </w:r>
            <w:r>
              <w:rPr>
                <w:rFonts w:ascii="黑体" w:eastAsia="黑体" w:hint="eastAsia"/>
                <w:spacing w:val="-3"/>
                <w:w w:val="100"/>
                <w:sz w:val="21"/>
              </w:rPr>
              <w:t>（无论一种或多种</w:t>
            </w:r>
            <w:r>
              <w:rPr>
                <w:rFonts w:ascii="黑体" w:eastAsia="黑体" w:hint="eastAsia"/>
                <w:spacing w:val="-106"/>
                <w:w w:val="100"/>
                <w:sz w:val="21"/>
              </w:rPr>
              <w:t>）</w:t>
            </w:r>
            <w:r>
              <w:rPr>
                <w:rFonts w:ascii="黑体" w:eastAsia="黑体" w:hint="eastAsia"/>
                <w:spacing w:val="-20"/>
                <w:w w:val="100"/>
                <w:sz w:val="21"/>
              </w:rPr>
              <w:t>，</w:t>
            </w:r>
            <w:r>
              <w:rPr>
                <w:rFonts w:ascii="黑体" w:eastAsia="黑体" w:hint="eastAsia"/>
                <w:spacing w:val="-3"/>
                <w:w w:val="100"/>
                <w:sz w:val="21"/>
              </w:rPr>
              <w:t>(2)因导致</w:t>
            </w:r>
            <w:r>
              <w:rPr>
                <w:rFonts w:ascii="黑体" w:eastAsia="黑体" w:hint="eastAsia"/>
                <w:sz w:val="21"/>
              </w:rPr>
              <w:t>本合同约定的重大疾病（无论一种或多种）的相关疾病就诊，本公司不承担本合同约定的保险责任，本公司对该被保险人的保险责任终止，并无息退还</w:t>
            </w:r>
            <w:r>
              <w:rPr>
                <w:rFonts w:ascii="黑体" w:eastAsia="黑体" w:hint="eastAsia"/>
                <w:spacing w:val="-9"/>
                <w:sz w:val="21"/>
              </w:rPr>
              <w:t>该被保险人对应的保险费。这 </w:t>
            </w:r>
            <w:r>
              <w:rPr>
                <w:rFonts w:ascii="黑体" w:eastAsia="黑体" w:hint="eastAsia"/>
                <w:sz w:val="21"/>
              </w:rPr>
              <w:t>60</w:t>
            </w:r>
            <w:r>
              <w:rPr>
                <w:rFonts w:ascii="黑体" w:eastAsia="黑体" w:hint="eastAsia"/>
                <w:spacing w:val="-10"/>
                <w:sz w:val="21"/>
              </w:rPr>
              <w:t> 日的时间称为等待期；若本合同有效期内增</w:t>
            </w:r>
          </w:p>
          <w:p>
            <w:pPr>
              <w:pStyle w:val="TableParagraph"/>
              <w:spacing w:line="273" w:lineRule="auto" w:before="7"/>
              <w:ind w:left="173" w:right="102"/>
              <w:jc w:val="both"/>
              <w:rPr>
                <w:sz w:val="21"/>
              </w:rPr>
            </w:pPr>
            <w:r>
              <w:rPr>
                <w:rFonts w:ascii="黑体" w:eastAsia="黑体" w:hint="eastAsia"/>
                <w:spacing w:val="-4"/>
                <w:sz w:val="21"/>
              </w:rPr>
              <w:t>加被保险人的，则该被保险人的等待期为自该被保险人加入本保险之日起 </w:t>
            </w:r>
            <w:r>
              <w:rPr>
                <w:rFonts w:ascii="黑体" w:eastAsia="黑体" w:hint="eastAsia"/>
                <w:sz w:val="21"/>
              </w:rPr>
              <w:t>60 日内</w:t>
            </w:r>
            <w:r>
              <w:rPr>
                <w:rFonts w:ascii="黑体" w:eastAsia="黑体" w:hint="eastAsia"/>
                <w:spacing w:val="-3"/>
                <w:sz w:val="21"/>
              </w:rPr>
              <w:t>（</w:t>
            </w:r>
            <w:r>
              <w:rPr>
                <w:rFonts w:ascii="黑体" w:eastAsia="黑体" w:hint="eastAsia"/>
                <w:spacing w:val="-6"/>
                <w:sz w:val="21"/>
              </w:rPr>
              <w:t>含第 </w:t>
            </w:r>
            <w:r>
              <w:rPr>
                <w:rFonts w:ascii="黑体" w:eastAsia="黑体" w:hint="eastAsia"/>
                <w:sz w:val="21"/>
              </w:rPr>
              <w:t>60</w:t>
            </w:r>
            <w:r>
              <w:rPr>
                <w:rFonts w:ascii="黑体" w:eastAsia="黑体" w:hint="eastAsia"/>
                <w:spacing w:val="-61"/>
                <w:sz w:val="21"/>
              </w:rPr>
              <w:t> 日</w:t>
            </w:r>
            <w:r>
              <w:rPr>
                <w:rFonts w:ascii="黑体" w:eastAsia="黑体" w:hint="eastAsia"/>
                <w:sz w:val="21"/>
              </w:rPr>
              <w:t>）。</w:t>
            </w:r>
            <w:r>
              <w:rPr>
                <w:spacing w:val="-4"/>
                <w:sz w:val="21"/>
              </w:rPr>
              <w:t>但被保险人因</w:t>
            </w:r>
            <w:r>
              <w:rPr>
                <w:b/>
                <w:sz w:val="21"/>
              </w:rPr>
              <w:t>意外伤害</w:t>
            </w:r>
            <w:r>
              <w:rPr>
                <w:spacing w:val="-3"/>
                <w:sz w:val="21"/>
              </w:rPr>
              <w:t>（</w:t>
            </w:r>
            <w:r>
              <w:rPr>
                <w:spacing w:val="-2"/>
                <w:sz w:val="21"/>
              </w:rPr>
              <w:t>详见释义</w:t>
            </w:r>
            <w:r>
              <w:rPr>
                <w:spacing w:val="-3"/>
                <w:sz w:val="21"/>
              </w:rPr>
              <w:t>）发生上述两项情形之一的，则无等待期。</w:t>
            </w:r>
          </w:p>
        </w:tc>
      </w:tr>
      <w:tr>
        <w:trPr>
          <w:trHeight w:val="332" w:hRule="atLeast"/>
        </w:trPr>
        <w:tc>
          <w:tcPr>
            <w:tcW w:w="739" w:type="dxa"/>
          </w:tcPr>
          <w:p>
            <w:pPr>
              <w:pStyle w:val="TableParagraph"/>
              <w:spacing w:line="255" w:lineRule="exact" w:before="57"/>
              <w:ind w:left="108"/>
              <w:rPr>
                <w:b/>
                <w:sz w:val="21"/>
              </w:rPr>
            </w:pPr>
            <w:r>
              <w:rPr>
                <w:b/>
                <w:sz w:val="21"/>
              </w:rPr>
              <w:t>2.4</w:t>
            </w:r>
          </w:p>
        </w:tc>
        <w:tc>
          <w:tcPr>
            <w:tcW w:w="1543" w:type="dxa"/>
          </w:tcPr>
          <w:p>
            <w:pPr>
              <w:pStyle w:val="TableParagraph"/>
              <w:spacing w:line="255" w:lineRule="exact" w:before="57"/>
              <w:ind w:left="314"/>
              <w:rPr>
                <w:b/>
                <w:sz w:val="21"/>
              </w:rPr>
            </w:pPr>
            <w:r>
              <w:rPr>
                <w:b/>
                <w:sz w:val="21"/>
              </w:rPr>
              <w:t>保险责任</w:t>
            </w:r>
          </w:p>
        </w:tc>
        <w:tc>
          <w:tcPr>
            <w:tcW w:w="7260" w:type="dxa"/>
          </w:tcPr>
          <w:p>
            <w:pPr>
              <w:pStyle w:val="TableParagraph"/>
              <w:spacing w:line="255" w:lineRule="exact" w:before="57"/>
              <w:ind w:left="173"/>
              <w:rPr>
                <w:sz w:val="21"/>
              </w:rPr>
            </w:pPr>
            <w:r>
              <w:rPr>
                <w:sz w:val="21"/>
              </w:rPr>
              <w:t>在本合同保险期间内，且本合同有效的前提下，本公司按以下约定承担保险</w:t>
            </w:r>
          </w:p>
        </w:tc>
      </w:tr>
    </w:tbl>
    <w:p>
      <w:pPr>
        <w:spacing w:after="0" w:line="255" w:lineRule="exact"/>
        <w:rPr>
          <w:sz w:val="21"/>
        </w:rPr>
        <w:sectPr>
          <w:pgSz w:w="11910" w:h="16840"/>
          <w:pgMar w:top="1480" w:bottom="280" w:left="10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542"/>
        <w:gridCol w:w="7261"/>
      </w:tblGrid>
      <w:tr>
        <w:trPr>
          <w:trHeight w:val="332" w:hRule="atLeast"/>
        </w:trPr>
        <w:tc>
          <w:tcPr>
            <w:tcW w:w="739" w:type="dxa"/>
          </w:tcPr>
          <w:p>
            <w:pPr>
              <w:pStyle w:val="TableParagraph"/>
              <w:ind w:left="0"/>
              <w:rPr>
                <w:rFonts w:ascii="Times New Roman"/>
                <w:sz w:val="20"/>
              </w:rPr>
            </w:pPr>
          </w:p>
        </w:tc>
        <w:tc>
          <w:tcPr>
            <w:tcW w:w="1542" w:type="dxa"/>
          </w:tcPr>
          <w:p>
            <w:pPr>
              <w:pStyle w:val="TableParagraph"/>
              <w:ind w:left="0"/>
              <w:rPr>
                <w:rFonts w:ascii="Times New Roman"/>
                <w:sz w:val="20"/>
              </w:rPr>
            </w:pPr>
          </w:p>
        </w:tc>
        <w:tc>
          <w:tcPr>
            <w:tcW w:w="7261" w:type="dxa"/>
          </w:tcPr>
          <w:p>
            <w:pPr>
              <w:pStyle w:val="TableParagraph"/>
              <w:spacing w:line="202" w:lineRule="exact"/>
              <w:ind w:left="174"/>
              <w:rPr>
                <w:sz w:val="21"/>
              </w:rPr>
            </w:pPr>
            <w:r>
              <w:rPr>
                <w:sz w:val="21"/>
              </w:rPr>
              <w:t>责任：</w:t>
            </w:r>
          </w:p>
        </w:tc>
      </w:tr>
      <w:tr>
        <w:trPr>
          <w:trHeight w:val="1077" w:hRule="atLeast"/>
        </w:trPr>
        <w:tc>
          <w:tcPr>
            <w:tcW w:w="739" w:type="dxa"/>
          </w:tcPr>
          <w:p>
            <w:pPr>
              <w:pStyle w:val="TableParagraph"/>
              <w:ind w:left="0"/>
              <w:rPr>
                <w:rFonts w:ascii="Times New Roman"/>
                <w:sz w:val="20"/>
              </w:rPr>
            </w:pPr>
          </w:p>
        </w:tc>
        <w:tc>
          <w:tcPr>
            <w:tcW w:w="1542" w:type="dxa"/>
          </w:tcPr>
          <w:p>
            <w:pPr>
              <w:pStyle w:val="TableParagraph"/>
              <w:spacing w:line="273" w:lineRule="auto" w:before="48"/>
              <w:ind w:left="314" w:right="171"/>
              <w:rPr>
                <w:sz w:val="21"/>
              </w:rPr>
            </w:pPr>
            <w:r>
              <w:rPr>
                <w:sz w:val="21"/>
              </w:rPr>
              <w:t>重大疾病保险金</w:t>
            </w:r>
          </w:p>
        </w:tc>
        <w:tc>
          <w:tcPr>
            <w:tcW w:w="7261" w:type="dxa"/>
          </w:tcPr>
          <w:p>
            <w:pPr>
              <w:pStyle w:val="TableParagraph"/>
              <w:spacing w:line="273" w:lineRule="auto" w:before="48"/>
              <w:ind w:left="174" w:right="105" w:hanging="1"/>
              <w:jc w:val="both"/>
              <w:rPr>
                <w:sz w:val="21"/>
              </w:rPr>
            </w:pPr>
            <w:r>
              <w:rPr>
                <w:sz w:val="21"/>
              </w:rPr>
              <w:t>若被保险人于等待期后经</w:t>
            </w:r>
            <w:r>
              <w:rPr>
                <w:b/>
                <w:sz w:val="21"/>
              </w:rPr>
              <w:t>约定医院</w:t>
            </w:r>
            <w:r>
              <w:rPr>
                <w:sz w:val="21"/>
              </w:rPr>
              <w:t>（详见释义）</w:t>
            </w:r>
            <w:r>
              <w:rPr>
                <w:spacing w:val="-2"/>
                <w:sz w:val="21"/>
              </w:rPr>
              <w:t>确诊初次发生符合本合同约</w:t>
            </w:r>
            <w:r>
              <w:rPr>
                <w:spacing w:val="-8"/>
                <w:sz w:val="21"/>
              </w:rPr>
              <w:t>定的重大疾病</w:t>
            </w:r>
            <w:r>
              <w:rPr>
                <w:spacing w:val="-3"/>
                <w:sz w:val="21"/>
              </w:rPr>
              <w:t>（无论一种或多种</w:t>
            </w:r>
            <w:r>
              <w:rPr>
                <w:spacing w:val="-69"/>
                <w:sz w:val="21"/>
              </w:rPr>
              <w:t>）</w:t>
            </w:r>
            <w:r>
              <w:rPr>
                <w:spacing w:val="-10"/>
                <w:sz w:val="21"/>
              </w:rPr>
              <w:t>，本公司按本合同载明的该被保险人对应的</w:t>
            </w:r>
            <w:r>
              <w:rPr>
                <w:spacing w:val="-3"/>
                <w:sz w:val="21"/>
              </w:rPr>
              <w:t>保险金额给付重大疾病保险金，本公司对该被保险人的保险责任终止。</w:t>
            </w:r>
          </w:p>
        </w:tc>
      </w:tr>
      <w:tr>
        <w:trPr>
          <w:trHeight w:val="765" w:hRule="atLeast"/>
        </w:trPr>
        <w:tc>
          <w:tcPr>
            <w:tcW w:w="739" w:type="dxa"/>
          </w:tcPr>
          <w:p>
            <w:pPr>
              <w:pStyle w:val="TableParagraph"/>
              <w:ind w:left="0"/>
              <w:rPr>
                <w:rFonts w:ascii="Times New Roman"/>
                <w:sz w:val="20"/>
              </w:rPr>
            </w:pPr>
          </w:p>
        </w:tc>
        <w:tc>
          <w:tcPr>
            <w:tcW w:w="1542" w:type="dxa"/>
          </w:tcPr>
          <w:p>
            <w:pPr>
              <w:pStyle w:val="TableParagraph"/>
              <w:spacing w:before="48"/>
              <w:ind w:left="314"/>
              <w:rPr>
                <w:sz w:val="21"/>
              </w:rPr>
            </w:pPr>
            <w:r>
              <w:rPr>
                <w:sz w:val="21"/>
              </w:rPr>
              <w:t>身故保险金</w:t>
            </w:r>
          </w:p>
        </w:tc>
        <w:tc>
          <w:tcPr>
            <w:tcW w:w="7261" w:type="dxa"/>
          </w:tcPr>
          <w:p>
            <w:pPr>
              <w:pStyle w:val="TableParagraph"/>
              <w:spacing w:line="273" w:lineRule="auto" w:before="48"/>
              <w:ind w:left="174" w:right="105"/>
              <w:rPr>
                <w:sz w:val="21"/>
              </w:rPr>
            </w:pPr>
            <w:r>
              <w:rPr>
                <w:sz w:val="21"/>
              </w:rPr>
              <w:t>若被保险人身故，本公司按本合同载明的该被保险人对应的保险金额给付身故保险金，本公司对该被保险人的保险责任终止。</w:t>
            </w:r>
          </w:p>
        </w:tc>
      </w:tr>
      <w:tr>
        <w:trPr>
          <w:trHeight w:val="8090" w:hRule="atLeast"/>
        </w:trPr>
        <w:tc>
          <w:tcPr>
            <w:tcW w:w="739" w:type="dxa"/>
          </w:tcPr>
          <w:p>
            <w:pPr>
              <w:pStyle w:val="TableParagraph"/>
              <w:spacing w:before="48"/>
              <w:ind w:left="108"/>
              <w:rPr>
                <w:b/>
                <w:sz w:val="21"/>
              </w:rPr>
            </w:pPr>
            <w:r>
              <w:rPr>
                <w:b/>
                <w:sz w:val="21"/>
              </w:rPr>
              <w:t>2.5</w:t>
            </w:r>
          </w:p>
        </w:tc>
        <w:tc>
          <w:tcPr>
            <w:tcW w:w="1542" w:type="dxa"/>
          </w:tcPr>
          <w:p>
            <w:pPr>
              <w:pStyle w:val="TableParagraph"/>
              <w:spacing w:before="48"/>
              <w:ind w:left="329"/>
              <w:rPr>
                <w:b/>
                <w:sz w:val="21"/>
              </w:rPr>
            </w:pPr>
            <w:r>
              <w:rPr>
                <w:b/>
                <w:sz w:val="21"/>
              </w:rPr>
              <w:t>责任免除</w:t>
            </w:r>
          </w:p>
        </w:tc>
        <w:tc>
          <w:tcPr>
            <w:tcW w:w="7261" w:type="dxa"/>
          </w:tcPr>
          <w:p>
            <w:pPr>
              <w:pStyle w:val="TableParagraph"/>
              <w:spacing w:line="273" w:lineRule="auto" w:before="48"/>
              <w:ind w:left="191" w:right="100"/>
              <w:rPr>
                <w:rFonts w:ascii="黑体" w:eastAsia="黑体" w:hint="eastAsia"/>
                <w:sz w:val="21"/>
              </w:rPr>
            </w:pPr>
            <w:r>
              <w:rPr>
                <w:rFonts w:ascii="黑体" w:eastAsia="黑体" w:hint="eastAsia"/>
                <w:sz w:val="21"/>
              </w:rPr>
              <w:t>1</w:t>
            </w:r>
            <w:r>
              <w:rPr>
                <w:rFonts w:ascii="黑体" w:eastAsia="黑体" w:hint="eastAsia"/>
                <w:spacing w:val="-7"/>
                <w:sz w:val="21"/>
              </w:rPr>
              <w:t>、因下列情形之一导致被保险人发</w:t>
            </w:r>
            <w:r>
              <w:rPr>
                <w:rFonts w:ascii="黑体" w:eastAsia="黑体" w:hint="eastAsia"/>
                <w:sz w:val="21"/>
              </w:rPr>
              <w:t>Th</w:t>
            </w:r>
            <w:r>
              <w:rPr>
                <w:rFonts w:ascii="黑体" w:eastAsia="黑体" w:hint="eastAsia"/>
                <w:spacing w:val="-9"/>
                <w:sz w:val="21"/>
              </w:rPr>
              <w:t>疾病、达到疾病状态或进行手术的，本</w:t>
            </w:r>
            <w:r>
              <w:rPr>
                <w:rFonts w:ascii="黑体" w:eastAsia="黑体" w:hint="eastAsia"/>
                <w:spacing w:val="-5"/>
                <w:sz w:val="21"/>
              </w:rPr>
              <w:t>公司不承担给付保险金的责任：</w:t>
            </w:r>
          </w:p>
          <w:p>
            <w:pPr>
              <w:pStyle w:val="TableParagraph"/>
              <w:spacing w:before="7"/>
              <w:ind w:left="191"/>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91"/>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91"/>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191" w:right="100" w:hanging="1"/>
              <w:rPr>
                <w:rFonts w:ascii="黑体" w:eastAsia="黑体" w:hint="eastAsia"/>
                <w:sz w:val="21"/>
              </w:rPr>
            </w:pPr>
            <w:r>
              <w:rPr>
                <w:rFonts w:ascii="黑体" w:eastAsia="黑体" w:hint="eastAsia"/>
                <w:sz w:val="21"/>
              </w:rPr>
              <w:t>(4)</w:t>
            </w:r>
            <w:r>
              <w:rPr>
                <w:rFonts w:ascii="黑体" w:eastAsia="黑体" w:hint="eastAsia"/>
                <w:spacing w:val="-1"/>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4"/>
                <w:sz w:val="21"/>
              </w:rPr>
              <w:t>）</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z w:val="21"/>
              </w:rPr>
              <w:t>（</w:t>
            </w:r>
            <w:r>
              <w:rPr>
                <w:rFonts w:ascii="黑体" w:eastAsia="黑体" w:hint="eastAsia"/>
                <w:spacing w:val="-1"/>
                <w:sz w:val="21"/>
              </w:rPr>
              <w:t>详见释义</w:t>
            </w:r>
            <w:r>
              <w:rPr>
                <w:rFonts w:ascii="黑体" w:eastAsia="黑体" w:hint="eastAsia"/>
                <w:sz w:val="21"/>
              </w:rPr>
              <w:t>）或</w:t>
            </w:r>
            <w:r>
              <w:rPr>
                <w:rFonts w:ascii="黑体" w:eastAsia="黑体" w:hint="eastAsia"/>
                <w:spacing w:val="-2"/>
                <w:sz w:val="21"/>
              </w:rPr>
              <w:t>驾驶</w:t>
            </w:r>
            <w:r>
              <w:rPr>
                <w:rFonts w:ascii="黑体" w:eastAsia="黑体" w:hint="eastAsia"/>
                <w:b/>
                <w:sz w:val="21"/>
              </w:rPr>
              <w:t>无有效行驶证</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的机动车；</w:t>
            </w:r>
          </w:p>
          <w:p>
            <w:pPr>
              <w:pStyle w:val="TableParagraph"/>
              <w:spacing w:line="273" w:lineRule="auto" w:before="8"/>
              <w:ind w:left="190" w:right="100" w:hanging="1"/>
              <w:rPr>
                <w:rFonts w:ascii="黑体" w:hAnsi="黑体" w:eastAsia="黑体" w:hint="eastAsia"/>
                <w:sz w:val="21"/>
              </w:rPr>
            </w:pPr>
            <w:r>
              <w:rPr>
                <w:rFonts w:ascii="黑体" w:hAnsi="黑体" w:eastAsia="黑体" w:hint="eastAsia"/>
                <w:w w:val="100"/>
                <w:sz w:val="21"/>
              </w:rPr>
              <w:t>(5)</w:t>
            </w:r>
            <w:r>
              <w:rPr>
                <w:rFonts w:ascii="黑体" w:hAnsi="黑体" w:eastAsia="黑体" w:hint="eastAsia"/>
                <w:spacing w:val="-1"/>
                <w:w w:val="100"/>
                <w:sz w:val="21"/>
              </w:rPr>
              <w:t>被保险人</w:t>
            </w:r>
            <w:r>
              <w:rPr>
                <w:rFonts w:ascii="黑体" w:hAnsi="黑体" w:eastAsia="黑体" w:hint="eastAsia"/>
                <w:b/>
                <w:w w:val="100"/>
                <w:sz w:val="21"/>
              </w:rPr>
              <w:t>感染艾滋病病毒或患艾滋病</w:t>
            </w:r>
            <w:r>
              <w:rPr>
                <w:rFonts w:ascii="黑体" w:hAnsi="黑体" w:eastAsia="黑体" w:hint="eastAsia"/>
                <w:w w:val="100"/>
                <w:sz w:val="21"/>
              </w:rPr>
              <w:t>（</w:t>
            </w:r>
            <w:r>
              <w:rPr>
                <w:rFonts w:ascii="黑体" w:hAnsi="黑体" w:eastAsia="黑体" w:hint="eastAsia"/>
                <w:spacing w:val="-3"/>
                <w:w w:val="100"/>
                <w:sz w:val="21"/>
              </w:rPr>
              <w:t>详见释义</w:t>
            </w:r>
            <w:r>
              <w:rPr>
                <w:rFonts w:ascii="黑体" w:hAnsi="黑体" w:eastAsia="黑体" w:hint="eastAsia"/>
                <w:spacing w:val="-106"/>
                <w:w w:val="100"/>
                <w:sz w:val="21"/>
              </w:rPr>
              <w:t>）</w:t>
            </w:r>
            <w:r>
              <w:rPr>
                <w:rFonts w:ascii="黑体" w:hAnsi="黑体" w:eastAsia="黑体" w:hint="eastAsia"/>
                <w:spacing w:val="-1"/>
                <w:w w:val="100"/>
                <w:sz w:val="21"/>
              </w:rPr>
              <w:t>，但若属于本合同所保</w:t>
            </w:r>
            <w:r>
              <w:rPr>
                <w:rFonts w:ascii="黑体" w:hAnsi="黑体" w:eastAsia="黑体" w:hint="eastAsia"/>
                <w:spacing w:val="-9"/>
                <w:w w:val="100"/>
                <w:sz w:val="21"/>
              </w:rPr>
              <w:t>障的“经输血导致的人类免疫缺陷病毒感染”，则不在此限；</w:t>
            </w:r>
          </w:p>
          <w:p>
            <w:pPr>
              <w:pStyle w:val="TableParagraph"/>
              <w:spacing w:before="8"/>
              <w:ind w:left="190"/>
              <w:rPr>
                <w:rFonts w:ascii="黑体" w:eastAsia="黑体" w:hint="eastAsia"/>
                <w:sz w:val="21"/>
              </w:rPr>
            </w:pPr>
            <w:r>
              <w:rPr>
                <w:rFonts w:ascii="黑体" w:eastAsia="黑体" w:hint="eastAsia"/>
                <w:sz w:val="21"/>
              </w:rPr>
              <w:t>(6)战争、军事冲突、暴乱或武装叛乱；</w:t>
            </w:r>
          </w:p>
          <w:p>
            <w:pPr>
              <w:pStyle w:val="TableParagraph"/>
              <w:spacing w:before="37"/>
              <w:ind w:left="190"/>
              <w:rPr>
                <w:rFonts w:ascii="黑体" w:eastAsia="黑体" w:hint="eastAsia"/>
                <w:sz w:val="21"/>
              </w:rPr>
            </w:pPr>
            <w:r>
              <w:rPr>
                <w:rFonts w:ascii="黑体" w:eastAsia="黑体" w:hint="eastAsia"/>
                <w:sz w:val="21"/>
              </w:rPr>
              <w:t>(7)核爆炸、核辐射或核污染；</w:t>
            </w:r>
          </w:p>
          <w:p>
            <w:pPr>
              <w:pStyle w:val="TableParagraph"/>
              <w:spacing w:before="37"/>
              <w:ind w:left="191" w:hanging="1"/>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（详见释义</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before="116"/>
              <w:ind w:left="190" w:right="27"/>
              <w:rPr>
                <w:rFonts w:ascii="黑体" w:eastAsia="黑体" w:hint="eastAsia"/>
                <w:sz w:val="21"/>
              </w:rPr>
            </w:pPr>
            <w:r>
              <w:rPr>
                <w:rFonts w:ascii="黑体" w:eastAsia="黑体" w:hint="eastAsia"/>
                <w:sz w:val="21"/>
              </w:rPr>
              <w:t>发Th本款第(1)项情形导致被保险人初次发Th本合同约定的重大疾病的，本公司对该被保险人的保险责任终止，并向被保险人退还其对应的现金价值。</w:t>
            </w:r>
          </w:p>
          <w:p>
            <w:pPr>
              <w:pStyle w:val="TableParagraph"/>
              <w:spacing w:line="273" w:lineRule="auto" w:before="84"/>
              <w:ind w:left="190" w:right="1"/>
              <w:rPr>
                <w:rFonts w:ascii="黑体" w:eastAsia="黑体" w:hint="eastAsia"/>
                <w:sz w:val="21"/>
              </w:rPr>
            </w:pPr>
            <w:r>
              <w:rPr>
                <w:rFonts w:ascii="黑体" w:eastAsia="黑体" w:hint="eastAsia"/>
                <w:sz w:val="21"/>
              </w:rPr>
              <w:t>发Th</w:t>
            </w:r>
            <w:r>
              <w:rPr>
                <w:rFonts w:ascii="黑体" w:eastAsia="黑体" w:hint="eastAsia"/>
                <w:spacing w:val="-1"/>
                <w:sz w:val="21"/>
              </w:rPr>
              <w:t>本款其他情形导致被保险人初次发</w:t>
            </w:r>
            <w:r>
              <w:rPr>
                <w:rFonts w:ascii="黑体" w:eastAsia="黑体" w:hint="eastAsia"/>
                <w:sz w:val="21"/>
              </w:rPr>
              <w:t>Th</w:t>
            </w:r>
            <w:r>
              <w:rPr>
                <w:rFonts w:ascii="黑体" w:eastAsia="黑体" w:hint="eastAsia"/>
                <w:spacing w:val="-1"/>
                <w:sz w:val="21"/>
              </w:rPr>
              <w:t>本合同约定的重大疾病的，本公司</w:t>
            </w:r>
            <w:r>
              <w:rPr>
                <w:rFonts w:ascii="黑体" w:eastAsia="黑体" w:hint="eastAsia"/>
                <w:spacing w:val="-9"/>
                <w:sz w:val="21"/>
              </w:rPr>
              <w:t>对该被保险人的保险责任终止，并向投保人退还该被保险人对应的现金价值。</w:t>
            </w:r>
          </w:p>
          <w:p>
            <w:pPr>
              <w:pStyle w:val="TableParagraph"/>
              <w:spacing w:before="86"/>
              <w:ind w:left="191"/>
              <w:rPr>
                <w:rFonts w:ascii="黑体" w:eastAsia="黑体" w:hint="eastAsia"/>
                <w:sz w:val="21"/>
              </w:rPr>
            </w:pPr>
            <w:r>
              <w:rPr>
                <w:rFonts w:ascii="黑体" w:eastAsia="黑体" w:hint="eastAsia"/>
                <w:sz w:val="21"/>
              </w:rPr>
              <w:t>2、因下列情形之一导致被保险人身故的，本公司不承担给付保险金的责任：</w:t>
            </w:r>
          </w:p>
          <w:p>
            <w:pPr>
              <w:pStyle w:val="TableParagraph"/>
              <w:spacing w:before="36"/>
              <w:ind w:left="191"/>
              <w:rPr>
                <w:rFonts w:ascii="黑体" w:eastAsia="黑体" w:hint="eastAsia"/>
                <w:sz w:val="21"/>
              </w:rPr>
            </w:pPr>
            <w:r>
              <w:rPr>
                <w:rFonts w:ascii="黑体" w:eastAsia="黑体" w:hint="eastAsia"/>
                <w:sz w:val="21"/>
              </w:rPr>
              <w:t>(1)发Th本条第 1 款第(1)、(2)、(3)、(4)、(6)、(7)项规定的情形之一；</w:t>
            </w:r>
          </w:p>
          <w:p>
            <w:pPr>
              <w:pStyle w:val="TableParagraph"/>
              <w:spacing w:line="273" w:lineRule="auto" w:before="36"/>
              <w:ind w:left="192" w:right="101"/>
              <w:rPr>
                <w:rFonts w:ascii="黑体" w:eastAsia="黑体" w:hint="eastAsia"/>
                <w:sz w:val="21"/>
              </w:rPr>
            </w:pPr>
            <w:r>
              <w:rPr>
                <w:rFonts w:ascii="黑体" w:eastAsia="黑体" w:hint="eastAsia"/>
                <w:sz w:val="21"/>
              </w:rPr>
              <w:t>(2)</w:t>
            </w:r>
            <w:r>
              <w:rPr>
                <w:rFonts w:ascii="黑体" w:eastAsia="黑体" w:hint="eastAsia"/>
                <w:spacing w:val="-6"/>
                <w:sz w:val="21"/>
              </w:rPr>
              <w:t>被保险人自本合同成立之日起 </w:t>
            </w:r>
            <w:r>
              <w:rPr>
                <w:rFonts w:ascii="黑体" w:eastAsia="黑体" w:hint="eastAsia"/>
                <w:sz w:val="21"/>
              </w:rPr>
              <w:t>2</w:t>
            </w:r>
            <w:r>
              <w:rPr>
                <w:rFonts w:ascii="黑体" w:eastAsia="黑体" w:hint="eastAsia"/>
                <w:spacing w:val="-13"/>
                <w:sz w:val="21"/>
              </w:rPr>
              <w:t> 年内自杀，但被保险人自杀时为无民事行</w:t>
            </w:r>
            <w:r>
              <w:rPr>
                <w:rFonts w:ascii="黑体" w:eastAsia="黑体" w:hint="eastAsia"/>
                <w:spacing w:val="-6"/>
                <w:sz w:val="21"/>
              </w:rPr>
              <w:t>为能力人的除外。</w:t>
            </w:r>
          </w:p>
          <w:p>
            <w:pPr>
              <w:pStyle w:val="TableParagraph"/>
              <w:spacing w:line="273" w:lineRule="auto" w:before="84"/>
              <w:ind w:left="192" w:right="101" w:hanging="1"/>
              <w:rPr>
                <w:rFonts w:ascii="黑体" w:eastAsia="黑体" w:hint="eastAsia"/>
                <w:sz w:val="21"/>
              </w:rPr>
            </w:pPr>
            <w:r>
              <w:rPr>
                <w:rFonts w:ascii="黑体" w:eastAsia="黑体" w:hint="eastAsia"/>
                <w:spacing w:val="-3"/>
                <w:sz w:val="21"/>
              </w:rPr>
              <w:t>发</w:t>
            </w:r>
            <w:r>
              <w:rPr>
                <w:rFonts w:ascii="黑体" w:eastAsia="黑体" w:hint="eastAsia"/>
                <w:sz w:val="21"/>
              </w:rPr>
              <w:t>Th</w:t>
            </w:r>
            <w:r>
              <w:rPr>
                <w:rFonts w:ascii="黑体" w:eastAsia="黑体" w:hint="eastAsia"/>
                <w:spacing w:val="-11"/>
                <w:sz w:val="21"/>
              </w:rPr>
              <w:t>本条第 </w:t>
            </w:r>
            <w:r>
              <w:rPr>
                <w:rFonts w:ascii="黑体" w:eastAsia="黑体" w:hint="eastAsia"/>
                <w:sz w:val="21"/>
              </w:rPr>
              <w:t>1</w:t>
            </w:r>
            <w:r>
              <w:rPr>
                <w:rFonts w:ascii="黑体" w:eastAsia="黑体" w:hint="eastAsia"/>
                <w:spacing w:val="-11"/>
                <w:sz w:val="21"/>
              </w:rPr>
              <w:t> 款第(</w:t>
            </w:r>
            <w:r>
              <w:rPr>
                <w:rFonts w:ascii="黑体" w:eastAsia="黑体" w:hint="eastAsia"/>
                <w:sz w:val="21"/>
              </w:rPr>
              <w:t>1)</w:t>
            </w:r>
            <w:r>
              <w:rPr>
                <w:rFonts w:ascii="黑体" w:eastAsia="黑体" w:hint="eastAsia"/>
                <w:spacing w:val="-9"/>
                <w:sz w:val="21"/>
              </w:rPr>
              <w:t>项情形导致被保险人身故的，本公司对该被保险人的保</w:t>
            </w:r>
            <w:r>
              <w:rPr>
                <w:rFonts w:ascii="黑体" w:eastAsia="黑体" w:hint="eastAsia"/>
                <w:spacing w:val="-5"/>
                <w:sz w:val="21"/>
              </w:rPr>
              <w:t>险责任终止，并向受益人退还该被保险人对应的现金价值。</w:t>
            </w:r>
          </w:p>
          <w:p>
            <w:pPr>
              <w:pStyle w:val="TableParagraph"/>
              <w:spacing w:line="273" w:lineRule="auto" w:before="87"/>
              <w:ind w:left="192" w:right="101"/>
              <w:rPr>
                <w:rFonts w:ascii="黑体" w:eastAsia="黑体" w:hint="eastAsia"/>
                <w:sz w:val="21"/>
              </w:rPr>
            </w:pPr>
            <w:r>
              <w:rPr>
                <w:rFonts w:ascii="黑体" w:eastAsia="黑体" w:hint="eastAsia"/>
                <w:sz w:val="21"/>
              </w:rPr>
              <w:t>发Th本款其他情形导致被保险人身故的，本公司对该被保险人的保险责任终止，并向投保人退还该被保险人对应的现金价值。</w:t>
            </w:r>
          </w:p>
        </w:tc>
      </w:tr>
      <w:tr>
        <w:trPr>
          <w:trHeight w:val="312" w:hRule="atLeast"/>
        </w:trPr>
        <w:tc>
          <w:tcPr>
            <w:tcW w:w="739" w:type="dxa"/>
            <w:shd w:val="clear" w:color="auto" w:fill="A7A8A7"/>
          </w:tcPr>
          <w:p>
            <w:pPr>
              <w:pStyle w:val="TableParagraph"/>
              <w:spacing w:line="254" w:lineRule="exact"/>
              <w:ind w:left="108"/>
              <w:rPr>
                <w:b/>
                <w:sz w:val="21"/>
              </w:rPr>
            </w:pPr>
            <w:r>
              <w:rPr>
                <w:b/>
                <w:sz w:val="21"/>
              </w:rPr>
              <w:t>3．</w:t>
            </w:r>
          </w:p>
        </w:tc>
        <w:tc>
          <w:tcPr>
            <w:tcW w:w="1542" w:type="dxa"/>
            <w:shd w:val="clear" w:color="auto" w:fill="A7A8A7"/>
          </w:tcPr>
          <w:p>
            <w:pPr>
              <w:pStyle w:val="TableParagraph"/>
              <w:spacing w:line="254" w:lineRule="exact"/>
              <w:ind w:left="314" w:right="-44"/>
              <w:rPr>
                <w:b/>
                <w:sz w:val="21"/>
              </w:rPr>
            </w:pPr>
            <w:r>
              <w:rPr>
                <w:b/>
                <w:sz w:val="21"/>
              </w:rPr>
              <w:t>保险金的申请</w:t>
            </w:r>
          </w:p>
        </w:tc>
        <w:tc>
          <w:tcPr>
            <w:tcW w:w="7261" w:type="dxa"/>
            <w:shd w:val="clear" w:color="auto" w:fill="A7A8A7"/>
          </w:tcPr>
          <w:p>
            <w:pPr>
              <w:pStyle w:val="TableParagraph"/>
              <w:ind w:left="0"/>
              <w:rPr>
                <w:rFonts w:ascii="Times New Roman"/>
                <w:sz w:val="20"/>
              </w:rPr>
            </w:pPr>
          </w:p>
        </w:tc>
      </w:tr>
      <w:tr>
        <w:trPr>
          <w:trHeight w:val="3291" w:hRule="atLeast"/>
        </w:trPr>
        <w:tc>
          <w:tcPr>
            <w:tcW w:w="739" w:type="dxa"/>
          </w:tcPr>
          <w:p>
            <w:pPr>
              <w:pStyle w:val="TableParagraph"/>
              <w:spacing w:before="120"/>
              <w:ind w:left="108"/>
              <w:rPr>
                <w:b/>
                <w:sz w:val="21"/>
              </w:rPr>
            </w:pPr>
            <w:r>
              <w:rPr>
                <w:b/>
                <w:sz w:val="21"/>
              </w:rPr>
              <w:t>3.1</w:t>
            </w:r>
          </w:p>
        </w:tc>
        <w:tc>
          <w:tcPr>
            <w:tcW w:w="1542" w:type="dxa"/>
          </w:tcPr>
          <w:p>
            <w:pPr>
              <w:pStyle w:val="TableParagraph"/>
              <w:spacing w:before="120"/>
              <w:ind w:left="314"/>
              <w:rPr>
                <w:b/>
                <w:sz w:val="21"/>
              </w:rPr>
            </w:pPr>
            <w:r>
              <w:rPr>
                <w:b/>
                <w:sz w:val="21"/>
              </w:rPr>
              <w:t>受益人</w:t>
            </w:r>
          </w:p>
        </w:tc>
        <w:tc>
          <w:tcPr>
            <w:tcW w:w="7261" w:type="dxa"/>
          </w:tcPr>
          <w:p>
            <w:pPr>
              <w:pStyle w:val="TableParagraph"/>
              <w:spacing w:before="120"/>
              <w:ind w:left="174"/>
              <w:rPr>
                <w:sz w:val="21"/>
              </w:rPr>
            </w:pPr>
            <w:r>
              <w:rPr>
                <w:sz w:val="21"/>
              </w:rPr>
              <w:t>投保人或者被保险人可以指定一人或多人为身故保险金受益人。</w:t>
            </w:r>
          </w:p>
          <w:p>
            <w:pPr>
              <w:pStyle w:val="TableParagraph"/>
              <w:spacing w:line="273" w:lineRule="auto" w:before="116"/>
              <w:ind w:left="174" w:right="105"/>
              <w:rPr>
                <w:sz w:val="21"/>
              </w:rPr>
            </w:pPr>
            <w:r>
              <w:rPr>
                <w:sz w:val="21"/>
              </w:rPr>
              <w:t>身故保险金受益人为多人时，可以确定受益顺序和受益份额；如果没有确定份额，各受益人按照相等份额享有受益权。</w:t>
            </w:r>
          </w:p>
          <w:p>
            <w:pPr>
              <w:pStyle w:val="TableParagraph"/>
              <w:spacing w:line="273" w:lineRule="auto" w:before="84"/>
              <w:ind w:left="174" w:right="105"/>
              <w:rPr>
                <w:sz w:val="21"/>
              </w:rPr>
            </w:pPr>
            <w:r>
              <w:rPr>
                <w:sz w:val="21"/>
              </w:rPr>
              <w:t>被保险人为无民事行为能力人或限制民事行为能力人的，可以由其监护人指定受益人。</w:t>
            </w:r>
          </w:p>
          <w:p>
            <w:pPr>
              <w:pStyle w:val="TableParagraph"/>
              <w:spacing w:line="273" w:lineRule="auto" w:before="86"/>
              <w:ind w:left="174"/>
              <w:rPr>
                <w:sz w:val="21"/>
              </w:rPr>
            </w:pPr>
            <w:r>
              <w:rPr>
                <w:sz w:val="21"/>
              </w:rPr>
              <w:t>投保人或者被保险人可以变更身故保险金受益人并书面通知本公司。本公司</w:t>
            </w:r>
            <w:r>
              <w:rPr>
                <w:spacing w:val="-8"/>
                <w:sz w:val="21"/>
              </w:rPr>
              <w:t>收到变更受益人的书面通知后，在保险单或其他保险凭证上批注或附贴批单。</w:t>
            </w:r>
          </w:p>
          <w:p>
            <w:pPr>
              <w:pStyle w:val="TableParagraph"/>
              <w:spacing w:before="84"/>
              <w:ind w:left="174"/>
              <w:rPr>
                <w:sz w:val="21"/>
              </w:rPr>
            </w:pPr>
            <w:r>
              <w:rPr>
                <w:sz w:val="21"/>
              </w:rPr>
              <w:t>投保人在指定和变更身故保险金受益人时，必须经过被保险人同意。</w:t>
            </w:r>
          </w:p>
          <w:p>
            <w:pPr>
              <w:pStyle w:val="TableParagraph"/>
              <w:spacing w:line="264" w:lineRule="exact" w:before="116"/>
              <w:ind w:left="174"/>
              <w:rPr>
                <w:sz w:val="21"/>
              </w:rPr>
            </w:pPr>
            <w:r>
              <w:rPr>
                <w:sz w:val="21"/>
              </w:rPr>
              <w:t>被保险人身故后，有下列情形之一的，保险金作为被保险人的遗产，由本公</w:t>
            </w:r>
          </w:p>
        </w:tc>
      </w:tr>
    </w:tbl>
    <w:p>
      <w:pPr>
        <w:spacing w:after="0" w:line="264" w:lineRule="exac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543"/>
        <w:gridCol w:w="7461"/>
      </w:tblGrid>
      <w:tr>
        <w:trPr>
          <w:trHeight w:val="3061" w:hRule="atLeast"/>
        </w:trPr>
        <w:tc>
          <w:tcPr>
            <w:tcW w:w="831"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461" w:type="dxa"/>
          </w:tcPr>
          <w:p>
            <w:pPr>
              <w:pStyle w:val="TableParagraph"/>
              <w:spacing w:line="202" w:lineRule="exact"/>
              <w:ind w:left="173"/>
              <w:rPr>
                <w:sz w:val="21"/>
              </w:rPr>
            </w:pPr>
            <w:r>
              <w:rPr>
                <w:sz w:val="21"/>
              </w:rPr>
              <w:t>司依照《中华人民共和国继承法》的规定履行给付保险金的义务：</w:t>
            </w:r>
          </w:p>
          <w:p>
            <w:pPr>
              <w:pStyle w:val="TableParagraph"/>
              <w:spacing w:before="37"/>
              <w:ind w:left="173"/>
              <w:rPr>
                <w:sz w:val="21"/>
              </w:rPr>
            </w:pPr>
            <w:r>
              <w:rPr>
                <w:sz w:val="21"/>
              </w:rPr>
              <w:t>(1)没有指定受益人，或者受益人指定不明无法确定的；</w:t>
            </w:r>
          </w:p>
          <w:p>
            <w:pPr>
              <w:pStyle w:val="TableParagraph"/>
              <w:spacing w:before="37"/>
              <w:ind w:left="173"/>
              <w:rPr>
                <w:sz w:val="21"/>
              </w:rPr>
            </w:pPr>
            <w:r>
              <w:rPr>
                <w:sz w:val="21"/>
              </w:rPr>
              <w:t>(2)受益人先于被保险人身故，没有其他受益人的；</w:t>
            </w:r>
          </w:p>
          <w:p>
            <w:pPr>
              <w:pStyle w:val="TableParagraph"/>
              <w:spacing w:before="37"/>
              <w:ind w:left="173"/>
              <w:rPr>
                <w:sz w:val="21"/>
              </w:rPr>
            </w:pPr>
            <w:r>
              <w:rPr>
                <w:sz w:val="21"/>
              </w:rPr>
              <w:t>(3)受益人依法丧失受益权或者放弃受益权，没有其他受益人的。</w:t>
            </w:r>
          </w:p>
          <w:p>
            <w:pPr>
              <w:pStyle w:val="TableParagraph"/>
              <w:spacing w:line="273" w:lineRule="auto" w:before="114"/>
              <w:ind w:left="173" w:right="306"/>
              <w:rPr>
                <w:sz w:val="21"/>
              </w:rPr>
            </w:pPr>
            <w:r>
              <w:rPr>
                <w:sz w:val="21"/>
              </w:rPr>
              <w:t>受益人与被保险人在同一事件中身故，且不能确定身故先后顺序的，推定受益人身故在先。</w:t>
            </w:r>
          </w:p>
          <w:p>
            <w:pPr>
              <w:pStyle w:val="TableParagraph"/>
              <w:spacing w:line="273" w:lineRule="auto" w:before="87"/>
              <w:ind w:left="173" w:right="306"/>
              <w:rPr>
                <w:sz w:val="21"/>
              </w:rPr>
            </w:pPr>
            <w:r>
              <w:rPr>
                <w:sz w:val="21"/>
              </w:rPr>
              <w:t>受益人故意造成被保险人身故、伤残、疾病的，或者故意杀害被保险人未遂的，该受益人丧失受益权。</w:t>
            </w:r>
          </w:p>
          <w:p>
            <w:pPr>
              <w:pStyle w:val="TableParagraph"/>
              <w:spacing w:before="84"/>
              <w:ind w:left="173"/>
              <w:rPr>
                <w:sz w:val="21"/>
              </w:rPr>
            </w:pPr>
            <w:r>
              <w:rPr>
                <w:sz w:val="21"/>
              </w:rPr>
              <w:t>重大疾病保险金的受益人为被保险人本人。</w:t>
            </w:r>
          </w:p>
        </w:tc>
      </w:tr>
      <w:tr>
        <w:trPr>
          <w:trHeight w:val="2092" w:hRule="atLeast"/>
        </w:trPr>
        <w:tc>
          <w:tcPr>
            <w:tcW w:w="831" w:type="dxa"/>
          </w:tcPr>
          <w:p>
            <w:pPr>
              <w:pStyle w:val="TableParagraph"/>
              <w:spacing w:before="49"/>
              <w:ind w:left="200"/>
              <w:rPr>
                <w:b/>
                <w:sz w:val="21"/>
              </w:rPr>
            </w:pPr>
            <w:r>
              <w:rPr>
                <w:b/>
                <w:sz w:val="21"/>
              </w:rPr>
              <w:t>3.2</w:t>
            </w:r>
          </w:p>
        </w:tc>
        <w:tc>
          <w:tcPr>
            <w:tcW w:w="1543" w:type="dxa"/>
          </w:tcPr>
          <w:p>
            <w:pPr>
              <w:pStyle w:val="TableParagraph"/>
              <w:spacing w:line="273" w:lineRule="auto" w:before="49"/>
              <w:ind w:left="314" w:right="170"/>
              <w:rPr>
                <w:b/>
                <w:sz w:val="21"/>
              </w:rPr>
            </w:pPr>
            <w:r>
              <w:rPr>
                <w:b/>
                <w:sz w:val="21"/>
              </w:rPr>
              <w:t>保险事故通知</w:t>
            </w:r>
          </w:p>
        </w:tc>
        <w:tc>
          <w:tcPr>
            <w:tcW w:w="7461" w:type="dxa"/>
          </w:tcPr>
          <w:p>
            <w:pPr>
              <w:pStyle w:val="TableParagraph"/>
              <w:spacing w:before="49"/>
              <w:ind w:left="173"/>
              <w:rPr>
                <w:sz w:val="21"/>
              </w:rPr>
            </w:pPr>
            <w:r>
              <w:rPr>
                <w:sz w:val="21"/>
              </w:rPr>
              <w:t>投保人、被保险人或受益人知道保险事故后应当在 10 日内通知本公司。</w:t>
            </w:r>
          </w:p>
          <w:p>
            <w:pPr>
              <w:pStyle w:val="TableParagraph"/>
              <w:spacing w:line="273" w:lineRule="auto" w:before="116"/>
              <w:ind w:left="173" w:right="306"/>
              <w:jc w:val="both"/>
              <w:rPr>
                <w:sz w:val="21"/>
              </w:rPr>
            </w:pPr>
            <w:r>
              <w:rPr>
                <w:rFonts w:ascii="黑体" w:eastAsia="黑体" w:hint="eastAsia"/>
                <w:sz w:val="21"/>
              </w:rPr>
              <w:t>如果投保人、被保险人或受益人故意或者因重大过失未及时通知，致使保险事故的性质、原因、损失程度等难以确定的，本公司对无法确定的部分，不承担给付保险金的责任，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但本公司通过其他途径已经及时知道或者应当及时知道保险事故发生或者虽未及时通知但不影响本公司确定保险事故的性质、原因、损失程度的除外。</w:t>
            </w:r>
          </w:p>
        </w:tc>
      </w:tr>
      <w:tr>
        <w:trPr>
          <w:trHeight w:val="453" w:hRule="atLeast"/>
        </w:trPr>
        <w:tc>
          <w:tcPr>
            <w:tcW w:w="831" w:type="dxa"/>
          </w:tcPr>
          <w:p>
            <w:pPr>
              <w:pStyle w:val="TableParagraph"/>
              <w:spacing w:before="49"/>
              <w:ind w:left="200"/>
              <w:rPr>
                <w:b/>
                <w:sz w:val="21"/>
              </w:rPr>
            </w:pPr>
            <w:r>
              <w:rPr>
                <w:b/>
                <w:sz w:val="21"/>
              </w:rPr>
              <w:t>3.3</w:t>
            </w:r>
          </w:p>
        </w:tc>
        <w:tc>
          <w:tcPr>
            <w:tcW w:w="1543" w:type="dxa"/>
          </w:tcPr>
          <w:p>
            <w:pPr>
              <w:pStyle w:val="TableParagraph"/>
              <w:spacing w:before="49"/>
              <w:ind w:left="0" w:right="170"/>
              <w:jc w:val="right"/>
              <w:rPr>
                <w:b/>
                <w:sz w:val="21"/>
              </w:rPr>
            </w:pPr>
            <w:r>
              <w:rPr>
                <w:b/>
                <w:sz w:val="21"/>
              </w:rPr>
              <w:t>保险金申请</w:t>
            </w:r>
          </w:p>
        </w:tc>
        <w:tc>
          <w:tcPr>
            <w:tcW w:w="7461" w:type="dxa"/>
          </w:tcPr>
          <w:p>
            <w:pPr>
              <w:pStyle w:val="TableParagraph"/>
              <w:spacing w:before="49"/>
              <w:ind w:left="173"/>
              <w:rPr>
                <w:sz w:val="21"/>
              </w:rPr>
            </w:pPr>
            <w:r>
              <w:rPr>
                <w:sz w:val="21"/>
              </w:rPr>
              <w:t>在申请保险金时，请按照下列方式办理：</w:t>
            </w:r>
          </w:p>
        </w:tc>
      </w:tr>
      <w:tr>
        <w:trPr>
          <w:trHeight w:val="2637" w:hRule="atLeast"/>
        </w:trPr>
        <w:tc>
          <w:tcPr>
            <w:tcW w:w="831" w:type="dxa"/>
          </w:tcPr>
          <w:p>
            <w:pPr>
              <w:pStyle w:val="TableParagraph"/>
              <w:ind w:left="0"/>
              <w:rPr>
                <w:rFonts w:ascii="Times New Roman"/>
                <w:sz w:val="20"/>
              </w:rPr>
            </w:pPr>
          </w:p>
        </w:tc>
        <w:tc>
          <w:tcPr>
            <w:tcW w:w="1543" w:type="dxa"/>
          </w:tcPr>
          <w:p>
            <w:pPr>
              <w:pStyle w:val="TableParagraph"/>
              <w:spacing w:line="273" w:lineRule="auto" w:before="48"/>
              <w:ind w:left="314" w:right="172"/>
              <w:rPr>
                <w:sz w:val="21"/>
              </w:rPr>
            </w:pPr>
            <w:r>
              <w:rPr>
                <w:sz w:val="21"/>
              </w:rPr>
              <w:t>重大疾病保险金申请</w:t>
            </w:r>
          </w:p>
        </w:tc>
        <w:tc>
          <w:tcPr>
            <w:tcW w:w="7461" w:type="dxa"/>
          </w:tcPr>
          <w:p>
            <w:pPr>
              <w:pStyle w:val="TableParagraph"/>
              <w:spacing w:before="48"/>
              <w:ind w:left="173"/>
              <w:rPr>
                <w:sz w:val="21"/>
              </w:rPr>
            </w:pPr>
            <w:r>
              <w:rPr>
                <w:sz w:val="21"/>
              </w:rPr>
              <w:t>受益人须填写保险金给付申请书，并提供下列证明和资料：</w:t>
            </w:r>
          </w:p>
          <w:p>
            <w:pPr>
              <w:pStyle w:val="TableParagraph"/>
              <w:spacing w:before="36"/>
              <w:ind w:left="173"/>
              <w:rPr>
                <w:sz w:val="21"/>
              </w:rPr>
            </w:pPr>
            <w:r>
              <w:rPr>
                <w:sz w:val="21"/>
              </w:rPr>
              <w:t>(1)保险合同或其他保险凭证；</w:t>
            </w:r>
          </w:p>
          <w:p>
            <w:pPr>
              <w:pStyle w:val="TableParagraph"/>
              <w:spacing w:before="36"/>
              <w:ind w:left="173"/>
              <w:rPr>
                <w:sz w:val="21"/>
              </w:rPr>
            </w:pPr>
            <w:r>
              <w:rPr>
                <w:w w:val="100"/>
                <w:sz w:val="21"/>
              </w:rPr>
              <w:t>(2)</w:t>
            </w:r>
            <w:r>
              <w:rPr>
                <w:spacing w:val="-3"/>
                <w:w w:val="100"/>
                <w:sz w:val="21"/>
              </w:rPr>
              <w:t>受益人的</w:t>
            </w:r>
            <w:r>
              <w:rPr>
                <w:b/>
                <w:spacing w:val="-1"/>
                <w:w w:val="100"/>
                <w:sz w:val="21"/>
              </w:rPr>
              <w:t>有效身份证件</w:t>
            </w:r>
            <w:r>
              <w:rPr>
                <w:w w:val="100"/>
                <w:sz w:val="21"/>
              </w:rPr>
              <w:t>（</w:t>
            </w:r>
            <w:r>
              <w:rPr>
                <w:spacing w:val="-3"/>
                <w:w w:val="100"/>
                <w:sz w:val="21"/>
              </w:rPr>
              <w:t>详见释义</w:t>
            </w:r>
            <w:r>
              <w:rPr>
                <w:spacing w:val="-106"/>
                <w:w w:val="100"/>
                <w:sz w:val="21"/>
              </w:rPr>
              <w:t>）</w:t>
            </w:r>
            <w:r>
              <w:rPr>
                <w:w w:val="100"/>
                <w:sz w:val="21"/>
              </w:rPr>
              <w:t>；</w:t>
            </w:r>
          </w:p>
          <w:p>
            <w:pPr>
              <w:pStyle w:val="TableParagraph"/>
              <w:spacing w:line="273" w:lineRule="auto" w:before="36"/>
              <w:ind w:left="173" w:right="197"/>
              <w:rPr>
                <w:sz w:val="21"/>
              </w:rPr>
            </w:pPr>
            <w:r>
              <w:rPr>
                <w:sz w:val="21"/>
              </w:rPr>
              <w:t>(3)</w:t>
            </w:r>
            <w:r>
              <w:rPr>
                <w:spacing w:val="-6"/>
                <w:sz w:val="21"/>
              </w:rPr>
              <w:t>卫生行政部门认定的二级以上</w:t>
            </w:r>
            <w:r>
              <w:rPr>
                <w:sz w:val="21"/>
              </w:rPr>
              <w:t>（</w:t>
            </w:r>
            <w:r>
              <w:rPr>
                <w:spacing w:val="-3"/>
                <w:sz w:val="21"/>
              </w:rPr>
              <w:t>含二级</w:t>
            </w:r>
            <w:r>
              <w:rPr>
                <w:spacing w:val="-29"/>
                <w:sz w:val="21"/>
              </w:rPr>
              <w:t>）</w:t>
            </w:r>
            <w:r>
              <w:rPr>
                <w:spacing w:val="-3"/>
                <w:sz w:val="21"/>
              </w:rPr>
              <w:t>医院出具的附有病理显微镜检查报告、血液检查及其他科学方法检验报告的病史资料及疾病诊断报告书；但</w:t>
            </w:r>
            <w:r>
              <w:rPr>
                <w:spacing w:val="-5"/>
                <w:sz w:val="21"/>
              </w:rPr>
              <w:t>严重原发性心肌病的理赔须由三级以上</w:t>
            </w:r>
            <w:r>
              <w:rPr>
                <w:spacing w:val="-3"/>
                <w:sz w:val="21"/>
              </w:rPr>
              <w:t>（</w:t>
            </w:r>
            <w:r>
              <w:rPr>
                <w:spacing w:val="-2"/>
                <w:sz w:val="21"/>
              </w:rPr>
              <w:t>含三级</w:t>
            </w:r>
            <w:r>
              <w:rPr>
                <w:spacing w:val="-32"/>
                <w:sz w:val="21"/>
              </w:rPr>
              <w:t>）</w:t>
            </w:r>
            <w:r>
              <w:rPr>
                <w:spacing w:val="-3"/>
                <w:sz w:val="21"/>
              </w:rPr>
              <w:t>医院出具前述报告和资料； 如有必要，本公司有权对被保险人进行复检，复检费用由本公司承担；</w:t>
            </w:r>
          </w:p>
          <w:p>
            <w:pPr>
              <w:pStyle w:val="TableParagraph"/>
              <w:spacing w:before="7"/>
              <w:ind w:left="173"/>
              <w:rPr>
                <w:sz w:val="21"/>
              </w:rPr>
            </w:pPr>
            <w:r>
              <w:rPr>
                <w:sz w:val="21"/>
              </w:rPr>
              <w:t>(4)所能提供的与确认保险事故的性质、原因等有关的其他证明和资料。</w:t>
            </w:r>
          </w:p>
        </w:tc>
      </w:tr>
      <w:tr>
        <w:trPr>
          <w:trHeight w:val="2404" w:hRule="atLeast"/>
        </w:trPr>
        <w:tc>
          <w:tcPr>
            <w:tcW w:w="831" w:type="dxa"/>
          </w:tcPr>
          <w:p>
            <w:pPr>
              <w:pStyle w:val="TableParagraph"/>
              <w:ind w:left="0"/>
              <w:rPr>
                <w:rFonts w:ascii="Times New Roman"/>
                <w:sz w:val="20"/>
              </w:rPr>
            </w:pPr>
          </w:p>
        </w:tc>
        <w:tc>
          <w:tcPr>
            <w:tcW w:w="1543" w:type="dxa"/>
          </w:tcPr>
          <w:p>
            <w:pPr>
              <w:pStyle w:val="TableParagraph"/>
              <w:spacing w:line="273" w:lineRule="auto" w:before="48"/>
              <w:ind w:left="314" w:right="172"/>
              <w:rPr>
                <w:sz w:val="21"/>
              </w:rPr>
            </w:pPr>
            <w:r>
              <w:rPr>
                <w:sz w:val="21"/>
              </w:rPr>
              <w:t>身故保险金申请</w:t>
            </w:r>
          </w:p>
        </w:tc>
        <w:tc>
          <w:tcPr>
            <w:tcW w:w="7461" w:type="dxa"/>
          </w:tcPr>
          <w:p>
            <w:pPr>
              <w:pStyle w:val="TableParagraph"/>
              <w:spacing w:before="48"/>
              <w:ind w:left="173"/>
              <w:rPr>
                <w:sz w:val="21"/>
              </w:rPr>
            </w:pPr>
            <w:r>
              <w:rPr>
                <w:sz w:val="21"/>
              </w:rPr>
              <w:t>受益人须填写保险金给付申请书，并提供下列证明和资料：</w:t>
            </w:r>
          </w:p>
          <w:p>
            <w:pPr>
              <w:pStyle w:val="TableParagraph"/>
              <w:spacing w:before="36"/>
              <w:ind w:left="173"/>
              <w:rPr>
                <w:sz w:val="21"/>
              </w:rPr>
            </w:pPr>
            <w:r>
              <w:rPr>
                <w:sz w:val="21"/>
              </w:rPr>
              <w:t>(1)保险合同或其他保险凭证；</w:t>
            </w:r>
          </w:p>
          <w:p>
            <w:pPr>
              <w:pStyle w:val="TableParagraph"/>
              <w:spacing w:before="36"/>
              <w:ind w:left="173"/>
              <w:rPr>
                <w:sz w:val="21"/>
              </w:rPr>
            </w:pPr>
            <w:r>
              <w:rPr>
                <w:sz w:val="21"/>
              </w:rPr>
              <w:t>(2)受益人的有效身份证件；</w:t>
            </w:r>
          </w:p>
          <w:p>
            <w:pPr>
              <w:pStyle w:val="TableParagraph"/>
              <w:spacing w:line="273" w:lineRule="auto" w:before="36"/>
              <w:ind w:left="173" w:right="307"/>
              <w:rPr>
                <w:sz w:val="21"/>
              </w:rPr>
            </w:pPr>
            <w:r>
              <w:rPr>
                <w:sz w:val="21"/>
              </w:rPr>
              <w:t>(3)</w:t>
            </w:r>
            <w:r>
              <w:rPr>
                <w:spacing w:val="-7"/>
                <w:sz w:val="21"/>
              </w:rPr>
              <w:t>卫生行政部门认定的医疗机构、公安部门或其他相关机构出具的被保险人</w:t>
            </w:r>
            <w:r>
              <w:rPr>
                <w:spacing w:val="-2"/>
                <w:sz w:val="21"/>
              </w:rPr>
              <w:t>的死亡证明；</w:t>
            </w:r>
          </w:p>
          <w:p>
            <w:pPr>
              <w:pStyle w:val="TableParagraph"/>
              <w:spacing w:before="7"/>
              <w:ind w:left="173"/>
              <w:rPr>
                <w:sz w:val="21"/>
              </w:rPr>
            </w:pPr>
            <w:r>
              <w:rPr>
                <w:sz w:val="21"/>
              </w:rPr>
              <w:t>(4)所能提供的与确认保险事故的性质、原因等有关的其他证明和资料。</w:t>
            </w:r>
          </w:p>
          <w:p>
            <w:pPr>
              <w:pStyle w:val="TableParagraph"/>
              <w:spacing w:before="116"/>
              <w:ind w:left="173"/>
              <w:rPr>
                <w:sz w:val="21"/>
              </w:rPr>
            </w:pPr>
            <w:r>
              <w:rPr>
                <w:sz w:val="21"/>
              </w:rPr>
              <w:t>保险金作为被保险人遗产时，必须提供可证明合法继承权的相关权利文件。</w:t>
            </w:r>
          </w:p>
        </w:tc>
      </w:tr>
      <w:tr>
        <w:trPr>
          <w:trHeight w:val="765" w:hRule="atLeast"/>
        </w:trPr>
        <w:tc>
          <w:tcPr>
            <w:tcW w:w="831"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461" w:type="dxa"/>
          </w:tcPr>
          <w:p>
            <w:pPr>
              <w:pStyle w:val="TableParagraph"/>
              <w:spacing w:line="273" w:lineRule="auto" w:before="49"/>
              <w:ind w:left="173" w:right="306"/>
              <w:rPr>
                <w:sz w:val="21"/>
              </w:rPr>
            </w:pPr>
            <w:r>
              <w:rPr>
                <w:sz w:val="21"/>
              </w:rPr>
              <w:t>以上各项证明和资料不完整的，本公司将及时一次性通知受益人补充提供有关证明和资料。</w:t>
            </w:r>
          </w:p>
        </w:tc>
      </w:tr>
      <w:tr>
        <w:trPr>
          <w:trHeight w:val="2283" w:hRule="atLeast"/>
        </w:trPr>
        <w:tc>
          <w:tcPr>
            <w:tcW w:w="831" w:type="dxa"/>
          </w:tcPr>
          <w:p>
            <w:pPr>
              <w:pStyle w:val="TableParagraph"/>
              <w:spacing w:before="48"/>
              <w:ind w:left="200"/>
              <w:rPr>
                <w:b/>
                <w:sz w:val="21"/>
              </w:rPr>
            </w:pPr>
            <w:r>
              <w:rPr>
                <w:b/>
                <w:sz w:val="21"/>
              </w:rPr>
              <w:t>3.4</w:t>
            </w:r>
          </w:p>
        </w:tc>
        <w:tc>
          <w:tcPr>
            <w:tcW w:w="1543" w:type="dxa"/>
          </w:tcPr>
          <w:p>
            <w:pPr>
              <w:pStyle w:val="TableParagraph"/>
              <w:spacing w:before="48"/>
              <w:ind w:left="0" w:right="170"/>
              <w:jc w:val="right"/>
              <w:rPr>
                <w:b/>
                <w:sz w:val="21"/>
              </w:rPr>
            </w:pPr>
            <w:r>
              <w:rPr>
                <w:b/>
                <w:sz w:val="21"/>
              </w:rPr>
              <w:t>保险金给付</w:t>
            </w:r>
          </w:p>
        </w:tc>
        <w:tc>
          <w:tcPr>
            <w:tcW w:w="7461" w:type="dxa"/>
          </w:tcPr>
          <w:p>
            <w:pPr>
              <w:pStyle w:val="TableParagraph"/>
              <w:spacing w:before="48"/>
              <w:ind w:left="173"/>
              <w:rPr>
                <w:sz w:val="21"/>
              </w:rPr>
            </w:pPr>
            <w:r>
              <w:rPr>
                <w:sz w:val="21"/>
              </w:rPr>
              <w:t>本公司在收到保险金给付申请书及上述有关证明和资料后，将在 5 日内作出</w:t>
            </w:r>
          </w:p>
          <w:p>
            <w:pPr>
              <w:pStyle w:val="TableParagraph"/>
              <w:spacing w:before="36"/>
              <w:rPr>
                <w:sz w:val="21"/>
              </w:rPr>
            </w:pPr>
            <w:r>
              <w:rPr>
                <w:sz w:val="21"/>
              </w:rPr>
              <w:t>核定；</w:t>
            </w:r>
            <w:r>
              <w:rPr>
                <w:b/>
                <w:sz w:val="21"/>
              </w:rPr>
              <w:t>情形复杂</w:t>
            </w:r>
            <w:r>
              <w:rPr>
                <w:sz w:val="21"/>
              </w:rPr>
              <w:t>（详见释义）的，在 30 日内作出核定。对属于给付保险金责</w:t>
            </w:r>
          </w:p>
          <w:p>
            <w:pPr>
              <w:pStyle w:val="TableParagraph"/>
              <w:spacing w:line="273" w:lineRule="auto" w:before="37"/>
              <w:ind w:left="173" w:right="308"/>
              <w:jc w:val="both"/>
              <w:rPr>
                <w:sz w:val="21"/>
              </w:rPr>
            </w:pPr>
            <w:r>
              <w:rPr>
                <w:spacing w:val="-9"/>
                <w:sz w:val="21"/>
              </w:rPr>
              <w:t>任的，本公司在与受益人达成给付保险金的协议后 </w:t>
            </w:r>
            <w:r>
              <w:rPr>
                <w:sz w:val="21"/>
              </w:rPr>
              <w:t>10</w:t>
            </w:r>
            <w:r>
              <w:rPr>
                <w:spacing w:val="-10"/>
                <w:sz w:val="21"/>
              </w:rPr>
              <w:t> 日内，履行给付保险金</w:t>
            </w:r>
            <w:r>
              <w:rPr>
                <w:sz w:val="21"/>
              </w:rPr>
              <w:t>义务。</w:t>
            </w:r>
          </w:p>
          <w:p>
            <w:pPr>
              <w:pStyle w:val="TableParagraph"/>
              <w:spacing w:line="310" w:lineRule="atLeast" w:before="52"/>
              <w:ind w:left="173" w:right="306"/>
              <w:jc w:val="both"/>
              <w:rPr>
                <w:sz w:val="21"/>
              </w:rPr>
            </w:pPr>
            <w:r>
              <w:rPr>
                <w:sz w:val="21"/>
              </w:rPr>
              <w:t>本公司未及时履行前款规定的给付保险金义务的，除支付保险金外，应当赔偿受益人因此受到的损失。前述“损失”是指根据中国人民银行公布的同期人民币活期存款基准利率计算的利息损失。</w:t>
            </w:r>
          </w:p>
        </w:tc>
      </w:tr>
    </w:tbl>
    <w:p>
      <w:pPr>
        <w:spacing w:after="0" w:line="310" w:lineRule="atLeast"/>
        <w:jc w:val="both"/>
        <w:rPr>
          <w:sz w:val="21"/>
        </w:rPr>
        <w:sectPr>
          <w:pgSz w:w="11910" w:h="16840"/>
          <w:pgMar w:top="146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543"/>
        <w:gridCol w:w="7260"/>
      </w:tblGrid>
      <w:tr>
        <w:trPr>
          <w:trHeight w:val="1657" w:hRule="atLeast"/>
        </w:trPr>
        <w:tc>
          <w:tcPr>
            <w:tcW w:w="739"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260" w:type="dxa"/>
          </w:tcPr>
          <w:p>
            <w:pPr>
              <w:pStyle w:val="TableParagraph"/>
              <w:spacing w:line="202" w:lineRule="exact"/>
              <w:ind w:left="173"/>
              <w:rPr>
                <w:sz w:val="21"/>
              </w:rPr>
            </w:pPr>
            <w:r>
              <w:rPr>
                <w:sz w:val="21"/>
              </w:rPr>
              <w:t>对不属于保险责任的，本公司自作出核定之日起 3 日内向受益人发出拒绝给</w:t>
            </w:r>
          </w:p>
          <w:p>
            <w:pPr>
              <w:pStyle w:val="TableParagraph"/>
              <w:spacing w:before="37"/>
              <w:rPr>
                <w:sz w:val="21"/>
              </w:rPr>
            </w:pPr>
            <w:r>
              <w:rPr>
                <w:sz w:val="21"/>
              </w:rPr>
              <w:t>付保险金通知书并说明理由。</w:t>
            </w:r>
          </w:p>
          <w:p>
            <w:pPr>
              <w:pStyle w:val="TableParagraph"/>
              <w:spacing w:line="273" w:lineRule="auto" w:before="114"/>
              <w:ind w:right="103"/>
              <w:jc w:val="both"/>
              <w:rPr>
                <w:sz w:val="21"/>
              </w:rPr>
            </w:pPr>
            <w:r>
              <w:rPr>
                <w:spacing w:val="-5"/>
                <w:sz w:val="21"/>
              </w:rPr>
              <w:t>本公司在收到保险金给付申请书及有关证明和资料之日起 </w:t>
            </w:r>
            <w:r>
              <w:rPr>
                <w:sz w:val="21"/>
              </w:rPr>
              <w:t>60</w:t>
            </w:r>
            <w:r>
              <w:rPr>
                <w:spacing w:val="-14"/>
                <w:sz w:val="21"/>
              </w:rPr>
              <w:t> 日内，对给付保险金的数额不能确定的，根据已有证明和资料可以确定的数额先予支付；本</w:t>
            </w:r>
            <w:r>
              <w:rPr>
                <w:spacing w:val="-7"/>
                <w:sz w:val="21"/>
              </w:rPr>
              <w:t>公司最终确定给付保险金的数额后，将支付相应的差额。</w:t>
            </w:r>
          </w:p>
        </w:tc>
      </w:tr>
      <w:tr>
        <w:trPr>
          <w:trHeight w:val="2404" w:hRule="atLeast"/>
        </w:trPr>
        <w:tc>
          <w:tcPr>
            <w:tcW w:w="739" w:type="dxa"/>
          </w:tcPr>
          <w:p>
            <w:pPr>
              <w:pStyle w:val="TableParagraph"/>
              <w:spacing w:before="49"/>
              <w:ind w:left="108"/>
              <w:rPr>
                <w:b/>
                <w:sz w:val="21"/>
              </w:rPr>
            </w:pPr>
            <w:r>
              <w:rPr>
                <w:b/>
                <w:sz w:val="21"/>
              </w:rPr>
              <w:t>3.5</w:t>
            </w:r>
          </w:p>
        </w:tc>
        <w:tc>
          <w:tcPr>
            <w:tcW w:w="1543" w:type="dxa"/>
          </w:tcPr>
          <w:p>
            <w:pPr>
              <w:pStyle w:val="TableParagraph"/>
              <w:spacing w:line="273" w:lineRule="auto" w:before="49"/>
              <w:ind w:left="314" w:right="170"/>
              <w:rPr>
                <w:b/>
                <w:sz w:val="21"/>
              </w:rPr>
            </w:pPr>
            <w:r>
              <w:rPr>
                <w:b/>
                <w:sz w:val="21"/>
              </w:rPr>
              <w:t>宣告死亡处理</w:t>
            </w:r>
          </w:p>
        </w:tc>
        <w:tc>
          <w:tcPr>
            <w:tcW w:w="7260" w:type="dxa"/>
          </w:tcPr>
          <w:p>
            <w:pPr>
              <w:pStyle w:val="TableParagraph"/>
              <w:spacing w:line="273" w:lineRule="auto" w:before="49"/>
              <w:ind w:left="173" w:right="105"/>
              <w:jc w:val="both"/>
              <w:rPr>
                <w:sz w:val="21"/>
              </w:rPr>
            </w:pPr>
            <w:r>
              <w:rPr>
                <w:sz w:val="21"/>
              </w:rPr>
              <w:t>如果被保险人在本合同有效期内失踪，而且被法院宣告死亡，本公司以法院判决宣告死亡之日作为被保险人的死亡时间，符合本合同约定的以死亡为保险金给付条件的，按本合同的约定给付保险金，本公司对该被保险人的保险责任终止。</w:t>
            </w:r>
          </w:p>
          <w:p>
            <w:pPr>
              <w:pStyle w:val="TableParagraph"/>
              <w:spacing w:line="273" w:lineRule="auto" w:before="87"/>
              <w:ind w:left="173" w:right="105"/>
              <w:jc w:val="both"/>
              <w:rPr>
                <w:sz w:val="21"/>
              </w:rPr>
            </w:pPr>
            <w:r>
              <w:rPr>
                <w:sz w:val="21"/>
              </w:rPr>
              <w:t>如果被保险人在宣告死亡后重新出现或者确知其没有死亡，受益人应于知道</w:t>
            </w:r>
            <w:r>
              <w:rPr>
                <w:spacing w:val="-7"/>
                <w:sz w:val="21"/>
              </w:rPr>
              <w:t>或应当知道后 </w:t>
            </w:r>
            <w:r>
              <w:rPr>
                <w:sz w:val="21"/>
              </w:rPr>
              <w:t>30</w:t>
            </w:r>
            <w:r>
              <w:rPr>
                <w:spacing w:val="-11"/>
                <w:sz w:val="21"/>
              </w:rPr>
              <w:t> 日内向本公司退还已给付的保险金，本合同的效力由双方依</w:t>
            </w:r>
            <w:r>
              <w:rPr>
                <w:spacing w:val="-1"/>
                <w:sz w:val="21"/>
              </w:rPr>
              <w:t>法确定。</w:t>
            </w:r>
          </w:p>
        </w:tc>
      </w:tr>
      <w:tr>
        <w:trPr>
          <w:trHeight w:val="1538" w:hRule="atLeast"/>
        </w:trPr>
        <w:tc>
          <w:tcPr>
            <w:tcW w:w="739" w:type="dxa"/>
          </w:tcPr>
          <w:p>
            <w:pPr>
              <w:pStyle w:val="TableParagraph"/>
              <w:spacing w:before="49"/>
              <w:ind w:left="108"/>
              <w:rPr>
                <w:b/>
                <w:sz w:val="21"/>
              </w:rPr>
            </w:pPr>
            <w:r>
              <w:rPr>
                <w:b/>
                <w:sz w:val="21"/>
              </w:rPr>
              <w:t>3.6</w:t>
            </w:r>
          </w:p>
        </w:tc>
        <w:tc>
          <w:tcPr>
            <w:tcW w:w="1543" w:type="dxa"/>
          </w:tcPr>
          <w:p>
            <w:pPr>
              <w:pStyle w:val="TableParagraph"/>
              <w:spacing w:before="49"/>
              <w:ind w:left="314"/>
              <w:rPr>
                <w:b/>
                <w:sz w:val="21"/>
              </w:rPr>
            </w:pPr>
            <w:r>
              <w:rPr>
                <w:b/>
                <w:sz w:val="21"/>
              </w:rPr>
              <w:t>诉讼时效</w:t>
            </w:r>
          </w:p>
        </w:tc>
        <w:tc>
          <w:tcPr>
            <w:tcW w:w="7260" w:type="dxa"/>
          </w:tcPr>
          <w:p>
            <w:pPr>
              <w:pStyle w:val="TableParagraph"/>
              <w:spacing w:line="273" w:lineRule="auto" w:before="49"/>
              <w:ind w:left="173" w:right="38"/>
              <w:rPr>
                <w:sz w:val="21"/>
              </w:rPr>
            </w:pPr>
            <w:r>
              <w:rPr>
                <w:sz w:val="21"/>
              </w:rPr>
              <w:t>受益人向本公司请求给付重大疾病保险金的诉讼时效期间为 2 年，自其知道或者应当知道保险事故发生之日起计算。</w:t>
            </w:r>
          </w:p>
          <w:p>
            <w:pPr>
              <w:pStyle w:val="TableParagraph"/>
              <w:spacing w:line="273" w:lineRule="auto" w:before="87"/>
              <w:ind w:left="173" w:right="38"/>
              <w:rPr>
                <w:sz w:val="21"/>
              </w:rPr>
            </w:pPr>
            <w:r>
              <w:rPr>
                <w:sz w:val="21"/>
              </w:rPr>
              <w:t>受益人向本公司请求给付身故保险金的诉讼时效期间为 5 年，自其知道或者应当知道保险事故发生之日起计算。</w:t>
            </w:r>
          </w:p>
        </w:tc>
      </w:tr>
      <w:tr>
        <w:trPr>
          <w:trHeight w:val="312" w:hRule="atLeast"/>
        </w:trPr>
        <w:tc>
          <w:tcPr>
            <w:tcW w:w="739" w:type="dxa"/>
            <w:shd w:val="clear" w:color="auto" w:fill="A7A8A7"/>
          </w:tcPr>
          <w:p>
            <w:pPr>
              <w:pStyle w:val="TableParagraph"/>
              <w:spacing w:line="254" w:lineRule="exact"/>
              <w:ind w:left="108"/>
              <w:rPr>
                <w:b/>
                <w:sz w:val="21"/>
              </w:rPr>
            </w:pPr>
            <w:r>
              <w:rPr>
                <w:b/>
                <w:sz w:val="21"/>
              </w:rPr>
              <w:t>4．</w:t>
            </w:r>
          </w:p>
        </w:tc>
        <w:tc>
          <w:tcPr>
            <w:tcW w:w="1543" w:type="dxa"/>
            <w:shd w:val="clear" w:color="auto" w:fill="A7A8A7"/>
          </w:tcPr>
          <w:p>
            <w:pPr>
              <w:pStyle w:val="TableParagraph"/>
              <w:spacing w:line="254" w:lineRule="exact"/>
              <w:ind w:left="314" w:right="-44"/>
              <w:rPr>
                <w:b/>
                <w:sz w:val="21"/>
              </w:rPr>
            </w:pPr>
            <w:r>
              <w:rPr>
                <w:b/>
                <w:sz w:val="21"/>
              </w:rPr>
              <w:t>保险费的支付</w:t>
            </w:r>
          </w:p>
        </w:tc>
        <w:tc>
          <w:tcPr>
            <w:tcW w:w="7260" w:type="dxa"/>
            <w:shd w:val="clear" w:color="auto" w:fill="A7A8A7"/>
          </w:tcPr>
          <w:p>
            <w:pPr>
              <w:pStyle w:val="TableParagraph"/>
              <w:ind w:left="0"/>
              <w:rPr>
                <w:rFonts w:ascii="Times New Roman"/>
                <w:sz w:val="20"/>
              </w:rPr>
            </w:pPr>
          </w:p>
        </w:tc>
      </w:tr>
      <w:tr>
        <w:trPr>
          <w:trHeight w:val="907" w:hRule="atLeast"/>
        </w:trPr>
        <w:tc>
          <w:tcPr>
            <w:tcW w:w="739" w:type="dxa"/>
          </w:tcPr>
          <w:p>
            <w:pPr>
              <w:pStyle w:val="TableParagraph"/>
              <w:spacing w:before="120"/>
              <w:ind w:left="108"/>
              <w:rPr>
                <w:b/>
                <w:sz w:val="21"/>
              </w:rPr>
            </w:pPr>
            <w:r>
              <w:rPr>
                <w:b/>
                <w:sz w:val="21"/>
              </w:rPr>
              <w:t>4.1</w:t>
            </w:r>
          </w:p>
        </w:tc>
        <w:tc>
          <w:tcPr>
            <w:tcW w:w="1543" w:type="dxa"/>
          </w:tcPr>
          <w:p>
            <w:pPr>
              <w:pStyle w:val="TableParagraph"/>
              <w:spacing w:line="273" w:lineRule="auto" w:before="120"/>
              <w:ind w:left="314" w:right="170"/>
              <w:rPr>
                <w:b/>
                <w:sz w:val="21"/>
              </w:rPr>
            </w:pPr>
            <w:r>
              <w:rPr>
                <w:b/>
                <w:sz w:val="21"/>
              </w:rPr>
              <w:t>保险费的支付</w:t>
            </w:r>
          </w:p>
        </w:tc>
        <w:tc>
          <w:tcPr>
            <w:tcW w:w="7260" w:type="dxa"/>
          </w:tcPr>
          <w:p>
            <w:pPr>
              <w:pStyle w:val="TableParagraph"/>
              <w:spacing w:before="120"/>
              <w:ind w:left="173"/>
              <w:rPr>
                <w:sz w:val="21"/>
              </w:rPr>
            </w:pPr>
            <w:r>
              <w:rPr>
                <w:spacing w:val="-5"/>
                <w:sz w:val="21"/>
              </w:rPr>
              <w:t>本合同的保险费采用趸交</w:t>
            </w:r>
            <w:r>
              <w:rPr>
                <w:sz w:val="21"/>
              </w:rPr>
              <w:t>（</w:t>
            </w:r>
            <w:r>
              <w:rPr>
                <w:spacing w:val="-3"/>
                <w:sz w:val="21"/>
              </w:rPr>
              <w:t>即一次性支付</w:t>
            </w:r>
            <w:r>
              <w:rPr>
                <w:spacing w:val="-20"/>
                <w:sz w:val="21"/>
              </w:rPr>
              <w:t>）</w:t>
            </w:r>
            <w:r>
              <w:rPr>
                <w:spacing w:val="-6"/>
                <w:sz w:val="21"/>
              </w:rPr>
              <w:t>的方式支付，并在保险单上载明。</w:t>
            </w:r>
          </w:p>
        </w:tc>
      </w:tr>
      <w:tr>
        <w:trPr>
          <w:trHeight w:val="312" w:hRule="atLeast"/>
        </w:trPr>
        <w:tc>
          <w:tcPr>
            <w:tcW w:w="739" w:type="dxa"/>
            <w:shd w:val="clear" w:color="auto" w:fill="A7A8A7"/>
          </w:tcPr>
          <w:p>
            <w:pPr>
              <w:pStyle w:val="TableParagraph"/>
              <w:spacing w:line="254" w:lineRule="exact"/>
              <w:ind w:left="108"/>
              <w:rPr>
                <w:b/>
                <w:sz w:val="21"/>
              </w:rPr>
            </w:pPr>
            <w:r>
              <w:rPr>
                <w:b/>
                <w:sz w:val="21"/>
              </w:rPr>
              <w:t>5．</w:t>
            </w:r>
          </w:p>
        </w:tc>
        <w:tc>
          <w:tcPr>
            <w:tcW w:w="1543" w:type="dxa"/>
            <w:shd w:val="clear" w:color="auto" w:fill="A7A8A7"/>
          </w:tcPr>
          <w:p>
            <w:pPr>
              <w:pStyle w:val="TableParagraph"/>
              <w:spacing w:line="254" w:lineRule="exact"/>
              <w:ind w:left="314" w:right="-44"/>
              <w:rPr>
                <w:b/>
                <w:sz w:val="21"/>
              </w:rPr>
            </w:pPr>
            <w:r>
              <w:rPr>
                <w:b/>
                <w:sz w:val="21"/>
              </w:rPr>
              <w:t>现金价值权益</w:t>
            </w:r>
          </w:p>
        </w:tc>
        <w:tc>
          <w:tcPr>
            <w:tcW w:w="7260" w:type="dxa"/>
            <w:shd w:val="clear" w:color="auto" w:fill="A7A8A7"/>
          </w:tcPr>
          <w:p>
            <w:pPr>
              <w:pStyle w:val="TableParagraph"/>
              <w:ind w:left="0"/>
              <w:rPr>
                <w:rFonts w:ascii="Times New Roman"/>
                <w:sz w:val="20"/>
              </w:rPr>
            </w:pPr>
          </w:p>
        </w:tc>
      </w:tr>
      <w:tr>
        <w:trPr>
          <w:trHeight w:val="1219" w:hRule="atLeast"/>
        </w:trPr>
        <w:tc>
          <w:tcPr>
            <w:tcW w:w="739" w:type="dxa"/>
          </w:tcPr>
          <w:p>
            <w:pPr>
              <w:pStyle w:val="TableParagraph"/>
              <w:spacing w:before="120"/>
              <w:ind w:left="108"/>
              <w:rPr>
                <w:b/>
                <w:sz w:val="21"/>
              </w:rPr>
            </w:pPr>
            <w:r>
              <w:rPr>
                <w:b/>
                <w:sz w:val="21"/>
              </w:rPr>
              <w:t>5.1</w:t>
            </w:r>
          </w:p>
        </w:tc>
        <w:tc>
          <w:tcPr>
            <w:tcW w:w="1543" w:type="dxa"/>
          </w:tcPr>
          <w:p>
            <w:pPr>
              <w:pStyle w:val="TableParagraph"/>
              <w:spacing w:before="120"/>
              <w:ind w:left="314"/>
              <w:rPr>
                <w:b/>
                <w:sz w:val="21"/>
              </w:rPr>
            </w:pPr>
            <w:r>
              <w:rPr>
                <w:b/>
                <w:sz w:val="21"/>
              </w:rPr>
              <w:t>现金价值</w:t>
            </w:r>
          </w:p>
        </w:tc>
        <w:tc>
          <w:tcPr>
            <w:tcW w:w="7260" w:type="dxa"/>
          </w:tcPr>
          <w:p>
            <w:pPr>
              <w:pStyle w:val="TableParagraph"/>
              <w:spacing w:line="273" w:lineRule="auto" w:before="120"/>
              <w:ind w:left="173" w:right="105"/>
              <w:jc w:val="both"/>
              <w:rPr>
                <w:sz w:val="21"/>
              </w:rPr>
            </w:pPr>
            <w:r>
              <w:rPr>
                <w:sz w:val="21"/>
              </w:rPr>
              <w:t>指本合同保险单所具有的价值，通常体现为解除合同时，根据精算原理计算的，由本公司退还的那部分金额。保单年度末的现金价值在保险单上载明。保单年度内的现金价值，您可以向本公司咨询。</w:t>
            </w:r>
          </w:p>
        </w:tc>
      </w:tr>
      <w:tr>
        <w:trPr>
          <w:trHeight w:val="312" w:hRule="atLeast"/>
        </w:trPr>
        <w:tc>
          <w:tcPr>
            <w:tcW w:w="739" w:type="dxa"/>
            <w:shd w:val="clear" w:color="auto" w:fill="A7A8A7"/>
          </w:tcPr>
          <w:p>
            <w:pPr>
              <w:pStyle w:val="TableParagraph"/>
              <w:spacing w:line="254" w:lineRule="exact"/>
              <w:ind w:left="108"/>
              <w:rPr>
                <w:b/>
                <w:sz w:val="21"/>
              </w:rPr>
            </w:pPr>
            <w:r>
              <w:rPr>
                <w:b/>
                <w:sz w:val="21"/>
              </w:rPr>
              <w:t>6．</w:t>
            </w:r>
          </w:p>
        </w:tc>
        <w:tc>
          <w:tcPr>
            <w:tcW w:w="1543" w:type="dxa"/>
            <w:shd w:val="clear" w:color="auto" w:fill="A7A8A7"/>
          </w:tcPr>
          <w:p>
            <w:pPr>
              <w:pStyle w:val="TableParagraph"/>
              <w:spacing w:line="254" w:lineRule="exact"/>
              <w:ind w:left="314"/>
              <w:rPr>
                <w:b/>
                <w:sz w:val="21"/>
              </w:rPr>
            </w:pPr>
            <w:r>
              <w:rPr>
                <w:b/>
                <w:sz w:val="21"/>
              </w:rPr>
              <w:t>合同解除</w:t>
            </w:r>
          </w:p>
        </w:tc>
        <w:tc>
          <w:tcPr>
            <w:tcW w:w="7260" w:type="dxa"/>
            <w:shd w:val="clear" w:color="auto" w:fill="A7A8A7"/>
          </w:tcPr>
          <w:p>
            <w:pPr>
              <w:pStyle w:val="TableParagraph"/>
              <w:ind w:left="0"/>
              <w:rPr>
                <w:rFonts w:ascii="Times New Roman"/>
                <w:sz w:val="20"/>
              </w:rPr>
            </w:pPr>
          </w:p>
        </w:tc>
      </w:tr>
      <w:tr>
        <w:trPr>
          <w:trHeight w:val="2654" w:hRule="atLeast"/>
        </w:trPr>
        <w:tc>
          <w:tcPr>
            <w:tcW w:w="739" w:type="dxa"/>
          </w:tcPr>
          <w:p>
            <w:pPr>
              <w:pStyle w:val="TableParagraph"/>
              <w:spacing w:before="123"/>
              <w:ind w:left="108"/>
              <w:rPr>
                <w:b/>
                <w:sz w:val="21"/>
              </w:rPr>
            </w:pPr>
            <w:r>
              <w:rPr>
                <w:b/>
                <w:sz w:val="21"/>
              </w:rPr>
              <w:t>6.1</w:t>
            </w:r>
          </w:p>
        </w:tc>
        <w:tc>
          <w:tcPr>
            <w:tcW w:w="1543" w:type="dxa"/>
          </w:tcPr>
          <w:p>
            <w:pPr>
              <w:pStyle w:val="TableParagraph"/>
              <w:spacing w:line="273" w:lineRule="auto" w:before="123"/>
              <w:ind w:left="314" w:right="170"/>
              <w:jc w:val="both"/>
              <w:rPr>
                <w:b/>
                <w:sz w:val="21"/>
              </w:rPr>
            </w:pPr>
            <w:r>
              <w:rPr>
                <w:b/>
                <w:sz w:val="21"/>
              </w:rPr>
              <w:t>投保人解除合同的手续及风险</w:t>
            </w:r>
          </w:p>
        </w:tc>
        <w:tc>
          <w:tcPr>
            <w:tcW w:w="7260" w:type="dxa"/>
          </w:tcPr>
          <w:p>
            <w:pPr>
              <w:pStyle w:val="TableParagraph"/>
              <w:spacing w:line="273" w:lineRule="auto" w:before="123"/>
              <w:ind w:left="173" w:right="105"/>
              <w:rPr>
                <w:sz w:val="21"/>
              </w:rPr>
            </w:pPr>
            <w:r>
              <w:rPr>
                <w:sz w:val="21"/>
              </w:rPr>
              <w:t>如投保人申请解除本合同，请填写解除合同的书面申请并向本公司提供下列资料：</w:t>
            </w:r>
          </w:p>
          <w:p>
            <w:pPr>
              <w:pStyle w:val="TableParagraph"/>
              <w:spacing w:before="8"/>
              <w:ind w:left="173"/>
              <w:rPr>
                <w:sz w:val="21"/>
              </w:rPr>
            </w:pPr>
            <w:r>
              <w:rPr>
                <w:sz w:val="21"/>
              </w:rPr>
              <w:t>(1)保险合同；</w:t>
            </w:r>
          </w:p>
          <w:p>
            <w:pPr>
              <w:pStyle w:val="TableParagraph"/>
              <w:spacing w:before="37"/>
              <w:ind w:left="173"/>
              <w:rPr>
                <w:sz w:val="21"/>
              </w:rPr>
            </w:pPr>
            <w:r>
              <w:rPr>
                <w:sz w:val="21"/>
              </w:rPr>
              <w:t>(2)投保人单位证明。</w:t>
            </w:r>
          </w:p>
          <w:p>
            <w:pPr>
              <w:pStyle w:val="TableParagraph"/>
              <w:spacing w:line="273" w:lineRule="auto" w:before="128"/>
              <w:ind w:left="173" w:right="105"/>
              <w:rPr>
                <w:sz w:val="21"/>
              </w:rPr>
            </w:pPr>
            <w:r>
              <w:rPr>
                <w:sz w:val="21"/>
              </w:rPr>
              <w:t>自本公司收到解除合同的书面申请时起，本合同终止。本公司自收到解除合同的书面申请之日起 30 日内向投保人退还本合同保险单的现金价值。</w:t>
            </w:r>
          </w:p>
          <w:p>
            <w:pPr>
              <w:pStyle w:val="TableParagraph"/>
              <w:spacing w:before="101"/>
              <w:rPr>
                <w:sz w:val="21"/>
              </w:rPr>
            </w:pPr>
            <w:r>
              <w:rPr>
                <w:sz w:val="21"/>
              </w:rPr>
              <w:t>投保人解除合同会遭受一定损失。</w:t>
            </w:r>
          </w:p>
        </w:tc>
      </w:tr>
      <w:tr>
        <w:trPr>
          <w:trHeight w:val="312" w:hRule="atLeast"/>
        </w:trPr>
        <w:tc>
          <w:tcPr>
            <w:tcW w:w="739" w:type="dxa"/>
            <w:shd w:val="clear" w:color="auto" w:fill="A7A8A7"/>
          </w:tcPr>
          <w:p>
            <w:pPr>
              <w:pStyle w:val="TableParagraph"/>
              <w:spacing w:line="254" w:lineRule="exact"/>
              <w:ind w:left="108"/>
              <w:rPr>
                <w:b/>
                <w:sz w:val="21"/>
              </w:rPr>
            </w:pPr>
            <w:r>
              <w:rPr>
                <w:b/>
                <w:sz w:val="21"/>
              </w:rPr>
              <w:t>7．</w:t>
            </w:r>
          </w:p>
        </w:tc>
        <w:tc>
          <w:tcPr>
            <w:tcW w:w="8803" w:type="dxa"/>
            <w:gridSpan w:val="2"/>
            <w:shd w:val="clear" w:color="auto" w:fill="A7A8A7"/>
          </w:tcPr>
          <w:p>
            <w:pPr>
              <w:pStyle w:val="TableParagraph"/>
              <w:spacing w:line="254" w:lineRule="exact"/>
              <w:ind w:left="314"/>
              <w:rPr>
                <w:b/>
                <w:sz w:val="21"/>
              </w:rPr>
            </w:pPr>
            <w:r>
              <w:rPr>
                <w:b/>
                <w:sz w:val="21"/>
              </w:rPr>
              <w:t>说明、告知与解除权限制</w:t>
            </w:r>
          </w:p>
        </w:tc>
      </w:tr>
      <w:tr>
        <w:trPr>
          <w:trHeight w:val="2136" w:hRule="atLeast"/>
        </w:trPr>
        <w:tc>
          <w:tcPr>
            <w:tcW w:w="739" w:type="dxa"/>
          </w:tcPr>
          <w:p>
            <w:pPr>
              <w:pStyle w:val="TableParagraph"/>
              <w:spacing w:before="120"/>
              <w:ind w:left="108"/>
              <w:rPr>
                <w:b/>
                <w:sz w:val="21"/>
              </w:rPr>
            </w:pPr>
            <w:r>
              <w:rPr>
                <w:b/>
                <w:sz w:val="21"/>
              </w:rPr>
              <w:t>7.1</w:t>
            </w:r>
          </w:p>
        </w:tc>
        <w:tc>
          <w:tcPr>
            <w:tcW w:w="1543" w:type="dxa"/>
          </w:tcPr>
          <w:p>
            <w:pPr>
              <w:pStyle w:val="TableParagraph"/>
              <w:spacing w:line="273" w:lineRule="auto" w:before="120"/>
              <w:ind w:left="314" w:right="170"/>
              <w:rPr>
                <w:b/>
                <w:sz w:val="21"/>
              </w:rPr>
            </w:pPr>
            <w:r>
              <w:rPr>
                <w:b/>
                <w:sz w:val="21"/>
              </w:rPr>
              <w:t>明确说明与如实告知</w:t>
            </w:r>
          </w:p>
        </w:tc>
        <w:tc>
          <w:tcPr>
            <w:tcW w:w="7260" w:type="dxa"/>
          </w:tcPr>
          <w:p>
            <w:pPr>
              <w:pStyle w:val="TableParagraph"/>
              <w:spacing w:before="120"/>
              <w:ind w:left="173"/>
              <w:rPr>
                <w:sz w:val="21"/>
              </w:rPr>
            </w:pPr>
            <w:r>
              <w:rPr>
                <w:sz w:val="21"/>
              </w:rPr>
              <w:t>订立本合同时，本公司应向投保人说明本合同的内容。</w:t>
            </w:r>
          </w:p>
          <w:p>
            <w:pPr>
              <w:pStyle w:val="TableParagraph"/>
              <w:spacing w:line="273" w:lineRule="auto" w:before="130"/>
              <w:ind w:left="173" w:right="-15"/>
              <w:rPr>
                <w:sz w:val="21"/>
              </w:rPr>
            </w:pPr>
            <w:r>
              <w:rPr>
                <w:sz w:val="21"/>
              </w:rPr>
              <w:t>对保险条款中免除本公司责任的条款，本公司在订立合同时应当在投保单、保险单或者其他保险凭证上作出足以引起投保人注意的提示，并对该条款的</w:t>
            </w:r>
            <w:r>
              <w:rPr>
                <w:spacing w:val="-6"/>
                <w:sz w:val="21"/>
              </w:rPr>
              <w:t>内容以书面或者口头形式向投保人作出明确说明，未作提示或者明确说明的， </w:t>
            </w:r>
            <w:r>
              <w:rPr>
                <w:spacing w:val="-4"/>
                <w:sz w:val="21"/>
              </w:rPr>
              <w:t>该条款不产生效力。</w:t>
            </w:r>
          </w:p>
          <w:p>
            <w:pPr>
              <w:pStyle w:val="TableParagraph"/>
              <w:spacing w:line="264" w:lineRule="exact" w:before="86"/>
              <w:ind w:left="173"/>
              <w:rPr>
                <w:sz w:val="21"/>
              </w:rPr>
            </w:pPr>
            <w:r>
              <w:rPr>
                <w:sz w:val="21"/>
              </w:rPr>
              <w:t>本公司就投保人和被保险人的有关情况提出询问，投保人应当如实告知。</w:t>
            </w:r>
          </w:p>
        </w:tc>
      </w:tr>
    </w:tbl>
    <w:p>
      <w:pPr>
        <w:spacing w:after="0" w:line="264" w:lineRule="exac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543"/>
        <w:gridCol w:w="7260"/>
      </w:tblGrid>
      <w:tr>
        <w:trPr>
          <w:trHeight w:val="3373" w:hRule="atLeast"/>
        </w:trPr>
        <w:tc>
          <w:tcPr>
            <w:tcW w:w="739" w:type="dxa"/>
          </w:tcPr>
          <w:p>
            <w:pPr>
              <w:pStyle w:val="TableParagraph"/>
              <w:ind w:left="0"/>
              <w:rPr>
                <w:rFonts w:ascii="Times New Roman"/>
                <w:sz w:val="20"/>
              </w:rPr>
            </w:pPr>
          </w:p>
        </w:tc>
        <w:tc>
          <w:tcPr>
            <w:tcW w:w="1543" w:type="dxa"/>
          </w:tcPr>
          <w:p>
            <w:pPr>
              <w:pStyle w:val="TableParagraph"/>
              <w:ind w:left="0"/>
              <w:rPr>
                <w:rFonts w:ascii="Times New Roman"/>
                <w:sz w:val="20"/>
              </w:rPr>
            </w:pPr>
          </w:p>
        </w:tc>
        <w:tc>
          <w:tcPr>
            <w:tcW w:w="7260" w:type="dxa"/>
          </w:tcPr>
          <w:p>
            <w:pPr>
              <w:pStyle w:val="TableParagraph"/>
              <w:spacing w:line="202" w:lineRule="exact"/>
              <w:ind w:left="173"/>
              <w:rPr>
                <w:rFonts w:ascii="黑体" w:eastAsia="黑体" w:hint="eastAsia"/>
                <w:sz w:val="21"/>
              </w:rPr>
            </w:pPr>
            <w:r>
              <w:rPr>
                <w:rFonts w:ascii="黑体" w:eastAsia="黑体" w:hint="eastAsia"/>
                <w:sz w:val="21"/>
              </w:rPr>
              <w:t>如果投保人故意或者因重大过失未履行前款规定的如实告知义务，足以影响</w:t>
            </w:r>
          </w:p>
          <w:p>
            <w:pPr>
              <w:pStyle w:val="TableParagraph"/>
              <w:spacing w:line="273" w:lineRule="auto" w:before="37"/>
              <w:ind w:left="173" w:right="148"/>
              <w:jc w:val="both"/>
              <w:rPr>
                <w:rFonts w:ascii="黑体" w:eastAsia="黑体" w:hint="eastAsia"/>
                <w:sz w:val="21"/>
              </w:rPr>
            </w:pPr>
            <w:r>
              <w:rPr>
                <w:rFonts w:ascii="黑体" w:eastAsia="黑体" w:hint="eastAsia"/>
                <w:sz w:val="21"/>
              </w:rPr>
              <w:t>本公司决定是否同意承保或者提高保险费率的，本公司有权解除本合同或终止该被保险人的保险责任。</w:t>
            </w:r>
          </w:p>
          <w:p>
            <w:pPr>
              <w:pStyle w:val="TableParagraph"/>
              <w:spacing w:line="273" w:lineRule="auto" w:before="84"/>
              <w:ind w:left="173" w:right="105"/>
              <w:jc w:val="both"/>
              <w:rPr>
                <w:rFonts w:ascii="黑体" w:eastAsia="黑体" w:hint="eastAsia"/>
                <w:sz w:val="21"/>
              </w:rPr>
            </w:pPr>
            <w:r>
              <w:rPr>
                <w:rFonts w:ascii="黑体" w:eastAsia="黑体" w:hint="eastAsia"/>
                <w:sz w:val="21"/>
              </w:rPr>
              <w:t>如果投保人故意不履行如实告知义务，对于本合同解除或终止该被保险人的保险责任前发Th的保险事故，本公司不承担保险责任，并不退还保险费。</w:t>
            </w:r>
          </w:p>
          <w:p>
            <w:pPr>
              <w:pStyle w:val="TableParagraph"/>
              <w:spacing w:line="273" w:lineRule="auto" w:before="86"/>
              <w:ind w:right="106"/>
              <w:jc w:val="both"/>
              <w:rPr>
                <w:rFonts w:ascii="黑体" w:eastAsia="黑体" w:hint="eastAsia"/>
                <w:sz w:val="21"/>
              </w:rPr>
            </w:pPr>
            <w:r>
              <w:rPr>
                <w:rFonts w:ascii="黑体" w:eastAsia="黑体" w:hint="eastAsia"/>
                <w:sz w:val="21"/>
              </w:rPr>
              <w:t>如果投保人因重大过失未履行如实告知义务，对保险事故的发Th有严重影响的，对于本合同解除或终止该被保险人的保险责任前发Th的保险事故，本公司不承担保险责任，但应当退还该被保险人对应的保险费。</w:t>
            </w:r>
          </w:p>
          <w:p>
            <w:pPr>
              <w:pStyle w:val="TableParagraph"/>
              <w:spacing w:line="273" w:lineRule="auto" w:before="84"/>
              <w:ind w:right="106"/>
              <w:jc w:val="both"/>
              <w:rPr>
                <w:sz w:val="21"/>
              </w:rPr>
            </w:pPr>
            <w:r>
              <w:rPr>
                <w:sz w:val="21"/>
              </w:rPr>
              <w:t>本公司在合同订立时已经知道投保人未如实告知的情况的，本公司不得解除合同；发生保险事故的，本公司承担保险责任。</w:t>
            </w:r>
          </w:p>
        </w:tc>
      </w:tr>
      <w:tr>
        <w:trPr>
          <w:trHeight w:val="1150" w:hRule="atLeast"/>
        </w:trPr>
        <w:tc>
          <w:tcPr>
            <w:tcW w:w="739" w:type="dxa"/>
          </w:tcPr>
          <w:p>
            <w:pPr>
              <w:pStyle w:val="TableParagraph"/>
              <w:spacing w:before="49"/>
              <w:ind w:left="108"/>
              <w:rPr>
                <w:b/>
                <w:sz w:val="21"/>
              </w:rPr>
            </w:pPr>
            <w:r>
              <w:rPr>
                <w:b/>
                <w:sz w:val="21"/>
              </w:rPr>
              <w:t>7.2</w:t>
            </w:r>
          </w:p>
        </w:tc>
        <w:tc>
          <w:tcPr>
            <w:tcW w:w="1543" w:type="dxa"/>
          </w:tcPr>
          <w:p>
            <w:pPr>
              <w:pStyle w:val="TableParagraph"/>
              <w:spacing w:line="273" w:lineRule="auto" w:before="49"/>
              <w:ind w:left="314" w:right="170"/>
              <w:jc w:val="both"/>
              <w:rPr>
                <w:b/>
                <w:sz w:val="21"/>
              </w:rPr>
            </w:pPr>
            <w:r>
              <w:rPr>
                <w:b/>
                <w:sz w:val="21"/>
              </w:rPr>
              <w:t>本公司合同解除权的限制</w:t>
            </w:r>
          </w:p>
        </w:tc>
        <w:tc>
          <w:tcPr>
            <w:tcW w:w="7260" w:type="dxa"/>
          </w:tcPr>
          <w:p>
            <w:pPr>
              <w:pStyle w:val="TableParagraph"/>
              <w:spacing w:line="273" w:lineRule="auto" w:before="49"/>
              <w:ind w:left="173" w:right="1"/>
              <w:rPr>
                <w:sz w:val="21"/>
              </w:rPr>
            </w:pPr>
            <w:r>
              <w:rPr>
                <w:sz w:val="21"/>
              </w:rPr>
              <w:t>本保险条款“7.1 明确说明与如实告知”规定的本合同解除或终止被保险人</w:t>
            </w:r>
            <w:r>
              <w:rPr>
                <w:spacing w:val="-16"/>
                <w:sz w:val="21"/>
              </w:rPr>
              <w:t>保险责任的权利，自本公司知道有解除事由之日起，超过 </w:t>
            </w:r>
            <w:r>
              <w:rPr>
                <w:sz w:val="21"/>
              </w:rPr>
              <w:t>30</w:t>
            </w:r>
            <w:r>
              <w:rPr>
                <w:spacing w:val="-7"/>
                <w:sz w:val="21"/>
              </w:rPr>
              <w:t> 日不行使而消灭。</w:t>
            </w:r>
          </w:p>
        </w:tc>
      </w:tr>
      <w:tr>
        <w:trPr>
          <w:trHeight w:val="311" w:hRule="atLeast"/>
        </w:trPr>
        <w:tc>
          <w:tcPr>
            <w:tcW w:w="739" w:type="dxa"/>
            <w:shd w:val="clear" w:color="auto" w:fill="A7A8A7"/>
          </w:tcPr>
          <w:p>
            <w:pPr>
              <w:pStyle w:val="TableParagraph"/>
              <w:spacing w:line="254" w:lineRule="exact"/>
              <w:ind w:left="108"/>
              <w:rPr>
                <w:b/>
                <w:sz w:val="21"/>
              </w:rPr>
            </w:pPr>
            <w:r>
              <w:rPr>
                <w:b/>
                <w:sz w:val="21"/>
              </w:rPr>
              <w:t>8．</w:t>
            </w:r>
          </w:p>
        </w:tc>
        <w:tc>
          <w:tcPr>
            <w:tcW w:w="8803" w:type="dxa"/>
            <w:gridSpan w:val="2"/>
            <w:shd w:val="clear" w:color="auto" w:fill="A7A8A7"/>
          </w:tcPr>
          <w:p>
            <w:pPr>
              <w:pStyle w:val="TableParagraph"/>
              <w:spacing w:line="254" w:lineRule="exact"/>
              <w:ind w:left="314"/>
              <w:rPr>
                <w:b/>
                <w:sz w:val="21"/>
              </w:rPr>
            </w:pPr>
            <w:r>
              <w:rPr>
                <w:b/>
                <w:sz w:val="21"/>
              </w:rPr>
              <w:t>其他需要关注的事项</w:t>
            </w:r>
          </w:p>
        </w:tc>
      </w:tr>
      <w:tr>
        <w:trPr>
          <w:trHeight w:val="4268" w:hRule="atLeast"/>
        </w:trPr>
        <w:tc>
          <w:tcPr>
            <w:tcW w:w="739" w:type="dxa"/>
          </w:tcPr>
          <w:p>
            <w:pPr>
              <w:pStyle w:val="TableParagraph"/>
              <w:spacing w:before="120"/>
              <w:ind w:left="108"/>
              <w:rPr>
                <w:b/>
                <w:sz w:val="21"/>
              </w:rPr>
            </w:pPr>
            <w:r>
              <w:rPr>
                <w:b/>
                <w:sz w:val="21"/>
              </w:rPr>
              <w:t>8.1</w:t>
            </w:r>
          </w:p>
        </w:tc>
        <w:tc>
          <w:tcPr>
            <w:tcW w:w="1543" w:type="dxa"/>
          </w:tcPr>
          <w:p>
            <w:pPr>
              <w:pStyle w:val="TableParagraph"/>
              <w:spacing w:line="273" w:lineRule="auto" w:before="120"/>
              <w:ind w:left="314" w:right="170"/>
              <w:rPr>
                <w:b/>
                <w:sz w:val="21"/>
              </w:rPr>
            </w:pPr>
            <w:r>
              <w:rPr>
                <w:b/>
                <w:sz w:val="21"/>
              </w:rPr>
              <w:t>年龄性别错误</w:t>
            </w:r>
          </w:p>
        </w:tc>
        <w:tc>
          <w:tcPr>
            <w:tcW w:w="7260" w:type="dxa"/>
          </w:tcPr>
          <w:p>
            <w:pPr>
              <w:pStyle w:val="TableParagraph"/>
              <w:spacing w:line="273" w:lineRule="auto" w:before="120"/>
              <w:ind w:left="173" w:right="103" w:firstLine="2"/>
              <w:jc w:val="both"/>
              <w:rPr>
                <w:sz w:val="21"/>
              </w:rPr>
            </w:pPr>
            <w:r>
              <w:rPr>
                <w:sz w:val="21"/>
              </w:rPr>
              <w:t>投保人在申请投保时，应将与有效身份证件相符的被保险人的出生日期和性别在投保单上填明，如果发生错误按照下列方式办理：</w:t>
            </w:r>
          </w:p>
          <w:p>
            <w:pPr>
              <w:pStyle w:val="TableParagraph"/>
              <w:spacing w:line="273" w:lineRule="auto" w:before="7"/>
              <w:ind w:left="173" w:right="102"/>
              <w:jc w:val="both"/>
              <w:rPr>
                <w:sz w:val="21"/>
              </w:rPr>
            </w:pPr>
            <w:r>
              <w:rPr>
                <w:sz w:val="21"/>
              </w:rPr>
              <w:t>(1)</w:t>
            </w:r>
            <w:r>
              <w:rPr>
                <w:rFonts w:ascii="黑体" w:hAnsi="黑体" w:eastAsia="黑体" w:hint="eastAsia"/>
                <w:spacing w:val="-6"/>
                <w:sz w:val="21"/>
              </w:rPr>
              <w:t>投保人申报的被保险人年龄或性别不真实，并且其真实年龄或性别不符合本合同约定投保年龄或性别限制的，本公司有权解除合同或终止该被保险人的保险责任，并退还该被保险人对应的现金价值。</w:t>
            </w:r>
            <w:r>
              <w:rPr>
                <w:spacing w:val="-6"/>
                <w:sz w:val="21"/>
              </w:rPr>
              <w:t>本公司行使合同解除权适</w:t>
            </w:r>
            <w:r>
              <w:rPr>
                <w:spacing w:val="-4"/>
                <w:sz w:val="21"/>
              </w:rPr>
              <w:t>用本保险条款“</w:t>
            </w:r>
            <w:r>
              <w:rPr>
                <w:sz w:val="21"/>
              </w:rPr>
              <w:t>7.2</w:t>
            </w:r>
            <w:r>
              <w:rPr>
                <w:spacing w:val="-7"/>
                <w:sz w:val="21"/>
              </w:rPr>
              <w:t> 本公司合同解除权的限制”的规定。</w:t>
            </w:r>
          </w:p>
          <w:p>
            <w:pPr>
              <w:pStyle w:val="TableParagraph"/>
              <w:spacing w:line="273" w:lineRule="auto" w:before="7"/>
              <w:ind w:left="173" w:right="102"/>
              <w:jc w:val="both"/>
              <w:rPr>
                <w:sz w:val="21"/>
              </w:rPr>
            </w:pPr>
            <w:r>
              <w:rPr>
                <w:sz w:val="21"/>
              </w:rPr>
              <w:t>(2)</w:t>
            </w:r>
            <w:r>
              <w:rPr>
                <w:spacing w:val="-6"/>
                <w:sz w:val="21"/>
              </w:rPr>
              <w:t>投保人申报的被保险人年龄或性别不真实，致使投保人实付保险费少于应付保险费的，本公司有权更正并要求投保人补交保险费。若已经发生保险事</w:t>
            </w:r>
            <w:r>
              <w:rPr>
                <w:spacing w:val="-4"/>
                <w:sz w:val="21"/>
              </w:rPr>
              <w:t>故，在给付保险金时按实付保险费和应付保险费的比例给付。</w:t>
            </w:r>
          </w:p>
          <w:p>
            <w:pPr>
              <w:pStyle w:val="TableParagraph"/>
              <w:spacing w:line="273" w:lineRule="auto" w:before="7"/>
              <w:ind w:left="173" w:right="102"/>
              <w:jc w:val="both"/>
              <w:rPr>
                <w:sz w:val="21"/>
              </w:rPr>
            </w:pPr>
            <w:r>
              <w:rPr>
                <w:sz w:val="21"/>
              </w:rPr>
              <w:t>(3)</w:t>
            </w:r>
            <w:r>
              <w:rPr>
                <w:spacing w:val="-6"/>
                <w:sz w:val="21"/>
              </w:rPr>
              <w:t>投保人申报的被保险人年龄或性别不真实，致使投保人实付保险费多于应</w:t>
            </w:r>
            <w:r>
              <w:rPr>
                <w:spacing w:val="-4"/>
                <w:sz w:val="21"/>
              </w:rPr>
              <w:t>付保险费的，本公司会将多收的保险费退还给投保人。</w:t>
            </w:r>
          </w:p>
          <w:p>
            <w:pPr>
              <w:pStyle w:val="TableParagraph"/>
              <w:spacing w:line="273" w:lineRule="auto" w:before="7"/>
              <w:ind w:left="173" w:right="102"/>
              <w:jc w:val="both"/>
              <w:rPr>
                <w:sz w:val="21"/>
              </w:rPr>
            </w:pPr>
            <w:r>
              <w:rPr>
                <w:sz w:val="21"/>
              </w:rPr>
              <w:t>(4)</w:t>
            </w:r>
            <w:r>
              <w:rPr>
                <w:spacing w:val="-6"/>
                <w:sz w:val="21"/>
              </w:rPr>
              <w:t>投保人申报的被保险人年龄或性别不真实，致使本合同保险单的现金价值</w:t>
            </w:r>
            <w:r>
              <w:rPr>
                <w:spacing w:val="-4"/>
                <w:sz w:val="21"/>
              </w:rPr>
              <w:t>与实际不符的，本公司有权根据被保险人的实际年龄和性别调整。</w:t>
            </w:r>
          </w:p>
        </w:tc>
      </w:tr>
      <w:tr>
        <w:trPr>
          <w:trHeight w:val="2169" w:hRule="atLeast"/>
        </w:trPr>
        <w:tc>
          <w:tcPr>
            <w:tcW w:w="739" w:type="dxa"/>
          </w:tcPr>
          <w:p>
            <w:pPr>
              <w:pStyle w:val="TableParagraph"/>
              <w:spacing w:before="49"/>
              <w:ind w:left="108"/>
              <w:rPr>
                <w:b/>
                <w:sz w:val="21"/>
              </w:rPr>
            </w:pPr>
            <w:r>
              <w:rPr>
                <w:b/>
                <w:sz w:val="21"/>
              </w:rPr>
              <w:t>8.2</w:t>
            </w:r>
          </w:p>
        </w:tc>
        <w:tc>
          <w:tcPr>
            <w:tcW w:w="1543" w:type="dxa"/>
          </w:tcPr>
          <w:p>
            <w:pPr>
              <w:pStyle w:val="TableParagraph"/>
              <w:spacing w:line="273" w:lineRule="auto" w:before="49"/>
              <w:ind w:left="314" w:right="170"/>
              <w:rPr>
                <w:b/>
                <w:sz w:val="21"/>
              </w:rPr>
            </w:pPr>
            <w:r>
              <w:rPr>
                <w:b/>
                <w:sz w:val="21"/>
              </w:rPr>
              <w:t>被保险人的变动</w:t>
            </w:r>
          </w:p>
        </w:tc>
        <w:tc>
          <w:tcPr>
            <w:tcW w:w="7260" w:type="dxa"/>
          </w:tcPr>
          <w:p>
            <w:pPr>
              <w:pStyle w:val="TableParagraph"/>
              <w:spacing w:before="49"/>
              <w:ind w:left="173"/>
              <w:rPr>
                <w:sz w:val="21"/>
              </w:rPr>
            </w:pPr>
            <w:r>
              <w:rPr>
                <w:sz w:val="21"/>
              </w:rPr>
              <w:t>若投保人需要增加或减少被保险人，应书面通知本公司。</w:t>
            </w:r>
          </w:p>
          <w:p>
            <w:pPr>
              <w:pStyle w:val="TableParagraph"/>
              <w:spacing w:line="273" w:lineRule="auto" w:before="114"/>
              <w:ind w:left="173" w:right="147"/>
              <w:jc w:val="both"/>
              <w:rPr>
                <w:sz w:val="21"/>
              </w:rPr>
            </w:pPr>
            <w:r>
              <w:rPr>
                <w:sz w:val="21"/>
              </w:rPr>
              <w:t>对于要求增加被保险人的，本公司审核同意并收到相应的保险费的次日零时起，开始对新增的被保险人承担保险责任。</w:t>
            </w:r>
          </w:p>
          <w:p>
            <w:pPr>
              <w:pStyle w:val="TableParagraph"/>
              <w:spacing w:line="273" w:lineRule="auto" w:before="87"/>
              <w:ind w:left="173" w:right="147"/>
              <w:jc w:val="both"/>
              <w:rPr>
                <w:sz w:val="21"/>
              </w:rPr>
            </w:pPr>
            <w:r>
              <w:rPr>
                <w:sz w:val="21"/>
              </w:rPr>
              <w:t>对于要求减少被保险人的，除另有约定外，本公司对退出本保险的被保险人所负的保险责任自通知到达时终止，本公司按约定退还该被保险人对应的现金价值。</w:t>
            </w:r>
          </w:p>
        </w:tc>
      </w:tr>
      <w:tr>
        <w:trPr>
          <w:trHeight w:val="1077" w:hRule="atLeast"/>
        </w:trPr>
        <w:tc>
          <w:tcPr>
            <w:tcW w:w="739" w:type="dxa"/>
          </w:tcPr>
          <w:p>
            <w:pPr>
              <w:pStyle w:val="TableParagraph"/>
              <w:spacing w:before="49"/>
              <w:ind w:left="108"/>
              <w:rPr>
                <w:b/>
                <w:sz w:val="21"/>
              </w:rPr>
            </w:pPr>
            <w:r>
              <w:rPr>
                <w:b/>
                <w:sz w:val="21"/>
              </w:rPr>
              <w:t>8.3</w:t>
            </w:r>
          </w:p>
        </w:tc>
        <w:tc>
          <w:tcPr>
            <w:tcW w:w="1543" w:type="dxa"/>
          </w:tcPr>
          <w:p>
            <w:pPr>
              <w:pStyle w:val="TableParagraph"/>
              <w:spacing w:line="273" w:lineRule="auto" w:before="49"/>
              <w:ind w:left="314" w:right="170"/>
              <w:rPr>
                <w:b/>
                <w:sz w:val="21"/>
              </w:rPr>
            </w:pPr>
            <w:r>
              <w:rPr>
                <w:b/>
                <w:sz w:val="21"/>
              </w:rPr>
              <w:t>合同内容变更</w:t>
            </w:r>
          </w:p>
        </w:tc>
        <w:tc>
          <w:tcPr>
            <w:tcW w:w="7260" w:type="dxa"/>
          </w:tcPr>
          <w:p>
            <w:pPr>
              <w:pStyle w:val="TableParagraph"/>
              <w:spacing w:line="273" w:lineRule="auto" w:before="49"/>
              <w:ind w:left="173" w:right="105"/>
              <w:jc w:val="both"/>
              <w:rPr>
                <w:sz w:val="21"/>
              </w:rPr>
            </w:pPr>
            <w:r>
              <w:rPr>
                <w:sz w:val="21"/>
              </w:rPr>
              <w:t>在本合同有效期内，经投保人与本公司协商一致，可以变更本合同的有关内容。变更本合同的，应当由本公司在保险单上批注或者附贴批单，或者由投保人与本公司订立书面的变更协议。</w:t>
            </w:r>
          </w:p>
        </w:tc>
      </w:tr>
      <w:tr>
        <w:trPr>
          <w:trHeight w:val="1268" w:hRule="atLeast"/>
        </w:trPr>
        <w:tc>
          <w:tcPr>
            <w:tcW w:w="739" w:type="dxa"/>
          </w:tcPr>
          <w:p>
            <w:pPr>
              <w:pStyle w:val="TableParagraph"/>
              <w:spacing w:before="48"/>
              <w:ind w:left="108"/>
              <w:rPr>
                <w:b/>
                <w:sz w:val="21"/>
              </w:rPr>
            </w:pPr>
            <w:r>
              <w:rPr>
                <w:b/>
                <w:sz w:val="21"/>
              </w:rPr>
              <w:t>8.4</w:t>
            </w:r>
          </w:p>
        </w:tc>
        <w:tc>
          <w:tcPr>
            <w:tcW w:w="1543" w:type="dxa"/>
          </w:tcPr>
          <w:p>
            <w:pPr>
              <w:pStyle w:val="TableParagraph"/>
              <w:spacing w:line="273" w:lineRule="auto" w:before="48"/>
              <w:ind w:left="314" w:right="170"/>
              <w:rPr>
                <w:b/>
                <w:sz w:val="21"/>
              </w:rPr>
            </w:pPr>
            <w:r>
              <w:rPr>
                <w:b/>
                <w:sz w:val="21"/>
              </w:rPr>
              <w:t>联系方式变更</w:t>
            </w:r>
          </w:p>
        </w:tc>
        <w:tc>
          <w:tcPr>
            <w:tcW w:w="7260" w:type="dxa"/>
          </w:tcPr>
          <w:p>
            <w:pPr>
              <w:pStyle w:val="TableParagraph"/>
              <w:spacing w:line="310" w:lineRule="atLeast" w:before="13"/>
              <w:ind w:left="173" w:right="105"/>
              <w:jc w:val="both"/>
              <w:rPr>
                <w:sz w:val="21"/>
              </w:rPr>
            </w:pPr>
            <w:r>
              <w:rPr>
                <w:sz w:val="21"/>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通讯地址或电话等联系方式发送的有关通知，均视为已送达给投保人。</w:t>
            </w:r>
          </w:p>
        </w:tc>
      </w:tr>
    </w:tbl>
    <w:p>
      <w:pPr>
        <w:spacing w:after="0" w:line="310" w:lineRule="atLeast"/>
        <w:jc w:val="both"/>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04"/>
        <w:gridCol w:w="7194"/>
      </w:tblGrid>
      <w:tr>
        <w:trPr>
          <w:trHeight w:val="714" w:hRule="atLeast"/>
        </w:trPr>
        <w:tc>
          <w:tcPr>
            <w:tcW w:w="845" w:type="dxa"/>
          </w:tcPr>
          <w:p>
            <w:pPr>
              <w:pStyle w:val="TableParagraph"/>
              <w:spacing w:line="202" w:lineRule="exact"/>
              <w:ind w:left="108"/>
              <w:rPr>
                <w:b/>
                <w:sz w:val="21"/>
              </w:rPr>
            </w:pPr>
            <w:r>
              <w:rPr>
                <w:b/>
                <w:sz w:val="21"/>
              </w:rPr>
              <w:t>8.5</w:t>
            </w:r>
          </w:p>
        </w:tc>
        <w:tc>
          <w:tcPr>
            <w:tcW w:w="1504" w:type="dxa"/>
          </w:tcPr>
          <w:p>
            <w:pPr>
              <w:pStyle w:val="TableParagraph"/>
              <w:spacing w:line="202" w:lineRule="exact"/>
              <w:ind w:left="208"/>
              <w:rPr>
                <w:b/>
                <w:sz w:val="21"/>
              </w:rPr>
            </w:pPr>
            <w:r>
              <w:rPr>
                <w:b/>
                <w:sz w:val="21"/>
              </w:rPr>
              <w:t>争议处理</w:t>
            </w:r>
          </w:p>
        </w:tc>
        <w:tc>
          <w:tcPr>
            <w:tcW w:w="7194" w:type="dxa"/>
          </w:tcPr>
          <w:p>
            <w:pPr>
              <w:pStyle w:val="TableParagraph"/>
              <w:spacing w:line="202" w:lineRule="exact"/>
              <w:ind w:left="106"/>
              <w:rPr>
                <w:sz w:val="21"/>
              </w:rPr>
            </w:pPr>
            <w:r>
              <w:rPr>
                <w:sz w:val="21"/>
              </w:rPr>
              <w:t>本合同履行过程中，双方发生争议的，由双方协商解决，协商不成的，按本</w:t>
            </w:r>
          </w:p>
          <w:p>
            <w:pPr>
              <w:pStyle w:val="TableParagraph"/>
              <w:spacing w:before="37"/>
              <w:ind w:left="106"/>
              <w:rPr>
                <w:sz w:val="21"/>
              </w:rPr>
            </w:pPr>
            <w:r>
              <w:rPr>
                <w:sz w:val="21"/>
              </w:rPr>
              <w:t>合同约定向人民法院起诉或提交仲裁委员会仲裁。</w:t>
            </w:r>
          </w:p>
        </w:tc>
      </w:tr>
      <w:tr>
        <w:trPr>
          <w:trHeight w:val="311" w:hRule="atLeast"/>
        </w:trPr>
        <w:tc>
          <w:tcPr>
            <w:tcW w:w="845" w:type="dxa"/>
            <w:shd w:val="clear" w:color="auto" w:fill="A7A8A7"/>
          </w:tcPr>
          <w:p>
            <w:pPr>
              <w:pStyle w:val="TableParagraph"/>
              <w:spacing w:line="254" w:lineRule="exact"/>
              <w:ind w:left="108"/>
              <w:rPr>
                <w:b/>
                <w:sz w:val="21"/>
              </w:rPr>
            </w:pPr>
            <w:r>
              <w:rPr>
                <w:b/>
                <w:sz w:val="21"/>
              </w:rPr>
              <w:t>9．</w:t>
            </w:r>
          </w:p>
        </w:tc>
        <w:tc>
          <w:tcPr>
            <w:tcW w:w="8698" w:type="dxa"/>
            <w:gridSpan w:val="2"/>
            <w:shd w:val="clear" w:color="auto" w:fill="A7A8A7"/>
          </w:tcPr>
          <w:p>
            <w:pPr>
              <w:pStyle w:val="TableParagraph"/>
              <w:spacing w:line="254" w:lineRule="exact"/>
              <w:ind w:left="223"/>
              <w:rPr>
                <w:b/>
                <w:sz w:val="21"/>
              </w:rPr>
            </w:pPr>
            <w:r>
              <w:rPr>
                <w:b/>
                <w:sz w:val="21"/>
              </w:rPr>
              <w:t>重大疾病的定义</w:t>
            </w:r>
          </w:p>
        </w:tc>
      </w:tr>
      <w:tr>
        <w:trPr>
          <w:trHeight w:val="1149" w:hRule="atLeast"/>
        </w:trPr>
        <w:tc>
          <w:tcPr>
            <w:tcW w:w="845" w:type="dxa"/>
          </w:tcPr>
          <w:p>
            <w:pPr>
              <w:pStyle w:val="TableParagraph"/>
              <w:spacing w:before="120"/>
              <w:ind w:left="108"/>
              <w:rPr>
                <w:b/>
                <w:sz w:val="21"/>
              </w:rPr>
            </w:pPr>
            <w:r>
              <w:rPr>
                <w:b/>
                <w:sz w:val="21"/>
              </w:rPr>
              <w:t>9.1</w:t>
            </w:r>
          </w:p>
        </w:tc>
        <w:tc>
          <w:tcPr>
            <w:tcW w:w="1504" w:type="dxa"/>
          </w:tcPr>
          <w:p>
            <w:pPr>
              <w:pStyle w:val="TableParagraph"/>
              <w:spacing w:line="273" w:lineRule="auto" w:before="120"/>
              <w:ind w:left="208" w:right="237"/>
              <w:rPr>
                <w:b/>
                <w:sz w:val="21"/>
              </w:rPr>
            </w:pPr>
            <w:r>
              <w:rPr>
                <w:b/>
                <w:sz w:val="21"/>
              </w:rPr>
              <w:t>重大疾病的定义</w:t>
            </w:r>
          </w:p>
        </w:tc>
        <w:tc>
          <w:tcPr>
            <w:tcW w:w="7194" w:type="dxa"/>
          </w:tcPr>
          <w:p>
            <w:pPr>
              <w:pStyle w:val="TableParagraph"/>
              <w:spacing w:line="273" w:lineRule="auto" w:before="120"/>
              <w:ind w:left="106" w:right="106" w:firstLine="2"/>
              <w:jc w:val="both"/>
              <w:rPr>
                <w:sz w:val="21"/>
              </w:rPr>
            </w:pPr>
            <w:r>
              <w:rPr>
                <w:spacing w:val="-10"/>
                <w:sz w:val="21"/>
              </w:rPr>
              <w:t>本合同所保障的重大疾病，是指被保险人在本合同有效期间内经</w:t>
            </w:r>
            <w:r>
              <w:rPr>
                <w:b/>
                <w:spacing w:val="-21"/>
                <w:sz w:val="21"/>
              </w:rPr>
              <w:t>专科医生</w:t>
            </w:r>
            <w:r>
              <w:rPr>
                <w:spacing w:val="-3"/>
                <w:sz w:val="21"/>
              </w:rPr>
              <w:t>（详</w:t>
            </w:r>
            <w:r>
              <w:rPr>
                <w:sz w:val="21"/>
              </w:rPr>
              <w:t>见释义）明确诊断初次患下列疾病或初次达到下列疾病状态或在医院初次接</w:t>
            </w:r>
            <w:r>
              <w:rPr>
                <w:spacing w:val="-2"/>
                <w:sz w:val="21"/>
              </w:rPr>
              <w:t>受下列手术：</w:t>
            </w:r>
          </w:p>
        </w:tc>
      </w:tr>
      <w:tr>
        <w:trPr>
          <w:trHeight w:val="3652" w:hRule="atLeast"/>
        </w:trPr>
        <w:tc>
          <w:tcPr>
            <w:tcW w:w="845" w:type="dxa"/>
          </w:tcPr>
          <w:p>
            <w:pPr>
              <w:pStyle w:val="TableParagraph"/>
              <w:spacing w:before="48"/>
              <w:ind w:left="108"/>
              <w:rPr>
                <w:b/>
                <w:sz w:val="21"/>
              </w:rPr>
            </w:pPr>
            <w:r>
              <w:rPr>
                <w:b/>
                <w:sz w:val="21"/>
              </w:rPr>
              <w:t>9.1.1</w:t>
            </w:r>
          </w:p>
        </w:tc>
        <w:tc>
          <w:tcPr>
            <w:tcW w:w="1504" w:type="dxa"/>
          </w:tcPr>
          <w:p>
            <w:pPr>
              <w:pStyle w:val="TableParagraph"/>
              <w:spacing w:before="48"/>
              <w:ind w:left="208"/>
              <w:rPr>
                <w:b/>
                <w:sz w:val="21"/>
              </w:rPr>
            </w:pPr>
            <w:r>
              <w:rPr>
                <w:b/>
                <w:sz w:val="21"/>
              </w:rPr>
              <w:t>恶性肿瘤</w:t>
            </w:r>
          </w:p>
        </w:tc>
        <w:tc>
          <w:tcPr>
            <w:tcW w:w="7194" w:type="dxa"/>
          </w:tcPr>
          <w:p>
            <w:pPr>
              <w:pStyle w:val="TableParagraph"/>
              <w:spacing w:line="273" w:lineRule="auto" w:before="48"/>
              <w:ind w:left="106" w:right="10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86"/>
              <w:ind w:left="106"/>
              <w:jc w:val="both"/>
              <w:rPr>
                <w:rFonts w:ascii="黑体" w:eastAsia="黑体" w:hint="eastAsia"/>
                <w:sz w:val="21"/>
              </w:rPr>
            </w:pPr>
            <w:r>
              <w:rPr>
                <w:rFonts w:ascii="黑体" w:eastAsia="黑体" w:hint="eastAsia"/>
                <w:sz w:val="21"/>
              </w:rPr>
              <w:t>下列疾病不在保障范围内：</w:t>
            </w:r>
          </w:p>
          <w:p>
            <w:pPr>
              <w:pStyle w:val="TableParagraph"/>
              <w:spacing w:before="37"/>
              <w:ind w:left="106"/>
              <w:jc w:val="both"/>
              <w:rPr>
                <w:rFonts w:ascii="黑体" w:eastAsia="黑体" w:hint="eastAsia"/>
                <w:sz w:val="21"/>
              </w:rPr>
            </w:pPr>
            <w:r>
              <w:rPr>
                <w:rFonts w:ascii="黑体" w:eastAsia="黑体" w:hint="eastAsia"/>
                <w:sz w:val="21"/>
              </w:rPr>
              <w:t>(1)原位癌；</w:t>
            </w:r>
          </w:p>
          <w:p>
            <w:pPr>
              <w:pStyle w:val="TableParagraph"/>
              <w:spacing w:before="37"/>
              <w:ind w:left="106"/>
              <w:jc w:val="both"/>
              <w:rPr>
                <w:rFonts w:ascii="黑体" w:eastAsia="黑体" w:hint="eastAsia"/>
                <w:sz w:val="21"/>
              </w:rPr>
            </w:pPr>
            <w:r>
              <w:rPr>
                <w:rFonts w:ascii="黑体" w:eastAsia="黑体" w:hint="eastAsia"/>
                <w:sz w:val="21"/>
              </w:rPr>
              <w:t>(2)相当于Binet分期方案A 期程度的慢性淋巴细胞白血病；</w:t>
            </w:r>
          </w:p>
          <w:p>
            <w:pPr>
              <w:pStyle w:val="TableParagraph"/>
              <w:spacing w:before="37"/>
              <w:ind w:left="106"/>
              <w:jc w:val="both"/>
              <w:rPr>
                <w:rFonts w:ascii="黑体" w:eastAsia="黑体" w:hint="eastAsia"/>
                <w:sz w:val="21"/>
              </w:rPr>
            </w:pPr>
            <w:r>
              <w:rPr>
                <w:rFonts w:ascii="黑体" w:eastAsia="黑体" w:hint="eastAsia"/>
                <w:sz w:val="21"/>
              </w:rPr>
              <w:t>(3)相当于Ann Arbor分期方案I 期程度的何杰金氏病；</w:t>
            </w:r>
          </w:p>
          <w:p>
            <w:pPr>
              <w:pStyle w:val="TableParagraph"/>
              <w:spacing w:before="37"/>
              <w:ind w:left="106"/>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7"/>
              <w:ind w:left="106"/>
              <w:jc w:val="both"/>
              <w:rPr>
                <w:rFonts w:ascii="黑体" w:eastAsia="黑体" w:hint="eastAsia"/>
                <w:sz w:val="21"/>
              </w:rPr>
            </w:pPr>
            <w:r>
              <w:rPr>
                <w:rFonts w:ascii="黑体" w:eastAsia="黑体" w:hint="eastAsia"/>
                <w:position w:val="1"/>
                <w:sz w:val="21"/>
              </w:rPr>
              <w:t>(5)TNM 分期为T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position w:val="1"/>
                <w:sz w:val="21"/>
              </w:rPr>
              <w:t>期或更轻分期的前列腺癌；</w:t>
            </w:r>
          </w:p>
          <w:p>
            <w:pPr>
              <w:pStyle w:val="TableParagraph"/>
              <w:spacing w:before="37"/>
              <w:ind w:left="106"/>
              <w:jc w:val="both"/>
              <w:rPr>
                <w:rFonts w:ascii="黑体" w:eastAsia="黑体" w:hint="eastAsia"/>
                <w:sz w:val="21"/>
              </w:rPr>
            </w:pPr>
            <w:r>
              <w:rPr>
                <w:rFonts w:ascii="黑体" w:eastAsia="黑体" w:hint="eastAsia"/>
                <w:sz w:val="21"/>
              </w:rPr>
              <w:t>(6)感染艾滋病病毒或患艾滋病期间所患恶性肿瘤。</w:t>
            </w:r>
          </w:p>
        </w:tc>
      </w:tr>
      <w:tr>
        <w:trPr>
          <w:trHeight w:val="2325" w:hRule="atLeast"/>
        </w:trPr>
        <w:tc>
          <w:tcPr>
            <w:tcW w:w="845" w:type="dxa"/>
          </w:tcPr>
          <w:p>
            <w:pPr>
              <w:pStyle w:val="TableParagraph"/>
              <w:spacing w:before="48"/>
              <w:ind w:left="108"/>
              <w:rPr>
                <w:b/>
                <w:sz w:val="21"/>
              </w:rPr>
            </w:pPr>
            <w:r>
              <w:rPr>
                <w:b/>
                <w:sz w:val="21"/>
              </w:rPr>
              <w:t>9.1.2</w:t>
            </w:r>
          </w:p>
        </w:tc>
        <w:tc>
          <w:tcPr>
            <w:tcW w:w="1504" w:type="dxa"/>
          </w:tcPr>
          <w:p>
            <w:pPr>
              <w:pStyle w:val="TableParagraph"/>
              <w:spacing w:line="273" w:lineRule="auto" w:before="48"/>
              <w:ind w:left="208" w:right="237"/>
              <w:rPr>
                <w:b/>
                <w:sz w:val="21"/>
              </w:rPr>
            </w:pPr>
            <w:r>
              <w:rPr>
                <w:b/>
                <w:sz w:val="21"/>
              </w:rPr>
              <w:t>急性心肌梗塞</w:t>
            </w:r>
          </w:p>
        </w:tc>
        <w:tc>
          <w:tcPr>
            <w:tcW w:w="7194" w:type="dxa"/>
          </w:tcPr>
          <w:p>
            <w:pPr>
              <w:pStyle w:val="TableParagraph"/>
              <w:spacing w:line="273" w:lineRule="auto" w:before="48"/>
              <w:ind w:left="106" w:right="106"/>
              <w:rPr>
                <w:sz w:val="21"/>
              </w:rPr>
            </w:pPr>
            <w:r>
              <w:rPr>
                <w:sz w:val="21"/>
              </w:rPr>
              <w:t>指因冠状动脉阻塞导致的相应区域供血不足造成部分心肌坏死。须满足下列至少三项条件：</w:t>
            </w:r>
          </w:p>
          <w:p>
            <w:pPr>
              <w:pStyle w:val="TableParagraph"/>
              <w:spacing w:before="7"/>
              <w:ind w:left="106"/>
              <w:rPr>
                <w:sz w:val="21"/>
              </w:rPr>
            </w:pPr>
            <w:r>
              <w:rPr>
                <w:sz w:val="21"/>
              </w:rPr>
              <w:t>(1)典型临床表现，例如急性胸痛等；</w:t>
            </w:r>
          </w:p>
          <w:p>
            <w:pPr>
              <w:pStyle w:val="TableParagraph"/>
              <w:spacing w:before="37"/>
              <w:ind w:left="106"/>
              <w:rPr>
                <w:sz w:val="21"/>
              </w:rPr>
            </w:pPr>
            <w:r>
              <w:rPr>
                <w:sz w:val="21"/>
              </w:rPr>
              <w:t>(2)新近的心电图改变提示急性心肌梗塞；</w:t>
            </w:r>
          </w:p>
          <w:p>
            <w:pPr>
              <w:pStyle w:val="TableParagraph"/>
              <w:spacing w:line="273" w:lineRule="auto" w:before="37"/>
              <w:ind w:left="106" w:right="103"/>
              <w:rPr>
                <w:sz w:val="21"/>
              </w:rPr>
            </w:pPr>
            <w:r>
              <w:rPr>
                <w:sz w:val="21"/>
              </w:rPr>
              <w:t>(3)</w:t>
            </w:r>
            <w:r>
              <w:rPr>
                <w:spacing w:val="-7"/>
                <w:sz w:val="21"/>
              </w:rPr>
              <w:t>心肌酶或肌钙蛋白有诊断意义的升高，或呈符合急性心肌梗塞的动态性变化；</w:t>
            </w:r>
          </w:p>
          <w:p>
            <w:pPr>
              <w:pStyle w:val="TableParagraph"/>
              <w:spacing w:before="7"/>
              <w:ind w:left="106"/>
              <w:rPr>
                <w:sz w:val="21"/>
              </w:rPr>
            </w:pPr>
            <w:r>
              <w:rPr>
                <w:sz w:val="21"/>
              </w:rPr>
              <w:t>(4)</w:t>
            </w:r>
            <w:r>
              <w:rPr>
                <w:spacing w:val="-15"/>
                <w:sz w:val="21"/>
              </w:rPr>
              <w:t>发病 </w:t>
            </w:r>
            <w:r>
              <w:rPr>
                <w:sz w:val="21"/>
              </w:rPr>
              <w:t>90</w:t>
            </w:r>
            <w:r>
              <w:rPr>
                <w:spacing w:val="-11"/>
                <w:sz w:val="21"/>
              </w:rPr>
              <w:t> 天后，经检查证实左心室功能降低，如左心室射血分数低于 </w:t>
            </w:r>
            <w:r>
              <w:rPr>
                <w:sz w:val="21"/>
              </w:rPr>
              <w:t>50%。</w:t>
            </w:r>
          </w:p>
        </w:tc>
      </w:tr>
      <w:tr>
        <w:trPr>
          <w:trHeight w:val="2325" w:hRule="atLeast"/>
        </w:trPr>
        <w:tc>
          <w:tcPr>
            <w:tcW w:w="845" w:type="dxa"/>
          </w:tcPr>
          <w:p>
            <w:pPr>
              <w:pStyle w:val="TableParagraph"/>
              <w:spacing w:before="49"/>
              <w:ind w:left="108"/>
              <w:rPr>
                <w:b/>
                <w:sz w:val="21"/>
              </w:rPr>
            </w:pPr>
            <w:r>
              <w:rPr>
                <w:b/>
                <w:sz w:val="21"/>
              </w:rPr>
              <w:t>9.1.3</w:t>
            </w:r>
          </w:p>
        </w:tc>
        <w:tc>
          <w:tcPr>
            <w:tcW w:w="1504" w:type="dxa"/>
          </w:tcPr>
          <w:p>
            <w:pPr>
              <w:pStyle w:val="TableParagraph"/>
              <w:spacing w:line="273" w:lineRule="auto" w:before="49"/>
              <w:ind w:left="208" w:right="237"/>
              <w:rPr>
                <w:b/>
                <w:sz w:val="21"/>
              </w:rPr>
            </w:pPr>
            <w:r>
              <w:rPr>
                <w:b/>
                <w:sz w:val="21"/>
              </w:rPr>
              <w:t>脑中风后遗症</w:t>
            </w:r>
          </w:p>
        </w:tc>
        <w:tc>
          <w:tcPr>
            <w:tcW w:w="7194" w:type="dxa"/>
          </w:tcPr>
          <w:p>
            <w:pPr>
              <w:pStyle w:val="TableParagraph"/>
              <w:spacing w:line="273" w:lineRule="auto" w:before="49"/>
              <w:ind w:left="106" w:right="106"/>
              <w:jc w:val="both"/>
              <w:rPr>
                <w:sz w:val="21"/>
              </w:rPr>
            </w:pPr>
            <w:r>
              <w:rPr>
                <w:sz w:val="21"/>
              </w:rPr>
              <w:t>指因脑血管的突发病变引起脑血管出血、栓塞或梗塞，并导致神经系统永久</w:t>
            </w:r>
            <w:r>
              <w:rPr>
                <w:spacing w:val="-4"/>
                <w:sz w:val="21"/>
              </w:rPr>
              <w:t>性的功能障碍。神经系统永久性的功能障碍，指疾病确诊 </w:t>
            </w:r>
            <w:r>
              <w:rPr>
                <w:sz w:val="21"/>
              </w:rPr>
              <w:t>180</w:t>
            </w:r>
            <w:r>
              <w:rPr>
                <w:spacing w:val="-5"/>
                <w:sz w:val="21"/>
              </w:rPr>
              <w:t> 天后，仍遗留</w:t>
            </w:r>
            <w:r>
              <w:rPr>
                <w:spacing w:val="-3"/>
                <w:sz w:val="21"/>
              </w:rPr>
              <w:t>下列一种或一种以上障碍：</w:t>
            </w:r>
          </w:p>
          <w:p>
            <w:pPr>
              <w:pStyle w:val="TableParagraph"/>
              <w:spacing w:before="8"/>
              <w:ind w:left="106"/>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37"/>
              <w:ind w:left="106"/>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3" w:lineRule="auto" w:before="36"/>
              <w:ind w:left="106" w:right="5"/>
              <w:rPr>
                <w:sz w:val="21"/>
              </w:rPr>
            </w:pPr>
            <w:r>
              <w:rPr>
                <w:sz w:val="21"/>
              </w:rPr>
              <w:t>(3)</w:t>
            </w:r>
            <w:r>
              <w:rPr>
                <w:spacing w:val="-11"/>
                <w:sz w:val="21"/>
              </w:rPr>
              <w:t>自主生活能力完全丧失，无法独立完成</w:t>
            </w:r>
            <w:r>
              <w:rPr>
                <w:b/>
                <w:spacing w:val="-10"/>
                <w:sz w:val="21"/>
              </w:rPr>
              <w:t>六项基本日常生活活动</w:t>
            </w:r>
            <w:r>
              <w:rPr>
                <w:spacing w:val="-3"/>
                <w:sz w:val="21"/>
              </w:rPr>
              <w:t>（详见释义） 中的三项或三项以上。</w:t>
            </w:r>
          </w:p>
        </w:tc>
      </w:tr>
      <w:tr>
        <w:trPr>
          <w:trHeight w:val="1780" w:hRule="atLeast"/>
        </w:trPr>
        <w:tc>
          <w:tcPr>
            <w:tcW w:w="845" w:type="dxa"/>
          </w:tcPr>
          <w:p>
            <w:pPr>
              <w:pStyle w:val="TableParagraph"/>
              <w:spacing w:before="48"/>
              <w:ind w:left="108"/>
              <w:rPr>
                <w:b/>
                <w:sz w:val="21"/>
              </w:rPr>
            </w:pPr>
            <w:r>
              <w:rPr>
                <w:b/>
                <w:sz w:val="21"/>
              </w:rPr>
              <w:t>9.1.4</w:t>
            </w:r>
          </w:p>
        </w:tc>
        <w:tc>
          <w:tcPr>
            <w:tcW w:w="1504" w:type="dxa"/>
          </w:tcPr>
          <w:p>
            <w:pPr>
              <w:pStyle w:val="TableParagraph"/>
              <w:spacing w:line="273" w:lineRule="auto" w:before="48"/>
              <w:ind w:left="208" w:right="237"/>
              <w:jc w:val="both"/>
              <w:rPr>
                <w:b/>
                <w:sz w:val="21"/>
              </w:rPr>
            </w:pPr>
            <w:r>
              <w:rPr>
                <w:b/>
                <w:sz w:val="21"/>
              </w:rPr>
              <w:t>重大器官移植术或造血干细胞移植术</w:t>
            </w:r>
          </w:p>
        </w:tc>
        <w:tc>
          <w:tcPr>
            <w:tcW w:w="7194" w:type="dxa"/>
          </w:tcPr>
          <w:p>
            <w:pPr>
              <w:pStyle w:val="TableParagraph"/>
              <w:spacing w:line="273" w:lineRule="auto" w:before="48"/>
              <w:ind w:left="106" w:right="106"/>
              <w:jc w:val="both"/>
              <w:rPr>
                <w:sz w:val="21"/>
              </w:rPr>
            </w:pPr>
            <w:r>
              <w:rPr>
                <w:sz w:val="21"/>
              </w:rPr>
              <w:t>重大器官移植术，指因相应器官功能衰竭，已经实施了肾脏、肝脏、心脏或肺脏的异体移植手术。</w:t>
            </w:r>
          </w:p>
          <w:p>
            <w:pPr>
              <w:pStyle w:val="TableParagraph"/>
              <w:spacing w:line="273" w:lineRule="auto" w:before="86"/>
              <w:ind w:left="106" w:right="1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45" w:hRule="atLeast"/>
        </w:trPr>
        <w:tc>
          <w:tcPr>
            <w:tcW w:w="845" w:type="dxa"/>
          </w:tcPr>
          <w:p>
            <w:pPr>
              <w:pStyle w:val="TableParagraph"/>
              <w:spacing w:before="49"/>
              <w:ind w:left="108"/>
              <w:rPr>
                <w:b/>
                <w:sz w:val="21"/>
              </w:rPr>
            </w:pPr>
            <w:r>
              <w:rPr>
                <w:b/>
                <w:sz w:val="21"/>
              </w:rPr>
              <w:t>9.1.5</w:t>
            </w:r>
          </w:p>
        </w:tc>
        <w:tc>
          <w:tcPr>
            <w:tcW w:w="1504" w:type="dxa"/>
          </w:tcPr>
          <w:p>
            <w:pPr>
              <w:pStyle w:val="TableParagraph"/>
              <w:spacing w:line="273" w:lineRule="auto" w:before="49"/>
              <w:ind w:left="208" w:right="105"/>
              <w:rPr>
                <w:b/>
                <w:sz w:val="21"/>
              </w:rPr>
            </w:pPr>
            <w:r>
              <w:rPr>
                <w:b/>
                <w:sz w:val="21"/>
              </w:rPr>
              <w:t>冠状动脉搭</w:t>
            </w:r>
            <w:r>
              <w:rPr>
                <w:b/>
                <w:spacing w:val="-40"/>
                <w:sz w:val="21"/>
              </w:rPr>
              <w:t>桥术</w:t>
            </w:r>
            <w:r>
              <w:rPr>
                <w:b/>
                <w:sz w:val="21"/>
              </w:rPr>
              <w:t>（或称冠状动脉旁路移植术）</w:t>
            </w:r>
          </w:p>
        </w:tc>
        <w:tc>
          <w:tcPr>
            <w:tcW w:w="7194" w:type="dxa"/>
          </w:tcPr>
          <w:p>
            <w:pPr>
              <w:pStyle w:val="TableParagraph"/>
              <w:spacing w:line="273" w:lineRule="auto" w:before="49"/>
              <w:ind w:left="106" w:right="106"/>
              <w:rPr>
                <w:sz w:val="21"/>
              </w:rPr>
            </w:pPr>
            <w:r>
              <w:rPr>
                <w:sz w:val="21"/>
              </w:rPr>
              <w:t>指为治疗严重的冠心病，实际实施了开胸进行的冠状动脉血管旁路移植的手术。</w:t>
            </w:r>
          </w:p>
          <w:p>
            <w:pPr>
              <w:pStyle w:val="TableParagraph"/>
              <w:spacing w:line="310" w:lineRule="atLeast" w:before="49"/>
              <w:ind w:left="106" w:right="106"/>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bl>
    <w:p>
      <w:pPr>
        <w:spacing w:after="0" w:line="310" w:lineRule="atLeast"/>
        <w:rPr>
          <w:rFonts w:ascii="黑体" w:eastAsia="黑体" w:hint="eastAsia"/>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84"/>
        <w:gridCol w:w="7355"/>
      </w:tblGrid>
      <w:tr>
        <w:trPr>
          <w:trHeight w:val="1268" w:hRule="atLeast"/>
        </w:trPr>
        <w:tc>
          <w:tcPr>
            <w:tcW w:w="991" w:type="dxa"/>
          </w:tcPr>
          <w:p>
            <w:pPr>
              <w:pStyle w:val="TableParagraph"/>
              <w:spacing w:line="202" w:lineRule="exact"/>
              <w:ind w:left="200"/>
              <w:rPr>
                <w:b/>
                <w:sz w:val="21"/>
              </w:rPr>
            </w:pPr>
            <w:r>
              <w:rPr>
                <w:b/>
                <w:sz w:val="21"/>
              </w:rPr>
              <w:t>9.1.6</w:t>
            </w:r>
          </w:p>
        </w:tc>
        <w:tc>
          <w:tcPr>
            <w:tcW w:w="1384" w:type="dxa"/>
          </w:tcPr>
          <w:p>
            <w:pPr>
              <w:pStyle w:val="TableParagraph"/>
              <w:spacing w:line="202" w:lineRule="exact"/>
              <w:ind w:left="154"/>
              <w:rPr>
                <w:b/>
                <w:sz w:val="21"/>
              </w:rPr>
            </w:pPr>
            <w:r>
              <w:rPr>
                <w:b/>
                <w:sz w:val="21"/>
              </w:rPr>
              <w:t>终末期肾病</w:t>
            </w:r>
          </w:p>
          <w:p>
            <w:pPr>
              <w:pStyle w:val="TableParagraph"/>
              <w:spacing w:line="273" w:lineRule="auto" w:before="37"/>
              <w:ind w:left="154" w:right="171"/>
              <w:jc w:val="both"/>
              <w:rPr>
                <w:b/>
                <w:sz w:val="21"/>
              </w:rPr>
            </w:pPr>
            <w:r>
              <w:rPr>
                <w:b/>
                <w:sz w:val="21"/>
              </w:rPr>
              <w:t>（或称慢性肾功能衰竭尿毒症期）</w:t>
            </w:r>
          </w:p>
        </w:tc>
        <w:tc>
          <w:tcPr>
            <w:tcW w:w="7355" w:type="dxa"/>
          </w:tcPr>
          <w:p>
            <w:pPr>
              <w:pStyle w:val="TableParagraph"/>
              <w:spacing w:line="202" w:lineRule="exact"/>
              <w:rPr>
                <w:sz w:val="21"/>
              </w:rPr>
            </w:pPr>
            <w:r>
              <w:rPr>
                <w:sz w:val="21"/>
              </w:rPr>
              <w:t>指双肾功能慢性不可逆性衰竭，达到尿毒症期，经诊断后已经进行了至少 90</w:t>
            </w:r>
          </w:p>
          <w:p>
            <w:pPr>
              <w:pStyle w:val="TableParagraph"/>
              <w:spacing w:before="37"/>
              <w:rPr>
                <w:sz w:val="21"/>
              </w:rPr>
            </w:pPr>
            <w:r>
              <w:rPr>
                <w:sz w:val="21"/>
              </w:rPr>
              <w:t>天的规律性透析治疗或实施了肾脏移植手术。</w:t>
            </w:r>
          </w:p>
        </w:tc>
      </w:tr>
      <w:tr>
        <w:trPr>
          <w:trHeight w:val="765" w:hRule="atLeast"/>
        </w:trPr>
        <w:tc>
          <w:tcPr>
            <w:tcW w:w="991" w:type="dxa"/>
          </w:tcPr>
          <w:p>
            <w:pPr>
              <w:pStyle w:val="TableParagraph"/>
              <w:spacing w:before="48"/>
              <w:ind w:left="200"/>
              <w:rPr>
                <w:b/>
                <w:sz w:val="21"/>
              </w:rPr>
            </w:pPr>
            <w:r>
              <w:rPr>
                <w:b/>
                <w:sz w:val="21"/>
              </w:rPr>
              <w:t>9.1.7</w:t>
            </w:r>
          </w:p>
        </w:tc>
        <w:tc>
          <w:tcPr>
            <w:tcW w:w="1384" w:type="dxa"/>
          </w:tcPr>
          <w:p>
            <w:pPr>
              <w:pStyle w:val="TableParagraph"/>
              <w:spacing w:line="273" w:lineRule="auto" w:before="48"/>
              <w:ind w:left="154" w:right="171"/>
              <w:rPr>
                <w:b/>
                <w:sz w:val="21"/>
              </w:rPr>
            </w:pPr>
            <w:r>
              <w:rPr>
                <w:b/>
                <w:sz w:val="21"/>
              </w:rPr>
              <w:t>多个肢体缺失</w:t>
            </w:r>
          </w:p>
        </w:tc>
        <w:tc>
          <w:tcPr>
            <w:tcW w:w="7355" w:type="dxa"/>
          </w:tcPr>
          <w:p>
            <w:pPr>
              <w:pStyle w:val="TableParagraph"/>
              <w:spacing w:line="273" w:lineRule="auto" w:before="48"/>
              <w:ind w:right="201"/>
              <w:rPr>
                <w:sz w:val="21"/>
              </w:rPr>
            </w:pPr>
            <w:r>
              <w:rPr>
                <w:sz w:val="21"/>
              </w:rPr>
              <w:t>指因疾病或意外伤害导致两个或两个以上肢体自腕关节或踝关节近端（靠近躯干端）以上完全性断离。</w:t>
            </w:r>
          </w:p>
        </w:tc>
      </w:tr>
      <w:tr>
        <w:trPr>
          <w:trHeight w:val="2013" w:hRule="atLeast"/>
        </w:trPr>
        <w:tc>
          <w:tcPr>
            <w:tcW w:w="991" w:type="dxa"/>
          </w:tcPr>
          <w:p>
            <w:pPr>
              <w:pStyle w:val="TableParagraph"/>
              <w:spacing w:before="48"/>
              <w:ind w:left="200"/>
              <w:rPr>
                <w:b/>
                <w:sz w:val="21"/>
              </w:rPr>
            </w:pPr>
            <w:r>
              <w:rPr>
                <w:b/>
                <w:sz w:val="21"/>
              </w:rPr>
              <w:t>9.1.8</w:t>
            </w:r>
          </w:p>
        </w:tc>
        <w:tc>
          <w:tcPr>
            <w:tcW w:w="1384" w:type="dxa"/>
          </w:tcPr>
          <w:p>
            <w:pPr>
              <w:pStyle w:val="TableParagraph"/>
              <w:spacing w:line="273" w:lineRule="auto" w:before="48"/>
              <w:ind w:left="154" w:right="171"/>
              <w:rPr>
                <w:b/>
                <w:sz w:val="21"/>
              </w:rPr>
            </w:pPr>
            <w:r>
              <w:rPr>
                <w:b/>
                <w:sz w:val="21"/>
              </w:rPr>
              <w:t>急性或亚急性重症肝炎</w:t>
            </w:r>
          </w:p>
        </w:tc>
        <w:tc>
          <w:tcPr>
            <w:tcW w:w="7355" w:type="dxa"/>
          </w:tcPr>
          <w:p>
            <w:pPr>
              <w:pStyle w:val="TableParagraph"/>
              <w:spacing w:line="273" w:lineRule="auto" w:before="48"/>
              <w:ind w:right="201"/>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04" w:hRule="atLeast"/>
        </w:trPr>
        <w:tc>
          <w:tcPr>
            <w:tcW w:w="991" w:type="dxa"/>
          </w:tcPr>
          <w:p>
            <w:pPr>
              <w:pStyle w:val="TableParagraph"/>
              <w:spacing w:before="49"/>
              <w:ind w:left="200"/>
              <w:rPr>
                <w:b/>
                <w:sz w:val="21"/>
              </w:rPr>
            </w:pPr>
            <w:r>
              <w:rPr>
                <w:b/>
                <w:sz w:val="21"/>
              </w:rPr>
              <w:t>9.1.9</w:t>
            </w:r>
          </w:p>
        </w:tc>
        <w:tc>
          <w:tcPr>
            <w:tcW w:w="1384" w:type="dxa"/>
          </w:tcPr>
          <w:p>
            <w:pPr>
              <w:pStyle w:val="TableParagraph"/>
              <w:spacing w:before="49"/>
              <w:ind w:left="154"/>
              <w:rPr>
                <w:b/>
                <w:sz w:val="21"/>
              </w:rPr>
            </w:pPr>
            <w:r>
              <w:rPr>
                <w:b/>
                <w:sz w:val="21"/>
              </w:rPr>
              <w:t>良性脑肿瘤</w:t>
            </w:r>
          </w:p>
        </w:tc>
        <w:tc>
          <w:tcPr>
            <w:tcW w:w="7355" w:type="dxa"/>
          </w:tcPr>
          <w:p>
            <w:pPr>
              <w:pStyle w:val="TableParagraph"/>
              <w:spacing w:line="273" w:lineRule="auto" w:before="49"/>
              <w:ind w:right="201"/>
              <w:rPr>
                <w:sz w:val="21"/>
              </w:rPr>
            </w:pPr>
            <w:r>
              <w:rPr>
                <w:sz w:val="21"/>
              </w:rPr>
              <w:t>指脑的良性肿瘤，已经引起颅内压增高，临床表现为视神经乳头水肿、精神</w:t>
            </w:r>
            <w:r>
              <w:rPr>
                <w:spacing w:val="-7"/>
                <w:w w:val="100"/>
                <w:sz w:val="21"/>
              </w:rPr>
              <w:t>症状、癫痫及运动感觉障碍等，并危及生命。须由头颅断层扫描</w:t>
            </w:r>
            <w:r>
              <w:rPr>
                <w:w w:val="100"/>
                <w:sz w:val="21"/>
              </w:rPr>
              <w:t>（</w:t>
            </w:r>
            <w:r>
              <w:rPr>
                <w:spacing w:val="-3"/>
                <w:w w:val="100"/>
                <w:sz w:val="21"/>
              </w:rPr>
              <w:t>C</w:t>
            </w:r>
            <w:r>
              <w:rPr>
                <w:spacing w:val="-1"/>
                <w:w w:val="100"/>
                <w:sz w:val="21"/>
              </w:rPr>
              <w:t>T</w:t>
            </w:r>
            <w:r>
              <w:rPr>
                <w:spacing w:val="-106"/>
                <w:w w:val="100"/>
                <w:sz w:val="21"/>
              </w:rPr>
              <w:t>）</w:t>
            </w:r>
            <w:r>
              <w:rPr>
                <w:spacing w:val="-76"/>
                <w:w w:val="100"/>
                <w:sz w:val="21"/>
              </w:rPr>
              <w:t>、核磁</w:t>
            </w:r>
            <w:r>
              <w:rPr>
                <w:w w:val="100"/>
                <w:sz w:val="21"/>
              </w:rPr>
              <w:t> </w:t>
            </w:r>
            <w:r>
              <w:rPr>
                <w:sz w:val="21"/>
              </w:rPr>
              <w:t>共振检查（MRI）或正电子发射断层扫描（PET）等影像学检查证实，并须满</w:t>
            </w:r>
            <w:r>
              <w:rPr>
                <w:spacing w:val="-3"/>
                <w:sz w:val="21"/>
              </w:rPr>
              <w:t>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116"/>
              <w:rPr>
                <w:rFonts w:ascii="黑体" w:eastAsia="黑体" w:hint="eastAsia"/>
                <w:sz w:val="21"/>
              </w:rPr>
            </w:pPr>
            <w:r>
              <w:rPr>
                <w:rFonts w:ascii="黑体" w:eastAsia="黑体" w:hint="eastAsia"/>
                <w:sz w:val="21"/>
              </w:rPr>
              <w:t>脑垂体瘤、脑囊肿、脑血管性疾病不在保障范围内。</w:t>
            </w:r>
          </w:p>
        </w:tc>
      </w:tr>
      <w:tr>
        <w:trPr>
          <w:trHeight w:val="2091" w:hRule="atLeast"/>
        </w:trPr>
        <w:tc>
          <w:tcPr>
            <w:tcW w:w="991" w:type="dxa"/>
          </w:tcPr>
          <w:p>
            <w:pPr>
              <w:pStyle w:val="TableParagraph"/>
              <w:spacing w:before="49"/>
              <w:ind w:left="200"/>
              <w:rPr>
                <w:b/>
                <w:sz w:val="21"/>
              </w:rPr>
            </w:pPr>
            <w:r>
              <w:rPr>
                <w:b/>
                <w:sz w:val="21"/>
              </w:rPr>
              <w:t>9.1.10</w:t>
            </w:r>
          </w:p>
        </w:tc>
        <w:tc>
          <w:tcPr>
            <w:tcW w:w="1384" w:type="dxa"/>
          </w:tcPr>
          <w:p>
            <w:pPr>
              <w:pStyle w:val="TableParagraph"/>
              <w:spacing w:line="273" w:lineRule="auto" w:before="49"/>
              <w:ind w:left="154" w:right="171"/>
              <w:jc w:val="both"/>
              <w:rPr>
                <w:b/>
                <w:sz w:val="21"/>
              </w:rPr>
            </w:pPr>
            <w:r>
              <w:rPr>
                <w:b/>
                <w:sz w:val="21"/>
              </w:rPr>
              <w:t>慢性肝功能衰竭失代偿期</w:t>
            </w:r>
          </w:p>
        </w:tc>
        <w:tc>
          <w:tcPr>
            <w:tcW w:w="7355" w:type="dxa"/>
          </w:tcPr>
          <w:p>
            <w:pPr>
              <w:pStyle w:val="TableParagraph"/>
              <w:spacing w:before="49"/>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4"/>
              <w:rPr>
                <w:rFonts w:ascii="黑体" w:eastAsia="黑体" w:hint="eastAsia"/>
                <w:sz w:val="21"/>
              </w:rPr>
            </w:pPr>
            <w:r>
              <w:rPr>
                <w:rFonts w:ascii="黑体" w:eastAsia="黑体" w:hint="eastAsia"/>
                <w:sz w:val="21"/>
              </w:rPr>
              <w:t>因酗酒或药物滥用导致的肝功能衰竭不在保障范围内。</w:t>
            </w:r>
          </w:p>
        </w:tc>
      </w:tr>
      <w:tr>
        <w:trPr>
          <w:trHeight w:val="2014" w:hRule="atLeast"/>
        </w:trPr>
        <w:tc>
          <w:tcPr>
            <w:tcW w:w="991" w:type="dxa"/>
          </w:tcPr>
          <w:p>
            <w:pPr>
              <w:pStyle w:val="TableParagraph"/>
              <w:spacing w:before="50"/>
              <w:ind w:left="200"/>
              <w:rPr>
                <w:b/>
                <w:sz w:val="21"/>
              </w:rPr>
            </w:pPr>
            <w:r>
              <w:rPr>
                <w:b/>
                <w:sz w:val="21"/>
              </w:rPr>
              <w:t>9.1.11</w:t>
            </w:r>
          </w:p>
        </w:tc>
        <w:tc>
          <w:tcPr>
            <w:tcW w:w="1384" w:type="dxa"/>
          </w:tcPr>
          <w:p>
            <w:pPr>
              <w:pStyle w:val="TableParagraph"/>
              <w:spacing w:line="273" w:lineRule="auto" w:before="50"/>
              <w:ind w:left="154" w:right="171"/>
              <w:jc w:val="both"/>
              <w:rPr>
                <w:b/>
                <w:sz w:val="21"/>
              </w:rPr>
            </w:pPr>
            <w:r>
              <w:rPr>
                <w:b/>
                <w:sz w:val="21"/>
              </w:rPr>
              <w:t>脑炎后遗症或脑膜炎后遗症</w:t>
            </w:r>
          </w:p>
        </w:tc>
        <w:tc>
          <w:tcPr>
            <w:tcW w:w="7355" w:type="dxa"/>
          </w:tcPr>
          <w:p>
            <w:pPr>
              <w:pStyle w:val="TableParagraph"/>
              <w:spacing w:line="273" w:lineRule="auto" w:before="50"/>
              <w:ind w:right="201"/>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202"/>
              <w:rPr>
                <w:sz w:val="21"/>
              </w:rPr>
            </w:pPr>
            <w:r>
              <w:rPr>
                <w:sz w:val="21"/>
              </w:rPr>
              <w:t>(3)</w:t>
            </w:r>
            <w:r>
              <w:rPr>
                <w:spacing w:val="-8"/>
                <w:sz w:val="21"/>
              </w:rPr>
              <w:t>自主生活能力完全丧失，无法独立完成六项基本日常生活活动中的三项或</w:t>
            </w:r>
            <w:r>
              <w:rPr>
                <w:spacing w:val="-1"/>
                <w:sz w:val="21"/>
              </w:rPr>
              <w:t>三项以上。</w:t>
            </w:r>
          </w:p>
        </w:tc>
      </w:tr>
      <w:tr>
        <w:trPr>
          <w:trHeight w:val="1466" w:hRule="atLeast"/>
        </w:trPr>
        <w:tc>
          <w:tcPr>
            <w:tcW w:w="991" w:type="dxa"/>
          </w:tcPr>
          <w:p>
            <w:pPr>
              <w:pStyle w:val="TableParagraph"/>
              <w:spacing w:before="49"/>
              <w:ind w:left="200"/>
              <w:rPr>
                <w:b/>
                <w:sz w:val="21"/>
              </w:rPr>
            </w:pPr>
            <w:r>
              <w:rPr>
                <w:b/>
                <w:sz w:val="21"/>
              </w:rPr>
              <w:t>9.1.12</w:t>
            </w:r>
          </w:p>
        </w:tc>
        <w:tc>
          <w:tcPr>
            <w:tcW w:w="1384" w:type="dxa"/>
          </w:tcPr>
          <w:p>
            <w:pPr>
              <w:pStyle w:val="TableParagraph"/>
              <w:spacing w:before="49"/>
              <w:ind w:left="154"/>
              <w:rPr>
                <w:b/>
                <w:sz w:val="21"/>
              </w:rPr>
            </w:pPr>
            <w:r>
              <w:rPr>
                <w:b/>
                <w:sz w:val="21"/>
              </w:rPr>
              <w:t>深度昏迷</w:t>
            </w:r>
          </w:p>
        </w:tc>
        <w:tc>
          <w:tcPr>
            <w:tcW w:w="7355" w:type="dxa"/>
          </w:tcPr>
          <w:p>
            <w:pPr>
              <w:pStyle w:val="TableParagraph"/>
              <w:spacing w:line="273" w:lineRule="auto" w:before="49"/>
              <w:ind w:left="171" w:right="199"/>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11"/>
                <w:sz w:val="21"/>
              </w:rPr>
              <w:t>结果为 </w:t>
            </w:r>
            <w:r>
              <w:rPr>
                <w:sz w:val="21"/>
              </w:rPr>
              <w:t>5</w:t>
            </w:r>
            <w:r>
              <w:rPr>
                <w:spacing w:val="-20"/>
                <w:sz w:val="21"/>
              </w:rPr>
              <w:t> 分或 </w:t>
            </w:r>
            <w:r>
              <w:rPr>
                <w:sz w:val="21"/>
              </w:rPr>
              <w:t>5</w:t>
            </w:r>
            <w:r>
              <w:rPr>
                <w:spacing w:val="-11"/>
                <w:sz w:val="21"/>
              </w:rPr>
              <w:t> 分以下， </w:t>
            </w:r>
            <w:r>
              <w:rPr>
                <w:spacing w:val="-5"/>
                <w:sz w:val="21"/>
              </w:rPr>
              <w:t>且已经持续使用呼吸机及其它生命维持系统 </w:t>
            </w:r>
            <w:r>
              <w:rPr>
                <w:sz w:val="21"/>
              </w:rPr>
              <w:t>96</w:t>
            </w:r>
            <w:r>
              <w:rPr>
                <w:spacing w:val="-10"/>
                <w:sz w:val="21"/>
              </w:rPr>
              <w:t> 小时以上。</w:t>
            </w:r>
          </w:p>
          <w:p>
            <w:pPr>
              <w:pStyle w:val="TableParagraph"/>
              <w:spacing w:before="84"/>
              <w:ind w:left="171"/>
              <w:jc w:val="both"/>
              <w:rPr>
                <w:rFonts w:ascii="黑体" w:eastAsia="黑体" w:hint="eastAsia"/>
                <w:sz w:val="21"/>
              </w:rPr>
            </w:pPr>
            <w:r>
              <w:rPr>
                <w:rFonts w:ascii="黑体" w:eastAsia="黑体" w:hint="eastAsia"/>
                <w:sz w:val="21"/>
              </w:rPr>
              <w:t>因酗酒或药物滥用导致的深度昏迷不在保障范围内。</w:t>
            </w:r>
          </w:p>
        </w:tc>
      </w:tr>
      <w:tr>
        <w:trPr>
          <w:trHeight w:val="1078" w:hRule="atLeast"/>
        </w:trPr>
        <w:tc>
          <w:tcPr>
            <w:tcW w:w="991" w:type="dxa"/>
          </w:tcPr>
          <w:p>
            <w:pPr>
              <w:pStyle w:val="TableParagraph"/>
              <w:spacing w:before="48"/>
              <w:ind w:left="200"/>
              <w:rPr>
                <w:b/>
                <w:sz w:val="21"/>
              </w:rPr>
            </w:pPr>
            <w:r>
              <w:rPr>
                <w:b/>
                <w:sz w:val="21"/>
              </w:rPr>
              <w:t>9.1.13</w:t>
            </w:r>
          </w:p>
        </w:tc>
        <w:tc>
          <w:tcPr>
            <w:tcW w:w="1384" w:type="dxa"/>
          </w:tcPr>
          <w:p>
            <w:pPr>
              <w:pStyle w:val="TableParagraph"/>
              <w:spacing w:before="48"/>
              <w:ind w:left="154"/>
              <w:rPr>
                <w:b/>
                <w:sz w:val="21"/>
              </w:rPr>
            </w:pPr>
            <w:r>
              <w:rPr>
                <w:b/>
                <w:sz w:val="21"/>
              </w:rPr>
              <w:t>双耳失聪</w:t>
            </w:r>
          </w:p>
        </w:tc>
        <w:tc>
          <w:tcPr>
            <w:tcW w:w="7355" w:type="dxa"/>
          </w:tcPr>
          <w:p>
            <w:pPr>
              <w:pStyle w:val="TableParagraph"/>
              <w:spacing w:before="48"/>
              <w:rPr>
                <w:sz w:val="21"/>
              </w:rPr>
            </w:pPr>
            <w:r>
              <w:rPr>
                <w:sz w:val="21"/>
              </w:rPr>
              <w:t>指因疾病或意外伤害导致双耳听力</w:t>
            </w:r>
            <w:r>
              <w:rPr>
                <w:b/>
                <w:sz w:val="21"/>
              </w:rPr>
              <w:t>永久不可逆</w:t>
            </w:r>
            <w:r>
              <w:rPr>
                <w:sz w:val="21"/>
              </w:rPr>
              <w:t>（详见释义）性丧失，在 500</w:t>
            </w:r>
          </w:p>
          <w:p>
            <w:pPr>
              <w:pStyle w:val="TableParagraph"/>
              <w:spacing w:line="273" w:lineRule="auto" w:before="36"/>
              <w:ind w:right="199"/>
              <w:rPr>
                <w:sz w:val="21"/>
              </w:rPr>
            </w:pPr>
            <w:r>
              <w:rPr>
                <w:spacing w:val="-1"/>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9"/>
                <w:sz w:val="21"/>
              </w:rPr>
              <w:t> 分贝，且经纯音</w:t>
            </w:r>
            <w:r>
              <w:rPr>
                <w:spacing w:val="-5"/>
                <w:sz w:val="21"/>
              </w:rPr>
              <w:t>听力测试、声导抗检测或听觉诱发电位检测等证实。</w:t>
            </w:r>
          </w:p>
        </w:tc>
      </w:tr>
      <w:tr>
        <w:trPr>
          <w:trHeight w:val="645" w:hRule="atLeast"/>
        </w:trPr>
        <w:tc>
          <w:tcPr>
            <w:tcW w:w="991" w:type="dxa"/>
          </w:tcPr>
          <w:p>
            <w:pPr>
              <w:pStyle w:val="TableParagraph"/>
              <w:spacing w:before="50"/>
              <w:ind w:left="200"/>
              <w:rPr>
                <w:b/>
                <w:sz w:val="21"/>
              </w:rPr>
            </w:pPr>
            <w:r>
              <w:rPr>
                <w:b/>
                <w:sz w:val="21"/>
              </w:rPr>
              <w:t>9.1.14</w:t>
            </w:r>
          </w:p>
        </w:tc>
        <w:tc>
          <w:tcPr>
            <w:tcW w:w="1384" w:type="dxa"/>
          </w:tcPr>
          <w:p>
            <w:pPr>
              <w:pStyle w:val="TableParagraph"/>
              <w:spacing w:before="50"/>
              <w:ind w:left="154"/>
              <w:rPr>
                <w:b/>
                <w:sz w:val="21"/>
              </w:rPr>
            </w:pPr>
            <w:r>
              <w:rPr>
                <w:b/>
                <w:sz w:val="21"/>
              </w:rPr>
              <w:t>双目失明</w:t>
            </w:r>
          </w:p>
        </w:tc>
        <w:tc>
          <w:tcPr>
            <w:tcW w:w="7355" w:type="dxa"/>
          </w:tcPr>
          <w:p>
            <w:pPr>
              <w:pStyle w:val="TableParagraph"/>
              <w:spacing w:line="310" w:lineRule="atLeast" w:before="14"/>
              <w:ind w:right="201"/>
              <w:rPr>
                <w:sz w:val="21"/>
              </w:rPr>
            </w:pPr>
            <w:r>
              <w:rPr>
                <w:sz w:val="21"/>
              </w:rPr>
              <w:t>指因疾病或意外伤害导致双眼视力永久不可逆性丧失，双眼中较好眼须满足下列至少一项条件：</w:t>
            </w:r>
          </w:p>
        </w:tc>
      </w:tr>
    </w:tbl>
    <w:p>
      <w:pPr>
        <w:spacing w:after="0" w:line="310" w:lineRule="atLeast"/>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84"/>
        <w:gridCol w:w="7462"/>
      </w:tblGrid>
      <w:tr>
        <w:trPr>
          <w:trHeight w:val="1268" w:hRule="atLeast"/>
        </w:trPr>
        <w:tc>
          <w:tcPr>
            <w:tcW w:w="991" w:type="dxa"/>
          </w:tcPr>
          <w:p>
            <w:pPr>
              <w:pStyle w:val="TableParagraph"/>
              <w:ind w:left="0"/>
              <w:rPr>
                <w:rFonts w:ascii="Times New Roman"/>
                <w:sz w:val="20"/>
              </w:rPr>
            </w:pPr>
          </w:p>
        </w:tc>
        <w:tc>
          <w:tcPr>
            <w:tcW w:w="1384" w:type="dxa"/>
          </w:tcPr>
          <w:p>
            <w:pPr>
              <w:pStyle w:val="TableParagraph"/>
              <w:ind w:left="0"/>
              <w:rPr>
                <w:rFonts w:ascii="Times New Roman"/>
                <w:sz w:val="20"/>
              </w:rPr>
            </w:pPr>
          </w:p>
        </w:tc>
        <w:tc>
          <w:tcPr>
            <w:tcW w:w="7462" w:type="dxa"/>
          </w:tcPr>
          <w:p>
            <w:pPr>
              <w:pStyle w:val="TableParagraph"/>
              <w:spacing w:line="202" w:lineRule="exact"/>
              <w:rPr>
                <w:sz w:val="21"/>
              </w:rPr>
            </w:pPr>
            <w:r>
              <w:rPr>
                <w:sz w:val="21"/>
              </w:rPr>
              <w:t>(1)眼球缺失或摘除；</w:t>
            </w:r>
          </w:p>
          <w:p>
            <w:pPr>
              <w:pStyle w:val="TableParagraph"/>
              <w:spacing w:line="273" w:lineRule="auto" w:before="37"/>
              <w:ind w:right="306"/>
              <w:rPr>
                <w:sz w:val="21"/>
              </w:rPr>
            </w:pPr>
            <w:r>
              <w:rPr>
                <w:sz w:val="21"/>
              </w:rPr>
              <w:t>(2)</w:t>
            </w:r>
            <w:r>
              <w:rPr>
                <w:spacing w:val="5"/>
                <w:sz w:val="21"/>
              </w:rPr>
              <w:t>矫正视力低于 </w:t>
            </w:r>
            <w:r>
              <w:rPr>
                <w:sz w:val="21"/>
              </w:rPr>
              <w:t>0.02（采用国际标准视力表，如果使用其它视力表应进行</w:t>
            </w:r>
            <w:r>
              <w:rPr>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1077" w:hRule="atLeast"/>
        </w:trPr>
        <w:tc>
          <w:tcPr>
            <w:tcW w:w="991" w:type="dxa"/>
          </w:tcPr>
          <w:p>
            <w:pPr>
              <w:pStyle w:val="TableParagraph"/>
              <w:spacing w:before="49"/>
              <w:ind w:left="180" w:right="136"/>
              <w:jc w:val="center"/>
              <w:rPr>
                <w:b/>
                <w:sz w:val="21"/>
              </w:rPr>
            </w:pPr>
            <w:r>
              <w:rPr>
                <w:b/>
                <w:sz w:val="21"/>
              </w:rPr>
              <w:t>9.1.15</w:t>
            </w:r>
          </w:p>
        </w:tc>
        <w:tc>
          <w:tcPr>
            <w:tcW w:w="1384" w:type="dxa"/>
          </w:tcPr>
          <w:p>
            <w:pPr>
              <w:pStyle w:val="TableParagraph"/>
              <w:spacing w:before="49"/>
              <w:ind w:left="154"/>
              <w:rPr>
                <w:b/>
                <w:sz w:val="21"/>
              </w:rPr>
            </w:pPr>
            <w:r>
              <w:rPr>
                <w:b/>
                <w:sz w:val="21"/>
              </w:rPr>
              <w:t>瘫痪</w:t>
            </w:r>
          </w:p>
        </w:tc>
        <w:tc>
          <w:tcPr>
            <w:tcW w:w="7462" w:type="dxa"/>
          </w:tcPr>
          <w:p>
            <w:pPr>
              <w:pStyle w:val="TableParagraph"/>
              <w:spacing w:line="273" w:lineRule="auto" w:before="49"/>
              <w:ind w:left="171" w:right="308"/>
              <w:jc w:val="both"/>
              <w:rPr>
                <w:sz w:val="21"/>
              </w:rPr>
            </w:pPr>
            <w:r>
              <w:rPr>
                <w:sz w:val="21"/>
              </w:rPr>
              <w:t>指因疾病或意外伤害导致两肢或两肢以上肢体机能永久完全丧失。肢体机能</w:t>
            </w:r>
            <w:r>
              <w:rPr>
                <w:spacing w:val="-6"/>
                <w:sz w:val="21"/>
              </w:rPr>
              <w:t>永久完全丧失，指疾病确诊 </w:t>
            </w:r>
            <w:r>
              <w:rPr>
                <w:sz w:val="21"/>
              </w:rPr>
              <w:t>180</w:t>
            </w:r>
            <w:r>
              <w:rPr>
                <w:spacing w:val="-10"/>
                <w:sz w:val="21"/>
              </w:rPr>
              <w:t> 天后或意外伤害发生 </w:t>
            </w:r>
            <w:r>
              <w:rPr>
                <w:sz w:val="21"/>
              </w:rPr>
              <w:t>180</w:t>
            </w:r>
            <w:r>
              <w:rPr>
                <w:spacing w:val="-7"/>
                <w:sz w:val="21"/>
              </w:rPr>
              <w:t> 天后，每肢三大关</w:t>
            </w:r>
            <w:r>
              <w:rPr>
                <w:spacing w:val="-3"/>
                <w:sz w:val="21"/>
              </w:rPr>
              <w:t>节中的两大关节仍然完全僵硬，或不能随意识活动。</w:t>
            </w:r>
          </w:p>
        </w:tc>
      </w:tr>
      <w:tr>
        <w:trPr>
          <w:trHeight w:val="765" w:hRule="atLeast"/>
        </w:trPr>
        <w:tc>
          <w:tcPr>
            <w:tcW w:w="991" w:type="dxa"/>
          </w:tcPr>
          <w:p>
            <w:pPr>
              <w:pStyle w:val="TableParagraph"/>
              <w:spacing w:before="48"/>
              <w:ind w:left="180" w:right="136"/>
              <w:jc w:val="center"/>
              <w:rPr>
                <w:b/>
                <w:sz w:val="21"/>
              </w:rPr>
            </w:pPr>
            <w:r>
              <w:rPr>
                <w:b/>
                <w:sz w:val="21"/>
              </w:rPr>
              <w:t>9.1.16</w:t>
            </w:r>
          </w:p>
        </w:tc>
        <w:tc>
          <w:tcPr>
            <w:tcW w:w="1384" w:type="dxa"/>
          </w:tcPr>
          <w:p>
            <w:pPr>
              <w:pStyle w:val="TableParagraph"/>
              <w:spacing w:line="273" w:lineRule="auto" w:before="48"/>
              <w:ind w:left="154" w:right="171"/>
              <w:rPr>
                <w:b/>
                <w:sz w:val="21"/>
              </w:rPr>
            </w:pPr>
            <w:r>
              <w:rPr>
                <w:b/>
                <w:sz w:val="21"/>
              </w:rPr>
              <w:t>心脏瓣膜手术</w:t>
            </w:r>
          </w:p>
        </w:tc>
        <w:tc>
          <w:tcPr>
            <w:tcW w:w="7462" w:type="dxa"/>
          </w:tcPr>
          <w:p>
            <w:pPr>
              <w:pStyle w:val="TableParagraph"/>
              <w:spacing w:before="48"/>
              <w:rPr>
                <w:sz w:val="21"/>
              </w:rPr>
            </w:pPr>
            <w:r>
              <w:rPr>
                <w:sz w:val="21"/>
              </w:rPr>
              <w:t>指为治疗心脏瓣膜疾病，实际实施了开胸进行的心脏瓣膜置换或修复的手术。</w:t>
            </w:r>
          </w:p>
        </w:tc>
      </w:tr>
      <w:tr>
        <w:trPr>
          <w:trHeight w:val="2092" w:hRule="atLeast"/>
        </w:trPr>
        <w:tc>
          <w:tcPr>
            <w:tcW w:w="991" w:type="dxa"/>
          </w:tcPr>
          <w:p>
            <w:pPr>
              <w:pStyle w:val="TableParagraph"/>
              <w:spacing w:before="48"/>
              <w:ind w:left="180" w:right="136"/>
              <w:jc w:val="center"/>
              <w:rPr>
                <w:b/>
                <w:sz w:val="21"/>
              </w:rPr>
            </w:pPr>
            <w:r>
              <w:rPr>
                <w:b/>
                <w:sz w:val="21"/>
              </w:rPr>
              <w:t>9.1.17</w:t>
            </w:r>
          </w:p>
        </w:tc>
        <w:tc>
          <w:tcPr>
            <w:tcW w:w="1384" w:type="dxa"/>
          </w:tcPr>
          <w:p>
            <w:pPr>
              <w:pStyle w:val="TableParagraph"/>
              <w:spacing w:line="273" w:lineRule="auto" w:before="48"/>
              <w:ind w:left="154" w:right="171"/>
              <w:rPr>
                <w:b/>
                <w:sz w:val="21"/>
              </w:rPr>
            </w:pPr>
            <w:r>
              <w:rPr>
                <w:b/>
                <w:sz w:val="21"/>
              </w:rPr>
              <w:t>严重阿尔茨海默病</w:t>
            </w:r>
          </w:p>
        </w:tc>
        <w:tc>
          <w:tcPr>
            <w:tcW w:w="7462" w:type="dxa"/>
          </w:tcPr>
          <w:p>
            <w:pPr>
              <w:pStyle w:val="TableParagraph"/>
              <w:spacing w:line="273" w:lineRule="auto" w:before="48"/>
              <w:ind w:right="305"/>
              <w:jc w:val="both"/>
              <w:rPr>
                <w:sz w:val="21"/>
              </w:rPr>
            </w:pPr>
            <w:r>
              <w:rPr>
                <w:sz w:val="21"/>
              </w:rPr>
              <w:t>指因大脑进行性、不可逆性改变导致智能严重衰退或丧失，临床表现为明显的认知能力障碍、行为异常和社交能力减退，其日常生活必须持续受到他人</w:t>
            </w:r>
            <w:r>
              <w:rPr>
                <w:w w:val="100"/>
                <w:sz w:val="21"/>
              </w:rPr>
              <w:t>监护。须由头颅断层扫描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3"/>
                <w:w w:val="100"/>
                <w:sz w:val="21"/>
              </w:rPr>
              <w:t>M</w:t>
            </w:r>
            <w:r>
              <w:rPr>
                <w:w w:val="100"/>
                <w:sz w:val="21"/>
              </w:rPr>
              <w:t>R</w:t>
            </w:r>
            <w:r>
              <w:rPr>
                <w:spacing w:val="1"/>
                <w:w w:val="100"/>
                <w:sz w:val="21"/>
              </w:rPr>
              <w:t>I</w:t>
            </w:r>
            <w:r>
              <w:rPr>
                <w:w w:val="100"/>
                <w:sz w:val="21"/>
              </w:rPr>
              <w:t>）或正电子发射断层扫</w:t>
            </w:r>
            <w:r>
              <w:rPr>
                <w:spacing w:val="-15"/>
                <w:sz w:val="21"/>
              </w:rPr>
              <w:t>描</w:t>
            </w:r>
            <w:r>
              <w:rPr>
                <w:spacing w:val="-4"/>
                <w:sz w:val="21"/>
              </w:rPr>
              <w:t>（PET）</w:t>
            </w:r>
            <w:r>
              <w:rPr>
                <w:spacing w:val="-6"/>
                <w:sz w:val="21"/>
              </w:rPr>
              <w:t>等影像学检查证实，且自主生活能力完全丧失，无法独立完成六项</w:t>
            </w:r>
            <w:r>
              <w:rPr>
                <w:spacing w:val="-4"/>
                <w:sz w:val="21"/>
              </w:rPr>
              <w:t>基本日常生活活动中的三项或三项以上。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tc>
      </w:tr>
      <w:tr>
        <w:trPr>
          <w:trHeight w:val="2637" w:hRule="atLeast"/>
        </w:trPr>
        <w:tc>
          <w:tcPr>
            <w:tcW w:w="991" w:type="dxa"/>
          </w:tcPr>
          <w:p>
            <w:pPr>
              <w:pStyle w:val="TableParagraph"/>
              <w:spacing w:before="49"/>
              <w:ind w:left="180" w:right="136"/>
              <w:jc w:val="center"/>
              <w:rPr>
                <w:b/>
                <w:sz w:val="21"/>
              </w:rPr>
            </w:pPr>
            <w:r>
              <w:rPr>
                <w:b/>
                <w:sz w:val="21"/>
              </w:rPr>
              <w:t>9.1.18</w:t>
            </w:r>
          </w:p>
        </w:tc>
        <w:tc>
          <w:tcPr>
            <w:tcW w:w="1384" w:type="dxa"/>
          </w:tcPr>
          <w:p>
            <w:pPr>
              <w:pStyle w:val="TableParagraph"/>
              <w:spacing w:before="49"/>
              <w:ind w:left="154"/>
              <w:rPr>
                <w:b/>
                <w:sz w:val="21"/>
              </w:rPr>
            </w:pPr>
            <w:r>
              <w:rPr>
                <w:b/>
                <w:sz w:val="21"/>
              </w:rPr>
              <w:t>严重脑损伤</w:t>
            </w:r>
          </w:p>
        </w:tc>
        <w:tc>
          <w:tcPr>
            <w:tcW w:w="7462" w:type="dxa"/>
          </w:tcPr>
          <w:p>
            <w:pPr>
              <w:pStyle w:val="TableParagraph"/>
              <w:spacing w:line="273" w:lineRule="auto" w:before="49"/>
              <w:ind w:right="308"/>
              <w:jc w:val="both"/>
              <w:rPr>
                <w:sz w:val="21"/>
              </w:rPr>
            </w:pPr>
            <w:r>
              <w:rPr>
                <w:sz w:val="21"/>
              </w:rPr>
              <w:t>指因头部遭受机械性外力，引起脑重要部位损伤，导致神经系统永久性的功</w:t>
            </w:r>
            <w:r>
              <w:rPr>
                <w:w w:val="100"/>
                <w:sz w:val="21"/>
              </w:rPr>
              <w:t>能障碍。须由头颅断层扫描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、核磁共振检查（MRI）或正电子发射断层</w:t>
            </w:r>
            <w:r>
              <w:rPr>
                <w:spacing w:val="-2"/>
                <w:sz w:val="21"/>
              </w:rPr>
              <w:t>扫描</w:t>
            </w:r>
            <w:r>
              <w:rPr>
                <w:sz w:val="21"/>
              </w:rPr>
              <w:t>（PET）</w:t>
            </w:r>
            <w:r>
              <w:rPr>
                <w:spacing w:val="-5"/>
                <w:sz w:val="21"/>
              </w:rPr>
              <w:t>等影像学检查证实。神经系统永久性的功能障碍，指脑损伤 </w:t>
            </w:r>
            <w:r>
              <w:rPr>
                <w:spacing w:val="-3"/>
                <w:sz w:val="21"/>
              </w:rPr>
              <w:t>180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09"/>
              <w:rPr>
                <w:sz w:val="21"/>
              </w:rPr>
            </w:pPr>
            <w:r>
              <w:rPr>
                <w:sz w:val="21"/>
              </w:rPr>
              <w:t>(3)</w:t>
            </w:r>
            <w:r>
              <w:rPr>
                <w:spacing w:val="-8"/>
                <w:sz w:val="21"/>
              </w:rPr>
              <w:t>自主生活能力完全丧失，无法独立完成六项基本日常生活活动中的三项或</w:t>
            </w:r>
            <w:r>
              <w:rPr>
                <w:spacing w:val="-1"/>
                <w:sz w:val="21"/>
              </w:rPr>
              <w:t>三项以上。</w:t>
            </w:r>
          </w:p>
        </w:tc>
      </w:tr>
      <w:tr>
        <w:trPr>
          <w:trHeight w:val="2092" w:hRule="atLeast"/>
        </w:trPr>
        <w:tc>
          <w:tcPr>
            <w:tcW w:w="991" w:type="dxa"/>
          </w:tcPr>
          <w:p>
            <w:pPr>
              <w:pStyle w:val="TableParagraph"/>
              <w:spacing w:before="49"/>
              <w:ind w:left="180" w:right="136"/>
              <w:jc w:val="center"/>
              <w:rPr>
                <w:b/>
                <w:sz w:val="21"/>
              </w:rPr>
            </w:pPr>
            <w:r>
              <w:rPr>
                <w:b/>
                <w:sz w:val="21"/>
              </w:rPr>
              <w:t>9.1.19</w:t>
            </w:r>
          </w:p>
        </w:tc>
        <w:tc>
          <w:tcPr>
            <w:tcW w:w="1384" w:type="dxa"/>
          </w:tcPr>
          <w:p>
            <w:pPr>
              <w:pStyle w:val="TableParagraph"/>
              <w:spacing w:line="273" w:lineRule="auto" w:before="49"/>
              <w:ind w:left="154" w:right="171"/>
              <w:rPr>
                <w:b/>
                <w:sz w:val="21"/>
              </w:rPr>
            </w:pPr>
            <w:r>
              <w:rPr>
                <w:b/>
                <w:sz w:val="21"/>
              </w:rPr>
              <w:t>严重帕金森病</w:t>
            </w:r>
          </w:p>
        </w:tc>
        <w:tc>
          <w:tcPr>
            <w:tcW w:w="7462" w:type="dxa"/>
          </w:tcPr>
          <w:p>
            <w:pPr>
              <w:pStyle w:val="TableParagraph"/>
              <w:spacing w:line="273" w:lineRule="auto" w:before="49"/>
              <w:ind w:right="308"/>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right="309"/>
              <w:rPr>
                <w:sz w:val="21"/>
              </w:rPr>
            </w:pPr>
            <w:r>
              <w:rPr>
                <w:sz w:val="21"/>
              </w:rPr>
              <w:t>(2)</w:t>
            </w:r>
            <w:r>
              <w:rPr>
                <w:spacing w:val="-8"/>
                <w:sz w:val="21"/>
              </w:rPr>
              <w:t>自主生活能力完全丧失，无法独立完成六项基本日常生活活动中的三项或</w:t>
            </w:r>
            <w:r>
              <w:rPr>
                <w:spacing w:val="-1"/>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tc>
      </w:tr>
      <w:tr>
        <w:trPr>
          <w:trHeight w:val="765" w:hRule="atLeast"/>
        </w:trPr>
        <w:tc>
          <w:tcPr>
            <w:tcW w:w="991" w:type="dxa"/>
          </w:tcPr>
          <w:p>
            <w:pPr>
              <w:pStyle w:val="TableParagraph"/>
              <w:spacing w:before="49"/>
              <w:ind w:left="180" w:right="136"/>
              <w:jc w:val="center"/>
              <w:rPr>
                <w:b/>
                <w:sz w:val="21"/>
              </w:rPr>
            </w:pPr>
            <w:r>
              <w:rPr>
                <w:b/>
                <w:sz w:val="21"/>
              </w:rPr>
              <w:t>9.1.20</w:t>
            </w:r>
          </w:p>
        </w:tc>
        <w:tc>
          <w:tcPr>
            <w:tcW w:w="1384" w:type="dxa"/>
          </w:tcPr>
          <w:p>
            <w:pPr>
              <w:pStyle w:val="TableParagraph"/>
              <w:spacing w:line="273" w:lineRule="auto" w:before="49"/>
              <w:ind w:left="154" w:right="171"/>
              <w:rPr>
                <w:b/>
                <w:sz w:val="21"/>
              </w:rPr>
            </w:pPr>
            <w:r>
              <w:rPr>
                <w:b/>
                <w:sz w:val="21"/>
              </w:rPr>
              <w:t>严重Ⅲ度烧伤</w:t>
            </w:r>
          </w:p>
        </w:tc>
        <w:tc>
          <w:tcPr>
            <w:tcW w:w="7462" w:type="dxa"/>
          </w:tcPr>
          <w:p>
            <w:pPr>
              <w:pStyle w:val="TableParagraph"/>
              <w:spacing w:line="273" w:lineRule="auto" w:before="49"/>
              <w:ind w:right="306"/>
              <w:rPr>
                <w:sz w:val="21"/>
              </w:rPr>
            </w:pPr>
            <w:r>
              <w:rPr>
                <w:sz w:val="21"/>
              </w:rPr>
              <w:t>指烧伤程度为Ⅲ度，且Ⅲ度烧伤的面积达到全身体表面积的 20％或 20％以上。体表面积根据《中国新九分法》计算。</w:t>
            </w:r>
          </w:p>
        </w:tc>
      </w:tr>
      <w:tr>
        <w:trPr>
          <w:trHeight w:val="1077" w:hRule="atLeast"/>
        </w:trPr>
        <w:tc>
          <w:tcPr>
            <w:tcW w:w="991" w:type="dxa"/>
          </w:tcPr>
          <w:p>
            <w:pPr>
              <w:pStyle w:val="TableParagraph"/>
              <w:spacing w:before="48"/>
              <w:ind w:left="180" w:right="136"/>
              <w:jc w:val="center"/>
              <w:rPr>
                <w:b/>
                <w:sz w:val="21"/>
              </w:rPr>
            </w:pPr>
            <w:r>
              <w:rPr>
                <w:b/>
                <w:sz w:val="21"/>
              </w:rPr>
              <w:t>9.1.21</w:t>
            </w:r>
          </w:p>
        </w:tc>
        <w:tc>
          <w:tcPr>
            <w:tcW w:w="1384" w:type="dxa"/>
          </w:tcPr>
          <w:p>
            <w:pPr>
              <w:pStyle w:val="TableParagraph"/>
              <w:spacing w:line="273" w:lineRule="auto" w:before="48"/>
              <w:ind w:left="154" w:right="171"/>
              <w:rPr>
                <w:b/>
                <w:sz w:val="21"/>
              </w:rPr>
            </w:pPr>
            <w:r>
              <w:rPr>
                <w:b/>
                <w:sz w:val="21"/>
              </w:rPr>
              <w:t>严重原发性肺动脉高压</w:t>
            </w:r>
          </w:p>
        </w:tc>
        <w:tc>
          <w:tcPr>
            <w:tcW w:w="7462" w:type="dxa"/>
          </w:tcPr>
          <w:p>
            <w:pPr>
              <w:pStyle w:val="TableParagraph"/>
              <w:spacing w:line="273" w:lineRule="auto" w:before="48"/>
              <w:ind w:right="308"/>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89" w:hRule="atLeast"/>
        </w:trPr>
        <w:tc>
          <w:tcPr>
            <w:tcW w:w="991" w:type="dxa"/>
          </w:tcPr>
          <w:p>
            <w:pPr>
              <w:pStyle w:val="TableParagraph"/>
              <w:spacing w:before="48"/>
              <w:ind w:left="180" w:right="136"/>
              <w:jc w:val="center"/>
              <w:rPr>
                <w:b/>
                <w:sz w:val="21"/>
              </w:rPr>
            </w:pPr>
            <w:r>
              <w:rPr>
                <w:b/>
                <w:sz w:val="21"/>
              </w:rPr>
              <w:t>9.1.22</w:t>
            </w:r>
          </w:p>
        </w:tc>
        <w:tc>
          <w:tcPr>
            <w:tcW w:w="1384" w:type="dxa"/>
          </w:tcPr>
          <w:p>
            <w:pPr>
              <w:pStyle w:val="TableParagraph"/>
              <w:spacing w:line="273" w:lineRule="auto" w:before="48"/>
              <w:ind w:left="154" w:right="171"/>
              <w:rPr>
                <w:b/>
                <w:sz w:val="21"/>
              </w:rPr>
            </w:pPr>
            <w:r>
              <w:rPr>
                <w:b/>
                <w:sz w:val="21"/>
              </w:rPr>
              <w:t>严重运动神经元病</w:t>
            </w:r>
          </w:p>
        </w:tc>
        <w:tc>
          <w:tcPr>
            <w:tcW w:w="7462" w:type="dxa"/>
          </w:tcPr>
          <w:p>
            <w:pPr>
              <w:pStyle w:val="TableParagraph"/>
              <w:spacing w:line="273" w:lineRule="auto" w:before="48"/>
              <w:ind w:right="199"/>
              <w:rPr>
                <w:sz w:val="21"/>
              </w:rPr>
            </w:pPr>
            <w:r>
              <w:rPr>
                <w:spacing w:val="-6"/>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w:t>
            </w:r>
            <w:r>
              <w:rPr>
                <w:spacing w:val="-4"/>
                <w:sz w:val="21"/>
              </w:rPr>
              <w:t>上的条件。</w:t>
            </w:r>
          </w:p>
        </w:tc>
      </w:tr>
      <w:tr>
        <w:trPr>
          <w:trHeight w:val="644" w:hRule="atLeast"/>
        </w:trPr>
        <w:tc>
          <w:tcPr>
            <w:tcW w:w="991" w:type="dxa"/>
          </w:tcPr>
          <w:p>
            <w:pPr>
              <w:pStyle w:val="TableParagraph"/>
              <w:spacing w:before="48"/>
              <w:ind w:left="180" w:right="136"/>
              <w:jc w:val="center"/>
              <w:rPr>
                <w:b/>
                <w:sz w:val="21"/>
              </w:rPr>
            </w:pPr>
            <w:r>
              <w:rPr>
                <w:b/>
                <w:sz w:val="21"/>
              </w:rPr>
              <w:t>9.1.23</w:t>
            </w:r>
          </w:p>
        </w:tc>
        <w:tc>
          <w:tcPr>
            <w:tcW w:w="1384" w:type="dxa"/>
          </w:tcPr>
          <w:p>
            <w:pPr>
              <w:pStyle w:val="TableParagraph"/>
              <w:spacing w:line="310" w:lineRule="atLeast" w:before="13"/>
              <w:ind w:left="154" w:right="171"/>
              <w:rPr>
                <w:b/>
                <w:sz w:val="21"/>
              </w:rPr>
            </w:pPr>
            <w:r>
              <w:rPr>
                <w:b/>
                <w:sz w:val="21"/>
              </w:rPr>
              <w:t>语言能力丧失</w:t>
            </w:r>
          </w:p>
        </w:tc>
        <w:tc>
          <w:tcPr>
            <w:tcW w:w="7462" w:type="dxa"/>
          </w:tcPr>
          <w:p>
            <w:pPr>
              <w:pStyle w:val="TableParagraph"/>
              <w:spacing w:line="310" w:lineRule="atLeast" w:before="13"/>
              <w:ind w:right="308"/>
              <w:rPr>
                <w:sz w:val="21"/>
              </w:rPr>
            </w:pPr>
            <w:r>
              <w:rPr>
                <w:spacing w:val="-8"/>
                <w:sz w:val="21"/>
              </w:rPr>
              <w:t>指因疾病或意外伤害导致完全丧失语言能力，经过积极治疗至少 </w:t>
            </w:r>
            <w:r>
              <w:rPr>
                <w:sz w:val="21"/>
              </w:rPr>
              <w:t>12</w:t>
            </w:r>
            <w:r>
              <w:rPr>
                <w:spacing w:val="-13"/>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tc>
      </w:tr>
    </w:tbl>
    <w:p>
      <w:pPr>
        <w:spacing w:after="0" w:line="310" w:lineRule="atLeast"/>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84"/>
        <w:gridCol w:w="7357"/>
      </w:tblGrid>
      <w:tr>
        <w:trPr>
          <w:trHeight w:val="332" w:hRule="atLeast"/>
        </w:trPr>
        <w:tc>
          <w:tcPr>
            <w:tcW w:w="991" w:type="dxa"/>
          </w:tcPr>
          <w:p>
            <w:pPr>
              <w:pStyle w:val="TableParagraph"/>
              <w:ind w:left="0"/>
              <w:rPr>
                <w:rFonts w:ascii="Times New Roman"/>
                <w:sz w:val="20"/>
              </w:rPr>
            </w:pPr>
          </w:p>
        </w:tc>
        <w:tc>
          <w:tcPr>
            <w:tcW w:w="1384" w:type="dxa"/>
          </w:tcPr>
          <w:p>
            <w:pPr>
              <w:pStyle w:val="TableParagraph"/>
              <w:ind w:left="0"/>
              <w:rPr>
                <w:rFonts w:ascii="Times New Roman"/>
                <w:sz w:val="20"/>
              </w:rPr>
            </w:pPr>
          </w:p>
        </w:tc>
        <w:tc>
          <w:tcPr>
            <w:tcW w:w="7357" w:type="dxa"/>
          </w:tcPr>
          <w:p>
            <w:pPr>
              <w:pStyle w:val="TableParagraph"/>
              <w:spacing w:line="202" w:lineRule="exact"/>
              <w:rPr>
                <w:rFonts w:ascii="黑体" w:eastAsia="黑体" w:hint="eastAsia"/>
                <w:sz w:val="21"/>
              </w:rPr>
            </w:pPr>
            <w:r>
              <w:rPr>
                <w:rFonts w:ascii="黑体" w:eastAsia="黑体" w:hint="eastAsia"/>
                <w:sz w:val="21"/>
              </w:rPr>
              <w:t>精神心理因素所致的语言能力丧失不在保障范围内。</w:t>
            </w:r>
          </w:p>
        </w:tc>
      </w:tr>
      <w:tr>
        <w:trPr>
          <w:trHeight w:val="2325" w:hRule="atLeast"/>
        </w:trPr>
        <w:tc>
          <w:tcPr>
            <w:tcW w:w="991" w:type="dxa"/>
          </w:tcPr>
          <w:p>
            <w:pPr>
              <w:pStyle w:val="TableParagraph"/>
              <w:spacing w:before="48"/>
              <w:ind w:left="180" w:right="136"/>
              <w:jc w:val="center"/>
              <w:rPr>
                <w:b/>
                <w:sz w:val="21"/>
              </w:rPr>
            </w:pPr>
            <w:r>
              <w:rPr>
                <w:b/>
                <w:sz w:val="21"/>
              </w:rPr>
              <w:t>9.1.24</w:t>
            </w:r>
          </w:p>
        </w:tc>
        <w:tc>
          <w:tcPr>
            <w:tcW w:w="1384" w:type="dxa"/>
          </w:tcPr>
          <w:p>
            <w:pPr>
              <w:pStyle w:val="TableParagraph"/>
              <w:spacing w:line="273" w:lineRule="auto" w:before="48"/>
              <w:ind w:left="154" w:right="171"/>
              <w:rPr>
                <w:b/>
                <w:sz w:val="21"/>
              </w:rPr>
            </w:pPr>
            <w:r>
              <w:rPr>
                <w:b/>
                <w:sz w:val="21"/>
              </w:rPr>
              <w:t>重型再生障碍性贫血</w:t>
            </w:r>
          </w:p>
        </w:tc>
        <w:tc>
          <w:tcPr>
            <w:tcW w:w="7357" w:type="dxa"/>
          </w:tcPr>
          <w:p>
            <w:pPr>
              <w:pStyle w:val="TableParagraph"/>
              <w:spacing w:line="273" w:lineRule="auto" w:before="48"/>
              <w:ind w:right="203"/>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97"/>
              <w:rPr>
                <w:sz w:val="21"/>
              </w:rPr>
            </w:pPr>
            <w:r>
              <w:rPr>
                <w:sz w:val="21"/>
              </w:rPr>
              <w:t>①中性粒细胞绝对值≤0.5×10</w:t>
            </w:r>
            <w:r>
              <w:rPr>
                <w:position w:val="11"/>
                <w:sz w:val="11"/>
              </w:rPr>
              <w:t>9</w:t>
            </w:r>
            <w:r>
              <w:rPr>
                <w:sz w:val="21"/>
              </w:rPr>
              <w:t>/L ；</w:t>
            </w:r>
          </w:p>
          <w:p>
            <w:pPr>
              <w:pStyle w:val="TableParagraph"/>
              <w:spacing w:before="37"/>
              <w:ind w:left="697"/>
              <w:rPr>
                <w:sz w:val="21"/>
              </w:rPr>
            </w:pPr>
            <w:r>
              <w:rPr>
                <w:sz w:val="21"/>
              </w:rPr>
              <w:t>②网织红细胞＜1%；</w:t>
            </w:r>
          </w:p>
          <w:p>
            <w:pPr>
              <w:pStyle w:val="TableParagraph"/>
              <w:spacing w:before="37"/>
              <w:ind w:left="698"/>
              <w:rPr>
                <w:sz w:val="21"/>
              </w:rPr>
            </w:pPr>
            <w:r>
              <w:rPr>
                <w:sz w:val="21"/>
              </w:rPr>
              <w:t>③血小板绝对值≤20×10</w:t>
            </w:r>
            <w:r>
              <w:rPr>
                <w:position w:val="11"/>
                <w:sz w:val="11"/>
              </w:rPr>
              <w:t>9</w:t>
            </w:r>
            <w:r>
              <w:rPr>
                <w:sz w:val="21"/>
              </w:rPr>
              <w:t>/L。</w:t>
            </w:r>
          </w:p>
        </w:tc>
      </w:tr>
      <w:tr>
        <w:trPr>
          <w:trHeight w:val="1468" w:hRule="atLeast"/>
        </w:trPr>
        <w:tc>
          <w:tcPr>
            <w:tcW w:w="991" w:type="dxa"/>
          </w:tcPr>
          <w:p>
            <w:pPr>
              <w:pStyle w:val="TableParagraph"/>
              <w:spacing w:before="48"/>
              <w:ind w:left="180" w:right="136"/>
              <w:jc w:val="center"/>
              <w:rPr>
                <w:b/>
                <w:sz w:val="21"/>
              </w:rPr>
            </w:pPr>
            <w:r>
              <w:rPr>
                <w:b/>
                <w:sz w:val="21"/>
              </w:rPr>
              <w:t>9.1.25</w:t>
            </w:r>
          </w:p>
        </w:tc>
        <w:tc>
          <w:tcPr>
            <w:tcW w:w="1384" w:type="dxa"/>
          </w:tcPr>
          <w:p>
            <w:pPr>
              <w:pStyle w:val="TableParagraph"/>
              <w:spacing w:before="48"/>
              <w:ind w:left="136" w:right="152"/>
              <w:jc w:val="center"/>
              <w:rPr>
                <w:b/>
                <w:sz w:val="21"/>
              </w:rPr>
            </w:pPr>
            <w:r>
              <w:rPr>
                <w:b/>
                <w:sz w:val="21"/>
              </w:rPr>
              <w:t>主动脉手术</w:t>
            </w:r>
          </w:p>
        </w:tc>
        <w:tc>
          <w:tcPr>
            <w:tcW w:w="7357" w:type="dxa"/>
          </w:tcPr>
          <w:p>
            <w:pPr>
              <w:pStyle w:val="TableParagraph"/>
              <w:spacing w:line="273" w:lineRule="auto" w:before="48"/>
              <w:ind w:right="2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jc w:val="both"/>
              <w:rPr>
                <w:rFonts w:ascii="黑体" w:eastAsia="黑体" w:hint="eastAsia"/>
                <w:sz w:val="21"/>
              </w:rPr>
            </w:pPr>
            <w:r>
              <w:rPr>
                <w:rFonts w:ascii="黑体" w:eastAsia="黑体" w:hint="eastAsia"/>
                <w:sz w:val="21"/>
              </w:rPr>
              <w:t>动脉内血管成形术不在保障范围内。</w:t>
            </w:r>
          </w:p>
        </w:tc>
      </w:tr>
      <w:tr>
        <w:trPr>
          <w:trHeight w:val="2013" w:hRule="atLeast"/>
        </w:trPr>
        <w:tc>
          <w:tcPr>
            <w:tcW w:w="991" w:type="dxa"/>
          </w:tcPr>
          <w:p>
            <w:pPr>
              <w:pStyle w:val="TableParagraph"/>
              <w:spacing w:before="49"/>
              <w:ind w:left="180" w:right="136"/>
              <w:jc w:val="center"/>
              <w:rPr>
                <w:b/>
                <w:sz w:val="21"/>
              </w:rPr>
            </w:pPr>
            <w:r>
              <w:rPr>
                <w:b/>
                <w:sz w:val="21"/>
              </w:rPr>
              <w:t>9.1.26</w:t>
            </w:r>
          </w:p>
        </w:tc>
        <w:tc>
          <w:tcPr>
            <w:tcW w:w="1384" w:type="dxa"/>
          </w:tcPr>
          <w:p>
            <w:pPr>
              <w:pStyle w:val="TableParagraph"/>
              <w:spacing w:line="273" w:lineRule="auto" w:before="49"/>
              <w:ind w:left="154" w:right="171"/>
              <w:rPr>
                <w:b/>
                <w:sz w:val="21"/>
              </w:rPr>
            </w:pPr>
            <w:r>
              <w:rPr>
                <w:b/>
                <w:sz w:val="21"/>
              </w:rPr>
              <w:t>严重多发性硬化症</w:t>
            </w:r>
          </w:p>
        </w:tc>
        <w:tc>
          <w:tcPr>
            <w:tcW w:w="7357" w:type="dxa"/>
          </w:tcPr>
          <w:p>
            <w:pPr>
              <w:pStyle w:val="TableParagraph"/>
              <w:spacing w:line="273" w:lineRule="auto" w:before="49"/>
              <w:ind w:right="203"/>
              <w:jc w:val="both"/>
              <w:rPr>
                <w:sz w:val="21"/>
              </w:rPr>
            </w:pPr>
            <w:r>
              <w:rPr>
                <w:sz w:val="21"/>
              </w:rPr>
              <w:t>多发性硬化为中枢神经系统白质多灶性脱髓鞘病变，病变有时累及灰质。多发性硬化必须明确诊断，并且已经造成永久不可逆的神经系统功能损害。永</w:t>
            </w:r>
            <w:r>
              <w:rPr>
                <w:spacing w:val="-4"/>
                <w:sz w:val="21"/>
              </w:rPr>
              <w:t>久不可逆的神经系统损害指被保险人持续 </w:t>
            </w:r>
            <w:r>
              <w:rPr>
                <w:sz w:val="21"/>
              </w:rPr>
              <w:t>180</w:t>
            </w:r>
            <w:r>
              <w:rPr>
                <w:spacing w:val="-5"/>
                <w:sz w:val="21"/>
              </w:rPr>
              <w:t> 天无法独立完成下列基本日常</w:t>
            </w:r>
            <w:r>
              <w:rPr>
                <w:spacing w:val="-1"/>
                <w:sz w:val="21"/>
              </w:rPr>
              <w:t>生活活动：</w:t>
            </w:r>
          </w:p>
          <w:p>
            <w:pPr>
              <w:pStyle w:val="TableParagraph"/>
              <w:spacing w:before="8"/>
              <w:jc w:val="both"/>
              <w:rPr>
                <w:sz w:val="21"/>
              </w:rPr>
            </w:pPr>
            <w:r>
              <w:rPr>
                <w:sz w:val="21"/>
              </w:rPr>
              <w:t>(1)移动：自己从一个房间到另一个房间；或者</w:t>
            </w:r>
          </w:p>
          <w:p>
            <w:pPr>
              <w:pStyle w:val="TableParagraph"/>
              <w:spacing w:before="37"/>
              <w:jc w:val="both"/>
              <w:rPr>
                <w:sz w:val="21"/>
              </w:rPr>
            </w:pPr>
            <w:r>
              <w:rPr>
                <w:sz w:val="21"/>
              </w:rPr>
              <w:t>(2)进食：自己从已准备好的碗或碟中取食物放入口中。</w:t>
            </w:r>
          </w:p>
        </w:tc>
      </w:tr>
      <w:tr>
        <w:trPr>
          <w:trHeight w:val="1302" w:hRule="atLeast"/>
        </w:trPr>
        <w:tc>
          <w:tcPr>
            <w:tcW w:w="991" w:type="dxa"/>
          </w:tcPr>
          <w:p>
            <w:pPr>
              <w:pStyle w:val="TableParagraph"/>
              <w:spacing w:before="49"/>
              <w:ind w:left="180" w:right="136"/>
              <w:jc w:val="center"/>
              <w:rPr>
                <w:b/>
                <w:sz w:val="21"/>
              </w:rPr>
            </w:pPr>
            <w:r>
              <w:rPr>
                <w:b/>
                <w:sz w:val="21"/>
              </w:rPr>
              <w:t>9.1.27</w:t>
            </w:r>
          </w:p>
        </w:tc>
        <w:tc>
          <w:tcPr>
            <w:tcW w:w="1384" w:type="dxa"/>
          </w:tcPr>
          <w:p>
            <w:pPr>
              <w:pStyle w:val="TableParagraph"/>
              <w:spacing w:before="49"/>
              <w:ind w:left="136" w:right="152"/>
              <w:jc w:val="center"/>
              <w:rPr>
                <w:b/>
                <w:sz w:val="21"/>
              </w:rPr>
            </w:pPr>
            <w:r>
              <w:rPr>
                <w:b/>
                <w:sz w:val="21"/>
              </w:rPr>
              <w:t>严重冠心病</w:t>
            </w:r>
          </w:p>
        </w:tc>
        <w:tc>
          <w:tcPr>
            <w:tcW w:w="7357" w:type="dxa"/>
          </w:tcPr>
          <w:p>
            <w:pPr>
              <w:pStyle w:val="TableParagraph"/>
              <w:spacing w:line="237" w:lineRule="auto" w:before="92"/>
              <w:ind w:right="198"/>
              <w:jc w:val="both"/>
              <w:rPr>
                <w:rFonts w:ascii="黑体" w:eastAsia="黑体" w:hint="eastAsia"/>
                <w:sz w:val="21"/>
              </w:rPr>
            </w:pPr>
            <w:r>
              <w:rPr>
                <w:sz w:val="21"/>
              </w:rPr>
              <w:t>指根据冠状动脉造影检查结果确诊的三支主要血管(左冠状动脉主干和右冠状动脉，或前降支、左旋支和右冠状动脉)严重狭窄性病变(至少一支血管管</w:t>
            </w:r>
            <w:r>
              <w:rPr>
                <w:spacing w:val="-5"/>
                <w:sz w:val="21"/>
              </w:rPr>
              <w:t>腔直径减少 </w:t>
            </w:r>
            <w:r>
              <w:rPr>
                <w:sz w:val="21"/>
              </w:rPr>
              <w:t>75</w:t>
            </w:r>
            <w:r>
              <w:rPr>
                <w:spacing w:val="-4"/>
                <w:sz w:val="21"/>
              </w:rPr>
              <w:t>%以上和其他两支血管管腔直径减少 </w:t>
            </w:r>
            <w:r>
              <w:rPr>
                <w:sz w:val="21"/>
              </w:rPr>
              <w:t>60%</w:t>
            </w:r>
            <w:r>
              <w:rPr>
                <w:spacing w:val="-3"/>
                <w:sz w:val="21"/>
              </w:rPr>
              <w:t>以上)。</w:t>
            </w:r>
            <w:r>
              <w:rPr>
                <w:rFonts w:ascii="黑体" w:eastAsia="黑体" w:hint="eastAsia"/>
                <w:spacing w:val="-3"/>
                <w:sz w:val="21"/>
              </w:rPr>
              <w:t>前降支、左旋支及右冠状动脉的分支血管的狭窄不作为本保障的衡量指标。</w:t>
            </w:r>
          </w:p>
        </w:tc>
      </w:tr>
      <w:tr>
        <w:trPr>
          <w:trHeight w:val="2083" w:hRule="atLeast"/>
        </w:trPr>
        <w:tc>
          <w:tcPr>
            <w:tcW w:w="991" w:type="dxa"/>
          </w:tcPr>
          <w:p>
            <w:pPr>
              <w:pStyle w:val="TableParagraph"/>
              <w:spacing w:before="40"/>
              <w:ind w:left="180" w:right="136"/>
              <w:jc w:val="center"/>
              <w:rPr>
                <w:b/>
                <w:sz w:val="21"/>
              </w:rPr>
            </w:pPr>
            <w:r>
              <w:rPr>
                <w:b/>
                <w:sz w:val="21"/>
              </w:rPr>
              <w:t>9.1.28</w:t>
            </w:r>
          </w:p>
        </w:tc>
        <w:tc>
          <w:tcPr>
            <w:tcW w:w="1384" w:type="dxa"/>
          </w:tcPr>
          <w:p>
            <w:pPr>
              <w:pStyle w:val="TableParagraph"/>
              <w:spacing w:line="273" w:lineRule="auto" w:before="40"/>
              <w:ind w:left="154" w:right="171"/>
              <w:rPr>
                <w:b/>
                <w:sz w:val="21"/>
              </w:rPr>
            </w:pPr>
            <w:r>
              <w:rPr>
                <w:b/>
                <w:sz w:val="21"/>
              </w:rPr>
              <w:t>严重慢性呼吸功能衰竭</w:t>
            </w:r>
          </w:p>
        </w:tc>
        <w:tc>
          <w:tcPr>
            <w:tcW w:w="7357" w:type="dxa"/>
          </w:tcPr>
          <w:p>
            <w:pPr>
              <w:pStyle w:val="TableParagraph"/>
              <w:spacing w:line="273" w:lineRule="auto" w:before="40"/>
              <w:ind w:right="245"/>
              <w:rPr>
                <w:sz w:val="21"/>
              </w:rPr>
            </w:pPr>
            <w:r>
              <w:rPr>
                <w:sz w:val="21"/>
              </w:rPr>
              <w:t>慢性肺部疾病导致永久不可逆性的慢性呼吸功能衰竭，必须由呼吸专科医师确认并符合下列所有条件：</w:t>
            </w:r>
          </w:p>
          <w:p>
            <w:pPr>
              <w:pStyle w:val="TableParagraph"/>
              <w:spacing w:before="7"/>
              <w:rPr>
                <w:sz w:val="21"/>
              </w:rPr>
            </w:pPr>
            <w:r>
              <w:rPr>
                <w:sz w:val="21"/>
              </w:rPr>
              <w:t>(1)肺功能测试其 FEV1 持续低于 0.75 升；</w:t>
            </w:r>
          </w:p>
          <w:p>
            <w:pPr>
              <w:pStyle w:val="TableParagraph"/>
              <w:spacing w:before="36"/>
              <w:rPr>
                <w:sz w:val="21"/>
              </w:rPr>
            </w:pPr>
            <w:r>
              <w:rPr>
                <w:sz w:val="21"/>
              </w:rPr>
              <w:t>(2)病人缺氧必须广泛而持续地进行输氧治疗；</w:t>
            </w:r>
          </w:p>
          <w:p>
            <w:pPr>
              <w:pStyle w:val="TableParagraph"/>
              <w:spacing w:before="36"/>
              <w:rPr>
                <w:sz w:val="21"/>
              </w:rPr>
            </w:pPr>
            <w:r>
              <w:rPr>
                <w:sz w:val="21"/>
              </w:rPr>
              <w:t>(3)动脉血气分析氧分压低于 55mmHg。</w:t>
            </w:r>
          </w:p>
          <w:p>
            <w:pPr>
              <w:pStyle w:val="TableParagraph"/>
              <w:spacing w:before="113"/>
              <w:rPr>
                <w:sz w:val="21"/>
              </w:rPr>
            </w:pPr>
            <w:r>
              <w:rPr>
                <w:sz w:val="21"/>
              </w:rPr>
              <w:t>理赔时必须提供以上三项相应的证明文件或检查报告。</w:t>
            </w:r>
          </w:p>
        </w:tc>
      </w:tr>
      <w:tr>
        <w:trPr>
          <w:trHeight w:val="1380" w:hRule="atLeast"/>
        </w:trPr>
        <w:tc>
          <w:tcPr>
            <w:tcW w:w="991" w:type="dxa"/>
          </w:tcPr>
          <w:p>
            <w:pPr>
              <w:pStyle w:val="TableParagraph"/>
              <w:spacing w:before="50"/>
              <w:ind w:left="180" w:right="136"/>
              <w:jc w:val="center"/>
              <w:rPr>
                <w:b/>
                <w:sz w:val="21"/>
              </w:rPr>
            </w:pPr>
            <w:r>
              <w:rPr>
                <w:b/>
                <w:sz w:val="21"/>
              </w:rPr>
              <w:t>9.1.29</w:t>
            </w:r>
          </w:p>
        </w:tc>
        <w:tc>
          <w:tcPr>
            <w:tcW w:w="1384" w:type="dxa"/>
          </w:tcPr>
          <w:p>
            <w:pPr>
              <w:pStyle w:val="TableParagraph"/>
              <w:spacing w:line="273" w:lineRule="auto" w:before="50"/>
              <w:ind w:left="154" w:right="171"/>
              <w:rPr>
                <w:b/>
                <w:sz w:val="21"/>
              </w:rPr>
            </w:pPr>
            <w:r>
              <w:rPr>
                <w:b/>
                <w:sz w:val="21"/>
              </w:rPr>
              <w:t>严重原发性心肌病</w:t>
            </w:r>
          </w:p>
        </w:tc>
        <w:tc>
          <w:tcPr>
            <w:tcW w:w="7357" w:type="dxa"/>
          </w:tcPr>
          <w:p>
            <w:pPr>
              <w:pStyle w:val="TableParagraph"/>
              <w:spacing w:line="235" w:lineRule="auto" w:before="96"/>
              <w:ind w:right="203"/>
              <w:jc w:val="both"/>
              <w:rPr>
                <w:sz w:val="21"/>
              </w:rPr>
            </w:pPr>
            <w:r>
              <w:rPr>
                <w:sz w:val="21"/>
              </w:rPr>
              <w:t>指因原发性心肌病导致心室功能损害造成永久不可逆性的心功能衰竭，心功</w:t>
            </w:r>
            <w:r>
              <w:rPr>
                <w:spacing w:val="-5"/>
                <w:sz w:val="21"/>
              </w:rPr>
              <w:t>能衰竭程度达到美国纽约心脏病学会心功能状态分级 </w:t>
            </w:r>
            <w:r>
              <w:rPr>
                <w:sz w:val="21"/>
              </w:rPr>
              <w:t>IV</w:t>
            </w:r>
            <w:r>
              <w:rPr>
                <w:spacing w:val="-13"/>
                <w:sz w:val="21"/>
              </w:rPr>
              <w:t> 级。必须由心脏专科</w:t>
            </w:r>
            <w:r>
              <w:rPr>
                <w:spacing w:val="-3"/>
                <w:sz w:val="21"/>
              </w:rPr>
              <w:t>医生确诊，并有包括超声心动图在内的相关检查证实。</w:t>
            </w:r>
          </w:p>
          <w:p>
            <w:pPr>
              <w:pStyle w:val="TableParagraph"/>
              <w:spacing w:before="77"/>
              <w:jc w:val="both"/>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1069" w:hRule="atLeast"/>
        </w:trPr>
        <w:tc>
          <w:tcPr>
            <w:tcW w:w="991" w:type="dxa"/>
          </w:tcPr>
          <w:p>
            <w:pPr>
              <w:pStyle w:val="TableParagraph"/>
              <w:spacing w:before="40"/>
              <w:ind w:left="180" w:right="136"/>
              <w:jc w:val="center"/>
              <w:rPr>
                <w:b/>
                <w:sz w:val="21"/>
              </w:rPr>
            </w:pPr>
            <w:r>
              <w:rPr>
                <w:b/>
                <w:sz w:val="21"/>
              </w:rPr>
              <w:t>9.1.30</w:t>
            </w:r>
          </w:p>
        </w:tc>
        <w:tc>
          <w:tcPr>
            <w:tcW w:w="1384" w:type="dxa"/>
          </w:tcPr>
          <w:p>
            <w:pPr>
              <w:pStyle w:val="TableParagraph"/>
              <w:spacing w:before="40"/>
              <w:ind w:left="136" w:right="152"/>
              <w:jc w:val="center"/>
              <w:rPr>
                <w:b/>
                <w:sz w:val="21"/>
              </w:rPr>
            </w:pPr>
            <w:r>
              <w:rPr>
                <w:b/>
                <w:sz w:val="21"/>
              </w:rPr>
              <w:t>严重克隆病</w:t>
            </w:r>
          </w:p>
        </w:tc>
        <w:tc>
          <w:tcPr>
            <w:tcW w:w="7357" w:type="dxa"/>
          </w:tcPr>
          <w:p>
            <w:pPr>
              <w:pStyle w:val="TableParagraph"/>
              <w:spacing w:line="273" w:lineRule="auto" w:before="40"/>
              <w:ind w:right="245"/>
              <w:jc w:val="both"/>
              <w:rPr>
                <w:sz w:val="21"/>
              </w:rPr>
            </w:pPr>
            <w:r>
              <w:rPr>
                <w:sz w:val="21"/>
              </w:rPr>
              <w:t>伴有肠梗阻或肠穿孔是一种慢性肉芽肿性肠炎，具有特征性的克隆病病理组织学变化。疾病诊断必须经专科医师确认被保险人所患的克隆病已经造成瘘管形成并伴有肠梗阻或肠穿孔。</w:t>
            </w:r>
          </w:p>
        </w:tc>
      </w:tr>
      <w:tr>
        <w:trPr>
          <w:trHeight w:val="1892" w:hRule="atLeast"/>
        </w:trPr>
        <w:tc>
          <w:tcPr>
            <w:tcW w:w="991" w:type="dxa"/>
          </w:tcPr>
          <w:p>
            <w:pPr>
              <w:pStyle w:val="TableParagraph"/>
              <w:spacing w:before="48"/>
              <w:ind w:left="180" w:right="136"/>
              <w:jc w:val="center"/>
              <w:rPr>
                <w:b/>
                <w:sz w:val="21"/>
              </w:rPr>
            </w:pPr>
            <w:r>
              <w:rPr>
                <w:b/>
                <w:sz w:val="21"/>
              </w:rPr>
              <w:t>9.1.31</w:t>
            </w:r>
          </w:p>
        </w:tc>
        <w:tc>
          <w:tcPr>
            <w:tcW w:w="1384" w:type="dxa"/>
          </w:tcPr>
          <w:p>
            <w:pPr>
              <w:pStyle w:val="TableParagraph"/>
              <w:spacing w:line="273" w:lineRule="auto" w:before="48"/>
              <w:ind w:left="154" w:right="171"/>
              <w:jc w:val="both"/>
              <w:rPr>
                <w:b/>
                <w:sz w:val="21"/>
              </w:rPr>
            </w:pPr>
            <w:r>
              <w:rPr>
                <w:b/>
                <w:sz w:val="21"/>
              </w:rPr>
              <w:t>慢性肾上腺皮质功能衰竭</w:t>
            </w:r>
          </w:p>
        </w:tc>
        <w:tc>
          <w:tcPr>
            <w:tcW w:w="7357" w:type="dxa"/>
          </w:tcPr>
          <w:p>
            <w:pPr>
              <w:pStyle w:val="TableParagraph"/>
              <w:spacing w:line="273" w:lineRule="auto" w:before="48"/>
              <w:ind w:right="245"/>
              <w:jc w:val="both"/>
              <w:rPr>
                <w:sz w:val="21"/>
              </w:rPr>
            </w:pPr>
            <w:r>
              <w:rPr>
                <w:sz w:val="21"/>
              </w:rPr>
              <w:t>因为自身免疫功能紊乱，使肾上腺组织逐渐受损，而需要长期接受糖皮质激素及肾上腺皮质激素替代疗法。该病必须经内分泌专科医生确诊，并有以下全部检查结果异常的报告作为证据：</w:t>
            </w:r>
          </w:p>
          <w:p>
            <w:pPr>
              <w:pStyle w:val="TableParagraph"/>
              <w:spacing w:before="7"/>
              <w:jc w:val="both"/>
              <w:rPr>
                <w:sz w:val="21"/>
              </w:rPr>
            </w:pPr>
            <w:r>
              <w:rPr>
                <w:sz w:val="21"/>
              </w:rPr>
              <w:t>(1)促肾上腺皮质激素(ACTH)刺激试验；</w:t>
            </w:r>
          </w:p>
          <w:p>
            <w:pPr>
              <w:pStyle w:val="TableParagraph"/>
              <w:spacing w:before="37"/>
              <w:jc w:val="both"/>
              <w:rPr>
                <w:sz w:val="21"/>
              </w:rPr>
            </w:pPr>
            <w:r>
              <w:rPr>
                <w:sz w:val="21"/>
              </w:rPr>
              <w:t>(2)胰岛素血糖减少测试；</w:t>
            </w:r>
          </w:p>
          <w:p>
            <w:pPr>
              <w:pStyle w:val="TableParagraph"/>
              <w:spacing w:line="264" w:lineRule="exact" w:before="37"/>
              <w:jc w:val="both"/>
              <w:rPr>
                <w:sz w:val="21"/>
              </w:rPr>
            </w:pPr>
            <w:r>
              <w:rPr>
                <w:sz w:val="21"/>
              </w:rPr>
              <w:t>(3)血浆促肾上腺皮质激素(ACTH)水平测定；</w:t>
            </w:r>
          </w:p>
        </w:tc>
      </w:tr>
    </w:tbl>
    <w:p>
      <w:pPr>
        <w:spacing w:after="0" w:line="264" w:lineRule="exact"/>
        <w:jc w:val="both"/>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84"/>
        <w:gridCol w:w="7461"/>
      </w:tblGrid>
      <w:tr>
        <w:trPr>
          <w:trHeight w:val="1033" w:hRule="atLeast"/>
        </w:trPr>
        <w:tc>
          <w:tcPr>
            <w:tcW w:w="991" w:type="dxa"/>
          </w:tcPr>
          <w:p>
            <w:pPr>
              <w:pStyle w:val="TableParagraph"/>
              <w:ind w:left="0"/>
              <w:rPr>
                <w:rFonts w:ascii="Times New Roman"/>
                <w:sz w:val="20"/>
              </w:rPr>
            </w:pPr>
          </w:p>
        </w:tc>
        <w:tc>
          <w:tcPr>
            <w:tcW w:w="1384" w:type="dxa"/>
          </w:tcPr>
          <w:p>
            <w:pPr>
              <w:pStyle w:val="TableParagraph"/>
              <w:ind w:left="0"/>
              <w:rPr>
                <w:rFonts w:ascii="Times New Roman"/>
                <w:sz w:val="20"/>
              </w:rPr>
            </w:pPr>
          </w:p>
        </w:tc>
        <w:tc>
          <w:tcPr>
            <w:tcW w:w="7461" w:type="dxa"/>
          </w:tcPr>
          <w:p>
            <w:pPr>
              <w:pStyle w:val="TableParagraph"/>
              <w:spacing w:line="202" w:lineRule="exact"/>
              <w:rPr>
                <w:sz w:val="21"/>
              </w:rPr>
            </w:pPr>
            <w:r>
              <w:rPr>
                <w:sz w:val="21"/>
              </w:rPr>
              <w:t>(4)血浆肾素活性(PRA)测定。</w:t>
            </w:r>
          </w:p>
          <w:p>
            <w:pPr>
              <w:pStyle w:val="TableParagraph"/>
              <w:spacing w:line="273" w:lineRule="auto" w:before="114"/>
              <w:ind w:right="349"/>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3652" w:hRule="atLeast"/>
        </w:trPr>
        <w:tc>
          <w:tcPr>
            <w:tcW w:w="991" w:type="dxa"/>
          </w:tcPr>
          <w:p>
            <w:pPr>
              <w:pStyle w:val="TableParagraph"/>
              <w:spacing w:before="48"/>
              <w:ind w:left="180" w:right="136"/>
              <w:jc w:val="center"/>
              <w:rPr>
                <w:b/>
                <w:sz w:val="21"/>
              </w:rPr>
            </w:pPr>
            <w:r>
              <w:rPr>
                <w:b/>
                <w:sz w:val="21"/>
              </w:rPr>
              <w:t>9.1.32</w:t>
            </w:r>
          </w:p>
        </w:tc>
        <w:tc>
          <w:tcPr>
            <w:tcW w:w="1384" w:type="dxa"/>
          </w:tcPr>
          <w:p>
            <w:pPr>
              <w:pStyle w:val="TableParagraph"/>
              <w:spacing w:line="273" w:lineRule="auto" w:before="48"/>
              <w:ind w:left="154" w:right="171"/>
              <w:rPr>
                <w:b/>
                <w:sz w:val="21"/>
              </w:rPr>
            </w:pPr>
            <w:r>
              <w:rPr>
                <w:b/>
                <w:sz w:val="21"/>
              </w:rPr>
              <w:t>系统性硬皮病</w:t>
            </w:r>
          </w:p>
        </w:tc>
        <w:tc>
          <w:tcPr>
            <w:tcW w:w="7461" w:type="dxa"/>
          </w:tcPr>
          <w:p>
            <w:pPr>
              <w:pStyle w:val="TableParagraph"/>
              <w:spacing w:line="273" w:lineRule="auto" w:before="48"/>
              <w:ind w:right="198"/>
              <w:rPr>
                <w:sz w:val="21"/>
              </w:rPr>
            </w:pPr>
            <w:r>
              <w:rPr>
                <w:spacing w:val="-16"/>
                <w:sz w:val="21"/>
              </w:rPr>
              <w:t>系统性硬皮病</w:t>
            </w:r>
            <w:r>
              <w:rPr>
                <w:spacing w:val="-3"/>
                <w:sz w:val="21"/>
              </w:rPr>
              <w:t>（须累及内脏器官</w:t>
            </w:r>
            <w:r>
              <w:rPr>
                <w:spacing w:val="-96"/>
                <w:sz w:val="21"/>
              </w:rPr>
              <w:t>）</w:t>
            </w:r>
            <w:r>
              <w:rPr>
                <w:spacing w:val="-11"/>
                <w:sz w:val="21"/>
              </w:rPr>
              <w:t>，指一种以局限性或弥漫性皮肤增厚和皮肤、</w:t>
            </w:r>
            <w:r>
              <w:rPr>
                <w:spacing w:val="-6"/>
                <w:sz w:val="21"/>
              </w:rPr>
              <w:t>血管、内脏器官异常纤维化为特征的结缔组织病。本病须经专科医师明确诊</w:t>
            </w:r>
            <w:r>
              <w:rPr>
                <w:spacing w:val="-4"/>
                <w:sz w:val="21"/>
              </w:rPr>
              <w:t>断，并须满足下列至少一项条件：</w:t>
            </w:r>
          </w:p>
          <w:p>
            <w:pPr>
              <w:pStyle w:val="TableParagraph"/>
              <w:spacing w:line="273" w:lineRule="auto" w:before="7"/>
              <w:ind w:right="304"/>
              <w:rPr>
                <w:sz w:val="21"/>
              </w:rPr>
            </w:pPr>
            <w:r>
              <w:rPr>
                <w:sz w:val="21"/>
              </w:rPr>
              <w:t>(1)</w:t>
            </w:r>
            <w:r>
              <w:rPr>
                <w:spacing w:val="-8"/>
                <w:sz w:val="21"/>
              </w:rPr>
              <w:t>肺脏：肺部病变进而发展为肺间质纤维化和肺动脉高压，静息状态下肺动</w:t>
            </w:r>
            <w:r>
              <w:rPr>
                <w:spacing w:val="-11"/>
                <w:sz w:val="21"/>
              </w:rPr>
              <w:t>脉平均压超过 </w:t>
            </w:r>
            <w:r>
              <w:rPr>
                <w:sz w:val="21"/>
              </w:rPr>
              <w:t>25mmHg；</w:t>
            </w:r>
          </w:p>
          <w:p>
            <w:pPr>
              <w:pStyle w:val="TableParagraph"/>
              <w:spacing w:before="7"/>
              <w:rPr>
                <w:sz w:val="21"/>
              </w:rPr>
            </w:pPr>
            <w:r>
              <w:rPr>
                <w:sz w:val="21"/>
              </w:rPr>
              <w:t>(2)心脏：心功能受损达到美国纽约心脏病学会心功能状态分级 IV 级；</w:t>
            </w:r>
          </w:p>
          <w:p>
            <w:pPr>
              <w:pStyle w:val="TableParagraph"/>
              <w:spacing w:before="36"/>
              <w:rPr>
                <w:sz w:val="21"/>
              </w:rPr>
            </w:pPr>
            <w:r>
              <w:rPr>
                <w:sz w:val="21"/>
              </w:rPr>
              <w:t>(3)肾脏：肾脏受损导致双肾功能慢性不可逆衰竭，达到尿毒症期。</w:t>
            </w:r>
          </w:p>
          <w:p>
            <w:pPr>
              <w:pStyle w:val="TableParagraph"/>
              <w:spacing w:before="116"/>
              <w:rPr>
                <w:rFonts w:ascii="黑体" w:eastAsia="黑体" w:hint="eastAsia"/>
                <w:sz w:val="21"/>
              </w:rPr>
            </w:pPr>
            <w:r>
              <w:rPr>
                <w:rFonts w:ascii="黑体" w:eastAsia="黑体" w:hint="eastAsia"/>
                <w:sz w:val="21"/>
              </w:rPr>
              <w:t>下列疾病不在本险种保障范围内：</w:t>
            </w:r>
          </w:p>
          <w:p>
            <w:pPr>
              <w:pStyle w:val="TableParagraph"/>
              <w:spacing w:before="37"/>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w:t>
            </w:r>
            <w:r>
              <w:rPr>
                <w:rFonts w:ascii="黑体" w:eastAsia="黑体" w:hint="eastAsia"/>
                <w:w w:val="100"/>
                <w:sz w:val="21"/>
              </w:rPr>
              <w:t>（</w:t>
            </w:r>
            <w:r>
              <w:rPr>
                <w:rFonts w:ascii="黑体" w:eastAsia="黑体" w:hint="eastAsia"/>
                <w:spacing w:val="-3"/>
                <w:w w:val="100"/>
                <w:sz w:val="21"/>
              </w:rPr>
              <w:t>如：带状硬皮病、硬斑病</w:t>
            </w:r>
            <w:r>
              <w:rPr>
                <w:rFonts w:ascii="黑体" w:eastAsia="黑体" w:hint="eastAsia"/>
                <w:spacing w:val="-106"/>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sz w:val="21"/>
              </w:rPr>
              <w:t>(2)嗜酸性粒细胞性筋膜炎；</w:t>
            </w:r>
          </w:p>
          <w:p>
            <w:pPr>
              <w:pStyle w:val="TableParagraph"/>
              <w:spacing w:before="37"/>
              <w:rPr>
                <w:rFonts w:ascii="黑体" w:eastAsia="黑体" w:hint="eastAsia"/>
                <w:sz w:val="21"/>
              </w:rPr>
            </w:pPr>
            <w:r>
              <w:rPr>
                <w:rFonts w:ascii="黑体" w:eastAsia="黑体" w:hint="eastAsia"/>
                <w:sz w:val="21"/>
              </w:rPr>
              <w:t>(3)CREST 综合征。</w:t>
            </w:r>
          </w:p>
        </w:tc>
      </w:tr>
      <w:tr>
        <w:trPr>
          <w:trHeight w:val="3340" w:hRule="atLeast"/>
        </w:trPr>
        <w:tc>
          <w:tcPr>
            <w:tcW w:w="991" w:type="dxa"/>
          </w:tcPr>
          <w:p>
            <w:pPr>
              <w:pStyle w:val="TableParagraph"/>
              <w:spacing w:before="49"/>
              <w:ind w:left="180" w:right="136"/>
              <w:jc w:val="center"/>
              <w:rPr>
                <w:b/>
                <w:sz w:val="21"/>
              </w:rPr>
            </w:pPr>
            <w:r>
              <w:rPr>
                <w:b/>
                <w:sz w:val="21"/>
              </w:rPr>
              <w:t>9.1.33</w:t>
            </w:r>
          </w:p>
        </w:tc>
        <w:tc>
          <w:tcPr>
            <w:tcW w:w="1384" w:type="dxa"/>
          </w:tcPr>
          <w:p>
            <w:pPr>
              <w:pStyle w:val="TableParagraph"/>
              <w:spacing w:line="273" w:lineRule="auto" w:before="49"/>
              <w:ind w:left="154" w:right="171"/>
              <w:jc w:val="both"/>
              <w:rPr>
                <w:b/>
                <w:sz w:val="21"/>
              </w:rPr>
            </w:pPr>
            <w:r>
              <w:rPr>
                <w:b/>
                <w:sz w:val="21"/>
              </w:rPr>
              <w:t>经输血导致的人类免疫缺陷病毒感染</w:t>
            </w:r>
          </w:p>
        </w:tc>
        <w:tc>
          <w:tcPr>
            <w:tcW w:w="7461" w:type="dxa"/>
          </w:tcPr>
          <w:p>
            <w:pPr>
              <w:pStyle w:val="TableParagraph"/>
              <w:spacing w:before="49"/>
              <w:rPr>
                <w:sz w:val="21"/>
              </w:rPr>
            </w:pPr>
            <w:r>
              <w:rPr>
                <w:sz w:val="21"/>
              </w:rPr>
              <w:t>被保险人因输血而感染上人类免疫缺陷病毒（HIV）必须同时满足以下条件：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right="3608"/>
              <w:rPr>
                <w:sz w:val="21"/>
              </w:rPr>
            </w:pPr>
            <w:r>
              <w:rPr>
                <w:sz w:val="21"/>
              </w:rPr>
              <w:t>(2)受感染的被保险人不是血友病患者； 以及下列条件(3)或(4)中的任意一条：</w:t>
            </w:r>
          </w:p>
          <w:p>
            <w:pPr>
              <w:pStyle w:val="TableParagraph"/>
              <w:spacing w:before="8"/>
              <w:rPr>
                <w:sz w:val="21"/>
              </w:rPr>
            </w:pPr>
            <w:r>
              <w:rPr>
                <w:sz w:val="21"/>
              </w:rPr>
              <w:t>(3)提供输血治疗的输血中心或医院承认该项输血感染责任的证明；</w:t>
            </w:r>
          </w:p>
          <w:p>
            <w:pPr>
              <w:pStyle w:val="TableParagraph"/>
              <w:spacing w:line="273" w:lineRule="auto" w:before="37"/>
              <w:ind w:right="304"/>
              <w:rPr>
                <w:sz w:val="21"/>
              </w:rPr>
            </w:pPr>
            <w:r>
              <w:rPr>
                <w:sz w:val="21"/>
              </w:rPr>
              <w:t>(4)</w:t>
            </w:r>
            <w:r>
              <w:rPr>
                <w:spacing w:val="-7"/>
                <w:sz w:val="21"/>
              </w:rPr>
              <w:t>提供输血前一个月内 </w:t>
            </w:r>
            <w:r>
              <w:rPr>
                <w:sz w:val="21"/>
              </w:rPr>
              <w:t>HIV</w:t>
            </w:r>
            <w:r>
              <w:rPr>
                <w:spacing w:val="-11"/>
                <w:sz w:val="21"/>
              </w:rPr>
              <w:t> 检查阴性的报告、输血血液来源的证明以及输血</w:t>
            </w:r>
            <w:r>
              <w:rPr>
                <w:spacing w:val="-29"/>
                <w:sz w:val="21"/>
              </w:rPr>
              <w:t>后 </w:t>
            </w:r>
            <w:r>
              <w:rPr>
                <w:sz w:val="21"/>
              </w:rPr>
              <w:t>HIV</w:t>
            </w:r>
            <w:r>
              <w:rPr>
                <w:spacing w:val="-8"/>
                <w:sz w:val="21"/>
              </w:rPr>
              <w:t> 检查阳性的报告。</w:t>
            </w:r>
          </w:p>
          <w:p>
            <w:pPr>
              <w:pStyle w:val="TableParagraph"/>
              <w:spacing w:line="273" w:lineRule="auto" w:before="86"/>
              <w:ind w:left="173" w:right="349" w:hanging="1"/>
              <w:jc w:val="both"/>
              <w:rPr>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1"/>
                <w:sz w:val="21"/>
              </w:rPr>
              <w:t>导致的 </w:t>
            </w:r>
            <w:r>
              <w:rPr>
                <w:rFonts w:ascii="黑体" w:eastAsia="黑体" w:hint="eastAsia"/>
                <w:sz w:val="21"/>
              </w:rPr>
              <w:t>HIV</w:t>
            </w:r>
            <w:r>
              <w:rPr>
                <w:rFonts w:ascii="黑体" w:eastAsia="黑体" w:hint="eastAsia"/>
                <w:spacing w:val="-9"/>
                <w:sz w:val="21"/>
              </w:rPr>
              <w:t> 感染不在</w:t>
            </w:r>
            <w:r>
              <w:rPr>
                <w:rFonts w:ascii="黑体" w:eastAsia="黑体" w:hint="eastAsia"/>
                <w:spacing w:val="-5"/>
                <w:sz w:val="21"/>
              </w:rPr>
              <w:t>本保单保障范围内。</w:t>
            </w:r>
            <w:r>
              <w:rPr>
                <w:spacing w:val="-3"/>
                <w:sz w:val="21"/>
              </w:rPr>
              <w:t>保险公司必须拥有获得使用被保险人的所有血液样本的权利和能够对这些样本进行独立检验的权利。</w:t>
            </w:r>
          </w:p>
        </w:tc>
      </w:tr>
      <w:tr>
        <w:trPr>
          <w:trHeight w:val="1466" w:hRule="atLeast"/>
        </w:trPr>
        <w:tc>
          <w:tcPr>
            <w:tcW w:w="991" w:type="dxa"/>
          </w:tcPr>
          <w:p>
            <w:pPr>
              <w:pStyle w:val="TableParagraph"/>
              <w:spacing w:before="49"/>
              <w:ind w:left="180" w:right="136"/>
              <w:jc w:val="center"/>
              <w:rPr>
                <w:b/>
                <w:sz w:val="21"/>
              </w:rPr>
            </w:pPr>
            <w:r>
              <w:rPr>
                <w:b/>
                <w:sz w:val="21"/>
              </w:rPr>
              <w:t>9.1.34</w:t>
            </w:r>
          </w:p>
        </w:tc>
        <w:tc>
          <w:tcPr>
            <w:tcW w:w="1384" w:type="dxa"/>
          </w:tcPr>
          <w:p>
            <w:pPr>
              <w:pStyle w:val="TableParagraph"/>
              <w:spacing w:line="273" w:lineRule="auto" w:before="49"/>
              <w:ind w:left="154" w:right="171"/>
              <w:rPr>
                <w:b/>
                <w:sz w:val="21"/>
              </w:rPr>
            </w:pPr>
            <w:r>
              <w:rPr>
                <w:b/>
                <w:sz w:val="21"/>
              </w:rPr>
              <w:t>慢性复发性胰腺炎</w:t>
            </w:r>
          </w:p>
        </w:tc>
        <w:tc>
          <w:tcPr>
            <w:tcW w:w="7461" w:type="dxa"/>
          </w:tcPr>
          <w:p>
            <w:pPr>
              <w:pStyle w:val="TableParagraph"/>
              <w:spacing w:line="273" w:lineRule="auto" w:before="49"/>
              <w:ind w:right="349"/>
              <w:jc w:val="both"/>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84"/>
              <w:jc w:val="both"/>
              <w:rPr>
                <w:rFonts w:ascii="黑体" w:eastAsia="黑体" w:hint="eastAsia"/>
                <w:sz w:val="21"/>
              </w:rPr>
            </w:pPr>
            <w:r>
              <w:rPr>
                <w:rFonts w:ascii="黑体" w:eastAsia="黑体" w:hint="eastAsia"/>
                <w:sz w:val="21"/>
              </w:rPr>
              <w:t>因酒精所致的慢性复发性胰腺炎除外。</w:t>
            </w:r>
          </w:p>
        </w:tc>
      </w:tr>
      <w:tr>
        <w:trPr>
          <w:trHeight w:val="2198" w:hRule="atLeast"/>
        </w:trPr>
        <w:tc>
          <w:tcPr>
            <w:tcW w:w="991" w:type="dxa"/>
          </w:tcPr>
          <w:p>
            <w:pPr>
              <w:pStyle w:val="TableParagraph"/>
              <w:spacing w:before="48"/>
              <w:ind w:left="180" w:right="136"/>
              <w:jc w:val="center"/>
              <w:rPr>
                <w:b/>
                <w:sz w:val="21"/>
              </w:rPr>
            </w:pPr>
            <w:r>
              <w:rPr>
                <w:b/>
                <w:sz w:val="21"/>
              </w:rPr>
              <w:t>9.1.35</w:t>
            </w:r>
          </w:p>
        </w:tc>
        <w:tc>
          <w:tcPr>
            <w:tcW w:w="1384" w:type="dxa"/>
          </w:tcPr>
          <w:p>
            <w:pPr>
              <w:pStyle w:val="TableParagraph"/>
              <w:spacing w:line="273" w:lineRule="auto" w:before="48"/>
              <w:ind w:left="154" w:right="171"/>
              <w:rPr>
                <w:b/>
                <w:sz w:val="21"/>
              </w:rPr>
            </w:pPr>
            <w:r>
              <w:rPr>
                <w:b/>
                <w:sz w:val="21"/>
              </w:rPr>
              <w:t>原发性硬化性胆管炎</w:t>
            </w:r>
          </w:p>
        </w:tc>
        <w:tc>
          <w:tcPr>
            <w:tcW w:w="7461" w:type="dxa"/>
          </w:tcPr>
          <w:p>
            <w:pPr>
              <w:pStyle w:val="TableParagraph"/>
              <w:spacing w:line="237" w:lineRule="auto" w:before="92"/>
              <w:ind w:right="198"/>
              <w:rPr>
                <w:sz w:val="21"/>
              </w:rPr>
            </w:pPr>
            <w:r>
              <w:rPr>
                <w:spacing w:val="-8"/>
                <w:sz w:val="21"/>
              </w:rPr>
              <w:t>指一种胆汁淤积综合征，其特征是肝内、肝外胆道因纤维化性炎症逐渐狭窄， 并最终导致完全阻塞而发展为肝硬化。本病须经内镜逆行胰胆管造影等影像</w:t>
            </w:r>
            <w:r>
              <w:rPr>
                <w:spacing w:val="-5"/>
                <w:sz w:val="21"/>
              </w:rPr>
              <w:t>学检查证实，并须满足下列全部条件：</w:t>
            </w:r>
          </w:p>
          <w:p>
            <w:pPr>
              <w:pStyle w:val="TableParagraph"/>
              <w:spacing w:line="272" w:lineRule="exact"/>
              <w:rPr>
                <w:sz w:val="21"/>
              </w:rPr>
            </w:pPr>
            <w:r>
              <w:rPr>
                <w:sz w:val="21"/>
              </w:rPr>
              <w:t>(1)总胆红素和直接胆红素同时升高，血清 ALP&gt;200U/L；</w:t>
            </w:r>
          </w:p>
          <w:p>
            <w:pPr>
              <w:pStyle w:val="TableParagraph"/>
              <w:spacing w:line="271" w:lineRule="exact"/>
              <w:rPr>
                <w:sz w:val="21"/>
              </w:rPr>
            </w:pPr>
            <w:r>
              <w:rPr>
                <w:sz w:val="21"/>
              </w:rPr>
              <w:t>(2)持续性黄疸病史；</w:t>
            </w:r>
          </w:p>
          <w:p>
            <w:pPr>
              <w:pStyle w:val="TableParagraph"/>
              <w:spacing w:line="273" w:lineRule="exact"/>
              <w:rPr>
                <w:sz w:val="21"/>
              </w:rPr>
            </w:pPr>
            <w:r>
              <w:rPr>
                <w:sz w:val="21"/>
              </w:rPr>
              <w:t>(3)出现胆汁性肝硬化或门脉高压。</w:t>
            </w:r>
          </w:p>
          <w:p>
            <w:pPr>
              <w:pStyle w:val="TableParagraph"/>
              <w:spacing w:before="78"/>
              <w:rPr>
                <w:rFonts w:ascii="黑体" w:eastAsia="黑体" w:hint="eastAsia"/>
                <w:sz w:val="21"/>
              </w:rPr>
            </w:pPr>
            <w:r>
              <w:rPr>
                <w:rFonts w:ascii="黑体" w:eastAsia="黑体" w:hint="eastAsia"/>
                <w:sz w:val="21"/>
              </w:rPr>
              <w:t>因肿瘤或胆管损伤等继发性的硬化性胆管炎不在保障范围内。</w:t>
            </w:r>
          </w:p>
        </w:tc>
      </w:tr>
      <w:tr>
        <w:trPr>
          <w:trHeight w:val="1882" w:hRule="atLeast"/>
        </w:trPr>
        <w:tc>
          <w:tcPr>
            <w:tcW w:w="991" w:type="dxa"/>
          </w:tcPr>
          <w:p>
            <w:pPr>
              <w:pStyle w:val="TableParagraph"/>
              <w:spacing w:before="39"/>
              <w:ind w:left="180" w:right="136"/>
              <w:jc w:val="center"/>
              <w:rPr>
                <w:b/>
                <w:sz w:val="21"/>
              </w:rPr>
            </w:pPr>
            <w:r>
              <w:rPr>
                <w:b/>
                <w:sz w:val="21"/>
              </w:rPr>
              <w:t>9.1.36</w:t>
            </w:r>
          </w:p>
        </w:tc>
        <w:tc>
          <w:tcPr>
            <w:tcW w:w="1384" w:type="dxa"/>
          </w:tcPr>
          <w:p>
            <w:pPr>
              <w:pStyle w:val="TableParagraph"/>
              <w:spacing w:line="273" w:lineRule="auto" w:before="39"/>
              <w:ind w:left="154" w:right="171"/>
              <w:rPr>
                <w:b/>
                <w:sz w:val="21"/>
              </w:rPr>
            </w:pPr>
            <w:r>
              <w:rPr>
                <w:b/>
                <w:sz w:val="21"/>
              </w:rPr>
              <w:t>全身性重症肌无力</w:t>
            </w:r>
          </w:p>
        </w:tc>
        <w:tc>
          <w:tcPr>
            <w:tcW w:w="7461" w:type="dxa"/>
          </w:tcPr>
          <w:p>
            <w:pPr>
              <w:pStyle w:val="TableParagraph"/>
              <w:spacing w:line="273" w:lineRule="auto" w:before="39"/>
              <w:ind w:right="349"/>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310" w:lineRule="atLeast" w:before="1"/>
              <w:ind w:right="308"/>
              <w:jc w:val="both"/>
              <w:rPr>
                <w:sz w:val="21"/>
              </w:rPr>
            </w:pPr>
            <w:r>
              <w:rPr>
                <w:sz w:val="21"/>
              </w:rPr>
              <w:t>(2)</w:t>
            </w:r>
            <w:r>
              <w:rPr>
                <w:spacing w:val="-8"/>
                <w:sz w:val="21"/>
              </w:rPr>
              <w:t>自主生活能力完全丧失，无法独立完成六项基本日常生活活动中的三项或</w:t>
            </w:r>
            <w:r>
              <w:rPr>
                <w:spacing w:val="-1"/>
                <w:sz w:val="21"/>
              </w:rPr>
              <w:t>三项以上。</w:t>
            </w:r>
          </w:p>
        </w:tc>
      </w:tr>
    </w:tbl>
    <w:p>
      <w:pPr>
        <w:spacing w:after="0" w:line="310" w:lineRule="atLeast"/>
        <w:jc w:val="both"/>
        <w:rPr>
          <w:sz w:val="21"/>
        </w:rPr>
        <w:sectPr>
          <w:pgSz w:w="11910" w:h="16840"/>
          <w:pgMar w:top="146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450"/>
        <w:gridCol w:w="7195"/>
      </w:tblGrid>
      <w:tr>
        <w:trPr>
          <w:trHeight w:val="3140" w:hRule="atLeast"/>
        </w:trPr>
        <w:tc>
          <w:tcPr>
            <w:tcW w:w="899" w:type="dxa"/>
          </w:tcPr>
          <w:p>
            <w:pPr>
              <w:pStyle w:val="TableParagraph"/>
              <w:spacing w:line="202" w:lineRule="exact"/>
              <w:ind w:left="108"/>
              <w:rPr>
                <w:b/>
                <w:sz w:val="21"/>
              </w:rPr>
            </w:pPr>
            <w:r>
              <w:rPr>
                <w:b/>
                <w:sz w:val="21"/>
              </w:rPr>
              <w:t>9.1.37</w:t>
            </w:r>
          </w:p>
        </w:tc>
        <w:tc>
          <w:tcPr>
            <w:tcW w:w="1450" w:type="dxa"/>
          </w:tcPr>
          <w:p>
            <w:pPr>
              <w:pStyle w:val="TableParagraph"/>
              <w:spacing w:line="202" w:lineRule="exact"/>
              <w:ind w:left="154"/>
              <w:rPr>
                <w:b/>
                <w:sz w:val="21"/>
              </w:rPr>
            </w:pPr>
            <w:r>
              <w:rPr>
                <w:b/>
                <w:sz w:val="21"/>
              </w:rPr>
              <w:t>严重类风湿</w:t>
            </w:r>
          </w:p>
          <w:p>
            <w:pPr>
              <w:pStyle w:val="TableParagraph"/>
              <w:spacing w:before="37"/>
              <w:ind w:left="154"/>
              <w:rPr>
                <w:b/>
                <w:sz w:val="21"/>
              </w:rPr>
            </w:pPr>
            <w:r>
              <w:rPr>
                <w:b/>
                <w:sz w:val="21"/>
              </w:rPr>
              <w:t>性关节炎</w:t>
            </w:r>
          </w:p>
        </w:tc>
        <w:tc>
          <w:tcPr>
            <w:tcW w:w="7195" w:type="dxa"/>
          </w:tcPr>
          <w:p>
            <w:pPr>
              <w:pStyle w:val="TableParagraph"/>
              <w:spacing w:line="202" w:lineRule="exact"/>
              <w:ind w:left="106"/>
              <w:rPr>
                <w:sz w:val="21"/>
              </w:rPr>
            </w:pPr>
            <w:r>
              <w:rPr>
                <w:spacing w:val="-6"/>
                <w:sz w:val="21"/>
              </w:rPr>
              <w:t>类风湿性关节炎为广泛分布的慢性进行性多关节病变，表现为关节严重变形，</w:t>
            </w:r>
          </w:p>
          <w:p>
            <w:pPr>
              <w:pStyle w:val="TableParagraph"/>
              <w:spacing w:line="264" w:lineRule="auto" w:before="37"/>
              <w:ind w:left="106" w:right="4"/>
              <w:rPr>
                <w:sz w:val="21"/>
              </w:rPr>
            </w:pPr>
            <w:r>
              <w:rPr>
                <w:spacing w:val="-3"/>
                <w:sz w:val="21"/>
              </w:rPr>
              <w:t>侵犯至少三个主要关节或关节组</w:t>
            </w:r>
            <w:r>
              <w:rPr>
                <w:spacing w:val="-46"/>
                <w:sz w:val="21"/>
              </w:rPr>
              <w:t>，【如</w:t>
            </w:r>
            <w:r>
              <w:rPr>
                <w:rFonts w:ascii="Calibri" w:hAnsi="Calibri" w:eastAsia="Calibri"/>
                <w:sz w:val="21"/>
              </w:rPr>
              <w:t>:</w:t>
            </w:r>
            <w:r>
              <w:rPr>
                <w:spacing w:val="-2"/>
                <w:sz w:val="21"/>
              </w:rPr>
              <w:t>双手</w:t>
            </w:r>
            <w:r>
              <w:rPr>
                <w:rFonts w:ascii="Calibri" w:hAnsi="Calibri" w:eastAsia="Calibri"/>
                <w:sz w:val="21"/>
              </w:rPr>
              <w:t>(</w:t>
            </w:r>
            <w:r>
              <w:rPr>
                <w:spacing w:val="-2"/>
                <w:sz w:val="21"/>
              </w:rPr>
              <w:t>多手指</w:t>
            </w:r>
            <w:r>
              <w:rPr>
                <w:rFonts w:ascii="Calibri" w:hAnsi="Calibri" w:eastAsia="Calibri"/>
                <w:sz w:val="21"/>
              </w:rPr>
              <w:t>)</w:t>
            </w:r>
            <w:r>
              <w:rPr>
                <w:spacing w:val="-8"/>
                <w:sz w:val="21"/>
              </w:rPr>
              <w:t>关节、双足</w:t>
            </w:r>
            <w:r>
              <w:rPr>
                <w:rFonts w:ascii="Calibri" w:hAnsi="Calibri" w:eastAsia="Calibri"/>
                <w:sz w:val="21"/>
              </w:rPr>
              <w:t>(</w:t>
            </w:r>
            <w:r>
              <w:rPr>
                <w:spacing w:val="-2"/>
                <w:sz w:val="21"/>
              </w:rPr>
              <w:t>多足趾</w:t>
            </w:r>
            <w:r>
              <w:rPr>
                <w:rFonts w:ascii="Calibri" w:hAnsi="Calibri" w:eastAsia="Calibri"/>
                <w:sz w:val="21"/>
              </w:rPr>
              <w:t>)</w:t>
            </w:r>
            <w:r>
              <w:rPr>
                <w:spacing w:val="-3"/>
                <w:sz w:val="21"/>
              </w:rPr>
              <w:t>关节、</w:t>
            </w:r>
            <w:r>
              <w:rPr>
                <w:spacing w:val="-16"/>
                <w:sz w:val="21"/>
              </w:rPr>
              <w:t>双腕关节、双膝关节和双髋关节】。被保人所患的类风湿性关节炎必须已经达</w:t>
            </w:r>
            <w:r>
              <w:rPr>
                <w:spacing w:val="-7"/>
                <w:sz w:val="21"/>
              </w:rPr>
              <w:t>到类风湿性关节炎功能分级Ⅲ级以上的功能障碍以及活动限制，并须满足下</w:t>
            </w:r>
            <w:r>
              <w:rPr>
                <w:spacing w:val="-5"/>
                <w:sz w:val="21"/>
              </w:rPr>
              <w:t>列全部条件：</w:t>
            </w:r>
          </w:p>
          <w:p>
            <w:pPr>
              <w:pStyle w:val="TableParagraph"/>
              <w:spacing w:before="16"/>
              <w:ind w:left="106"/>
              <w:rPr>
                <w:sz w:val="21"/>
              </w:rPr>
            </w:pPr>
            <w:r>
              <w:rPr>
                <w:sz w:val="21"/>
              </w:rPr>
              <w:t>(1)晨僵；</w:t>
            </w:r>
          </w:p>
          <w:p>
            <w:pPr>
              <w:pStyle w:val="TableParagraph"/>
              <w:spacing w:before="37"/>
              <w:ind w:left="106"/>
              <w:rPr>
                <w:sz w:val="21"/>
              </w:rPr>
            </w:pPr>
            <w:r>
              <w:rPr>
                <w:sz w:val="21"/>
              </w:rPr>
              <w:t>(2)对称性关节炎；</w:t>
            </w:r>
          </w:p>
          <w:p>
            <w:pPr>
              <w:pStyle w:val="TableParagraph"/>
              <w:spacing w:before="37"/>
              <w:ind w:left="106"/>
              <w:rPr>
                <w:sz w:val="21"/>
              </w:rPr>
            </w:pPr>
            <w:r>
              <w:rPr>
                <w:sz w:val="21"/>
              </w:rPr>
              <w:t>(3)类风湿性皮下结节；</w:t>
            </w:r>
          </w:p>
          <w:p>
            <w:pPr>
              <w:pStyle w:val="TableParagraph"/>
              <w:spacing w:before="37"/>
              <w:ind w:left="106"/>
              <w:rPr>
                <w:sz w:val="21"/>
              </w:rPr>
            </w:pPr>
            <w:r>
              <w:rPr>
                <w:sz w:val="21"/>
              </w:rPr>
              <w:t>(4)类风湿因子滴度升高；</w:t>
            </w:r>
          </w:p>
          <w:p>
            <w:pPr>
              <w:pStyle w:val="TableParagraph"/>
              <w:spacing w:before="37"/>
              <w:ind w:left="106"/>
              <w:rPr>
                <w:sz w:val="21"/>
              </w:rPr>
            </w:pPr>
            <w:r>
              <w:rPr>
                <w:sz w:val="21"/>
              </w:rPr>
              <w:t>(5)X 线显示严重的关节(软骨和骨)破坏和关节畸形。</w:t>
            </w:r>
          </w:p>
        </w:tc>
      </w:tr>
      <w:tr>
        <w:trPr>
          <w:trHeight w:val="1389" w:hRule="atLeast"/>
        </w:trPr>
        <w:tc>
          <w:tcPr>
            <w:tcW w:w="899" w:type="dxa"/>
          </w:tcPr>
          <w:p>
            <w:pPr>
              <w:pStyle w:val="TableParagraph"/>
              <w:spacing w:before="49"/>
              <w:ind w:left="108"/>
              <w:rPr>
                <w:b/>
                <w:sz w:val="21"/>
              </w:rPr>
            </w:pPr>
            <w:r>
              <w:rPr>
                <w:b/>
                <w:sz w:val="21"/>
              </w:rPr>
              <w:t>9.1.38</w:t>
            </w:r>
          </w:p>
        </w:tc>
        <w:tc>
          <w:tcPr>
            <w:tcW w:w="1450" w:type="dxa"/>
          </w:tcPr>
          <w:p>
            <w:pPr>
              <w:pStyle w:val="TableParagraph"/>
              <w:spacing w:line="273" w:lineRule="auto" w:before="49"/>
              <w:ind w:left="154" w:right="237"/>
              <w:rPr>
                <w:b/>
                <w:sz w:val="21"/>
              </w:rPr>
            </w:pPr>
            <w:r>
              <w:rPr>
                <w:b/>
                <w:sz w:val="21"/>
              </w:rPr>
              <w:t>严重溃疡性结肠炎</w:t>
            </w:r>
          </w:p>
        </w:tc>
        <w:tc>
          <w:tcPr>
            <w:tcW w:w="7195" w:type="dxa"/>
          </w:tcPr>
          <w:p>
            <w:pPr>
              <w:pStyle w:val="TableParagraph"/>
              <w:spacing w:line="273" w:lineRule="auto" w:before="49"/>
              <w:ind w:left="106"/>
              <w:rPr>
                <w:sz w:val="21"/>
              </w:rPr>
            </w:pPr>
            <w:r>
              <w:rPr>
                <w:spacing w:val="-3"/>
                <w:sz w:val="21"/>
              </w:rPr>
              <w:t>是指伴有致命性电解质紊乱的急性暴发性溃疡性结肠炎，病变累及全结肠， </w:t>
            </w:r>
            <w:r>
              <w:rPr>
                <w:spacing w:val="-7"/>
                <w:sz w:val="21"/>
              </w:rPr>
              <w:t>表现为严重的血便和系统性症状体征，已经造成瘘管并伴有肠梗阻或肠穿孔， </w:t>
            </w:r>
            <w:r>
              <w:rPr>
                <w:spacing w:val="-5"/>
                <w:sz w:val="21"/>
              </w:rPr>
              <w:t>治疗通常采取全结肠切除和回肠造瘘术。溃疡性结肠炎必须根据组织病理学</w:t>
            </w:r>
            <w:r>
              <w:rPr>
                <w:spacing w:val="-4"/>
                <w:sz w:val="21"/>
              </w:rPr>
              <w:t>特点诊断，并且被保险人已经接受了结肠切除和回肠造瘘术。</w:t>
            </w:r>
          </w:p>
        </w:tc>
      </w:tr>
      <w:tr>
        <w:trPr>
          <w:trHeight w:val="1389" w:hRule="atLeast"/>
        </w:trPr>
        <w:tc>
          <w:tcPr>
            <w:tcW w:w="899" w:type="dxa"/>
          </w:tcPr>
          <w:p>
            <w:pPr>
              <w:pStyle w:val="TableParagraph"/>
              <w:spacing w:before="48"/>
              <w:ind w:left="108"/>
              <w:rPr>
                <w:b/>
                <w:sz w:val="21"/>
              </w:rPr>
            </w:pPr>
            <w:r>
              <w:rPr>
                <w:b/>
                <w:sz w:val="21"/>
              </w:rPr>
              <w:t>9.1.39</w:t>
            </w:r>
          </w:p>
        </w:tc>
        <w:tc>
          <w:tcPr>
            <w:tcW w:w="1450" w:type="dxa"/>
          </w:tcPr>
          <w:p>
            <w:pPr>
              <w:pStyle w:val="TableParagraph"/>
              <w:spacing w:line="273" w:lineRule="auto" w:before="48"/>
              <w:ind w:left="154" w:right="105"/>
              <w:rPr>
                <w:b/>
                <w:sz w:val="21"/>
              </w:rPr>
            </w:pPr>
            <w:r>
              <w:rPr>
                <w:b/>
                <w:sz w:val="21"/>
              </w:rPr>
              <w:t>去皮质综合 </w:t>
            </w:r>
            <w:r>
              <w:rPr>
                <w:b/>
                <w:spacing w:val="-80"/>
                <w:sz w:val="21"/>
              </w:rPr>
              <w:t>征</w:t>
            </w:r>
            <w:r>
              <w:rPr>
                <w:b/>
                <w:sz w:val="21"/>
              </w:rPr>
              <w:t>（植物人状态）</w:t>
            </w:r>
          </w:p>
        </w:tc>
        <w:tc>
          <w:tcPr>
            <w:tcW w:w="7195" w:type="dxa"/>
          </w:tcPr>
          <w:p>
            <w:pPr>
              <w:pStyle w:val="TableParagraph"/>
              <w:spacing w:line="273" w:lineRule="auto" w:before="48"/>
              <w:ind w:left="105" w:right="102"/>
              <w:jc w:val="both"/>
              <w:rPr>
                <w:sz w:val="21"/>
              </w:rPr>
            </w:pPr>
            <w:r>
              <w:rPr>
                <w:sz w:val="21"/>
              </w:rPr>
              <w:t>是指脑皮质广泛性坏死而导致对自身及周边的认知能力完全丧失,但脑干功</w:t>
            </w:r>
            <w:r>
              <w:rPr>
                <w:w w:val="100"/>
                <w:sz w:val="21"/>
              </w:rPr>
              <w:t>能依然存在。须由头颅断层扫描（CT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RI）或正电子发射</w:t>
            </w:r>
            <w:r>
              <w:rPr>
                <w:spacing w:val="-1"/>
                <w:sz w:val="21"/>
              </w:rPr>
              <w:t>断层扫描</w:t>
            </w:r>
            <w:r>
              <w:rPr>
                <w:sz w:val="21"/>
              </w:rPr>
              <w:t>（PET）</w:t>
            </w:r>
            <w:r>
              <w:rPr>
                <w:spacing w:val="-4"/>
                <w:sz w:val="21"/>
              </w:rPr>
              <w:t>等影像学检查证实。上述情况必须持续至少 </w:t>
            </w:r>
            <w:r>
              <w:rPr>
                <w:sz w:val="21"/>
              </w:rPr>
              <w:t>90</w:t>
            </w:r>
            <w:r>
              <w:rPr>
                <w:spacing w:val="-6"/>
                <w:sz w:val="21"/>
              </w:rPr>
              <w:t> 天且有相应</w:t>
            </w:r>
            <w:r>
              <w:rPr>
                <w:spacing w:val="-3"/>
                <w:sz w:val="21"/>
              </w:rPr>
              <w:t>的病历记录加以证实。</w:t>
            </w:r>
          </w:p>
        </w:tc>
      </w:tr>
      <w:tr>
        <w:trPr>
          <w:trHeight w:val="3560" w:hRule="atLeast"/>
        </w:trPr>
        <w:tc>
          <w:tcPr>
            <w:tcW w:w="899" w:type="dxa"/>
          </w:tcPr>
          <w:p>
            <w:pPr>
              <w:pStyle w:val="TableParagraph"/>
              <w:spacing w:before="49"/>
              <w:ind w:left="108"/>
              <w:rPr>
                <w:b/>
                <w:sz w:val="21"/>
              </w:rPr>
            </w:pPr>
            <w:r>
              <w:rPr>
                <w:b/>
                <w:sz w:val="21"/>
              </w:rPr>
              <w:t>9.1.40</w:t>
            </w:r>
          </w:p>
        </w:tc>
        <w:tc>
          <w:tcPr>
            <w:tcW w:w="1450" w:type="dxa"/>
          </w:tcPr>
          <w:p>
            <w:pPr>
              <w:pStyle w:val="TableParagraph"/>
              <w:spacing w:line="273" w:lineRule="auto" w:before="49"/>
              <w:ind w:left="154" w:right="131"/>
              <w:rPr>
                <w:b/>
                <w:sz w:val="21"/>
              </w:rPr>
            </w:pPr>
            <w:r>
              <w:rPr>
                <w:b/>
                <w:sz w:val="21"/>
              </w:rPr>
              <w:t>系统性红斑狼疮——III</w:t>
            </w:r>
          </w:p>
          <w:p>
            <w:pPr>
              <w:pStyle w:val="TableParagraph"/>
              <w:spacing w:line="273" w:lineRule="auto" w:before="8"/>
              <w:ind w:left="154" w:right="237"/>
              <w:rPr>
                <w:b/>
                <w:sz w:val="21"/>
              </w:rPr>
            </w:pPr>
            <w:r>
              <w:rPr>
                <w:b/>
                <w:sz w:val="21"/>
              </w:rPr>
              <w:t>型或以上狼疮性肾炎</w:t>
            </w:r>
          </w:p>
        </w:tc>
        <w:tc>
          <w:tcPr>
            <w:tcW w:w="7195" w:type="dxa"/>
          </w:tcPr>
          <w:p>
            <w:pPr>
              <w:pStyle w:val="TableParagraph"/>
              <w:spacing w:line="237" w:lineRule="auto" w:before="92"/>
              <w:ind w:left="106" w:right="105"/>
              <w:jc w:val="both"/>
              <w:rPr>
                <w:rFonts w:ascii="黑体" w:eastAsia="黑体" w:hint="eastAsia"/>
                <w:sz w:val="21"/>
              </w:rPr>
            </w:pPr>
            <w:r>
              <w:rPr>
                <w:sz w:val="21"/>
              </w:rPr>
              <w:t>系统性红斑狼疮是由多种因素引起，累及多系统的自身免疫性疾病。其特点是生成自身抗体对抗多种自身抗原。多见于育龄妇女。本保单所指的系统性</w:t>
            </w:r>
            <w:r>
              <w:rPr>
                <w:spacing w:val="-3"/>
                <w:sz w:val="21"/>
              </w:rPr>
              <w:t>红斑狼疮仅限于累及肾脏</w:t>
            </w:r>
            <w:r>
              <w:rPr>
                <w:sz w:val="21"/>
              </w:rPr>
              <w:t>（</w:t>
            </w:r>
            <w:r>
              <w:rPr>
                <w:spacing w:val="-4"/>
                <w:sz w:val="21"/>
              </w:rPr>
              <w:t>经肾脏活检确认的，符合 </w:t>
            </w:r>
            <w:r>
              <w:rPr>
                <w:sz w:val="21"/>
              </w:rPr>
              <w:t>WHO</w:t>
            </w:r>
            <w:r>
              <w:rPr>
                <w:spacing w:val="-5"/>
                <w:sz w:val="21"/>
              </w:rPr>
              <w:t> 诊断标准定义 </w:t>
            </w:r>
            <w:r>
              <w:rPr>
                <w:sz w:val="21"/>
              </w:rPr>
              <w:t>III </w:t>
            </w:r>
            <w:r>
              <w:rPr>
                <w:spacing w:val="-5"/>
                <w:sz w:val="21"/>
              </w:rPr>
              <w:t>型或 </w:t>
            </w:r>
            <w:r>
              <w:rPr>
                <w:sz w:val="21"/>
              </w:rPr>
              <w:t>III</w:t>
            </w:r>
            <w:r>
              <w:rPr>
                <w:spacing w:val="-5"/>
                <w:sz w:val="21"/>
              </w:rPr>
              <w:t> 型以上狼疮性肾炎</w:t>
            </w:r>
            <w:r>
              <w:rPr>
                <w:sz w:val="21"/>
              </w:rPr>
              <w:t>）</w:t>
            </w:r>
            <w:r>
              <w:rPr>
                <w:spacing w:val="-3"/>
                <w:sz w:val="21"/>
              </w:rPr>
              <w:t>的系统性红斑狼疮。</w:t>
            </w:r>
            <w:r>
              <w:rPr>
                <w:rFonts w:ascii="黑体" w:eastAsia="黑体" w:hint="eastAsia"/>
                <w:spacing w:val="-3"/>
                <w:sz w:val="21"/>
              </w:rPr>
              <w:t>其他类型的红斑性狼疮， 如盘状狼疮、仅累及血液及关节的狼疮不在本保单保障范围內。</w:t>
            </w:r>
          </w:p>
          <w:p>
            <w:pPr>
              <w:pStyle w:val="TableParagraph"/>
              <w:spacing w:line="274" w:lineRule="exact" w:before="77"/>
              <w:ind w:left="106"/>
              <w:jc w:val="both"/>
              <w:rPr>
                <w:sz w:val="21"/>
              </w:rPr>
            </w:pPr>
            <w:r>
              <w:rPr>
                <w:sz w:val="21"/>
              </w:rPr>
              <w:t>世界卫生组织(WHO)狼疮性肾炎分型：</w:t>
            </w:r>
          </w:p>
          <w:p>
            <w:pPr>
              <w:pStyle w:val="TableParagraph"/>
              <w:spacing w:line="272" w:lineRule="exact"/>
              <w:ind w:left="106"/>
              <w:jc w:val="both"/>
              <w:rPr>
                <w:sz w:val="21"/>
              </w:rPr>
            </w:pPr>
            <w:r>
              <w:rPr>
                <w:sz w:val="21"/>
              </w:rPr>
              <w:t>Ⅰ型     微小病变型</w:t>
            </w:r>
          </w:p>
          <w:p>
            <w:pPr>
              <w:pStyle w:val="TableParagraph"/>
              <w:spacing w:line="271" w:lineRule="exact"/>
              <w:ind w:left="106"/>
              <w:jc w:val="both"/>
              <w:rPr>
                <w:sz w:val="21"/>
              </w:rPr>
            </w:pPr>
            <w:r>
              <w:rPr>
                <w:sz w:val="21"/>
              </w:rPr>
              <w:t>Ⅱ型     系膜病变型</w:t>
            </w:r>
          </w:p>
          <w:p>
            <w:pPr>
              <w:pStyle w:val="TableParagraph"/>
              <w:spacing w:line="272" w:lineRule="exact"/>
              <w:ind w:left="106"/>
              <w:jc w:val="both"/>
              <w:rPr>
                <w:sz w:val="21"/>
              </w:rPr>
            </w:pPr>
            <w:r>
              <w:rPr>
                <w:sz w:val="21"/>
              </w:rPr>
              <w:t>Ⅲ型     局灶及节段增生型</w:t>
            </w:r>
          </w:p>
          <w:p>
            <w:pPr>
              <w:pStyle w:val="TableParagraph"/>
              <w:spacing w:line="272" w:lineRule="exact"/>
              <w:ind w:left="106"/>
              <w:jc w:val="both"/>
              <w:rPr>
                <w:sz w:val="21"/>
              </w:rPr>
            </w:pPr>
            <w:r>
              <w:rPr>
                <w:sz w:val="21"/>
              </w:rPr>
              <w:t>Ⅳ型     弥漫增生型</w:t>
            </w:r>
          </w:p>
          <w:p>
            <w:pPr>
              <w:pStyle w:val="TableParagraph"/>
              <w:spacing w:line="272" w:lineRule="exact"/>
              <w:ind w:left="106"/>
              <w:jc w:val="both"/>
              <w:rPr>
                <w:sz w:val="21"/>
              </w:rPr>
            </w:pPr>
            <w:r>
              <w:rPr>
                <w:sz w:val="21"/>
              </w:rPr>
              <w:t>Ⅴ 型   膜 型</w:t>
            </w:r>
          </w:p>
          <w:p>
            <w:pPr>
              <w:pStyle w:val="TableParagraph"/>
              <w:spacing w:line="274" w:lineRule="exact"/>
              <w:ind w:left="106"/>
              <w:jc w:val="both"/>
              <w:rPr>
                <w:sz w:val="21"/>
              </w:rPr>
            </w:pPr>
            <w:r>
              <w:rPr>
                <w:sz w:val="21"/>
              </w:rPr>
              <w:t>Ⅵ型     肾小球硬化型</w:t>
            </w:r>
          </w:p>
        </w:tc>
      </w:tr>
      <w:tr>
        <w:trPr>
          <w:trHeight w:val="2152" w:hRule="atLeast"/>
        </w:trPr>
        <w:tc>
          <w:tcPr>
            <w:tcW w:w="899" w:type="dxa"/>
          </w:tcPr>
          <w:p>
            <w:pPr>
              <w:pStyle w:val="TableParagraph"/>
              <w:spacing w:before="40"/>
              <w:ind w:left="108"/>
              <w:rPr>
                <w:b/>
                <w:sz w:val="21"/>
              </w:rPr>
            </w:pPr>
            <w:r>
              <w:rPr>
                <w:b/>
                <w:sz w:val="21"/>
              </w:rPr>
              <w:t>9.2</w:t>
            </w:r>
          </w:p>
        </w:tc>
        <w:tc>
          <w:tcPr>
            <w:tcW w:w="1450" w:type="dxa"/>
          </w:tcPr>
          <w:p>
            <w:pPr>
              <w:pStyle w:val="TableParagraph"/>
              <w:spacing w:line="273" w:lineRule="auto" w:before="40"/>
              <w:ind w:left="154" w:right="237"/>
              <w:jc w:val="both"/>
              <w:rPr>
                <w:b/>
                <w:sz w:val="21"/>
              </w:rPr>
            </w:pPr>
            <w:r>
              <w:rPr>
                <w:b/>
                <w:sz w:val="21"/>
              </w:rPr>
              <w:t>定义来源及确诊医院范围</w:t>
            </w:r>
          </w:p>
        </w:tc>
        <w:tc>
          <w:tcPr>
            <w:tcW w:w="7195" w:type="dxa"/>
          </w:tcPr>
          <w:p>
            <w:pPr>
              <w:pStyle w:val="TableParagraph"/>
              <w:spacing w:line="273" w:lineRule="auto" w:before="40"/>
              <w:ind w:left="106" w:right="1"/>
              <w:rPr>
                <w:sz w:val="21"/>
              </w:rPr>
            </w:pPr>
            <w:r>
              <w:rPr>
                <w:spacing w:val="-6"/>
                <w:sz w:val="21"/>
              </w:rPr>
              <w:t>以上“</w:t>
            </w:r>
            <w:r>
              <w:rPr>
                <w:sz w:val="21"/>
              </w:rPr>
              <w:t>9.1.1</w:t>
            </w:r>
            <w:r>
              <w:rPr>
                <w:spacing w:val="-6"/>
                <w:sz w:val="21"/>
              </w:rPr>
              <w:t> 恶性肿瘤”至“</w:t>
            </w:r>
            <w:r>
              <w:rPr>
                <w:sz w:val="21"/>
              </w:rPr>
              <w:t>9.1.25</w:t>
            </w:r>
            <w:r>
              <w:rPr>
                <w:spacing w:val="-4"/>
                <w:sz w:val="21"/>
              </w:rPr>
              <w:t> 主动脉手术”所列重大疾病定义根据中</w:t>
            </w:r>
            <w:r>
              <w:rPr>
                <w:spacing w:val="-8"/>
                <w:sz w:val="21"/>
              </w:rPr>
              <w:t>国保险行业协会 </w:t>
            </w:r>
            <w:r>
              <w:rPr>
                <w:sz w:val="21"/>
              </w:rPr>
              <w:t>2007</w:t>
            </w:r>
            <w:r>
              <w:rPr>
                <w:spacing w:val="-4"/>
                <w:sz w:val="21"/>
              </w:rPr>
              <w:t> 年公布的《重大疾病保险的疾病定义使用规范》作出， </w:t>
            </w:r>
            <w:r>
              <w:rPr>
                <w:spacing w:val="-3"/>
                <w:sz w:val="21"/>
              </w:rPr>
              <w:t>其他重大疾病由本公司增加，其定义由本公司根据通行的医学标准制定。</w:t>
            </w:r>
          </w:p>
          <w:p>
            <w:pPr>
              <w:pStyle w:val="TableParagraph"/>
              <w:spacing w:line="273" w:lineRule="auto" w:before="84"/>
              <w:ind w:left="106"/>
              <w:rPr>
                <w:rFonts w:ascii="黑体" w:eastAsia="黑体" w:hint="eastAsia"/>
                <w:sz w:val="21"/>
              </w:rPr>
            </w:pPr>
            <w:r>
              <w:rPr>
                <w:rFonts w:ascii="黑体" w:eastAsia="黑体" w:hint="eastAsia"/>
                <w:sz w:val="21"/>
              </w:rPr>
              <w:t>以上重大疾病，除严重原发性心肌病须在卫Th行政部门认定的三级以上（含三级</w:t>
            </w:r>
            <w:r>
              <w:rPr>
                <w:rFonts w:ascii="黑体" w:eastAsia="黑体" w:hint="eastAsia"/>
                <w:spacing w:val="-22"/>
                <w:sz w:val="21"/>
              </w:rPr>
              <w:t>）</w:t>
            </w:r>
            <w:r>
              <w:rPr>
                <w:rFonts w:ascii="黑体" w:eastAsia="黑体" w:hint="eastAsia"/>
                <w:spacing w:val="-6"/>
                <w:sz w:val="21"/>
              </w:rPr>
              <w:t>医院确诊外，其他疾病均须在卫</w:t>
            </w:r>
            <w:r>
              <w:rPr>
                <w:rFonts w:ascii="黑体" w:eastAsia="黑体" w:hint="eastAsia"/>
                <w:sz w:val="21"/>
              </w:rPr>
              <w:t>Th</w:t>
            </w:r>
            <w:r>
              <w:rPr>
                <w:rFonts w:ascii="黑体" w:eastAsia="黑体" w:hint="eastAsia"/>
                <w:spacing w:val="-5"/>
                <w:sz w:val="21"/>
              </w:rPr>
              <w:t>行政部门认定的二级以上</w:t>
            </w:r>
            <w:r>
              <w:rPr>
                <w:rFonts w:ascii="黑体" w:eastAsia="黑体" w:hint="eastAsia"/>
                <w:sz w:val="21"/>
              </w:rPr>
              <w:t>（</w:t>
            </w:r>
            <w:r>
              <w:rPr>
                <w:rFonts w:ascii="黑体" w:eastAsia="黑体" w:hint="eastAsia"/>
                <w:spacing w:val="-3"/>
                <w:sz w:val="21"/>
              </w:rPr>
              <w:t>含二级</w:t>
            </w:r>
            <w:r>
              <w:rPr>
                <w:rFonts w:ascii="黑体" w:eastAsia="黑体" w:hint="eastAsia"/>
                <w:sz w:val="21"/>
              </w:rPr>
              <w:t>） </w:t>
            </w:r>
            <w:r>
              <w:rPr>
                <w:rFonts w:ascii="黑体" w:eastAsia="黑体" w:hint="eastAsia"/>
                <w:spacing w:val="-1"/>
                <w:sz w:val="21"/>
              </w:rPr>
              <w:t>医院确诊。</w:t>
            </w:r>
          </w:p>
        </w:tc>
      </w:tr>
      <w:tr>
        <w:trPr>
          <w:trHeight w:val="312" w:hRule="atLeast"/>
        </w:trPr>
        <w:tc>
          <w:tcPr>
            <w:tcW w:w="899" w:type="dxa"/>
            <w:shd w:val="clear" w:color="auto" w:fill="A7A8A7"/>
          </w:tcPr>
          <w:p>
            <w:pPr>
              <w:pStyle w:val="TableParagraph"/>
              <w:spacing w:line="254" w:lineRule="exact"/>
              <w:ind w:left="108"/>
              <w:rPr>
                <w:b/>
                <w:sz w:val="21"/>
              </w:rPr>
            </w:pPr>
            <w:r>
              <w:rPr>
                <w:b/>
                <w:sz w:val="21"/>
              </w:rPr>
              <w:t>10．</w:t>
            </w:r>
          </w:p>
        </w:tc>
        <w:tc>
          <w:tcPr>
            <w:tcW w:w="1450" w:type="dxa"/>
            <w:shd w:val="clear" w:color="auto" w:fill="A7A8A7"/>
          </w:tcPr>
          <w:p>
            <w:pPr>
              <w:pStyle w:val="TableParagraph"/>
              <w:spacing w:line="254" w:lineRule="exact"/>
              <w:ind w:left="154"/>
              <w:rPr>
                <w:b/>
                <w:sz w:val="21"/>
              </w:rPr>
            </w:pPr>
            <w:r>
              <w:rPr>
                <w:b/>
                <w:sz w:val="21"/>
              </w:rPr>
              <w:t>释义</w:t>
            </w:r>
          </w:p>
        </w:tc>
        <w:tc>
          <w:tcPr>
            <w:tcW w:w="7195" w:type="dxa"/>
            <w:shd w:val="clear" w:color="auto" w:fill="A7A8A7"/>
          </w:tcPr>
          <w:p>
            <w:pPr>
              <w:pStyle w:val="TableParagraph"/>
              <w:ind w:left="0"/>
              <w:rPr>
                <w:rFonts w:ascii="Times New Roman"/>
                <w:sz w:val="20"/>
              </w:rPr>
            </w:pPr>
          </w:p>
        </w:tc>
      </w:tr>
      <w:tr>
        <w:trPr>
          <w:trHeight w:val="909" w:hRule="atLeast"/>
        </w:trPr>
        <w:tc>
          <w:tcPr>
            <w:tcW w:w="899" w:type="dxa"/>
          </w:tcPr>
          <w:p>
            <w:pPr>
              <w:pStyle w:val="TableParagraph"/>
              <w:spacing w:before="120"/>
              <w:ind w:left="108"/>
              <w:rPr>
                <w:b/>
                <w:sz w:val="21"/>
              </w:rPr>
            </w:pPr>
            <w:r>
              <w:rPr>
                <w:b/>
                <w:sz w:val="21"/>
              </w:rPr>
              <w:t>10.1</w:t>
            </w:r>
          </w:p>
        </w:tc>
        <w:tc>
          <w:tcPr>
            <w:tcW w:w="1450" w:type="dxa"/>
          </w:tcPr>
          <w:p>
            <w:pPr>
              <w:pStyle w:val="TableParagraph"/>
              <w:spacing w:before="120"/>
              <w:ind w:left="154"/>
              <w:rPr>
                <w:b/>
                <w:sz w:val="21"/>
              </w:rPr>
            </w:pPr>
            <w:r>
              <w:rPr>
                <w:b/>
                <w:sz w:val="21"/>
              </w:rPr>
              <w:t>周岁</w:t>
            </w:r>
          </w:p>
        </w:tc>
        <w:tc>
          <w:tcPr>
            <w:tcW w:w="7195" w:type="dxa"/>
          </w:tcPr>
          <w:p>
            <w:pPr>
              <w:pStyle w:val="TableParagraph"/>
              <w:spacing w:line="273" w:lineRule="auto" w:before="120"/>
              <w:ind w:left="106" w:right="107"/>
              <w:rPr>
                <w:sz w:val="21"/>
              </w:rPr>
            </w:pPr>
            <w:r>
              <w:rPr>
                <w:sz w:val="21"/>
              </w:rPr>
              <w:t>指按有效身份证件中记载的出生日期计算的年龄，自出生之日起为零周岁， 每经过一年增加一岁，不足一年的不计。</w:t>
            </w:r>
          </w:p>
        </w:tc>
      </w:tr>
      <w:tr>
        <w:trPr>
          <w:trHeight w:val="716" w:hRule="atLeast"/>
        </w:trPr>
        <w:tc>
          <w:tcPr>
            <w:tcW w:w="899" w:type="dxa"/>
          </w:tcPr>
          <w:p>
            <w:pPr>
              <w:pStyle w:val="TableParagraph"/>
              <w:spacing w:before="120"/>
              <w:ind w:left="108"/>
              <w:rPr>
                <w:b/>
                <w:sz w:val="21"/>
              </w:rPr>
            </w:pPr>
            <w:r>
              <w:rPr>
                <w:b/>
                <w:sz w:val="21"/>
              </w:rPr>
              <w:t>10.2</w:t>
            </w:r>
          </w:p>
        </w:tc>
        <w:tc>
          <w:tcPr>
            <w:tcW w:w="1450" w:type="dxa"/>
          </w:tcPr>
          <w:p>
            <w:pPr>
              <w:pStyle w:val="TableParagraph"/>
              <w:spacing w:before="120"/>
              <w:ind w:left="154"/>
              <w:rPr>
                <w:b/>
                <w:sz w:val="21"/>
              </w:rPr>
            </w:pPr>
            <w:r>
              <w:rPr>
                <w:b/>
                <w:sz w:val="21"/>
              </w:rPr>
              <w:t>意外伤害</w:t>
            </w:r>
          </w:p>
        </w:tc>
        <w:tc>
          <w:tcPr>
            <w:tcW w:w="7195" w:type="dxa"/>
          </w:tcPr>
          <w:p>
            <w:pPr>
              <w:pStyle w:val="TableParagraph"/>
              <w:spacing w:line="310" w:lineRule="atLeast" w:before="85"/>
              <w:ind w:left="106" w:right="107"/>
              <w:rPr>
                <w:sz w:val="21"/>
              </w:rPr>
            </w:pPr>
            <w:r>
              <w:rPr>
                <w:sz w:val="21"/>
              </w:rPr>
              <w:t>指遭受外来的、突发的、非本意的、非疾病的客观事件直接致使身体受到的伤害。</w:t>
            </w:r>
          </w:p>
        </w:tc>
      </w:tr>
    </w:tbl>
    <w:p>
      <w:pPr>
        <w:spacing w:after="0" w:line="310" w:lineRule="atLeas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gridCol w:w="1561"/>
        <w:gridCol w:w="7371"/>
      </w:tblGrid>
      <w:tr>
        <w:trPr>
          <w:trHeight w:val="956" w:hRule="atLeast"/>
        </w:trPr>
        <w:tc>
          <w:tcPr>
            <w:tcW w:w="919" w:type="dxa"/>
          </w:tcPr>
          <w:p>
            <w:pPr>
              <w:pStyle w:val="TableParagraph"/>
              <w:ind w:left="0"/>
              <w:rPr>
                <w:rFonts w:ascii="Times New Roman"/>
                <w:sz w:val="20"/>
              </w:rPr>
            </w:pPr>
          </w:p>
        </w:tc>
        <w:tc>
          <w:tcPr>
            <w:tcW w:w="1561" w:type="dxa"/>
          </w:tcPr>
          <w:p>
            <w:pPr>
              <w:pStyle w:val="TableParagraph"/>
              <w:ind w:left="0"/>
              <w:rPr>
                <w:rFonts w:ascii="Times New Roman"/>
                <w:sz w:val="20"/>
              </w:rPr>
            </w:pPr>
          </w:p>
        </w:tc>
        <w:tc>
          <w:tcPr>
            <w:tcW w:w="7371" w:type="dxa"/>
          </w:tcPr>
          <w:p>
            <w:pPr>
              <w:pStyle w:val="TableParagraph"/>
              <w:spacing w:line="202" w:lineRule="exact"/>
              <w:ind w:left="67"/>
              <w:rPr>
                <w:sz w:val="21"/>
              </w:rPr>
            </w:pPr>
            <w:r>
              <w:rPr>
                <w:sz w:val="21"/>
              </w:rPr>
              <w:t>本合同所述的意外伤害导致的身故，</w:t>
            </w:r>
            <w:r>
              <w:rPr>
                <w:rFonts w:ascii="黑体" w:hAnsi="黑体" w:eastAsia="黑体" w:hint="eastAsia"/>
                <w:sz w:val="21"/>
              </w:rPr>
              <w:t>不包括猝死</w:t>
            </w:r>
            <w:r>
              <w:rPr>
                <w:sz w:val="21"/>
              </w:rPr>
              <w:t>。“猝死”是指貌似健康的人</w:t>
            </w:r>
          </w:p>
          <w:p>
            <w:pPr>
              <w:pStyle w:val="TableParagraph"/>
              <w:spacing w:line="273" w:lineRule="auto" w:before="37"/>
              <w:ind w:left="67" w:right="319"/>
              <w:rPr>
                <w:sz w:val="21"/>
              </w:rPr>
            </w:pPr>
            <w:r>
              <w:rPr>
                <w:spacing w:val="-11"/>
                <w:sz w:val="21"/>
              </w:rPr>
              <w:t>因潜在疾病、机能障碍或其他原因在出现症状后 </w:t>
            </w:r>
            <w:r>
              <w:rPr>
                <w:sz w:val="21"/>
              </w:rPr>
              <w:t>24</w:t>
            </w:r>
            <w:r>
              <w:rPr>
                <w:spacing w:val="-8"/>
                <w:sz w:val="21"/>
              </w:rPr>
              <w:t> 小时内发生的非暴力性突</w:t>
            </w:r>
            <w:r>
              <w:rPr>
                <w:spacing w:val="-6"/>
                <w:sz w:val="21"/>
              </w:rPr>
              <w:t>然死亡。</w:t>
            </w:r>
          </w:p>
        </w:tc>
      </w:tr>
      <w:tr>
        <w:trPr>
          <w:trHeight w:val="1389" w:hRule="atLeast"/>
        </w:trPr>
        <w:tc>
          <w:tcPr>
            <w:tcW w:w="919" w:type="dxa"/>
          </w:tcPr>
          <w:p>
            <w:pPr>
              <w:pStyle w:val="TableParagraph"/>
              <w:spacing w:before="48"/>
              <w:ind w:left="76" w:right="170"/>
              <w:jc w:val="center"/>
              <w:rPr>
                <w:b/>
                <w:sz w:val="21"/>
              </w:rPr>
            </w:pPr>
            <w:r>
              <w:rPr>
                <w:b/>
                <w:sz w:val="21"/>
              </w:rPr>
              <w:t>10.3</w:t>
            </w:r>
          </w:p>
        </w:tc>
        <w:tc>
          <w:tcPr>
            <w:tcW w:w="1561" w:type="dxa"/>
          </w:tcPr>
          <w:p>
            <w:pPr>
              <w:pStyle w:val="TableParagraph"/>
              <w:spacing w:before="48"/>
              <w:ind w:left="190"/>
              <w:rPr>
                <w:b/>
                <w:sz w:val="21"/>
              </w:rPr>
            </w:pPr>
            <w:r>
              <w:rPr>
                <w:b/>
                <w:sz w:val="21"/>
              </w:rPr>
              <w:t>约定医院</w:t>
            </w:r>
          </w:p>
        </w:tc>
        <w:tc>
          <w:tcPr>
            <w:tcW w:w="7371" w:type="dxa"/>
          </w:tcPr>
          <w:p>
            <w:pPr>
              <w:pStyle w:val="TableParagraph"/>
              <w:spacing w:line="273" w:lineRule="auto" w:before="48"/>
              <w:ind w:left="67" w:right="322"/>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389" w:hRule="atLeast"/>
        </w:trPr>
        <w:tc>
          <w:tcPr>
            <w:tcW w:w="919" w:type="dxa"/>
          </w:tcPr>
          <w:p>
            <w:pPr>
              <w:pStyle w:val="TableParagraph"/>
              <w:spacing w:before="49"/>
              <w:ind w:left="76" w:right="170"/>
              <w:jc w:val="center"/>
              <w:rPr>
                <w:b/>
                <w:sz w:val="21"/>
              </w:rPr>
            </w:pPr>
            <w:r>
              <w:rPr>
                <w:b/>
                <w:sz w:val="21"/>
              </w:rPr>
              <w:t>10.4</w:t>
            </w:r>
          </w:p>
        </w:tc>
        <w:tc>
          <w:tcPr>
            <w:tcW w:w="1561" w:type="dxa"/>
          </w:tcPr>
          <w:p>
            <w:pPr>
              <w:pStyle w:val="TableParagraph"/>
              <w:spacing w:before="49"/>
              <w:ind w:left="226"/>
              <w:rPr>
                <w:b/>
                <w:sz w:val="21"/>
              </w:rPr>
            </w:pPr>
            <w:r>
              <w:rPr>
                <w:b/>
                <w:sz w:val="21"/>
              </w:rPr>
              <w:t>毒品</w:t>
            </w:r>
          </w:p>
        </w:tc>
        <w:tc>
          <w:tcPr>
            <w:tcW w:w="7371" w:type="dxa"/>
          </w:tcPr>
          <w:p>
            <w:pPr>
              <w:pStyle w:val="TableParagraph"/>
              <w:spacing w:line="273" w:lineRule="auto" w:before="49"/>
              <w:ind w:left="67" w:right="319"/>
              <w:jc w:val="both"/>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、吗啡、大麻、可卡因以及国家规定管制的其他能够使人形成瘾癖的麻醉药品和精神药品，但不包括由医生开具并遵医嘱使用的用于治疗疾病但含有毒品成分的处</w:t>
            </w:r>
            <w:r>
              <w:rPr>
                <w:spacing w:val="-6"/>
                <w:sz w:val="21"/>
              </w:rPr>
              <w:t>方药品。</w:t>
            </w:r>
          </w:p>
        </w:tc>
      </w:tr>
      <w:tr>
        <w:trPr>
          <w:trHeight w:val="1077" w:hRule="atLeast"/>
        </w:trPr>
        <w:tc>
          <w:tcPr>
            <w:tcW w:w="919" w:type="dxa"/>
          </w:tcPr>
          <w:p>
            <w:pPr>
              <w:pStyle w:val="TableParagraph"/>
              <w:spacing w:before="48"/>
              <w:ind w:left="76" w:right="170"/>
              <w:jc w:val="center"/>
              <w:rPr>
                <w:b/>
                <w:sz w:val="21"/>
              </w:rPr>
            </w:pPr>
            <w:r>
              <w:rPr>
                <w:b/>
                <w:sz w:val="21"/>
              </w:rPr>
              <w:t>10.5</w:t>
            </w:r>
          </w:p>
        </w:tc>
        <w:tc>
          <w:tcPr>
            <w:tcW w:w="1561" w:type="dxa"/>
          </w:tcPr>
          <w:p>
            <w:pPr>
              <w:pStyle w:val="TableParagraph"/>
              <w:spacing w:before="48"/>
              <w:ind w:left="226"/>
              <w:rPr>
                <w:b/>
                <w:sz w:val="21"/>
              </w:rPr>
            </w:pPr>
            <w:r>
              <w:rPr>
                <w:b/>
                <w:sz w:val="21"/>
              </w:rPr>
              <w:t>酒后驾驶</w:t>
            </w:r>
          </w:p>
        </w:tc>
        <w:tc>
          <w:tcPr>
            <w:tcW w:w="7371" w:type="dxa"/>
          </w:tcPr>
          <w:p>
            <w:pPr>
              <w:pStyle w:val="TableParagraph"/>
              <w:spacing w:line="273" w:lineRule="auto" w:before="48"/>
              <w:ind w:left="67" w:right="32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14" w:hRule="atLeast"/>
        </w:trPr>
        <w:tc>
          <w:tcPr>
            <w:tcW w:w="919" w:type="dxa"/>
          </w:tcPr>
          <w:p>
            <w:pPr>
              <w:pStyle w:val="TableParagraph"/>
              <w:spacing w:before="48"/>
              <w:ind w:left="76" w:right="170"/>
              <w:jc w:val="center"/>
              <w:rPr>
                <w:b/>
                <w:sz w:val="21"/>
              </w:rPr>
            </w:pPr>
            <w:r>
              <w:rPr>
                <w:b/>
                <w:sz w:val="21"/>
              </w:rPr>
              <w:t>10.6</w:t>
            </w:r>
          </w:p>
        </w:tc>
        <w:tc>
          <w:tcPr>
            <w:tcW w:w="1561" w:type="dxa"/>
          </w:tcPr>
          <w:p>
            <w:pPr>
              <w:pStyle w:val="TableParagraph"/>
              <w:spacing w:line="273" w:lineRule="auto" w:before="48"/>
              <w:ind w:left="226" w:right="276"/>
              <w:rPr>
                <w:b/>
                <w:sz w:val="21"/>
              </w:rPr>
            </w:pPr>
            <w:r>
              <w:rPr>
                <w:b/>
                <w:sz w:val="21"/>
              </w:rPr>
              <w:t>无合法有效驾驶证驾驶</w:t>
            </w:r>
          </w:p>
        </w:tc>
        <w:tc>
          <w:tcPr>
            <w:tcW w:w="7371" w:type="dxa"/>
          </w:tcPr>
          <w:p>
            <w:pPr>
              <w:pStyle w:val="TableParagraph"/>
              <w:spacing w:before="48"/>
              <w:ind w:left="67"/>
              <w:rPr>
                <w:sz w:val="21"/>
              </w:rPr>
            </w:pPr>
            <w:r>
              <w:rPr>
                <w:sz w:val="21"/>
              </w:rPr>
              <w:t>指下列情形之一：</w:t>
            </w:r>
          </w:p>
          <w:p>
            <w:pPr>
              <w:pStyle w:val="TableParagraph"/>
              <w:spacing w:before="36"/>
              <w:ind w:left="67"/>
              <w:rPr>
                <w:sz w:val="21"/>
              </w:rPr>
            </w:pPr>
            <w:r>
              <w:rPr>
                <w:sz w:val="21"/>
              </w:rPr>
              <w:t>(1)没有取得驾驶资格；</w:t>
            </w:r>
          </w:p>
          <w:p>
            <w:pPr>
              <w:pStyle w:val="TableParagraph"/>
              <w:spacing w:before="36"/>
              <w:ind w:left="67"/>
              <w:rPr>
                <w:sz w:val="21"/>
              </w:rPr>
            </w:pPr>
            <w:r>
              <w:rPr>
                <w:sz w:val="21"/>
              </w:rPr>
              <w:t>(2)驾驶与驾驶证准驾车型不相符合的车辆；</w:t>
            </w:r>
          </w:p>
          <w:p>
            <w:pPr>
              <w:pStyle w:val="TableParagraph"/>
              <w:spacing w:before="36"/>
              <w:ind w:left="67"/>
              <w:rPr>
                <w:sz w:val="21"/>
              </w:rPr>
            </w:pPr>
            <w:r>
              <w:rPr>
                <w:sz w:val="21"/>
              </w:rPr>
              <w:t>(3)持审验不合格的驾驶证驾驶；</w:t>
            </w:r>
          </w:p>
          <w:p>
            <w:pPr>
              <w:pStyle w:val="TableParagraph"/>
              <w:spacing w:line="273" w:lineRule="auto" w:before="36"/>
              <w:ind w:left="67" w:right="319"/>
              <w:rPr>
                <w:sz w:val="21"/>
              </w:rPr>
            </w:pPr>
            <w:r>
              <w:rPr>
                <w:sz w:val="21"/>
              </w:rPr>
              <w:t>(4)</w:t>
            </w:r>
            <w:r>
              <w:rPr>
                <w:spacing w:val="-7"/>
                <w:sz w:val="21"/>
              </w:rPr>
              <w:t>持学习驾驶证件学习驾车时，无教练员随车指导，或不按指定时间、路线</w:t>
            </w:r>
            <w:r>
              <w:rPr>
                <w:spacing w:val="-4"/>
                <w:sz w:val="21"/>
              </w:rPr>
              <w:t>学习驾车。</w:t>
            </w:r>
          </w:p>
        </w:tc>
      </w:tr>
      <w:tr>
        <w:trPr>
          <w:trHeight w:val="1390" w:hRule="atLeast"/>
        </w:trPr>
        <w:tc>
          <w:tcPr>
            <w:tcW w:w="919" w:type="dxa"/>
          </w:tcPr>
          <w:p>
            <w:pPr>
              <w:pStyle w:val="TableParagraph"/>
              <w:spacing w:before="50"/>
              <w:ind w:left="76" w:right="170"/>
              <w:jc w:val="center"/>
              <w:rPr>
                <w:b/>
                <w:sz w:val="21"/>
              </w:rPr>
            </w:pPr>
            <w:r>
              <w:rPr>
                <w:b/>
                <w:sz w:val="21"/>
              </w:rPr>
              <w:t>10.7</w:t>
            </w:r>
          </w:p>
        </w:tc>
        <w:tc>
          <w:tcPr>
            <w:tcW w:w="1561" w:type="dxa"/>
          </w:tcPr>
          <w:p>
            <w:pPr>
              <w:pStyle w:val="TableParagraph"/>
              <w:spacing w:line="273" w:lineRule="auto" w:before="50"/>
              <w:ind w:left="226" w:right="276"/>
              <w:rPr>
                <w:b/>
                <w:sz w:val="21"/>
              </w:rPr>
            </w:pPr>
            <w:r>
              <w:rPr>
                <w:b/>
                <w:sz w:val="21"/>
              </w:rPr>
              <w:t>无有效行驶证</w:t>
            </w:r>
          </w:p>
        </w:tc>
        <w:tc>
          <w:tcPr>
            <w:tcW w:w="7371" w:type="dxa"/>
          </w:tcPr>
          <w:p>
            <w:pPr>
              <w:pStyle w:val="TableParagraph"/>
              <w:spacing w:before="50"/>
              <w:ind w:left="67"/>
              <w:rPr>
                <w:sz w:val="21"/>
              </w:rPr>
            </w:pPr>
            <w:r>
              <w:rPr>
                <w:sz w:val="21"/>
              </w:rPr>
              <w:t>指下列情形之一：</w:t>
            </w:r>
          </w:p>
          <w:p>
            <w:pPr>
              <w:pStyle w:val="TableParagraph"/>
              <w:spacing w:before="28"/>
              <w:ind w:left="67"/>
              <w:rPr>
                <w:sz w:val="21"/>
              </w:rPr>
            </w:pPr>
            <w:r>
              <w:rPr>
                <w:sz w:val="21"/>
              </w:rPr>
              <w:t>(1)未取得行驶证</w:t>
            </w:r>
            <w:r>
              <w:rPr>
                <w:sz w:val="22"/>
              </w:rPr>
              <w:t>或临时号牌</w:t>
            </w:r>
            <w:r>
              <w:rPr>
                <w:sz w:val="21"/>
              </w:rPr>
              <w:t>；</w:t>
            </w:r>
          </w:p>
          <w:p>
            <w:pPr>
              <w:pStyle w:val="TableParagraph"/>
              <w:spacing w:before="33"/>
              <w:ind w:left="67"/>
              <w:rPr>
                <w:sz w:val="21"/>
              </w:rPr>
            </w:pPr>
            <w:r>
              <w:rPr>
                <w:sz w:val="21"/>
              </w:rPr>
              <w:t>(2)机动车被依法注销登记的；</w:t>
            </w:r>
          </w:p>
          <w:p>
            <w:pPr>
              <w:pStyle w:val="TableParagraph"/>
              <w:spacing w:before="36"/>
              <w:ind w:left="67"/>
              <w:rPr>
                <w:sz w:val="21"/>
              </w:rPr>
            </w:pPr>
            <w:r>
              <w:rPr>
                <w:sz w:val="21"/>
              </w:rPr>
              <w:t>(3)未依法按时进行或通过机动车安全技术检验。</w:t>
            </w:r>
          </w:p>
        </w:tc>
      </w:tr>
      <w:tr>
        <w:trPr>
          <w:trHeight w:val="1778" w:hRule="atLeast"/>
        </w:trPr>
        <w:tc>
          <w:tcPr>
            <w:tcW w:w="919" w:type="dxa"/>
          </w:tcPr>
          <w:p>
            <w:pPr>
              <w:pStyle w:val="TableParagraph"/>
              <w:spacing w:before="48"/>
              <w:ind w:left="76" w:right="170"/>
              <w:jc w:val="center"/>
              <w:rPr>
                <w:b/>
                <w:sz w:val="21"/>
              </w:rPr>
            </w:pPr>
            <w:r>
              <w:rPr>
                <w:b/>
                <w:sz w:val="21"/>
              </w:rPr>
              <w:t>10.8</w:t>
            </w:r>
          </w:p>
        </w:tc>
        <w:tc>
          <w:tcPr>
            <w:tcW w:w="1561" w:type="dxa"/>
          </w:tcPr>
          <w:p>
            <w:pPr>
              <w:pStyle w:val="TableParagraph"/>
              <w:spacing w:line="273" w:lineRule="auto" w:before="48"/>
              <w:ind w:left="226" w:right="276"/>
              <w:jc w:val="both"/>
              <w:rPr>
                <w:b/>
                <w:sz w:val="21"/>
              </w:rPr>
            </w:pPr>
            <w:r>
              <w:rPr>
                <w:b/>
                <w:sz w:val="21"/>
              </w:rPr>
              <w:t>感染艾滋病病毒或患艾滋病</w:t>
            </w:r>
          </w:p>
        </w:tc>
        <w:tc>
          <w:tcPr>
            <w:tcW w:w="7371" w:type="dxa"/>
          </w:tcPr>
          <w:p>
            <w:pPr>
              <w:pStyle w:val="TableParagraph"/>
              <w:spacing w:line="273" w:lineRule="auto" w:before="48"/>
              <w:ind w:left="67" w:right="32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4"/>
              <w:ind w:left="67" w:right="213"/>
              <w:rPr>
                <w:sz w:val="21"/>
              </w:rPr>
            </w:pPr>
            <w:r>
              <w:rPr>
                <w:sz w:val="21"/>
              </w:rPr>
              <w:t>在人体血液或其他样本中检测到艾滋病病毒或其抗体呈阳性，没有出现临床</w:t>
            </w:r>
            <w:r>
              <w:rPr>
                <w:spacing w:val="-9"/>
                <w:sz w:val="21"/>
              </w:rPr>
              <w:t>症状或体征的，为感染艾滋病病毒；如果同时出现了明显临床症状或体征的， </w:t>
            </w:r>
            <w:r>
              <w:rPr>
                <w:spacing w:val="-5"/>
                <w:sz w:val="21"/>
              </w:rPr>
              <w:t>为患艾滋病。</w:t>
            </w:r>
          </w:p>
        </w:tc>
      </w:tr>
      <w:tr>
        <w:trPr>
          <w:trHeight w:val="766" w:hRule="atLeast"/>
        </w:trPr>
        <w:tc>
          <w:tcPr>
            <w:tcW w:w="919" w:type="dxa"/>
          </w:tcPr>
          <w:p>
            <w:pPr>
              <w:pStyle w:val="TableParagraph"/>
              <w:spacing w:before="48"/>
              <w:ind w:left="76" w:right="170"/>
              <w:jc w:val="center"/>
              <w:rPr>
                <w:b/>
                <w:sz w:val="21"/>
              </w:rPr>
            </w:pPr>
            <w:r>
              <w:rPr>
                <w:b/>
                <w:sz w:val="21"/>
              </w:rPr>
              <w:t>10.9</w:t>
            </w:r>
          </w:p>
        </w:tc>
        <w:tc>
          <w:tcPr>
            <w:tcW w:w="1561" w:type="dxa"/>
          </w:tcPr>
          <w:p>
            <w:pPr>
              <w:pStyle w:val="TableParagraph"/>
              <w:spacing w:before="48"/>
              <w:ind w:left="226"/>
              <w:rPr>
                <w:b/>
                <w:sz w:val="21"/>
              </w:rPr>
            </w:pPr>
            <w:r>
              <w:rPr>
                <w:b/>
                <w:sz w:val="21"/>
              </w:rPr>
              <w:t>遗传性疾病</w:t>
            </w:r>
          </w:p>
        </w:tc>
        <w:tc>
          <w:tcPr>
            <w:tcW w:w="7371" w:type="dxa"/>
          </w:tcPr>
          <w:p>
            <w:pPr>
              <w:pStyle w:val="TableParagraph"/>
              <w:spacing w:line="273" w:lineRule="auto" w:before="48"/>
              <w:ind w:left="67" w:right="322"/>
              <w:rPr>
                <w:sz w:val="21"/>
              </w:rPr>
            </w:pPr>
            <w:r>
              <w:rPr>
                <w:sz w:val="21"/>
              </w:rPr>
              <w:t>指生殖细胞或受精卵的遗传物质（染色体和基因）发生突变或畸变所引起的疾病，通常具有由亲代传至后代的垂直传递的特征。</w:t>
            </w:r>
          </w:p>
        </w:tc>
      </w:tr>
      <w:tr>
        <w:trPr>
          <w:trHeight w:val="1078" w:hRule="atLeast"/>
        </w:trPr>
        <w:tc>
          <w:tcPr>
            <w:tcW w:w="919" w:type="dxa"/>
          </w:tcPr>
          <w:p>
            <w:pPr>
              <w:pStyle w:val="TableParagraph"/>
              <w:spacing w:before="50"/>
              <w:ind w:left="179" w:right="170"/>
              <w:jc w:val="center"/>
              <w:rPr>
                <w:b/>
                <w:sz w:val="21"/>
              </w:rPr>
            </w:pPr>
            <w:r>
              <w:rPr>
                <w:b/>
                <w:sz w:val="21"/>
              </w:rPr>
              <w:t>10.10</w:t>
            </w:r>
          </w:p>
        </w:tc>
        <w:tc>
          <w:tcPr>
            <w:tcW w:w="1561" w:type="dxa"/>
          </w:tcPr>
          <w:p>
            <w:pPr>
              <w:pStyle w:val="TableParagraph"/>
              <w:spacing w:line="273" w:lineRule="auto" w:before="50"/>
              <w:ind w:left="226" w:right="65"/>
              <w:rPr>
                <w:b/>
                <w:sz w:val="21"/>
              </w:rPr>
            </w:pPr>
            <w:r>
              <w:rPr>
                <w:b/>
                <w:sz w:val="21"/>
              </w:rPr>
              <w:t>先天性畸形、变形或染色 体异常</w:t>
            </w:r>
          </w:p>
        </w:tc>
        <w:tc>
          <w:tcPr>
            <w:tcW w:w="7371" w:type="dxa"/>
          </w:tcPr>
          <w:p>
            <w:pPr>
              <w:pStyle w:val="TableParagraph"/>
              <w:spacing w:line="273" w:lineRule="auto" w:before="50"/>
              <w:ind w:left="67" w:right="19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67"/>
              <w:rPr>
                <w:sz w:val="21"/>
              </w:rPr>
            </w:pPr>
            <w:r>
              <w:rPr>
                <w:sz w:val="21"/>
              </w:rPr>
              <w:t>（ICD-10）确定。</w:t>
            </w:r>
          </w:p>
        </w:tc>
      </w:tr>
      <w:tr>
        <w:trPr>
          <w:trHeight w:val="765" w:hRule="atLeast"/>
        </w:trPr>
        <w:tc>
          <w:tcPr>
            <w:tcW w:w="919" w:type="dxa"/>
          </w:tcPr>
          <w:p>
            <w:pPr>
              <w:pStyle w:val="TableParagraph"/>
              <w:spacing w:before="48"/>
              <w:ind w:left="179" w:right="170"/>
              <w:jc w:val="center"/>
              <w:rPr>
                <w:b/>
                <w:sz w:val="21"/>
              </w:rPr>
            </w:pPr>
            <w:r>
              <w:rPr>
                <w:b/>
                <w:sz w:val="21"/>
              </w:rPr>
              <w:t>10.11</w:t>
            </w:r>
          </w:p>
        </w:tc>
        <w:tc>
          <w:tcPr>
            <w:tcW w:w="1561" w:type="dxa"/>
          </w:tcPr>
          <w:p>
            <w:pPr>
              <w:pStyle w:val="TableParagraph"/>
              <w:spacing w:line="273" w:lineRule="auto" w:before="48"/>
              <w:ind w:left="226" w:right="276"/>
              <w:rPr>
                <w:b/>
                <w:sz w:val="21"/>
              </w:rPr>
            </w:pPr>
            <w:r>
              <w:rPr>
                <w:b/>
                <w:sz w:val="21"/>
              </w:rPr>
              <w:t>有效身份证件</w:t>
            </w:r>
          </w:p>
        </w:tc>
        <w:tc>
          <w:tcPr>
            <w:tcW w:w="7371" w:type="dxa"/>
          </w:tcPr>
          <w:p>
            <w:pPr>
              <w:pStyle w:val="TableParagraph"/>
              <w:spacing w:line="273" w:lineRule="auto" w:before="48"/>
              <w:ind w:left="67" w:right="322"/>
              <w:rPr>
                <w:sz w:val="21"/>
              </w:rPr>
            </w:pPr>
            <w:r>
              <w:rPr>
                <w:sz w:val="21"/>
              </w:rPr>
              <w:t>指由政府主管部门规定的证明其身份的证件，如：居民身份证、按规定可使用的有效护照、军官证、警官证等证件。</w:t>
            </w:r>
          </w:p>
        </w:tc>
      </w:tr>
      <w:tr>
        <w:trPr>
          <w:trHeight w:val="765" w:hRule="atLeast"/>
        </w:trPr>
        <w:tc>
          <w:tcPr>
            <w:tcW w:w="919" w:type="dxa"/>
          </w:tcPr>
          <w:p>
            <w:pPr>
              <w:pStyle w:val="TableParagraph"/>
              <w:spacing w:before="48"/>
              <w:ind w:left="179" w:right="170"/>
              <w:jc w:val="center"/>
              <w:rPr>
                <w:b/>
                <w:sz w:val="21"/>
              </w:rPr>
            </w:pPr>
            <w:r>
              <w:rPr>
                <w:b/>
                <w:sz w:val="21"/>
              </w:rPr>
              <w:t>10.12</w:t>
            </w:r>
          </w:p>
        </w:tc>
        <w:tc>
          <w:tcPr>
            <w:tcW w:w="1561" w:type="dxa"/>
          </w:tcPr>
          <w:p>
            <w:pPr>
              <w:pStyle w:val="TableParagraph"/>
              <w:spacing w:before="48"/>
              <w:ind w:left="226"/>
              <w:rPr>
                <w:b/>
                <w:sz w:val="21"/>
              </w:rPr>
            </w:pPr>
            <w:r>
              <w:rPr>
                <w:b/>
                <w:sz w:val="21"/>
              </w:rPr>
              <w:t>情形复杂</w:t>
            </w:r>
          </w:p>
        </w:tc>
        <w:tc>
          <w:tcPr>
            <w:tcW w:w="7371" w:type="dxa"/>
          </w:tcPr>
          <w:p>
            <w:pPr>
              <w:pStyle w:val="TableParagraph"/>
              <w:spacing w:line="273" w:lineRule="auto" w:before="48"/>
              <w:ind w:left="67" w:right="322"/>
              <w:rPr>
                <w:sz w:val="21"/>
              </w:rPr>
            </w:pPr>
            <w:r>
              <w:rPr>
                <w:sz w:val="21"/>
              </w:rPr>
              <w:t>指保险事故的性质、原因、伤害或损失程度等在本公司收到保险金给付申请书及合同约定的证明和资料后 5 日内无法确定，需要进一步核实。</w:t>
            </w:r>
          </w:p>
        </w:tc>
      </w:tr>
      <w:tr>
        <w:trPr>
          <w:trHeight w:val="332" w:hRule="atLeast"/>
        </w:trPr>
        <w:tc>
          <w:tcPr>
            <w:tcW w:w="919" w:type="dxa"/>
          </w:tcPr>
          <w:p>
            <w:pPr>
              <w:pStyle w:val="TableParagraph"/>
              <w:spacing w:line="264" w:lineRule="exact" w:before="48"/>
              <w:ind w:left="179" w:right="170"/>
              <w:jc w:val="center"/>
              <w:rPr>
                <w:b/>
                <w:sz w:val="21"/>
              </w:rPr>
            </w:pPr>
            <w:r>
              <w:rPr>
                <w:b/>
                <w:sz w:val="21"/>
              </w:rPr>
              <w:t>10.13</w:t>
            </w:r>
          </w:p>
        </w:tc>
        <w:tc>
          <w:tcPr>
            <w:tcW w:w="1561" w:type="dxa"/>
          </w:tcPr>
          <w:p>
            <w:pPr>
              <w:pStyle w:val="TableParagraph"/>
              <w:spacing w:line="264" w:lineRule="exact" w:before="48"/>
              <w:ind w:left="240"/>
              <w:rPr>
                <w:b/>
                <w:sz w:val="21"/>
              </w:rPr>
            </w:pPr>
            <w:r>
              <w:rPr>
                <w:b/>
                <w:sz w:val="21"/>
              </w:rPr>
              <w:t>专科医生</w:t>
            </w:r>
          </w:p>
        </w:tc>
        <w:tc>
          <w:tcPr>
            <w:tcW w:w="7371" w:type="dxa"/>
          </w:tcPr>
          <w:p>
            <w:pPr>
              <w:pStyle w:val="TableParagraph"/>
              <w:spacing w:line="264" w:lineRule="exact" w:before="48"/>
              <w:ind w:left="83"/>
              <w:rPr>
                <w:sz w:val="21"/>
              </w:rPr>
            </w:pPr>
            <w:r>
              <w:rPr>
                <w:sz w:val="21"/>
              </w:rPr>
              <w:t>专科医生应当同时满足以下四项资格条件：</w:t>
            </w:r>
          </w:p>
        </w:tc>
      </w:tr>
    </w:tbl>
    <w:p>
      <w:pPr>
        <w:spacing w:after="0" w:line="264" w:lineRule="exact"/>
        <w:rPr>
          <w:sz w:val="21"/>
        </w:rPr>
        <w:sectPr>
          <w:pgSz w:w="11910" w:h="16840"/>
          <w:pgMar w:top="1460" w:bottom="280" w:left="98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46"/>
        <w:gridCol w:w="7343"/>
      </w:tblGrid>
      <w:tr>
        <w:trPr>
          <w:trHeight w:val="1892" w:hRule="atLeast"/>
        </w:trPr>
        <w:tc>
          <w:tcPr>
            <w:tcW w:w="944" w:type="dxa"/>
          </w:tcPr>
          <w:p>
            <w:pPr>
              <w:pStyle w:val="TableParagraph"/>
              <w:ind w:left="0"/>
              <w:rPr>
                <w:rFonts w:ascii="Times New Roman"/>
                <w:sz w:val="20"/>
              </w:rPr>
            </w:pPr>
          </w:p>
        </w:tc>
        <w:tc>
          <w:tcPr>
            <w:tcW w:w="1446" w:type="dxa"/>
          </w:tcPr>
          <w:p>
            <w:pPr>
              <w:pStyle w:val="TableParagraph"/>
              <w:ind w:left="0"/>
              <w:rPr>
                <w:rFonts w:ascii="Times New Roman"/>
                <w:sz w:val="20"/>
              </w:rPr>
            </w:pPr>
          </w:p>
        </w:tc>
        <w:tc>
          <w:tcPr>
            <w:tcW w:w="7343" w:type="dxa"/>
          </w:tcPr>
          <w:p>
            <w:pPr>
              <w:pStyle w:val="TableParagraph"/>
              <w:spacing w:line="202" w:lineRule="exact"/>
              <w:ind w:left="173"/>
              <w:rPr>
                <w:sz w:val="21"/>
              </w:rPr>
            </w:pPr>
            <w:r>
              <w:rPr>
                <w:sz w:val="21"/>
              </w:rPr>
              <w:t>(1)具有有效的中华人民共和国《医师资格证书》；</w:t>
            </w:r>
          </w:p>
          <w:p>
            <w:pPr>
              <w:pStyle w:val="TableParagraph"/>
              <w:spacing w:line="273" w:lineRule="auto" w:before="37"/>
              <w:ind w:left="173" w:right="202"/>
              <w:rPr>
                <w:sz w:val="21"/>
              </w:rPr>
            </w:pPr>
            <w:r>
              <w:rPr>
                <w:sz w:val="21"/>
              </w:rPr>
              <w:t>(2)</w:t>
            </w:r>
            <w:r>
              <w:rPr>
                <w:spacing w:val="-7"/>
                <w:sz w:val="21"/>
              </w:rPr>
              <w:t>具有有效的中华人民共和国《医师执业证书》，并按期到相关部门登记注册；</w:t>
            </w:r>
          </w:p>
          <w:p>
            <w:pPr>
              <w:pStyle w:val="TableParagraph"/>
              <w:spacing w:line="273" w:lineRule="auto" w:before="7"/>
              <w:ind w:left="173" w:right="198"/>
              <w:rPr>
                <w:sz w:val="21"/>
              </w:rPr>
            </w:pPr>
            <w:r>
              <w:rPr>
                <w:sz w:val="21"/>
              </w:rPr>
              <w:t>(3)</w:t>
            </w:r>
            <w:r>
              <w:rPr>
                <w:spacing w:val="-6"/>
                <w:sz w:val="21"/>
              </w:rPr>
              <w:t>具有有效的中华人民共和国主治医师或主治医师以上职称的《医师职称证</w:t>
            </w:r>
            <w:r>
              <w:rPr>
                <w:spacing w:val="-36"/>
                <w:sz w:val="21"/>
              </w:rPr>
              <w:t>书》；</w:t>
            </w:r>
          </w:p>
          <w:p>
            <w:pPr>
              <w:pStyle w:val="TableParagraph"/>
              <w:spacing w:before="7"/>
              <w:ind w:left="173"/>
              <w:rPr>
                <w:sz w:val="21"/>
              </w:rPr>
            </w:pPr>
            <w:r>
              <w:rPr>
                <w:sz w:val="21"/>
              </w:rPr>
              <w:t>(4)在二级或二级以上医院的相应科室从事临床工作三年以上。</w:t>
            </w:r>
          </w:p>
        </w:tc>
      </w:tr>
      <w:tr>
        <w:trPr>
          <w:trHeight w:val="765" w:hRule="atLeast"/>
        </w:trPr>
        <w:tc>
          <w:tcPr>
            <w:tcW w:w="944" w:type="dxa"/>
          </w:tcPr>
          <w:p>
            <w:pPr>
              <w:pStyle w:val="TableParagraph"/>
              <w:spacing w:before="49"/>
              <w:ind w:left="179" w:right="194"/>
              <w:jc w:val="center"/>
              <w:rPr>
                <w:b/>
                <w:sz w:val="21"/>
              </w:rPr>
            </w:pPr>
            <w:r>
              <w:rPr>
                <w:b/>
                <w:sz w:val="21"/>
              </w:rPr>
              <w:t>10.14</w:t>
            </w:r>
          </w:p>
        </w:tc>
        <w:tc>
          <w:tcPr>
            <w:tcW w:w="1446" w:type="dxa"/>
          </w:tcPr>
          <w:p>
            <w:pPr>
              <w:pStyle w:val="TableParagraph"/>
              <w:spacing w:line="273" w:lineRule="auto" w:before="49"/>
              <w:ind w:left="215" w:right="173"/>
              <w:rPr>
                <w:b/>
                <w:sz w:val="21"/>
              </w:rPr>
            </w:pPr>
            <w:r>
              <w:rPr>
                <w:b/>
                <w:sz w:val="21"/>
              </w:rPr>
              <w:t>肢体机能完全丧失</w:t>
            </w:r>
          </w:p>
        </w:tc>
        <w:tc>
          <w:tcPr>
            <w:tcW w:w="7343" w:type="dxa"/>
          </w:tcPr>
          <w:p>
            <w:pPr>
              <w:pStyle w:val="TableParagraph"/>
              <w:spacing w:line="273" w:lineRule="auto" w:before="49"/>
              <w:ind w:left="173" w:right="202"/>
              <w:rPr>
                <w:sz w:val="21"/>
              </w:rPr>
            </w:pPr>
            <w:r>
              <w:rPr>
                <w:sz w:val="21"/>
              </w:rPr>
              <w:t>指肢体的三大关节中的两大关节僵硬，或不能随意识活动。肢体是指包括肩关节的整个上肢或包括髋关节的整个下肢。</w:t>
            </w:r>
          </w:p>
        </w:tc>
      </w:tr>
      <w:tr>
        <w:trPr>
          <w:trHeight w:val="1780" w:hRule="atLeast"/>
        </w:trPr>
        <w:tc>
          <w:tcPr>
            <w:tcW w:w="944" w:type="dxa"/>
          </w:tcPr>
          <w:p>
            <w:pPr>
              <w:pStyle w:val="TableParagraph"/>
              <w:spacing w:before="48"/>
              <w:ind w:left="179" w:right="194"/>
              <w:jc w:val="center"/>
              <w:rPr>
                <w:b/>
                <w:sz w:val="21"/>
              </w:rPr>
            </w:pPr>
            <w:r>
              <w:rPr>
                <w:b/>
                <w:sz w:val="21"/>
              </w:rPr>
              <w:t>10.15</w:t>
            </w:r>
          </w:p>
        </w:tc>
        <w:tc>
          <w:tcPr>
            <w:tcW w:w="1446" w:type="dxa"/>
          </w:tcPr>
          <w:p>
            <w:pPr>
              <w:pStyle w:val="TableParagraph"/>
              <w:spacing w:line="273" w:lineRule="auto" w:before="48"/>
              <w:ind w:left="215" w:right="173"/>
              <w:jc w:val="both"/>
              <w:rPr>
                <w:b/>
                <w:sz w:val="21"/>
              </w:rPr>
            </w:pPr>
            <w:r>
              <w:rPr>
                <w:b/>
                <w:sz w:val="21"/>
              </w:rPr>
              <w:t>语言能力或咀嚼吞咽能力完全丧失</w:t>
            </w:r>
          </w:p>
        </w:tc>
        <w:tc>
          <w:tcPr>
            <w:tcW w:w="7343" w:type="dxa"/>
          </w:tcPr>
          <w:p>
            <w:pPr>
              <w:pStyle w:val="TableParagraph"/>
              <w:spacing w:line="273" w:lineRule="auto" w:before="48"/>
              <w:ind w:left="173" w:right="202"/>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6"/>
              <w:ind w:left="173" w:right="202"/>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25" w:hRule="atLeast"/>
        </w:trPr>
        <w:tc>
          <w:tcPr>
            <w:tcW w:w="944" w:type="dxa"/>
          </w:tcPr>
          <w:p>
            <w:pPr>
              <w:pStyle w:val="TableParagraph"/>
              <w:spacing w:before="49"/>
              <w:ind w:left="179" w:right="194"/>
              <w:jc w:val="center"/>
              <w:rPr>
                <w:b/>
                <w:sz w:val="21"/>
              </w:rPr>
            </w:pPr>
            <w:r>
              <w:rPr>
                <w:b/>
                <w:sz w:val="21"/>
              </w:rPr>
              <w:t>10.16</w:t>
            </w:r>
          </w:p>
        </w:tc>
        <w:tc>
          <w:tcPr>
            <w:tcW w:w="1446" w:type="dxa"/>
          </w:tcPr>
          <w:p>
            <w:pPr>
              <w:pStyle w:val="TableParagraph"/>
              <w:spacing w:line="273" w:lineRule="auto" w:before="49"/>
              <w:ind w:left="215" w:right="173"/>
              <w:rPr>
                <w:b/>
                <w:sz w:val="21"/>
              </w:rPr>
            </w:pPr>
            <w:r>
              <w:rPr>
                <w:b/>
                <w:sz w:val="21"/>
              </w:rPr>
              <w:t>六项基本日常生活活动</w:t>
            </w:r>
          </w:p>
        </w:tc>
        <w:tc>
          <w:tcPr>
            <w:tcW w:w="7343" w:type="dxa"/>
          </w:tcPr>
          <w:p>
            <w:pPr>
              <w:pStyle w:val="TableParagraph"/>
              <w:spacing w:before="49"/>
              <w:ind w:left="173"/>
              <w:rPr>
                <w:sz w:val="21"/>
              </w:rPr>
            </w:pPr>
            <w:r>
              <w:rPr>
                <w:sz w:val="21"/>
              </w:rPr>
              <w:t>六项基本日常生活活动是指：</w:t>
            </w:r>
          </w:p>
          <w:p>
            <w:pPr>
              <w:pStyle w:val="TableParagraph"/>
              <w:spacing w:before="37"/>
              <w:ind w:left="173"/>
              <w:rPr>
                <w:sz w:val="21"/>
              </w:rPr>
            </w:pPr>
            <w:r>
              <w:rPr>
                <w:sz w:val="21"/>
              </w:rPr>
              <w:t>(1)穿衣：自己能够穿衣及脱衣；</w:t>
            </w:r>
          </w:p>
          <w:p>
            <w:pPr>
              <w:pStyle w:val="TableParagraph"/>
              <w:spacing w:before="37"/>
              <w:ind w:left="173"/>
              <w:rPr>
                <w:sz w:val="21"/>
              </w:rPr>
            </w:pPr>
            <w:r>
              <w:rPr>
                <w:sz w:val="21"/>
              </w:rPr>
              <w:t>(2)移动：自己从一个房间到另一个房间；</w:t>
            </w:r>
          </w:p>
          <w:p>
            <w:pPr>
              <w:pStyle w:val="TableParagraph"/>
              <w:spacing w:before="37"/>
              <w:ind w:left="173"/>
              <w:rPr>
                <w:sz w:val="21"/>
              </w:rPr>
            </w:pPr>
            <w:r>
              <w:rPr>
                <w:sz w:val="21"/>
              </w:rPr>
              <w:t>(3)行动：自己上下床或上下轮椅；</w:t>
            </w:r>
          </w:p>
          <w:p>
            <w:pPr>
              <w:pStyle w:val="TableParagraph"/>
              <w:spacing w:before="37"/>
              <w:ind w:left="173"/>
              <w:rPr>
                <w:sz w:val="21"/>
              </w:rPr>
            </w:pPr>
            <w:r>
              <w:rPr>
                <w:sz w:val="21"/>
              </w:rPr>
              <w:t>(4)如厕：自己控制进行大小便；</w:t>
            </w:r>
          </w:p>
          <w:p>
            <w:pPr>
              <w:pStyle w:val="TableParagraph"/>
              <w:spacing w:before="37"/>
              <w:ind w:left="173"/>
              <w:rPr>
                <w:sz w:val="21"/>
              </w:rPr>
            </w:pPr>
            <w:r>
              <w:rPr>
                <w:sz w:val="21"/>
              </w:rPr>
              <w:t>(5)进食：自己从已准备好的碗或碟中取食物放入口中；</w:t>
            </w:r>
          </w:p>
          <w:p>
            <w:pPr>
              <w:pStyle w:val="TableParagraph"/>
              <w:spacing w:before="37"/>
              <w:ind w:left="173"/>
              <w:rPr>
                <w:sz w:val="21"/>
              </w:rPr>
            </w:pPr>
            <w:r>
              <w:rPr>
                <w:sz w:val="21"/>
              </w:rPr>
              <w:t>(6)洗澡：自己进行淋浴或盆浴。</w:t>
            </w:r>
          </w:p>
        </w:tc>
      </w:tr>
      <w:tr>
        <w:trPr>
          <w:trHeight w:val="644" w:hRule="atLeast"/>
        </w:trPr>
        <w:tc>
          <w:tcPr>
            <w:tcW w:w="944" w:type="dxa"/>
          </w:tcPr>
          <w:p>
            <w:pPr>
              <w:pStyle w:val="TableParagraph"/>
              <w:spacing w:before="49"/>
              <w:ind w:left="179" w:right="194"/>
              <w:jc w:val="center"/>
              <w:rPr>
                <w:b/>
                <w:sz w:val="21"/>
              </w:rPr>
            </w:pPr>
            <w:r>
              <w:rPr>
                <w:b/>
                <w:sz w:val="21"/>
              </w:rPr>
              <w:t>10.17</w:t>
            </w:r>
          </w:p>
        </w:tc>
        <w:tc>
          <w:tcPr>
            <w:tcW w:w="1446" w:type="dxa"/>
          </w:tcPr>
          <w:p>
            <w:pPr>
              <w:pStyle w:val="TableParagraph"/>
              <w:spacing w:before="49"/>
              <w:ind w:left="215"/>
              <w:rPr>
                <w:b/>
                <w:sz w:val="21"/>
              </w:rPr>
            </w:pPr>
            <w:r>
              <w:rPr>
                <w:b/>
                <w:sz w:val="21"/>
              </w:rPr>
              <w:t>永久不可逆</w:t>
            </w:r>
          </w:p>
        </w:tc>
        <w:tc>
          <w:tcPr>
            <w:tcW w:w="7343" w:type="dxa"/>
          </w:tcPr>
          <w:p>
            <w:pPr>
              <w:pStyle w:val="TableParagraph"/>
              <w:spacing w:line="310" w:lineRule="atLeast" w:before="13"/>
              <w:ind w:left="173" w:right="328"/>
              <w:rPr>
                <w:sz w:val="21"/>
              </w:rPr>
            </w:pPr>
            <w:r>
              <w:rPr>
                <w:sz w:val="21"/>
              </w:rPr>
              <w:t>指自疾病确诊或意外伤害发生之日起，经过积极治疗 180 天后，仍无法通过现有医疗手段恢复。</w:t>
            </w:r>
          </w:p>
        </w:tc>
      </w:tr>
    </w:tbl>
    <w:sectPr>
      <w:pgSz w:w="11910" w:h="16840"/>
      <w:pgMar w:top="146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0"/>
      <w:numFmt w:val="decimal"/>
      <w:lvlText w:val="%1"/>
      <w:lvlJc w:val="left"/>
      <w:pPr>
        <w:ind w:left="1052" w:hanging="526"/>
        <w:jc w:val="left"/>
      </w:pPr>
      <w:rPr>
        <w:rFonts w:hint="default"/>
      </w:rPr>
    </w:lvl>
    <w:lvl w:ilvl="1">
      <w:start w:val="7"/>
      <w:numFmt w:val="decimal"/>
      <w:lvlText w:val="%1.%2"/>
      <w:lvlJc w:val="left"/>
      <w:pPr>
        <w:ind w:left="1052" w:hanging="526"/>
        <w:jc w:val="left"/>
      </w:pPr>
      <w:rPr>
        <w:rFonts w:hint="default" w:ascii="黑体" w:hAnsi="黑体" w:eastAsia="黑体" w:cs="黑体"/>
        <w:w w:val="100"/>
        <w:sz w:val="21"/>
        <w:szCs w:val="21"/>
      </w:rPr>
    </w:lvl>
    <w:lvl w:ilvl="2">
      <w:start w:val="0"/>
      <w:numFmt w:val="bullet"/>
      <w:lvlText w:val="•"/>
      <w:lvlJc w:val="left"/>
      <w:pPr>
        <w:ind w:left="1675" w:hanging="526"/>
      </w:pPr>
      <w:rPr>
        <w:rFonts w:hint="default"/>
      </w:rPr>
    </w:lvl>
    <w:lvl w:ilvl="3">
      <w:start w:val="0"/>
      <w:numFmt w:val="bullet"/>
      <w:lvlText w:val="•"/>
      <w:lvlJc w:val="left"/>
      <w:pPr>
        <w:ind w:left="1983" w:hanging="526"/>
      </w:pPr>
      <w:rPr>
        <w:rFonts w:hint="default"/>
      </w:rPr>
    </w:lvl>
    <w:lvl w:ilvl="4">
      <w:start w:val="0"/>
      <w:numFmt w:val="bullet"/>
      <w:lvlText w:val="•"/>
      <w:lvlJc w:val="left"/>
      <w:pPr>
        <w:ind w:left="2290" w:hanging="526"/>
      </w:pPr>
      <w:rPr>
        <w:rFonts w:hint="default"/>
      </w:rPr>
    </w:lvl>
    <w:lvl w:ilvl="5">
      <w:start w:val="0"/>
      <w:numFmt w:val="bullet"/>
      <w:lvlText w:val="•"/>
      <w:lvlJc w:val="left"/>
      <w:pPr>
        <w:ind w:left="2598" w:hanging="526"/>
      </w:pPr>
      <w:rPr>
        <w:rFonts w:hint="default"/>
      </w:rPr>
    </w:lvl>
    <w:lvl w:ilvl="6">
      <w:start w:val="0"/>
      <w:numFmt w:val="bullet"/>
      <w:lvlText w:val="•"/>
      <w:lvlJc w:val="left"/>
      <w:pPr>
        <w:ind w:left="2906" w:hanging="526"/>
      </w:pPr>
      <w:rPr>
        <w:rFonts w:hint="default"/>
      </w:rPr>
    </w:lvl>
    <w:lvl w:ilvl="7">
      <w:start w:val="0"/>
      <w:numFmt w:val="bullet"/>
      <w:lvlText w:val="•"/>
      <w:lvlJc w:val="left"/>
      <w:pPr>
        <w:ind w:left="3213" w:hanging="526"/>
      </w:pPr>
      <w:rPr>
        <w:rFonts w:hint="default"/>
      </w:rPr>
    </w:lvl>
    <w:lvl w:ilvl="8">
      <w:start w:val="0"/>
      <w:numFmt w:val="bullet"/>
      <w:lvlText w:val="•"/>
      <w:lvlJc w:val="left"/>
      <w:pPr>
        <w:ind w:left="3521" w:hanging="526"/>
      </w:pPr>
      <w:rPr>
        <w:rFonts w:hint="default"/>
      </w:rPr>
    </w:lvl>
  </w:abstractNum>
  <w:abstractNum w:abstractNumId="5">
    <w:multiLevelType w:val="hybridMultilevel"/>
    <w:lvl w:ilvl="0">
      <w:start w:val="9"/>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396" w:hanging="423"/>
      </w:pPr>
      <w:rPr>
        <w:rFonts w:hint="default"/>
      </w:rPr>
    </w:lvl>
    <w:lvl w:ilvl="3">
      <w:start w:val="0"/>
      <w:numFmt w:val="bullet"/>
      <w:lvlText w:val="•"/>
      <w:lvlJc w:val="left"/>
      <w:pPr>
        <w:ind w:left="1624" w:hanging="423"/>
      </w:pPr>
      <w:rPr>
        <w:rFonts w:hint="default"/>
      </w:rPr>
    </w:lvl>
    <w:lvl w:ilvl="4">
      <w:start w:val="0"/>
      <w:numFmt w:val="bullet"/>
      <w:lvlText w:val="•"/>
      <w:lvlJc w:val="left"/>
      <w:pPr>
        <w:ind w:left="1852" w:hanging="423"/>
      </w:pPr>
      <w:rPr>
        <w:rFonts w:hint="default"/>
      </w:rPr>
    </w:lvl>
    <w:lvl w:ilvl="5">
      <w:start w:val="0"/>
      <w:numFmt w:val="bullet"/>
      <w:lvlText w:val="•"/>
      <w:lvlJc w:val="left"/>
      <w:pPr>
        <w:ind w:left="2080" w:hanging="423"/>
      </w:pPr>
      <w:rPr>
        <w:rFonts w:hint="default"/>
      </w:rPr>
    </w:lvl>
    <w:lvl w:ilvl="6">
      <w:start w:val="0"/>
      <w:numFmt w:val="bullet"/>
      <w:lvlText w:val="•"/>
      <w:lvlJc w:val="left"/>
      <w:pPr>
        <w:ind w:left="2308" w:hanging="423"/>
      </w:pPr>
      <w:rPr>
        <w:rFonts w:hint="default"/>
      </w:rPr>
    </w:lvl>
    <w:lvl w:ilvl="7">
      <w:start w:val="0"/>
      <w:numFmt w:val="bullet"/>
      <w:lvlText w:val="•"/>
      <w:lvlJc w:val="left"/>
      <w:pPr>
        <w:ind w:left="2537" w:hanging="423"/>
      </w:pPr>
      <w:rPr>
        <w:rFonts w:hint="default"/>
      </w:rPr>
    </w:lvl>
    <w:lvl w:ilvl="8">
      <w:start w:val="0"/>
      <w:numFmt w:val="bullet"/>
      <w:lvlText w:val="•"/>
      <w:lvlJc w:val="left"/>
      <w:pPr>
        <w:ind w:left="2765" w:hanging="423"/>
      </w:pPr>
      <w:rPr>
        <w:rFonts w:hint="default"/>
      </w:rPr>
    </w:lvl>
  </w:abstractNum>
  <w:abstractNum w:abstractNumId="4">
    <w:multiLevelType w:val="hybridMultilevel"/>
    <w:lvl w:ilvl="0">
      <w:start w:val="8"/>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396" w:hanging="423"/>
      </w:pPr>
      <w:rPr>
        <w:rFonts w:hint="default"/>
      </w:rPr>
    </w:lvl>
    <w:lvl w:ilvl="3">
      <w:start w:val="0"/>
      <w:numFmt w:val="bullet"/>
      <w:lvlText w:val="•"/>
      <w:lvlJc w:val="left"/>
      <w:pPr>
        <w:ind w:left="1624" w:hanging="423"/>
      </w:pPr>
      <w:rPr>
        <w:rFonts w:hint="default"/>
      </w:rPr>
    </w:lvl>
    <w:lvl w:ilvl="4">
      <w:start w:val="0"/>
      <w:numFmt w:val="bullet"/>
      <w:lvlText w:val="•"/>
      <w:lvlJc w:val="left"/>
      <w:pPr>
        <w:ind w:left="1852" w:hanging="423"/>
      </w:pPr>
      <w:rPr>
        <w:rFonts w:hint="default"/>
      </w:rPr>
    </w:lvl>
    <w:lvl w:ilvl="5">
      <w:start w:val="0"/>
      <w:numFmt w:val="bullet"/>
      <w:lvlText w:val="•"/>
      <w:lvlJc w:val="left"/>
      <w:pPr>
        <w:ind w:left="2080" w:hanging="423"/>
      </w:pPr>
      <w:rPr>
        <w:rFonts w:hint="default"/>
      </w:rPr>
    </w:lvl>
    <w:lvl w:ilvl="6">
      <w:start w:val="0"/>
      <w:numFmt w:val="bullet"/>
      <w:lvlText w:val="•"/>
      <w:lvlJc w:val="left"/>
      <w:pPr>
        <w:ind w:left="2308" w:hanging="423"/>
      </w:pPr>
      <w:rPr>
        <w:rFonts w:hint="default"/>
      </w:rPr>
    </w:lvl>
    <w:lvl w:ilvl="7">
      <w:start w:val="0"/>
      <w:numFmt w:val="bullet"/>
      <w:lvlText w:val="•"/>
      <w:lvlJc w:val="left"/>
      <w:pPr>
        <w:ind w:left="2537" w:hanging="423"/>
      </w:pPr>
      <w:rPr>
        <w:rFonts w:hint="default"/>
      </w:rPr>
    </w:lvl>
    <w:lvl w:ilvl="8">
      <w:start w:val="0"/>
      <w:numFmt w:val="bullet"/>
      <w:lvlText w:val="•"/>
      <w:lvlJc w:val="left"/>
      <w:pPr>
        <w:ind w:left="2765" w:hanging="423"/>
      </w:pPr>
      <w:rPr>
        <w:rFonts w:hint="default"/>
      </w:rPr>
    </w:lvl>
  </w:abstractNum>
  <w:abstractNum w:abstractNumId="3">
    <w:multiLevelType w:val="hybridMultilevel"/>
    <w:lvl w:ilvl="0">
      <w:start w:val="7"/>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396" w:hanging="423"/>
      </w:pPr>
      <w:rPr>
        <w:rFonts w:hint="default"/>
      </w:rPr>
    </w:lvl>
    <w:lvl w:ilvl="3">
      <w:start w:val="0"/>
      <w:numFmt w:val="bullet"/>
      <w:lvlText w:val="•"/>
      <w:lvlJc w:val="left"/>
      <w:pPr>
        <w:ind w:left="1624" w:hanging="423"/>
      </w:pPr>
      <w:rPr>
        <w:rFonts w:hint="default"/>
      </w:rPr>
    </w:lvl>
    <w:lvl w:ilvl="4">
      <w:start w:val="0"/>
      <w:numFmt w:val="bullet"/>
      <w:lvlText w:val="•"/>
      <w:lvlJc w:val="left"/>
      <w:pPr>
        <w:ind w:left="1852" w:hanging="423"/>
      </w:pPr>
      <w:rPr>
        <w:rFonts w:hint="default"/>
      </w:rPr>
    </w:lvl>
    <w:lvl w:ilvl="5">
      <w:start w:val="0"/>
      <w:numFmt w:val="bullet"/>
      <w:lvlText w:val="•"/>
      <w:lvlJc w:val="left"/>
      <w:pPr>
        <w:ind w:left="2080" w:hanging="423"/>
      </w:pPr>
      <w:rPr>
        <w:rFonts w:hint="default"/>
      </w:rPr>
    </w:lvl>
    <w:lvl w:ilvl="6">
      <w:start w:val="0"/>
      <w:numFmt w:val="bullet"/>
      <w:lvlText w:val="•"/>
      <w:lvlJc w:val="left"/>
      <w:pPr>
        <w:ind w:left="2308" w:hanging="423"/>
      </w:pPr>
      <w:rPr>
        <w:rFonts w:hint="default"/>
      </w:rPr>
    </w:lvl>
    <w:lvl w:ilvl="7">
      <w:start w:val="0"/>
      <w:numFmt w:val="bullet"/>
      <w:lvlText w:val="•"/>
      <w:lvlJc w:val="left"/>
      <w:pPr>
        <w:ind w:left="2537" w:hanging="423"/>
      </w:pPr>
      <w:rPr>
        <w:rFonts w:hint="default"/>
      </w:rPr>
    </w:lvl>
    <w:lvl w:ilvl="8">
      <w:start w:val="0"/>
      <w:numFmt w:val="bullet"/>
      <w:lvlText w:val="•"/>
      <w:lvlJc w:val="left"/>
      <w:pPr>
        <w:ind w:left="2765" w:hanging="423"/>
      </w:pPr>
      <w:rPr>
        <w:rFonts w:hint="default"/>
      </w:rPr>
    </w:lvl>
  </w:abstractNum>
  <w:abstractNum w:abstractNumId="2">
    <w:multiLevelType w:val="hybridMultilevel"/>
    <w:lvl w:ilvl="0">
      <w:start w:val="3"/>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13"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867" w:hanging="423"/>
      </w:pPr>
      <w:rPr>
        <w:rFonts w:hint="default"/>
      </w:rPr>
    </w:lvl>
    <w:lvl w:ilvl="5">
      <w:start w:val="0"/>
      <w:numFmt w:val="bullet"/>
      <w:lvlText w:val="•"/>
      <w:lvlJc w:val="left"/>
      <w:pPr>
        <w:ind w:left="2094" w:hanging="423"/>
      </w:pPr>
      <w:rPr>
        <w:rFonts w:hint="default"/>
      </w:rPr>
    </w:lvl>
    <w:lvl w:ilvl="6">
      <w:start w:val="0"/>
      <w:numFmt w:val="bullet"/>
      <w:lvlText w:val="•"/>
      <w:lvlJc w:val="left"/>
      <w:pPr>
        <w:ind w:left="2320" w:hanging="423"/>
      </w:pPr>
      <w:rPr>
        <w:rFonts w:hint="default"/>
      </w:rPr>
    </w:lvl>
    <w:lvl w:ilvl="7">
      <w:start w:val="0"/>
      <w:numFmt w:val="bullet"/>
      <w:lvlText w:val="•"/>
      <w:lvlJc w:val="left"/>
      <w:pPr>
        <w:ind w:left="2547" w:hanging="423"/>
      </w:pPr>
      <w:rPr>
        <w:rFonts w:hint="default"/>
      </w:rPr>
    </w:lvl>
    <w:lvl w:ilvl="8">
      <w:start w:val="0"/>
      <w:numFmt w:val="bullet"/>
      <w:lvlText w:val="•"/>
      <w:lvlJc w:val="left"/>
      <w:pPr>
        <w:ind w:left="2774" w:hanging="423"/>
      </w:pPr>
      <w:rPr>
        <w:rFonts w:hint="default"/>
      </w:rPr>
    </w:lvl>
  </w:abstractNum>
  <w:abstractNum w:abstractNumId="1">
    <w:multiLevelType w:val="hybridMultilevel"/>
    <w:lvl w:ilvl="0">
      <w:start w:val="2"/>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13"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867" w:hanging="423"/>
      </w:pPr>
      <w:rPr>
        <w:rFonts w:hint="default"/>
      </w:rPr>
    </w:lvl>
    <w:lvl w:ilvl="5">
      <w:start w:val="0"/>
      <w:numFmt w:val="bullet"/>
      <w:lvlText w:val="•"/>
      <w:lvlJc w:val="left"/>
      <w:pPr>
        <w:ind w:left="2094" w:hanging="423"/>
      </w:pPr>
      <w:rPr>
        <w:rFonts w:hint="default"/>
      </w:rPr>
    </w:lvl>
    <w:lvl w:ilvl="6">
      <w:start w:val="0"/>
      <w:numFmt w:val="bullet"/>
      <w:lvlText w:val="•"/>
      <w:lvlJc w:val="left"/>
      <w:pPr>
        <w:ind w:left="2320" w:hanging="423"/>
      </w:pPr>
      <w:rPr>
        <w:rFonts w:hint="default"/>
      </w:rPr>
    </w:lvl>
    <w:lvl w:ilvl="7">
      <w:start w:val="0"/>
      <w:numFmt w:val="bullet"/>
      <w:lvlText w:val="•"/>
      <w:lvlJc w:val="left"/>
      <w:pPr>
        <w:ind w:left="2547" w:hanging="423"/>
      </w:pPr>
      <w:rPr>
        <w:rFonts w:hint="default"/>
      </w:rPr>
    </w:lvl>
    <w:lvl w:ilvl="8">
      <w:start w:val="0"/>
      <w:numFmt w:val="bullet"/>
      <w:lvlText w:val="•"/>
      <w:lvlJc w:val="left"/>
      <w:pPr>
        <w:ind w:left="2774" w:hanging="423"/>
      </w:pPr>
      <w:rPr>
        <w:rFonts w:hint="default"/>
      </w:rPr>
    </w:lvl>
  </w:abstractNum>
  <w:abstractNum w:abstractNumId="0">
    <w:multiLevelType w:val="hybridMultilevel"/>
    <w:lvl w:ilvl="0">
      <w:start w:val="0"/>
      <w:numFmt w:val="bullet"/>
      <w:lvlText w:val=""/>
      <w:lvlJc w:val="left"/>
      <w:pPr>
        <w:ind w:left="849" w:hanging="454"/>
      </w:pPr>
      <w:rPr>
        <w:rFonts w:hint="default" w:ascii="Wingdings" w:hAnsi="Wingdings" w:eastAsia="Wingdings" w:cs="Wingdings"/>
        <w:w w:val="100"/>
        <w:sz w:val="21"/>
        <w:szCs w:val="21"/>
      </w:rPr>
    </w:lvl>
    <w:lvl w:ilvl="1">
      <w:start w:val="0"/>
      <w:numFmt w:val="bullet"/>
      <w:lvlText w:val="•"/>
      <w:lvlJc w:val="left"/>
      <w:pPr>
        <w:ind w:left="1822" w:hanging="454"/>
      </w:pPr>
      <w:rPr>
        <w:rFonts w:hint="default"/>
      </w:rPr>
    </w:lvl>
    <w:lvl w:ilvl="2">
      <w:start w:val="0"/>
      <w:numFmt w:val="bullet"/>
      <w:lvlText w:val="•"/>
      <w:lvlJc w:val="left"/>
      <w:pPr>
        <w:ind w:left="2805" w:hanging="454"/>
      </w:pPr>
      <w:rPr>
        <w:rFonts w:hint="default"/>
      </w:rPr>
    </w:lvl>
    <w:lvl w:ilvl="3">
      <w:start w:val="0"/>
      <w:numFmt w:val="bullet"/>
      <w:lvlText w:val="•"/>
      <w:lvlJc w:val="left"/>
      <w:pPr>
        <w:ind w:left="3787" w:hanging="454"/>
      </w:pPr>
      <w:rPr>
        <w:rFonts w:hint="default"/>
      </w:rPr>
    </w:lvl>
    <w:lvl w:ilvl="4">
      <w:start w:val="0"/>
      <w:numFmt w:val="bullet"/>
      <w:lvlText w:val="•"/>
      <w:lvlJc w:val="left"/>
      <w:pPr>
        <w:ind w:left="4770" w:hanging="454"/>
      </w:pPr>
      <w:rPr>
        <w:rFonts w:hint="default"/>
      </w:rPr>
    </w:lvl>
    <w:lvl w:ilvl="5">
      <w:start w:val="0"/>
      <w:numFmt w:val="bullet"/>
      <w:lvlText w:val="•"/>
      <w:lvlJc w:val="left"/>
      <w:pPr>
        <w:ind w:left="5753" w:hanging="454"/>
      </w:pPr>
      <w:rPr>
        <w:rFonts w:hint="default"/>
      </w:rPr>
    </w:lvl>
    <w:lvl w:ilvl="6">
      <w:start w:val="0"/>
      <w:numFmt w:val="bullet"/>
      <w:lvlText w:val="•"/>
      <w:lvlJc w:val="left"/>
      <w:pPr>
        <w:ind w:left="6735" w:hanging="454"/>
      </w:pPr>
      <w:rPr>
        <w:rFonts w:hint="default"/>
      </w:rPr>
    </w:lvl>
    <w:lvl w:ilvl="7">
      <w:start w:val="0"/>
      <w:numFmt w:val="bullet"/>
      <w:lvlText w:val="•"/>
      <w:lvlJc w:val="left"/>
      <w:pPr>
        <w:ind w:left="7718" w:hanging="454"/>
      </w:pPr>
      <w:rPr>
        <w:rFonts w:hint="default"/>
      </w:rPr>
    </w:lvl>
    <w:lvl w:ilvl="8">
      <w:start w:val="0"/>
      <w:numFmt w:val="bullet"/>
      <w:lvlText w:val="•"/>
      <w:lvlJc w:val="left"/>
      <w:pPr>
        <w:ind w:left="8701" w:hanging="454"/>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黑体" w:hAnsi="黑体" w:eastAsia="黑体" w:cs="黑体"/>
      <w:sz w:val="21"/>
      <w:szCs w:val="21"/>
    </w:rPr>
  </w:style>
  <w:style w:styleId="Heading1" w:type="paragraph">
    <w:name w:val="Heading 1"/>
    <w:basedOn w:val="Normal"/>
    <w:uiPriority w:val="1"/>
    <w:qFormat/>
    <w:pPr>
      <w:spacing w:before="205"/>
      <w:ind w:left="226"/>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44"/>
      <w:ind w:left="955" w:hanging="423"/>
    </w:pPr>
    <w:rPr>
      <w:rFonts w:ascii="黑体" w:hAnsi="黑体" w:eastAsia="黑体" w:cs="黑体"/>
    </w:rPr>
  </w:style>
  <w:style w:styleId="TableParagraph" w:type="paragraph">
    <w:name w:val="Table Paragraph"/>
    <w:basedOn w:val="Normal"/>
    <w:uiPriority w:val="1"/>
    <w:qFormat/>
    <w:pPr>
      <w:ind w:left="17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2018-10-20T07:58:42Z</dcterms:created>
  <dcterms:modified xsi:type="dcterms:W3CDTF">2018-10-20T07:58:42Z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2015-01-23T00:00:00Z</vt:filetime>
  </property>
  <property fmtid="{D5CDD505-2E9C-101B-9397-08002B2CF9AE}" pid="3" name="Creator">
    <vt:lpwstr>Acrobat PDFMaker 9.0 Word 版</vt:lpwstr>
  </property>
  <property fmtid="{D5CDD505-2E9C-101B-9397-08002B2CF9AE}" pid="4" name="LastSaved">
    <vt:filetime>2018-10-19T00:00:00Z</vt:filetime>
  </property>
</Properties>
</file>