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38"/>
        <w:jc w:val="right"/>
      </w:pPr>
      <w:r>
        <w:rPr/>
        <w:t>新光海航〔</w:t>
      </w:r>
      <w:r>
        <w:rPr>
          <w:rFonts w:ascii="Arial" w:eastAsia="Arial"/>
        </w:rPr>
        <w:t>2009</w:t>
      </w:r>
      <w:r>
        <w:rPr/>
        <w:t>〕疾病保险 </w:t>
      </w:r>
      <w:r>
        <w:rPr>
          <w:rFonts w:ascii="Arial" w:eastAsia="Arial"/>
        </w:rPr>
        <w:t>037 </w:t>
      </w:r>
      <w:r>
        <w:rPr/>
        <w:t>号</w:t>
      </w:r>
    </w:p>
    <w:p>
      <w:pPr>
        <w:pStyle w:val="BodyText"/>
        <w:spacing w:line="267" w:lineRule="exact"/>
        <w:ind w:right="138"/>
        <w:jc w:val="right"/>
      </w:pPr>
      <w:r>
        <w:rPr/>
        <w:t>请扫描以查询验证条款</w:t>
      </w:r>
    </w:p>
    <w:p>
      <w:pPr>
        <w:pStyle w:val="Heading1"/>
        <w:spacing w:line="535" w:lineRule="exact"/>
      </w:pPr>
      <w:r>
        <w:rPr/>
        <w:drawing>
          <wp:anchor distT="0" distB="0" distL="0" distR="0" allowOverlap="1" layoutInCell="1" locked="0" behindDoc="0" simplePos="0" relativeHeight="1048">
            <wp:simplePos x="0" y="0"/>
            <wp:positionH relativeFrom="page">
              <wp:posOffset>6380988</wp:posOffset>
            </wp:positionH>
            <wp:positionV relativeFrom="paragraph">
              <wp:posOffset>60891</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新光海航附加豁免保险费重大疾病保险条款</w:t>
      </w:r>
    </w:p>
    <w:p>
      <w:pPr>
        <w:spacing w:before="71"/>
        <w:ind w:left="1751" w:right="2131"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754" w:right="2131"/>
        <w:jc w:val="center"/>
      </w:pPr>
      <w:r>
        <w:rPr/>
        <w:pict>
          <v:group style="position:absolute;margin-left:52.320007pt;margin-top:25.083679pt;width:509.4pt;height:641.550pt;mso-position-horizontal-relative:page;mso-position-vertical-relative:paragraph;z-index:-34840" coordorigin="1046,502" coordsize="10188,12831">
            <v:shape style="position:absolute;left:1046;top:501;width:10188;height:12831" type="#_x0000_t75" stroked="false">
              <v:imagedata r:id="rId7" o:title=""/>
            </v:shape>
            <v:rect style="position:absolute;left:1432;top:6206;width:9660;height:6551" filled="true" fillcolor="#ffffff" stroked="false">
              <v:fill type="solid"/>
            </v:rect>
            <v:rect style="position:absolute;left:1432;top:6206;width:9660;height:6551"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5" w:val="left" w:leader="none"/>
        </w:tabs>
        <w:spacing w:before="84"/>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5"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1.5</w:t>
      </w:r>
    </w:p>
    <w:p>
      <w:pPr>
        <w:pStyle w:val="ListParagraph"/>
        <w:numPr>
          <w:ilvl w:val="0"/>
          <w:numId w:val="1"/>
        </w:numPr>
        <w:tabs>
          <w:tab w:pos="1637" w:val="left" w:leader="none"/>
          <w:tab w:pos="1638" w:val="left" w:leader="none"/>
          <w:tab w:pos="10042" w:val="right" w:leader="dot"/>
        </w:tabs>
        <w:spacing w:line="240" w:lineRule="auto" w:before="21"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2.2</w:t>
      </w:r>
    </w:p>
    <w:p>
      <w:pPr>
        <w:pStyle w:val="ListParagraph"/>
        <w:numPr>
          <w:ilvl w:val="0"/>
          <w:numId w:val="1"/>
        </w:numPr>
        <w:tabs>
          <w:tab w:pos="1637" w:val="left" w:leader="none"/>
          <w:tab w:pos="1638" w:val="left" w:leader="none"/>
          <w:tab w:pos="9831" w:val="right" w:leader="dot"/>
        </w:tabs>
        <w:spacing w:line="240" w:lineRule="auto" w:before="21" w:after="0"/>
        <w:ind w:left="1637" w:right="0" w:hanging="419"/>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5" w:val="left" w:leader="none"/>
        </w:tabs>
        <w:spacing w:before="199"/>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3.1</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规</w:t>
      </w:r>
      <w:r>
        <w:rPr>
          <w:sz w:val="21"/>
        </w:rPr>
        <w:t>和</w:t>
      </w:r>
      <w:r>
        <w:rPr>
          <w:spacing w:val="-3"/>
          <w:sz w:val="21"/>
        </w:rPr>
        <w:t>监</w:t>
      </w:r>
      <w:r>
        <w:rPr>
          <w:sz w:val="21"/>
        </w:rPr>
        <w:t>管</w:t>
      </w:r>
      <w:r>
        <w:rPr>
          <w:spacing w:val="-3"/>
          <w:sz w:val="21"/>
        </w:rPr>
        <w:t>允</w:t>
      </w:r>
      <w:r>
        <w:rPr>
          <w:sz w:val="21"/>
        </w:rPr>
        <w:t>许</w:t>
      </w:r>
      <w:r>
        <w:rPr>
          <w:spacing w:val="-3"/>
          <w:sz w:val="21"/>
        </w:rPr>
        <w:t>的</w:t>
      </w:r>
      <w:r>
        <w:rPr>
          <w:sz w:val="21"/>
        </w:rPr>
        <w:t>范围</w:t>
      </w:r>
      <w:r>
        <w:rPr>
          <w:spacing w:val="-3"/>
          <w:sz w:val="21"/>
        </w:rPr>
        <w:t>内</w:t>
      </w:r>
      <w:r>
        <w:rPr>
          <w:sz w:val="21"/>
        </w:rPr>
        <w:t>保</w:t>
      </w:r>
      <w:r>
        <w:rPr>
          <w:spacing w:val="-3"/>
          <w:sz w:val="21"/>
        </w:rPr>
        <w:t>留</w:t>
      </w:r>
      <w:r>
        <w:rPr>
          <w:sz w:val="21"/>
        </w:rPr>
        <w:t>变</w:t>
      </w:r>
      <w:r>
        <w:rPr>
          <w:spacing w:val="-3"/>
          <w:sz w:val="21"/>
        </w:rPr>
        <w:t>动</w:t>
      </w:r>
      <w:r>
        <w:rPr>
          <w:sz w:val="21"/>
        </w:rPr>
        <w:t>保</w:t>
      </w:r>
      <w:r>
        <w:rPr>
          <w:spacing w:val="-3"/>
          <w:sz w:val="21"/>
        </w:rPr>
        <w:t>险</w:t>
      </w:r>
      <w:r>
        <w:rPr>
          <w:sz w:val="21"/>
        </w:rPr>
        <w:t>费</w:t>
      </w:r>
      <w:r>
        <w:rPr>
          <w:spacing w:val="-3"/>
          <w:sz w:val="21"/>
        </w:rPr>
        <w:t>率</w:t>
      </w:r>
      <w:r>
        <w:rPr>
          <w:sz w:val="21"/>
        </w:rPr>
        <w:t>的权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2"/>
        <w:spacing w:line="273" w:lineRule="auto" w:before="178"/>
        <w:ind w:left="1215" w:right="333"/>
      </w:pPr>
      <w:r>
        <w:rPr/>
        <w:pict>
          <v:shape style="position:absolute;margin-left:59.400002pt;margin-top:5.565134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spacing w:after="0" w:line="273" w:lineRule="auto"/>
        <w:sectPr>
          <w:footerReference w:type="default" r:id="rId5"/>
          <w:type w:val="continuous"/>
          <w:pgSz w:w="11910" w:h="16840"/>
          <w:pgMar w:footer="380" w:top="320" w:bottom="560" w:left="940" w:right="560"/>
          <w:pgNumType w:start="1"/>
        </w:sectPr>
      </w:pPr>
    </w:p>
    <w:p>
      <w:pPr>
        <w:tabs>
          <w:tab w:pos="1255" w:val="left" w:leader="none"/>
        </w:tabs>
        <w:spacing w:before="7"/>
        <w:ind w:left="245" w:right="0" w:firstLine="0"/>
        <w:jc w:val="left"/>
        <w:rPr>
          <w:b/>
          <w:sz w:val="21"/>
        </w:rPr>
      </w:pPr>
      <w:r>
        <w:rPr>
          <w:rFonts w:ascii="Arial" w:hAnsi="Arial" w:eastAsia="Arial"/>
          <w:b/>
          <w:w w:val="110"/>
          <w:position w:val="-11"/>
          <w:sz w:val="52"/>
        </w:rPr>
        <w:t></w:t>
        <w:tab/>
      </w:r>
      <w:r>
        <w:rPr>
          <w:b/>
          <w:sz w:val="21"/>
        </w:rPr>
        <w:t>条款目录</w:t>
      </w:r>
    </w:p>
    <w:p>
      <w:pPr>
        <w:pStyle w:val="Heading2"/>
        <w:spacing w:before="11"/>
      </w:pPr>
      <w:r>
        <w:rPr/>
        <w:pict>
          <v:shape style="position:absolute;margin-left:97.339996pt;margin-top:15.978677pt;width:388.65pt;height:60.8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996"/>
                    <w:gridCol w:w="3262"/>
                    <w:gridCol w:w="734"/>
                    <w:gridCol w:w="1364"/>
                  </w:tblGrid>
                  <w:tr>
                    <w:trPr>
                      <w:trHeight w:val="234" w:hRule="atLeast"/>
                    </w:trPr>
                    <w:tc>
                      <w:tcPr>
                        <w:tcW w:w="420" w:type="dxa"/>
                      </w:tcPr>
                      <w:p>
                        <w:pPr>
                          <w:pStyle w:val="TableParagraph"/>
                          <w:spacing w:line="214" w:lineRule="exact"/>
                          <w:ind w:left="32" w:right="33"/>
                          <w:jc w:val="center"/>
                          <w:rPr>
                            <w:sz w:val="21"/>
                          </w:rPr>
                        </w:pPr>
                        <w:r>
                          <w:rPr>
                            <w:sz w:val="21"/>
                          </w:rPr>
                          <w:t>1.1</w:t>
                        </w:r>
                      </w:p>
                    </w:tc>
                    <w:tc>
                      <w:tcPr>
                        <w:tcW w:w="1996" w:type="dxa"/>
                      </w:tcPr>
                      <w:p>
                        <w:pPr>
                          <w:pStyle w:val="TableParagraph"/>
                          <w:spacing w:line="214" w:lineRule="exact"/>
                          <w:ind w:left="52"/>
                          <w:rPr>
                            <w:sz w:val="21"/>
                          </w:rPr>
                        </w:pPr>
                        <w:r>
                          <w:rPr>
                            <w:sz w:val="21"/>
                          </w:rPr>
                          <w:t>合同构成</w:t>
                        </w:r>
                      </w:p>
                    </w:tc>
                    <w:tc>
                      <w:tcPr>
                        <w:tcW w:w="3262" w:type="dxa"/>
                      </w:tcPr>
                      <w:p>
                        <w:pPr>
                          <w:pStyle w:val="TableParagraph"/>
                          <w:spacing w:line="211" w:lineRule="exact"/>
                          <w:ind w:left="682"/>
                          <w:rPr>
                            <w:sz w:val="21"/>
                          </w:rPr>
                        </w:pPr>
                        <w:r>
                          <w:rPr>
                            <w:sz w:val="21"/>
                          </w:rPr>
                          <w:t>5.1 现金价值</w:t>
                        </w:r>
                      </w:p>
                    </w:tc>
                    <w:tc>
                      <w:tcPr>
                        <w:tcW w:w="734" w:type="dxa"/>
                      </w:tcPr>
                      <w:p>
                        <w:pPr>
                          <w:pStyle w:val="TableParagraph"/>
                          <w:spacing w:line="211" w:lineRule="exact"/>
                          <w:ind w:left="0" w:right="52"/>
                          <w:jc w:val="right"/>
                          <w:rPr>
                            <w:sz w:val="21"/>
                          </w:rPr>
                        </w:pPr>
                        <w:r>
                          <w:rPr>
                            <w:sz w:val="21"/>
                          </w:rPr>
                          <w:t>9.5</w:t>
                        </w:r>
                      </w:p>
                    </w:tc>
                    <w:tc>
                      <w:tcPr>
                        <w:tcW w:w="1364" w:type="dxa"/>
                      </w:tcPr>
                      <w:p>
                        <w:pPr>
                          <w:pStyle w:val="TableParagraph"/>
                          <w:spacing w:line="211" w:lineRule="exact"/>
                          <w:ind w:left="50"/>
                          <w:rPr>
                            <w:sz w:val="21"/>
                          </w:rPr>
                        </w:pPr>
                        <w:r>
                          <w:rPr>
                            <w:sz w:val="21"/>
                          </w:rPr>
                          <w:t>有效身份证件</w:t>
                        </w:r>
                      </w:p>
                    </w:tc>
                  </w:tr>
                  <w:tr>
                    <w:trPr>
                      <w:trHeight w:val="249" w:hRule="atLeast"/>
                    </w:trPr>
                    <w:tc>
                      <w:tcPr>
                        <w:tcW w:w="420" w:type="dxa"/>
                      </w:tcPr>
                      <w:p>
                        <w:pPr>
                          <w:pStyle w:val="TableParagraph"/>
                          <w:spacing w:line="230" w:lineRule="exact"/>
                          <w:ind w:left="32" w:right="33"/>
                          <w:jc w:val="center"/>
                          <w:rPr>
                            <w:sz w:val="21"/>
                          </w:rPr>
                        </w:pPr>
                        <w:r>
                          <w:rPr>
                            <w:sz w:val="21"/>
                          </w:rPr>
                          <w:t>1.2</w:t>
                        </w:r>
                      </w:p>
                    </w:tc>
                    <w:tc>
                      <w:tcPr>
                        <w:tcW w:w="1996" w:type="dxa"/>
                      </w:tcPr>
                      <w:p>
                        <w:pPr>
                          <w:pStyle w:val="TableParagraph"/>
                          <w:spacing w:line="230" w:lineRule="exact"/>
                          <w:ind w:left="52"/>
                          <w:rPr>
                            <w:sz w:val="21"/>
                          </w:rPr>
                        </w:pPr>
                        <w:r>
                          <w:rPr>
                            <w:sz w:val="21"/>
                          </w:rPr>
                          <w:t>合同成立与生效</w:t>
                        </w:r>
                      </w:p>
                    </w:tc>
                    <w:tc>
                      <w:tcPr>
                        <w:tcW w:w="3262" w:type="dxa"/>
                      </w:tcPr>
                      <w:p>
                        <w:pPr>
                          <w:pStyle w:val="TableParagraph"/>
                          <w:spacing w:line="227" w:lineRule="exact"/>
                          <w:ind w:left="682"/>
                          <w:rPr>
                            <w:sz w:val="21"/>
                          </w:rPr>
                        </w:pPr>
                        <w:r>
                          <w:rPr>
                            <w:sz w:val="21"/>
                          </w:rPr>
                          <w:t>5.2 保险费自动垫交</w:t>
                        </w:r>
                      </w:p>
                    </w:tc>
                    <w:tc>
                      <w:tcPr>
                        <w:tcW w:w="734" w:type="dxa"/>
                      </w:tcPr>
                      <w:p>
                        <w:pPr>
                          <w:pStyle w:val="TableParagraph"/>
                          <w:spacing w:line="227" w:lineRule="exact"/>
                          <w:ind w:left="0" w:right="52"/>
                          <w:jc w:val="right"/>
                          <w:rPr>
                            <w:sz w:val="21"/>
                          </w:rPr>
                        </w:pPr>
                        <w:r>
                          <w:rPr>
                            <w:sz w:val="21"/>
                          </w:rPr>
                          <w:t>9.6</w:t>
                        </w:r>
                      </w:p>
                    </w:tc>
                    <w:tc>
                      <w:tcPr>
                        <w:tcW w:w="1364" w:type="dxa"/>
                      </w:tcPr>
                      <w:p>
                        <w:pPr>
                          <w:pStyle w:val="TableParagraph"/>
                          <w:spacing w:line="227" w:lineRule="exact"/>
                          <w:ind w:left="50"/>
                          <w:rPr>
                            <w:sz w:val="21"/>
                          </w:rPr>
                        </w:pPr>
                        <w:r>
                          <w:rPr>
                            <w:sz w:val="21"/>
                          </w:rPr>
                          <w:t>重大疾病</w:t>
                        </w:r>
                      </w:p>
                    </w:tc>
                  </w:tr>
                  <w:tr>
                    <w:trPr>
                      <w:trHeight w:val="249" w:hRule="atLeast"/>
                    </w:trPr>
                    <w:tc>
                      <w:tcPr>
                        <w:tcW w:w="420" w:type="dxa"/>
                      </w:tcPr>
                      <w:p>
                        <w:pPr>
                          <w:pStyle w:val="TableParagraph"/>
                          <w:spacing w:line="230" w:lineRule="exact"/>
                          <w:ind w:left="32" w:right="33"/>
                          <w:jc w:val="center"/>
                          <w:rPr>
                            <w:sz w:val="21"/>
                          </w:rPr>
                        </w:pPr>
                        <w:r>
                          <w:rPr>
                            <w:sz w:val="21"/>
                          </w:rPr>
                          <w:t>1.3</w:t>
                        </w:r>
                      </w:p>
                    </w:tc>
                    <w:tc>
                      <w:tcPr>
                        <w:tcW w:w="1996" w:type="dxa"/>
                      </w:tcPr>
                      <w:p>
                        <w:pPr>
                          <w:pStyle w:val="TableParagraph"/>
                          <w:spacing w:line="230" w:lineRule="exact"/>
                          <w:ind w:left="52"/>
                          <w:rPr>
                            <w:sz w:val="21"/>
                          </w:rPr>
                        </w:pPr>
                        <w:r>
                          <w:rPr>
                            <w:sz w:val="21"/>
                          </w:rPr>
                          <w:t>投保对象</w:t>
                        </w:r>
                      </w:p>
                    </w:tc>
                    <w:tc>
                      <w:tcPr>
                        <w:tcW w:w="3262" w:type="dxa"/>
                      </w:tcPr>
                      <w:p>
                        <w:pPr>
                          <w:pStyle w:val="TableParagraph"/>
                          <w:spacing w:line="227" w:lineRule="exact"/>
                          <w:ind w:left="470"/>
                          <w:rPr>
                            <w:b/>
                            <w:sz w:val="21"/>
                          </w:rPr>
                        </w:pPr>
                        <w:r>
                          <w:rPr>
                            <w:b/>
                            <w:sz w:val="21"/>
                          </w:rPr>
                          <w:t>6．合同效力的中止及恢复</w:t>
                        </w:r>
                      </w:p>
                    </w:tc>
                    <w:tc>
                      <w:tcPr>
                        <w:tcW w:w="734" w:type="dxa"/>
                      </w:tcPr>
                      <w:p>
                        <w:pPr>
                          <w:pStyle w:val="TableParagraph"/>
                          <w:spacing w:line="227" w:lineRule="exact"/>
                          <w:ind w:left="0" w:right="52"/>
                          <w:jc w:val="right"/>
                          <w:rPr>
                            <w:sz w:val="21"/>
                          </w:rPr>
                        </w:pPr>
                        <w:r>
                          <w:rPr>
                            <w:sz w:val="21"/>
                          </w:rPr>
                          <w:t>9.7</w:t>
                        </w:r>
                      </w:p>
                    </w:tc>
                    <w:tc>
                      <w:tcPr>
                        <w:tcW w:w="1364" w:type="dxa"/>
                      </w:tcPr>
                      <w:p>
                        <w:pPr>
                          <w:pStyle w:val="TableParagraph"/>
                          <w:spacing w:line="227" w:lineRule="exact"/>
                          <w:ind w:left="50"/>
                          <w:rPr>
                            <w:sz w:val="21"/>
                          </w:rPr>
                        </w:pPr>
                        <w:r>
                          <w:rPr>
                            <w:sz w:val="21"/>
                          </w:rPr>
                          <w:t>医院</w:t>
                        </w:r>
                      </w:p>
                    </w:tc>
                  </w:tr>
                  <w:tr>
                    <w:trPr>
                      <w:trHeight w:val="250" w:hRule="atLeast"/>
                    </w:trPr>
                    <w:tc>
                      <w:tcPr>
                        <w:tcW w:w="420" w:type="dxa"/>
                      </w:tcPr>
                      <w:p>
                        <w:pPr>
                          <w:pStyle w:val="TableParagraph"/>
                          <w:spacing w:line="231" w:lineRule="exact"/>
                          <w:ind w:left="32" w:right="33"/>
                          <w:jc w:val="center"/>
                          <w:rPr>
                            <w:sz w:val="21"/>
                          </w:rPr>
                        </w:pPr>
                        <w:r>
                          <w:rPr>
                            <w:sz w:val="21"/>
                          </w:rPr>
                          <w:t>1.4</w:t>
                        </w:r>
                      </w:p>
                    </w:tc>
                    <w:tc>
                      <w:tcPr>
                        <w:tcW w:w="1996" w:type="dxa"/>
                      </w:tcPr>
                      <w:p>
                        <w:pPr>
                          <w:pStyle w:val="TableParagraph"/>
                          <w:spacing w:line="231" w:lineRule="exact"/>
                          <w:ind w:left="52"/>
                          <w:rPr>
                            <w:sz w:val="21"/>
                          </w:rPr>
                        </w:pPr>
                        <w:r>
                          <w:rPr>
                            <w:sz w:val="21"/>
                          </w:rPr>
                          <w:t>投保年龄</w:t>
                        </w:r>
                      </w:p>
                    </w:tc>
                    <w:tc>
                      <w:tcPr>
                        <w:tcW w:w="3262" w:type="dxa"/>
                      </w:tcPr>
                      <w:p>
                        <w:pPr>
                          <w:pStyle w:val="TableParagraph"/>
                          <w:spacing w:line="227" w:lineRule="exact"/>
                          <w:ind w:left="682"/>
                          <w:rPr>
                            <w:sz w:val="21"/>
                          </w:rPr>
                        </w:pPr>
                        <w:r>
                          <w:rPr>
                            <w:sz w:val="21"/>
                          </w:rPr>
                          <w:t>6.1 效力中止</w:t>
                        </w:r>
                      </w:p>
                    </w:tc>
                    <w:tc>
                      <w:tcPr>
                        <w:tcW w:w="734" w:type="dxa"/>
                      </w:tcPr>
                      <w:p>
                        <w:pPr>
                          <w:pStyle w:val="TableParagraph"/>
                          <w:spacing w:line="227" w:lineRule="exact"/>
                          <w:ind w:left="0" w:right="52"/>
                          <w:jc w:val="right"/>
                          <w:rPr>
                            <w:sz w:val="21"/>
                          </w:rPr>
                        </w:pPr>
                        <w:r>
                          <w:rPr>
                            <w:sz w:val="21"/>
                          </w:rPr>
                          <w:t>9.8</w:t>
                        </w:r>
                      </w:p>
                    </w:tc>
                    <w:tc>
                      <w:tcPr>
                        <w:tcW w:w="1364" w:type="dxa"/>
                      </w:tcPr>
                      <w:p>
                        <w:pPr>
                          <w:pStyle w:val="TableParagraph"/>
                          <w:spacing w:line="227" w:lineRule="exact"/>
                          <w:ind w:left="50"/>
                          <w:rPr>
                            <w:sz w:val="21"/>
                          </w:rPr>
                        </w:pPr>
                        <w:r>
                          <w:rPr>
                            <w:sz w:val="21"/>
                          </w:rPr>
                          <w:t>专科医生</w:t>
                        </w:r>
                      </w:p>
                    </w:tc>
                  </w:tr>
                  <w:tr>
                    <w:trPr>
                      <w:trHeight w:val="232" w:hRule="atLeast"/>
                    </w:trPr>
                    <w:tc>
                      <w:tcPr>
                        <w:tcW w:w="420" w:type="dxa"/>
                      </w:tcPr>
                      <w:p>
                        <w:pPr>
                          <w:pStyle w:val="TableParagraph"/>
                          <w:spacing w:line="213" w:lineRule="exact"/>
                          <w:ind w:left="32" w:right="33"/>
                          <w:jc w:val="center"/>
                          <w:rPr>
                            <w:sz w:val="21"/>
                          </w:rPr>
                        </w:pPr>
                        <w:r>
                          <w:rPr>
                            <w:sz w:val="21"/>
                          </w:rPr>
                          <w:t>1.5</w:t>
                        </w:r>
                      </w:p>
                    </w:tc>
                    <w:tc>
                      <w:tcPr>
                        <w:tcW w:w="1996" w:type="dxa"/>
                      </w:tcPr>
                      <w:p>
                        <w:pPr>
                          <w:pStyle w:val="TableParagraph"/>
                          <w:spacing w:line="213" w:lineRule="exact"/>
                          <w:ind w:left="52"/>
                          <w:rPr>
                            <w:sz w:val="21"/>
                          </w:rPr>
                        </w:pPr>
                        <w:r>
                          <w:rPr>
                            <w:sz w:val="21"/>
                          </w:rPr>
                          <w:t>犹豫期</w:t>
                        </w:r>
                      </w:p>
                    </w:tc>
                    <w:tc>
                      <w:tcPr>
                        <w:tcW w:w="3262" w:type="dxa"/>
                      </w:tcPr>
                      <w:p>
                        <w:pPr>
                          <w:pStyle w:val="TableParagraph"/>
                          <w:spacing w:line="213" w:lineRule="exact"/>
                          <w:ind w:left="682"/>
                          <w:rPr>
                            <w:sz w:val="21"/>
                          </w:rPr>
                        </w:pPr>
                        <w:r>
                          <w:rPr>
                            <w:sz w:val="21"/>
                          </w:rPr>
                          <w:t>6.2 效力恢复</w:t>
                        </w:r>
                      </w:p>
                    </w:tc>
                    <w:tc>
                      <w:tcPr>
                        <w:tcW w:w="734" w:type="dxa"/>
                      </w:tcPr>
                      <w:p>
                        <w:pPr>
                          <w:pStyle w:val="TableParagraph"/>
                          <w:spacing w:line="213" w:lineRule="exact"/>
                          <w:ind w:left="0" w:right="52"/>
                          <w:jc w:val="right"/>
                          <w:rPr>
                            <w:sz w:val="21"/>
                          </w:rPr>
                        </w:pPr>
                        <w:r>
                          <w:rPr>
                            <w:sz w:val="21"/>
                          </w:rPr>
                          <w:t>9.9</w:t>
                        </w:r>
                      </w:p>
                    </w:tc>
                    <w:tc>
                      <w:tcPr>
                        <w:tcW w:w="1364" w:type="dxa"/>
                      </w:tcPr>
                      <w:p>
                        <w:pPr>
                          <w:pStyle w:val="TableParagraph"/>
                          <w:spacing w:line="213" w:lineRule="exact"/>
                          <w:ind w:left="50"/>
                          <w:rPr>
                            <w:sz w:val="21"/>
                          </w:rPr>
                        </w:pPr>
                        <w:r>
                          <w:rPr>
                            <w:sz w:val="21"/>
                          </w:rPr>
                          <w:t>约定确诊日</w:t>
                        </w:r>
                      </w:p>
                    </w:tc>
                  </w:tr>
                </w:tbl>
                <w:p>
                  <w:pPr>
                    <w:pStyle w:val="BodyText"/>
                  </w:pPr>
                </w:p>
              </w:txbxContent>
            </v:textbox>
            <w10:wrap type="none"/>
          </v:shape>
        </w:pict>
      </w:r>
      <w:r>
        <w:rPr/>
        <w:t>1．您与我们订立的合同</w:t>
      </w:r>
    </w:p>
    <w:p>
      <w:pPr>
        <w:spacing w:before="612"/>
        <w:ind w:left="245" w:right="0" w:firstLine="0"/>
        <w:jc w:val="left"/>
        <w:rPr>
          <w:b/>
          <w:sz w:val="21"/>
        </w:rPr>
      </w:pPr>
      <w:r>
        <w:rPr/>
        <w:br w:type="column"/>
      </w:r>
      <w:r>
        <w:rPr>
          <w:b/>
          <w:sz w:val="21"/>
        </w:rPr>
        <w:t>5．现金价值权益</w:t>
      </w:r>
    </w:p>
    <w:p>
      <w:pPr>
        <w:pStyle w:val="BodyText"/>
        <w:spacing w:before="612"/>
        <w:ind w:left="245"/>
      </w:pPr>
      <w:r>
        <w:rPr/>
        <w:br w:type="column"/>
      </w:r>
      <w:r>
        <w:rPr/>
        <w:t>9.4 周岁</w:t>
      </w:r>
    </w:p>
    <w:p>
      <w:pPr>
        <w:spacing w:after="0"/>
        <w:sectPr>
          <w:type w:val="continuous"/>
          <w:pgSz w:w="11910" w:h="16840"/>
          <w:pgMar w:top="320" w:bottom="560" w:left="940" w:right="560"/>
          <w:cols w:num="3" w:equalWidth="0">
            <w:col w:w="3066" w:space="582"/>
            <w:col w:w="1830" w:space="1323"/>
            <w:col w:w="3609"/>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263" w:lineRule="exact" w:before="178"/>
      </w:pPr>
      <w:r>
        <w:rPr/>
        <w:t>2．我们提供的保障</w:t>
      </w:r>
    </w:p>
    <w:p>
      <w:pPr>
        <w:pStyle w:val="ListParagraph"/>
        <w:numPr>
          <w:ilvl w:val="1"/>
          <w:numId w:val="2"/>
        </w:numPr>
        <w:tabs>
          <w:tab w:pos="1480" w:val="left" w:leader="none"/>
        </w:tabs>
        <w:spacing w:line="251" w:lineRule="exact" w:before="0" w:after="0"/>
        <w:ind w:left="1479" w:right="0" w:hanging="423"/>
        <w:jc w:val="left"/>
        <w:rPr>
          <w:sz w:val="21"/>
        </w:rPr>
      </w:pPr>
      <w:r>
        <w:rPr>
          <w:spacing w:val="-2"/>
          <w:sz w:val="21"/>
        </w:rPr>
        <w:t>保险期间</w:t>
      </w:r>
    </w:p>
    <w:p>
      <w:pPr>
        <w:pStyle w:val="ListParagraph"/>
        <w:numPr>
          <w:ilvl w:val="1"/>
          <w:numId w:val="2"/>
        </w:numPr>
        <w:tabs>
          <w:tab w:pos="1480" w:val="left" w:leader="none"/>
        </w:tabs>
        <w:spacing w:line="250" w:lineRule="exact" w:before="0" w:after="0"/>
        <w:ind w:left="1479" w:right="0" w:hanging="423"/>
        <w:jc w:val="left"/>
        <w:rPr>
          <w:sz w:val="21"/>
        </w:rPr>
      </w:pPr>
      <w:r>
        <w:rPr>
          <w:spacing w:val="-2"/>
          <w:sz w:val="21"/>
        </w:rPr>
        <w:t>保险责任</w:t>
      </w:r>
    </w:p>
    <w:p>
      <w:pPr>
        <w:pStyle w:val="ListParagraph"/>
        <w:numPr>
          <w:ilvl w:val="1"/>
          <w:numId w:val="2"/>
        </w:numPr>
        <w:tabs>
          <w:tab w:pos="1480" w:val="left" w:leader="none"/>
        </w:tabs>
        <w:spacing w:line="250" w:lineRule="exact" w:before="0" w:after="0"/>
        <w:ind w:left="1479" w:right="0" w:hanging="423"/>
        <w:jc w:val="left"/>
        <w:rPr>
          <w:sz w:val="21"/>
        </w:rPr>
      </w:pPr>
      <w:r>
        <w:rPr>
          <w:spacing w:val="-2"/>
          <w:sz w:val="21"/>
        </w:rPr>
        <w:t>责任免除</w:t>
      </w:r>
    </w:p>
    <w:p>
      <w:pPr>
        <w:pStyle w:val="Heading2"/>
        <w:spacing w:line="262" w:lineRule="exact"/>
      </w:pPr>
      <w:r>
        <w:rPr/>
        <w:t>3．豁免保险费的申请</w:t>
      </w: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spacing w:line="262" w:lineRule="exact" w:before="173"/>
        <w:ind w:left="848" w:right="0" w:firstLine="0"/>
        <w:jc w:val="left"/>
        <w:rPr>
          <w:b/>
          <w:sz w:val="21"/>
        </w:rPr>
      </w:pPr>
      <w:r>
        <w:rPr>
          <w:b/>
          <w:sz w:val="21"/>
        </w:rPr>
        <w:t>7．合同解除</w:t>
      </w:r>
    </w:p>
    <w:p>
      <w:pPr>
        <w:pStyle w:val="BodyText"/>
        <w:spacing w:line="218" w:lineRule="auto" w:before="12"/>
        <w:ind w:left="1059" w:hanging="1"/>
      </w:pPr>
      <w:r>
        <w:rPr/>
        <w:t>您解除本附加合同的手续及风险</w:t>
      </w:r>
    </w:p>
    <w:p>
      <w:pPr>
        <w:pStyle w:val="Heading2"/>
        <w:spacing w:line="237" w:lineRule="exact"/>
      </w:pPr>
      <w:r>
        <w:rPr/>
        <w:t>8．其他需要关注的事项</w:t>
      </w:r>
    </w:p>
    <w:p>
      <w:pPr>
        <w:pStyle w:val="BodyText"/>
        <w:spacing w:line="262" w:lineRule="exact"/>
        <w:ind w:left="1059"/>
      </w:pPr>
      <w:r>
        <w:rPr/>
        <w:t>8.1 年龄错误</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ListParagraph"/>
        <w:numPr>
          <w:ilvl w:val="1"/>
          <w:numId w:val="3"/>
        </w:numPr>
        <w:tabs>
          <w:tab w:pos="906" w:val="left" w:leader="none"/>
        </w:tabs>
        <w:spacing w:line="262" w:lineRule="exact" w:before="173" w:after="0"/>
        <w:ind w:left="905" w:right="0" w:hanging="526"/>
        <w:jc w:val="left"/>
        <w:rPr>
          <w:sz w:val="21"/>
        </w:rPr>
      </w:pPr>
      <w:r>
        <w:rPr>
          <w:spacing w:val="-2"/>
          <w:sz w:val="21"/>
        </w:rPr>
        <w:t>意外伤害</w:t>
      </w:r>
    </w:p>
    <w:p>
      <w:pPr>
        <w:pStyle w:val="ListParagraph"/>
        <w:numPr>
          <w:ilvl w:val="1"/>
          <w:numId w:val="3"/>
        </w:numPr>
        <w:tabs>
          <w:tab w:pos="906" w:val="left" w:leader="none"/>
        </w:tabs>
        <w:spacing w:line="250" w:lineRule="exact" w:before="0" w:after="0"/>
        <w:ind w:left="905" w:right="0" w:hanging="526"/>
        <w:jc w:val="left"/>
        <w:rPr>
          <w:sz w:val="21"/>
        </w:rPr>
      </w:pPr>
      <w:r>
        <w:rPr>
          <w:sz w:val="21"/>
        </w:rPr>
        <w:t>毒品</w:t>
      </w:r>
    </w:p>
    <w:p>
      <w:pPr>
        <w:pStyle w:val="ListParagraph"/>
        <w:numPr>
          <w:ilvl w:val="1"/>
          <w:numId w:val="3"/>
        </w:numPr>
        <w:tabs>
          <w:tab w:pos="906" w:val="left" w:leader="none"/>
        </w:tabs>
        <w:spacing w:line="250" w:lineRule="exact" w:before="0" w:after="0"/>
        <w:ind w:left="905" w:right="0" w:hanging="526"/>
        <w:jc w:val="left"/>
        <w:rPr>
          <w:sz w:val="21"/>
        </w:rPr>
      </w:pPr>
      <w:r>
        <w:rPr>
          <w:spacing w:val="-2"/>
          <w:sz w:val="21"/>
        </w:rPr>
        <w:t>酒后驾驶</w:t>
      </w:r>
    </w:p>
    <w:p>
      <w:pPr>
        <w:pStyle w:val="ListParagraph"/>
        <w:numPr>
          <w:ilvl w:val="1"/>
          <w:numId w:val="3"/>
        </w:numPr>
        <w:tabs>
          <w:tab w:pos="906" w:val="left" w:leader="none"/>
        </w:tabs>
        <w:spacing w:line="250" w:lineRule="exact" w:before="0" w:after="0"/>
        <w:ind w:left="905" w:right="0" w:hanging="526"/>
        <w:jc w:val="left"/>
        <w:rPr>
          <w:sz w:val="21"/>
        </w:rPr>
      </w:pPr>
      <w:r>
        <w:rPr>
          <w:spacing w:val="-3"/>
          <w:sz w:val="21"/>
        </w:rPr>
        <w:t>无合法有效驾驶证驾驶</w:t>
      </w:r>
    </w:p>
    <w:p>
      <w:pPr>
        <w:pStyle w:val="ListParagraph"/>
        <w:numPr>
          <w:ilvl w:val="1"/>
          <w:numId w:val="3"/>
        </w:numPr>
        <w:tabs>
          <w:tab w:pos="906" w:val="left" w:leader="none"/>
        </w:tabs>
        <w:spacing w:line="262" w:lineRule="exact" w:before="0" w:after="0"/>
        <w:ind w:left="905" w:right="0" w:hanging="526"/>
        <w:jc w:val="left"/>
        <w:rPr>
          <w:sz w:val="21"/>
        </w:rPr>
      </w:pPr>
      <w:r>
        <w:rPr>
          <w:spacing w:val="-3"/>
          <w:sz w:val="21"/>
        </w:rPr>
        <w:t>无有效行驶证</w:t>
      </w:r>
    </w:p>
    <w:p>
      <w:pPr>
        <w:spacing w:after="0" w:line="262" w:lineRule="exact"/>
        <w:jc w:val="left"/>
        <w:rPr>
          <w:sz w:val="21"/>
        </w:rPr>
        <w:sectPr>
          <w:type w:val="continuous"/>
          <w:pgSz w:w="11910" w:h="16840"/>
          <w:pgMar w:top="320" w:bottom="560" w:left="940" w:right="560"/>
          <w:cols w:num="3" w:equalWidth="0">
            <w:col w:w="2855" w:space="191"/>
            <w:col w:w="3582" w:space="39"/>
            <w:col w:w="3743"/>
          </w:cols>
        </w:sectPr>
      </w:pPr>
    </w:p>
    <w:p>
      <w:pPr>
        <w:pStyle w:val="BodyText"/>
        <w:spacing w:before="7"/>
        <w:rPr>
          <w:sz w:val="2"/>
        </w:rPr>
      </w:pPr>
    </w:p>
    <w:tbl>
      <w:tblPr>
        <w:tblW w:w="0" w:type="auto"/>
        <w:jc w:val="left"/>
        <w:tblInd w:w="1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2"/>
        <w:gridCol w:w="948"/>
        <w:gridCol w:w="2048"/>
        <w:gridCol w:w="1001"/>
        <w:gridCol w:w="2425"/>
      </w:tblGrid>
      <w:tr>
        <w:trPr>
          <w:trHeight w:val="232" w:hRule="atLeast"/>
        </w:trPr>
        <w:tc>
          <w:tcPr>
            <w:tcW w:w="420" w:type="dxa"/>
          </w:tcPr>
          <w:p>
            <w:pPr>
              <w:pStyle w:val="TableParagraph"/>
              <w:spacing w:line="213" w:lineRule="exact"/>
              <w:ind w:left="32" w:right="33"/>
              <w:jc w:val="center"/>
              <w:rPr>
                <w:sz w:val="21"/>
              </w:rPr>
            </w:pPr>
            <w:r>
              <w:rPr>
                <w:sz w:val="21"/>
              </w:rPr>
              <w:t>3.1</w:t>
            </w:r>
          </w:p>
        </w:tc>
        <w:tc>
          <w:tcPr>
            <w:tcW w:w="2102" w:type="dxa"/>
          </w:tcPr>
          <w:p>
            <w:pPr>
              <w:pStyle w:val="TableParagraph"/>
              <w:spacing w:line="213" w:lineRule="exact"/>
              <w:ind w:left="52"/>
              <w:rPr>
                <w:sz w:val="21"/>
              </w:rPr>
            </w:pPr>
            <w:r>
              <w:rPr>
                <w:sz w:val="21"/>
              </w:rPr>
              <w:t>保险事故通知</w:t>
            </w:r>
          </w:p>
        </w:tc>
        <w:tc>
          <w:tcPr>
            <w:tcW w:w="948" w:type="dxa"/>
          </w:tcPr>
          <w:p>
            <w:pPr>
              <w:pStyle w:val="TableParagraph"/>
              <w:spacing w:line="211" w:lineRule="exact"/>
              <w:ind w:left="0" w:right="53"/>
              <w:jc w:val="right"/>
              <w:rPr>
                <w:sz w:val="21"/>
              </w:rPr>
            </w:pPr>
            <w:r>
              <w:rPr>
                <w:sz w:val="21"/>
              </w:rPr>
              <w:t>8.2</w:t>
            </w:r>
          </w:p>
        </w:tc>
        <w:tc>
          <w:tcPr>
            <w:tcW w:w="2048" w:type="dxa"/>
          </w:tcPr>
          <w:p>
            <w:pPr>
              <w:pStyle w:val="TableParagraph"/>
              <w:spacing w:line="211" w:lineRule="exact"/>
              <w:ind w:left="50"/>
              <w:rPr>
                <w:sz w:val="21"/>
              </w:rPr>
            </w:pPr>
            <w:r>
              <w:rPr>
                <w:sz w:val="21"/>
              </w:rPr>
              <w:t>未还款项</w:t>
            </w:r>
          </w:p>
        </w:tc>
        <w:tc>
          <w:tcPr>
            <w:tcW w:w="1001" w:type="dxa"/>
          </w:tcPr>
          <w:p>
            <w:pPr>
              <w:pStyle w:val="TableParagraph"/>
              <w:spacing w:line="211" w:lineRule="exact"/>
              <w:ind w:left="0" w:right="53"/>
              <w:jc w:val="right"/>
              <w:rPr>
                <w:sz w:val="21"/>
              </w:rPr>
            </w:pPr>
            <w:r>
              <w:rPr>
                <w:sz w:val="21"/>
              </w:rPr>
              <w:t>9.15</w:t>
            </w:r>
          </w:p>
        </w:tc>
        <w:tc>
          <w:tcPr>
            <w:tcW w:w="2425" w:type="dxa"/>
          </w:tcPr>
          <w:p>
            <w:pPr>
              <w:pStyle w:val="TableParagraph"/>
              <w:spacing w:line="211" w:lineRule="exact"/>
              <w:ind w:left="47"/>
              <w:rPr>
                <w:sz w:val="21"/>
              </w:rPr>
            </w:pPr>
            <w:r>
              <w:rPr>
                <w:sz w:val="21"/>
              </w:rPr>
              <w:t>机动车</w:t>
            </w:r>
          </w:p>
        </w:tc>
      </w:tr>
      <w:tr>
        <w:trPr>
          <w:trHeight w:val="249" w:hRule="atLeast"/>
        </w:trPr>
        <w:tc>
          <w:tcPr>
            <w:tcW w:w="420" w:type="dxa"/>
          </w:tcPr>
          <w:p>
            <w:pPr>
              <w:pStyle w:val="TableParagraph"/>
              <w:spacing w:line="230" w:lineRule="exact"/>
              <w:ind w:left="32" w:right="33"/>
              <w:jc w:val="center"/>
              <w:rPr>
                <w:sz w:val="21"/>
              </w:rPr>
            </w:pPr>
            <w:r>
              <w:rPr>
                <w:sz w:val="21"/>
              </w:rPr>
              <w:t>3.2</w:t>
            </w:r>
          </w:p>
        </w:tc>
        <w:tc>
          <w:tcPr>
            <w:tcW w:w="2102" w:type="dxa"/>
          </w:tcPr>
          <w:p>
            <w:pPr>
              <w:pStyle w:val="TableParagraph"/>
              <w:spacing w:line="230" w:lineRule="exact"/>
              <w:ind w:left="52"/>
              <w:rPr>
                <w:sz w:val="21"/>
              </w:rPr>
            </w:pPr>
            <w:r>
              <w:rPr>
                <w:sz w:val="21"/>
              </w:rPr>
              <w:t>豁免保险费申请</w:t>
            </w:r>
          </w:p>
        </w:tc>
        <w:tc>
          <w:tcPr>
            <w:tcW w:w="948" w:type="dxa"/>
          </w:tcPr>
          <w:p>
            <w:pPr>
              <w:pStyle w:val="TableParagraph"/>
              <w:spacing w:line="228" w:lineRule="exact"/>
              <w:ind w:left="0" w:right="53"/>
              <w:jc w:val="right"/>
              <w:rPr>
                <w:sz w:val="21"/>
              </w:rPr>
            </w:pPr>
            <w:r>
              <w:rPr>
                <w:sz w:val="21"/>
              </w:rPr>
              <w:t>8.3</w:t>
            </w:r>
          </w:p>
        </w:tc>
        <w:tc>
          <w:tcPr>
            <w:tcW w:w="2048" w:type="dxa"/>
          </w:tcPr>
          <w:p>
            <w:pPr>
              <w:pStyle w:val="TableParagraph"/>
              <w:spacing w:line="228" w:lineRule="exact"/>
              <w:ind w:left="50"/>
              <w:rPr>
                <w:sz w:val="21"/>
              </w:rPr>
            </w:pPr>
            <w:r>
              <w:rPr>
                <w:sz w:val="21"/>
              </w:rPr>
              <w:t>适用主合同条款</w:t>
            </w:r>
          </w:p>
        </w:tc>
        <w:tc>
          <w:tcPr>
            <w:tcW w:w="1001" w:type="dxa"/>
          </w:tcPr>
          <w:p>
            <w:pPr>
              <w:pStyle w:val="TableParagraph"/>
              <w:spacing w:line="228" w:lineRule="exact"/>
              <w:ind w:left="0" w:right="53"/>
              <w:jc w:val="right"/>
              <w:rPr>
                <w:sz w:val="21"/>
              </w:rPr>
            </w:pPr>
            <w:r>
              <w:rPr>
                <w:sz w:val="21"/>
              </w:rPr>
              <w:t>9.16</w:t>
            </w:r>
          </w:p>
        </w:tc>
        <w:tc>
          <w:tcPr>
            <w:tcW w:w="2425" w:type="dxa"/>
          </w:tcPr>
          <w:p>
            <w:pPr>
              <w:pStyle w:val="TableParagraph"/>
              <w:spacing w:line="228" w:lineRule="exact"/>
              <w:ind w:left="49"/>
              <w:rPr>
                <w:sz w:val="21"/>
              </w:rPr>
            </w:pPr>
            <w:r>
              <w:rPr>
                <w:sz w:val="21"/>
              </w:rPr>
              <w:t>感染艾滋病病毒或患艾滋</w:t>
            </w:r>
          </w:p>
        </w:tc>
      </w:tr>
      <w:tr>
        <w:trPr>
          <w:trHeight w:val="250" w:hRule="atLeast"/>
        </w:trPr>
        <w:tc>
          <w:tcPr>
            <w:tcW w:w="420" w:type="dxa"/>
          </w:tcPr>
          <w:p>
            <w:pPr>
              <w:pStyle w:val="TableParagraph"/>
              <w:spacing w:line="231" w:lineRule="exact"/>
              <w:ind w:left="32" w:right="33"/>
              <w:jc w:val="center"/>
              <w:rPr>
                <w:sz w:val="21"/>
              </w:rPr>
            </w:pPr>
            <w:r>
              <w:rPr>
                <w:sz w:val="21"/>
              </w:rPr>
              <w:t>3.3</w:t>
            </w:r>
          </w:p>
        </w:tc>
        <w:tc>
          <w:tcPr>
            <w:tcW w:w="2102" w:type="dxa"/>
          </w:tcPr>
          <w:p>
            <w:pPr>
              <w:pStyle w:val="TableParagraph"/>
              <w:spacing w:line="231" w:lineRule="exact"/>
              <w:ind w:left="52"/>
              <w:rPr>
                <w:sz w:val="21"/>
              </w:rPr>
            </w:pPr>
            <w:r>
              <w:rPr>
                <w:sz w:val="21"/>
              </w:rPr>
              <w:t>保险费豁免</w:t>
            </w:r>
          </w:p>
        </w:tc>
        <w:tc>
          <w:tcPr>
            <w:tcW w:w="948" w:type="dxa"/>
          </w:tcPr>
          <w:p>
            <w:pPr>
              <w:pStyle w:val="TableParagraph"/>
              <w:spacing w:line="228" w:lineRule="exact"/>
              <w:ind w:left="0" w:right="53"/>
              <w:jc w:val="right"/>
              <w:rPr>
                <w:sz w:val="21"/>
              </w:rPr>
            </w:pPr>
            <w:r>
              <w:rPr>
                <w:sz w:val="21"/>
              </w:rPr>
              <w:t>8.4</w:t>
            </w:r>
          </w:p>
        </w:tc>
        <w:tc>
          <w:tcPr>
            <w:tcW w:w="2048" w:type="dxa"/>
          </w:tcPr>
          <w:p>
            <w:pPr>
              <w:pStyle w:val="TableParagraph"/>
              <w:spacing w:line="228" w:lineRule="exact"/>
              <w:ind w:left="50"/>
              <w:rPr>
                <w:sz w:val="21"/>
              </w:rPr>
            </w:pPr>
            <w:r>
              <w:rPr>
                <w:sz w:val="21"/>
              </w:rPr>
              <w:t>附则</w:t>
            </w:r>
          </w:p>
        </w:tc>
        <w:tc>
          <w:tcPr>
            <w:tcW w:w="1001" w:type="dxa"/>
          </w:tcPr>
          <w:p>
            <w:pPr>
              <w:pStyle w:val="TableParagraph"/>
              <w:ind w:left="0"/>
              <w:rPr>
                <w:rFonts w:ascii="Times New Roman"/>
                <w:sz w:val="18"/>
              </w:rPr>
            </w:pPr>
          </w:p>
        </w:tc>
        <w:tc>
          <w:tcPr>
            <w:tcW w:w="2425" w:type="dxa"/>
          </w:tcPr>
          <w:p>
            <w:pPr>
              <w:pStyle w:val="TableParagraph"/>
              <w:spacing w:line="228" w:lineRule="exact"/>
              <w:ind w:left="44"/>
              <w:rPr>
                <w:sz w:val="21"/>
              </w:rPr>
            </w:pPr>
            <w:r>
              <w:rPr>
                <w:w w:val="100"/>
                <w:sz w:val="21"/>
              </w:rPr>
              <w:t>病</w:t>
            </w:r>
          </w:p>
        </w:tc>
      </w:tr>
      <w:tr>
        <w:trPr>
          <w:trHeight w:val="234" w:hRule="atLeast"/>
        </w:trPr>
        <w:tc>
          <w:tcPr>
            <w:tcW w:w="420" w:type="dxa"/>
          </w:tcPr>
          <w:p>
            <w:pPr>
              <w:pStyle w:val="TableParagraph"/>
              <w:spacing w:line="214" w:lineRule="exact"/>
              <w:ind w:left="32" w:right="33"/>
              <w:jc w:val="center"/>
              <w:rPr>
                <w:sz w:val="21"/>
              </w:rPr>
            </w:pPr>
            <w:r>
              <w:rPr>
                <w:sz w:val="21"/>
              </w:rPr>
              <w:t>3.4</w:t>
            </w:r>
          </w:p>
        </w:tc>
        <w:tc>
          <w:tcPr>
            <w:tcW w:w="2102" w:type="dxa"/>
          </w:tcPr>
          <w:p>
            <w:pPr>
              <w:pStyle w:val="TableParagraph"/>
              <w:spacing w:line="214" w:lineRule="exact"/>
              <w:ind w:left="52"/>
              <w:rPr>
                <w:sz w:val="21"/>
              </w:rPr>
            </w:pPr>
            <w:r>
              <w:rPr>
                <w:sz w:val="21"/>
              </w:rPr>
              <w:t>诉讼时效</w:t>
            </w:r>
          </w:p>
        </w:tc>
        <w:tc>
          <w:tcPr>
            <w:tcW w:w="948" w:type="dxa"/>
          </w:tcPr>
          <w:p>
            <w:pPr>
              <w:pStyle w:val="TableParagraph"/>
              <w:spacing w:line="214" w:lineRule="exact"/>
              <w:ind w:left="0" w:right="53"/>
              <w:jc w:val="right"/>
              <w:rPr>
                <w:sz w:val="21"/>
              </w:rPr>
            </w:pPr>
            <w:r>
              <w:rPr>
                <w:sz w:val="21"/>
              </w:rPr>
              <w:t>8.5</w:t>
            </w:r>
          </w:p>
        </w:tc>
        <w:tc>
          <w:tcPr>
            <w:tcW w:w="2048" w:type="dxa"/>
          </w:tcPr>
          <w:p>
            <w:pPr>
              <w:pStyle w:val="TableParagraph"/>
              <w:spacing w:line="214" w:lineRule="exact"/>
              <w:ind w:left="50"/>
              <w:rPr>
                <w:sz w:val="21"/>
              </w:rPr>
            </w:pPr>
            <w:r>
              <w:rPr>
                <w:sz w:val="21"/>
              </w:rPr>
              <w:t>其他</w:t>
            </w:r>
          </w:p>
        </w:tc>
        <w:tc>
          <w:tcPr>
            <w:tcW w:w="1001" w:type="dxa"/>
          </w:tcPr>
          <w:p>
            <w:pPr>
              <w:pStyle w:val="TableParagraph"/>
              <w:spacing w:line="214" w:lineRule="exact"/>
              <w:ind w:left="0" w:right="53"/>
              <w:jc w:val="right"/>
              <w:rPr>
                <w:sz w:val="21"/>
              </w:rPr>
            </w:pPr>
            <w:r>
              <w:rPr>
                <w:sz w:val="21"/>
              </w:rPr>
              <w:t>9.17</w:t>
            </w:r>
          </w:p>
        </w:tc>
        <w:tc>
          <w:tcPr>
            <w:tcW w:w="2425" w:type="dxa"/>
          </w:tcPr>
          <w:p>
            <w:pPr>
              <w:pStyle w:val="TableParagraph"/>
              <w:spacing w:line="214" w:lineRule="exact"/>
              <w:ind w:left="47"/>
              <w:rPr>
                <w:sz w:val="21"/>
              </w:rPr>
            </w:pPr>
            <w:r>
              <w:rPr>
                <w:sz w:val="21"/>
              </w:rPr>
              <w:t>遗传性疾病</w:t>
            </w:r>
          </w:p>
        </w:tc>
      </w:tr>
    </w:tbl>
    <w:p>
      <w:pPr>
        <w:spacing w:after="0" w:line="214" w:lineRule="exact"/>
        <w:rPr>
          <w:sz w:val="21"/>
        </w:rPr>
        <w:sectPr>
          <w:type w:val="continuous"/>
          <w:pgSz w:w="11910" w:h="16840"/>
          <w:pgMar w:top="320" w:bottom="560" w:left="940" w:right="560"/>
        </w:sectPr>
      </w:pPr>
    </w:p>
    <w:p>
      <w:pPr>
        <w:pStyle w:val="Heading2"/>
        <w:numPr>
          <w:ilvl w:val="2"/>
          <w:numId w:val="3"/>
        </w:numPr>
        <w:tabs>
          <w:tab w:pos="1165" w:val="left" w:leader="none"/>
        </w:tabs>
        <w:spacing w:line="238" w:lineRule="exact" w:before="0" w:after="0"/>
        <w:ind w:left="1164" w:right="0" w:hanging="316"/>
        <w:jc w:val="left"/>
      </w:pPr>
      <w:r>
        <w:rPr/>
        <w:t>保险费的交纳</w:t>
      </w:r>
    </w:p>
    <w:p>
      <w:pPr>
        <w:pStyle w:val="ListParagraph"/>
        <w:numPr>
          <w:ilvl w:val="3"/>
          <w:numId w:val="3"/>
        </w:numPr>
        <w:tabs>
          <w:tab w:pos="1480" w:val="left" w:leader="none"/>
        </w:tabs>
        <w:spacing w:line="250" w:lineRule="exact" w:before="0" w:after="0"/>
        <w:ind w:left="1479" w:right="0" w:hanging="423"/>
        <w:jc w:val="left"/>
        <w:rPr>
          <w:sz w:val="21"/>
        </w:rPr>
      </w:pPr>
      <w:r>
        <w:rPr>
          <w:spacing w:val="-3"/>
          <w:sz w:val="21"/>
        </w:rPr>
        <w:t>保险费的交纳</w:t>
      </w:r>
    </w:p>
    <w:p>
      <w:pPr>
        <w:pStyle w:val="ListParagraph"/>
        <w:numPr>
          <w:ilvl w:val="3"/>
          <w:numId w:val="3"/>
        </w:numPr>
        <w:tabs>
          <w:tab w:pos="1480" w:val="left" w:leader="none"/>
        </w:tabs>
        <w:spacing w:line="250" w:lineRule="exact" w:before="0" w:after="0"/>
        <w:ind w:left="1479" w:right="0" w:hanging="423"/>
        <w:jc w:val="left"/>
        <w:rPr>
          <w:sz w:val="21"/>
        </w:rPr>
      </w:pPr>
      <w:r>
        <w:rPr>
          <w:spacing w:val="-3"/>
          <w:sz w:val="21"/>
        </w:rPr>
        <w:t>保险费率调整</w:t>
      </w:r>
    </w:p>
    <w:p>
      <w:pPr>
        <w:pStyle w:val="ListParagraph"/>
        <w:numPr>
          <w:ilvl w:val="3"/>
          <w:numId w:val="3"/>
        </w:numPr>
        <w:tabs>
          <w:tab w:pos="1480" w:val="left" w:leader="none"/>
        </w:tabs>
        <w:spacing w:line="262" w:lineRule="exact" w:before="0" w:after="0"/>
        <w:ind w:left="1479" w:right="0" w:hanging="423"/>
        <w:jc w:val="left"/>
        <w:rPr>
          <w:sz w:val="21"/>
        </w:rPr>
      </w:pPr>
      <w:r>
        <w:rPr>
          <w:spacing w:val="-3"/>
          <w:sz w:val="21"/>
        </w:rPr>
        <w:t>宽限期</w:t>
      </w:r>
    </w:p>
    <w:p>
      <w:pPr>
        <w:pStyle w:val="Heading2"/>
        <w:spacing w:line="230" w:lineRule="exact"/>
      </w:pPr>
      <w:r>
        <w:rPr>
          <w:b w:val="0"/>
        </w:rPr>
        <w:br w:type="column"/>
      </w:r>
      <w:r>
        <w:rPr/>
        <w:t>9．释义</w:t>
      </w:r>
    </w:p>
    <w:p>
      <w:pPr>
        <w:pStyle w:val="ListParagraph"/>
        <w:numPr>
          <w:ilvl w:val="1"/>
          <w:numId w:val="4"/>
        </w:numPr>
        <w:tabs>
          <w:tab w:pos="1482" w:val="left" w:leader="none"/>
        </w:tabs>
        <w:spacing w:line="251" w:lineRule="exact" w:before="0" w:after="0"/>
        <w:ind w:left="1481" w:right="0" w:hanging="422"/>
        <w:jc w:val="left"/>
        <w:rPr>
          <w:sz w:val="21"/>
        </w:rPr>
      </w:pPr>
      <w:r>
        <w:rPr>
          <w:spacing w:val="-3"/>
          <w:sz w:val="21"/>
        </w:rPr>
        <w:t>保单周年日</w:t>
      </w:r>
    </w:p>
    <w:p>
      <w:pPr>
        <w:pStyle w:val="ListParagraph"/>
        <w:numPr>
          <w:ilvl w:val="1"/>
          <w:numId w:val="4"/>
        </w:numPr>
        <w:tabs>
          <w:tab w:pos="1482" w:val="left" w:leader="none"/>
        </w:tabs>
        <w:spacing w:line="251" w:lineRule="exact" w:before="0" w:after="0"/>
        <w:ind w:left="1481" w:right="0" w:hanging="422"/>
        <w:jc w:val="left"/>
        <w:rPr>
          <w:sz w:val="21"/>
        </w:rPr>
      </w:pPr>
      <w:r>
        <w:rPr>
          <w:spacing w:val="-2"/>
          <w:sz w:val="21"/>
        </w:rPr>
        <w:t>保单年度</w:t>
      </w:r>
    </w:p>
    <w:p>
      <w:pPr>
        <w:pStyle w:val="ListParagraph"/>
        <w:numPr>
          <w:ilvl w:val="1"/>
          <w:numId w:val="4"/>
        </w:numPr>
        <w:tabs>
          <w:tab w:pos="1482" w:val="left" w:leader="none"/>
        </w:tabs>
        <w:spacing w:line="262" w:lineRule="exact" w:before="0" w:after="0"/>
        <w:ind w:left="1481" w:right="0" w:hanging="422"/>
        <w:jc w:val="left"/>
        <w:rPr>
          <w:sz w:val="21"/>
        </w:rPr>
      </w:pPr>
      <w:r>
        <w:rPr>
          <w:spacing w:val="-3"/>
          <w:sz w:val="21"/>
        </w:rPr>
        <w:t>保险费约定交纳日</w:t>
      </w:r>
    </w:p>
    <w:p>
      <w:pPr>
        <w:pStyle w:val="ListParagraph"/>
        <w:numPr>
          <w:ilvl w:val="1"/>
          <w:numId w:val="5"/>
        </w:numPr>
        <w:tabs>
          <w:tab w:pos="1329" w:val="left" w:leader="none"/>
        </w:tabs>
        <w:spacing w:line="218" w:lineRule="auto" w:before="0" w:after="0"/>
        <w:ind w:left="1323" w:right="510" w:hanging="523"/>
        <w:jc w:val="left"/>
        <w:rPr>
          <w:sz w:val="21"/>
        </w:rPr>
      </w:pPr>
      <w:r>
        <w:rPr>
          <w:w w:val="100"/>
          <w:sz w:val="21"/>
        </w:rPr>
        <w:br w:type="column"/>
      </w:r>
      <w:r>
        <w:rPr>
          <w:spacing w:val="-2"/>
          <w:sz w:val="21"/>
        </w:rPr>
        <w:t>先天性畸形、变形或染色体异常</w:t>
      </w:r>
    </w:p>
    <w:p>
      <w:pPr>
        <w:pStyle w:val="ListParagraph"/>
        <w:numPr>
          <w:ilvl w:val="1"/>
          <w:numId w:val="5"/>
        </w:numPr>
        <w:tabs>
          <w:tab w:pos="1326" w:val="left" w:leader="none"/>
        </w:tabs>
        <w:spacing w:line="239" w:lineRule="exact" w:before="6" w:after="0"/>
        <w:ind w:left="1325" w:right="0" w:hanging="525"/>
        <w:jc w:val="left"/>
        <w:rPr>
          <w:sz w:val="21"/>
        </w:rPr>
      </w:pPr>
      <w:r>
        <w:rPr>
          <w:spacing w:val="-2"/>
          <w:sz w:val="21"/>
        </w:rPr>
        <w:t>现金价值</w:t>
      </w:r>
    </w:p>
    <w:p>
      <w:pPr>
        <w:pStyle w:val="ListParagraph"/>
        <w:numPr>
          <w:ilvl w:val="1"/>
          <w:numId w:val="5"/>
        </w:numPr>
        <w:tabs>
          <w:tab w:pos="1326" w:val="left" w:leader="none"/>
        </w:tabs>
        <w:spacing w:line="262" w:lineRule="exact" w:before="0" w:after="0"/>
        <w:ind w:left="1325" w:right="0" w:hanging="525"/>
        <w:jc w:val="left"/>
        <w:rPr>
          <w:sz w:val="21"/>
        </w:rPr>
      </w:pPr>
      <w:r>
        <w:rPr>
          <w:spacing w:val="-3"/>
          <w:sz w:val="21"/>
        </w:rPr>
        <w:t>约定的利率</w:t>
      </w:r>
    </w:p>
    <w:p>
      <w:pPr>
        <w:spacing w:after="0" w:line="262" w:lineRule="exact"/>
        <w:jc w:val="left"/>
        <w:rPr>
          <w:sz w:val="21"/>
        </w:rPr>
        <w:sectPr>
          <w:type w:val="continuous"/>
          <w:pgSz w:w="11910" w:h="16840"/>
          <w:pgMar w:top="320" w:bottom="560" w:left="940" w:right="560"/>
          <w:cols w:num="3" w:equalWidth="0">
            <w:col w:w="2740" w:space="306"/>
            <w:col w:w="3162" w:space="39"/>
            <w:col w:w="4163"/>
          </w:cols>
        </w:sectPr>
      </w:pPr>
    </w:p>
    <w:p>
      <w:pPr>
        <w:pStyle w:val="Heading1"/>
        <w:spacing w:line="477" w:lineRule="exact"/>
        <w:ind w:left="2108" w:right="0"/>
        <w:jc w:val="left"/>
      </w:pPr>
      <w:r>
        <w:rPr/>
        <w:t>新光海航附加豁免保险费重大疾病保险条款</w:t>
      </w:r>
    </w:p>
    <w:p>
      <w:pPr>
        <w:pStyle w:val="BodyText"/>
        <w:spacing w:before="263"/>
        <w:ind w:left="3717" w:right="3717"/>
        <w:jc w:val="center"/>
      </w:pPr>
      <w:r>
        <w:rPr/>
        <w:t>（新光海航精〔2009〕33 号）</w:t>
      </w:r>
    </w:p>
    <w:p>
      <w:pPr>
        <w:pStyle w:val="BodyText"/>
        <w:spacing w:before="8"/>
        <w:rPr>
          <w:sz w:val="26"/>
        </w:rPr>
      </w:pPr>
    </w:p>
    <w:p>
      <w:pPr>
        <w:pStyle w:val="BodyText"/>
        <w:spacing w:line="273" w:lineRule="auto"/>
        <w:ind w:left="220" w:right="109" w:hanging="1"/>
      </w:pPr>
      <w:r>
        <w:rPr>
          <w:spacing w:val="-8"/>
          <w:w w:val="100"/>
        </w:rPr>
        <w:t>在本条款中，“您”指投保人，“我们”、“本公司”均指新光海航人寿保险有限责任公司，“本附加合同”</w:t>
      </w:r>
      <w:r>
        <w:rPr>
          <w:spacing w:val="-7"/>
        </w:rPr>
        <w:t>指您与我们之间订立的“新光海航附加豁免保险费重大疾病保险合同”。</w:t>
      </w:r>
    </w:p>
    <w:p>
      <w:pPr>
        <w:pStyle w:val="BodyText"/>
        <w:spacing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29" w:hanging="1"/>
              <w:rPr>
                <w:sz w:val="21"/>
              </w:rPr>
            </w:pPr>
            <w:r>
              <w:rPr>
                <w:spacing w:val="-3"/>
                <w:w w:val="100"/>
                <w:sz w:val="21"/>
              </w:rPr>
              <w:t>本附加合同是本公司特定的保险合同</w:t>
            </w:r>
            <w:r>
              <w:rPr>
                <w:w w:val="100"/>
                <w:sz w:val="21"/>
              </w:rPr>
              <w:t>（</w:t>
            </w:r>
            <w:r>
              <w:rPr>
                <w:spacing w:val="-15"/>
                <w:w w:val="100"/>
                <w:sz w:val="21"/>
              </w:rPr>
              <w:t>以下简称“主合同”</w:t>
            </w:r>
            <w:r>
              <w:rPr>
                <w:spacing w:val="-3"/>
                <w:w w:val="100"/>
                <w:sz w:val="21"/>
              </w:rPr>
              <w:t>）的附加合同，依</w:t>
            </w:r>
            <w:r>
              <w:rPr>
                <w:spacing w:val="-3"/>
                <w:sz w:val="21"/>
              </w:rPr>
              <w:t>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94"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7"/>
              <w:jc w:val="both"/>
              <w:rPr>
                <w:sz w:val="21"/>
              </w:rPr>
            </w:pPr>
            <w:r>
              <w:rPr>
                <w:spacing w:val="-8"/>
                <w:sz w:val="21"/>
              </w:rPr>
              <w:t>本附加合同自我们同意承保、收取首期保险费并签发保险单后开始生效，生效</w:t>
            </w:r>
            <w:r>
              <w:rPr>
                <w:spacing w:val="-3"/>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1013" w:hRule="atLeast"/>
        </w:trPr>
        <w:tc>
          <w:tcPr>
            <w:tcW w:w="708" w:type="dxa"/>
          </w:tcPr>
          <w:p>
            <w:pPr>
              <w:pStyle w:val="TableParagraph"/>
              <w:spacing w:before="11"/>
              <w:ind w:left="0"/>
              <w:rPr>
                <w:sz w:val="16"/>
              </w:rPr>
            </w:pPr>
          </w:p>
          <w:p>
            <w:pPr>
              <w:pStyle w:val="TableParagraph"/>
              <w:ind w:left="107"/>
              <w:rPr>
                <w:b/>
                <w:sz w:val="21"/>
              </w:rPr>
            </w:pPr>
            <w:r>
              <w:rPr>
                <w:b/>
                <w:sz w:val="21"/>
              </w:rPr>
              <w:t>1.3</w:t>
            </w:r>
          </w:p>
        </w:tc>
        <w:tc>
          <w:tcPr>
            <w:tcW w:w="1854" w:type="dxa"/>
          </w:tcPr>
          <w:p>
            <w:pPr>
              <w:pStyle w:val="TableParagraph"/>
              <w:spacing w:before="11"/>
              <w:ind w:left="0"/>
              <w:rPr>
                <w:sz w:val="16"/>
              </w:rPr>
            </w:pPr>
          </w:p>
          <w:p>
            <w:pPr>
              <w:pStyle w:val="TableParagraph"/>
              <w:rPr>
                <w:b/>
                <w:sz w:val="21"/>
              </w:rPr>
            </w:pPr>
            <w:r>
              <w:rPr>
                <w:b/>
                <w:sz w:val="21"/>
              </w:rPr>
              <w:t>投保对象</w:t>
            </w:r>
          </w:p>
        </w:tc>
        <w:tc>
          <w:tcPr>
            <w:tcW w:w="7398" w:type="dxa"/>
          </w:tcPr>
          <w:p>
            <w:pPr>
              <w:pStyle w:val="TableParagraph"/>
              <w:spacing w:before="11"/>
              <w:ind w:left="0"/>
              <w:rPr>
                <w:sz w:val="16"/>
              </w:rPr>
            </w:pPr>
          </w:p>
          <w:p>
            <w:pPr>
              <w:pStyle w:val="TableParagraph"/>
              <w:spacing w:line="273" w:lineRule="auto"/>
              <w:ind w:left="226" w:right="107"/>
              <w:rPr>
                <w:sz w:val="21"/>
              </w:rPr>
            </w:pPr>
            <w:r>
              <w:rPr>
                <w:spacing w:val="-7"/>
                <w:sz w:val="21"/>
              </w:rPr>
              <w:t>本附加合同的被保险人为主合同的被保险人。若本附加合同另有约定的，将在</w:t>
            </w:r>
            <w:r>
              <w:rPr>
                <w:spacing w:val="-2"/>
                <w:sz w:val="21"/>
              </w:rPr>
              <w:t>保险单上载明。</w:t>
            </w:r>
          </w:p>
        </w:tc>
      </w:tr>
      <w:tr>
        <w:trPr>
          <w:trHeight w:val="936"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7" w:right="26" w:hanging="1"/>
              <w:rPr>
                <w:sz w:val="21"/>
              </w:rPr>
            </w:pPr>
            <w:r>
              <w:rPr>
                <w:sz w:val="21"/>
              </w:rPr>
              <w:t>指您投保时被保险人以</w:t>
            </w:r>
            <w:r>
              <w:rPr>
                <w:b/>
                <w:sz w:val="21"/>
              </w:rPr>
              <w:t>周岁</w:t>
            </w:r>
            <w:r>
              <w:rPr>
                <w:sz w:val="21"/>
              </w:rPr>
              <w:t>（见 9.4）计算的年龄，本附加合同接受的投保年龄为出生满 30 日至 65 周岁。</w:t>
            </w:r>
          </w:p>
        </w:tc>
      </w:tr>
      <w:tr>
        <w:trPr>
          <w:trHeight w:val="2358" w:hRule="atLeast"/>
        </w:trPr>
        <w:tc>
          <w:tcPr>
            <w:tcW w:w="708" w:type="dxa"/>
          </w:tcPr>
          <w:p>
            <w:pPr>
              <w:pStyle w:val="TableParagraph"/>
              <w:spacing w:before="142"/>
              <w:ind w:left="107"/>
              <w:rPr>
                <w:b/>
                <w:sz w:val="21"/>
              </w:rPr>
            </w:pPr>
            <w:r>
              <w:rPr>
                <w:b/>
                <w:sz w:val="21"/>
              </w:rPr>
              <w:t>1.5</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7" w:right="107" w:hanging="1"/>
              <w:jc w:val="both"/>
              <w:rPr>
                <w:sz w:val="21"/>
              </w:rPr>
            </w:pPr>
            <w:r>
              <w:rPr>
                <w:spacing w:val="-6"/>
                <w:sz w:val="21"/>
              </w:rPr>
              <w:t>自您签收本附加合同的次日零时起，有 </w:t>
            </w:r>
            <w:r>
              <w:rPr>
                <w:sz w:val="21"/>
              </w:rPr>
              <w:t>10</w:t>
            </w:r>
            <w:r>
              <w:rPr>
                <w:spacing w:val="-9"/>
                <w:sz w:val="21"/>
              </w:rPr>
              <w:t> 日的犹豫期。在此期间，请您认真</w:t>
            </w:r>
            <w:r>
              <w:rPr>
                <w:spacing w:val="-10"/>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2345"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9"/>
              <w:ind w:left="0"/>
              <w:rPr>
                <w:sz w:val="24"/>
              </w:rPr>
            </w:pPr>
          </w:p>
          <w:p>
            <w:pPr>
              <w:pStyle w:val="TableParagraph"/>
              <w:rPr>
                <w:b/>
                <w:sz w:val="21"/>
              </w:rPr>
            </w:pPr>
            <w:r>
              <w:rPr>
                <w:b/>
                <w:sz w:val="21"/>
              </w:rPr>
              <w:t>保险期间</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本附加合同可附加于主合同或保险期间超过 1 年的附加合同。</w:t>
            </w:r>
          </w:p>
          <w:p>
            <w:pPr>
              <w:pStyle w:val="TableParagraph"/>
              <w:spacing w:before="9"/>
              <w:ind w:left="0"/>
              <w:rPr>
                <w:sz w:val="14"/>
              </w:rPr>
            </w:pPr>
          </w:p>
          <w:p>
            <w:pPr>
              <w:pStyle w:val="TableParagraph"/>
              <w:spacing w:line="273" w:lineRule="auto"/>
              <w:ind w:left="226" w:right="101"/>
              <w:rPr>
                <w:sz w:val="21"/>
              </w:rPr>
            </w:pPr>
            <w:r>
              <w:rPr>
                <w:spacing w:val="-8"/>
                <w:sz w:val="21"/>
              </w:rPr>
              <w:t>如果主合同或附加合同交费期间为终身的，本附加合同的保险期间需要由您与</w:t>
            </w:r>
            <w:r>
              <w:rPr>
                <w:spacing w:val="-5"/>
                <w:sz w:val="21"/>
              </w:rPr>
              <w:t>我们约定并在保险单上载明。</w:t>
            </w:r>
          </w:p>
          <w:p>
            <w:pPr>
              <w:pStyle w:val="TableParagraph"/>
              <w:spacing w:line="273" w:lineRule="auto" w:before="163"/>
              <w:ind w:left="226" w:right="100"/>
              <w:rPr>
                <w:sz w:val="21"/>
              </w:rPr>
            </w:pPr>
            <w:r>
              <w:rPr>
                <w:spacing w:val="-7"/>
                <w:sz w:val="21"/>
              </w:rPr>
              <w:t>如果主合同或附加合同交费期间不为终身的，本附加合同的保险期间自本附加</w:t>
            </w:r>
            <w:r>
              <w:rPr>
                <w:spacing w:val="-5"/>
                <w:sz w:val="21"/>
              </w:rPr>
              <w:t>合同生效日起至主合同或附加合同最后一期保险费约定交纳日止。</w:t>
            </w:r>
          </w:p>
        </w:tc>
      </w:tr>
      <w:tr>
        <w:trPr>
          <w:trHeight w:val="422" w:hRule="atLeast"/>
        </w:trPr>
        <w:tc>
          <w:tcPr>
            <w:tcW w:w="708" w:type="dxa"/>
          </w:tcPr>
          <w:p>
            <w:pPr>
              <w:pStyle w:val="TableParagraph"/>
              <w:spacing w:line="255" w:lineRule="exact" w:before="147"/>
              <w:ind w:left="107"/>
              <w:rPr>
                <w:b/>
                <w:sz w:val="21"/>
              </w:rPr>
            </w:pPr>
            <w:r>
              <w:rPr>
                <w:b/>
                <w:sz w:val="21"/>
              </w:rPr>
              <w:t>2.2</w:t>
            </w:r>
          </w:p>
        </w:tc>
        <w:tc>
          <w:tcPr>
            <w:tcW w:w="1854" w:type="dxa"/>
          </w:tcPr>
          <w:p>
            <w:pPr>
              <w:pStyle w:val="TableParagraph"/>
              <w:spacing w:line="255" w:lineRule="exact" w:before="147"/>
              <w:rPr>
                <w:b/>
                <w:sz w:val="21"/>
              </w:rPr>
            </w:pPr>
            <w:r>
              <w:rPr>
                <w:b/>
                <w:sz w:val="21"/>
              </w:rPr>
              <w:t>保险责任</w:t>
            </w:r>
          </w:p>
        </w:tc>
        <w:tc>
          <w:tcPr>
            <w:tcW w:w="7398" w:type="dxa"/>
          </w:tcPr>
          <w:p>
            <w:pPr>
              <w:pStyle w:val="TableParagraph"/>
              <w:spacing w:line="255" w:lineRule="exact" w:before="147"/>
              <w:ind w:left="226"/>
              <w:rPr>
                <w:sz w:val="21"/>
              </w:rPr>
            </w:pPr>
            <w:r>
              <w:rPr>
                <w:sz w:val="21"/>
              </w:rPr>
              <w:t>在本附加合同保险期间内，我们承担下列保险责任：</w:t>
            </w:r>
          </w:p>
        </w:tc>
      </w:tr>
    </w:tbl>
    <w:p>
      <w:pPr>
        <w:spacing w:after="0" w:line="255" w:lineRule="exact"/>
        <w:rPr>
          <w:sz w:val="21"/>
        </w:rPr>
        <w:sectPr>
          <w:pgSz w:w="11910" w:h="16840"/>
          <w:pgMar w:header="0" w:footer="380" w:top="86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748"/>
        <w:gridCol w:w="7504"/>
      </w:tblGrid>
      <w:tr>
        <w:trPr>
          <w:trHeight w:val="6501" w:hRule="atLeast"/>
        </w:trPr>
        <w:tc>
          <w:tcPr>
            <w:tcW w:w="708" w:type="dxa"/>
          </w:tcPr>
          <w:p>
            <w:pPr>
              <w:pStyle w:val="TableParagraph"/>
              <w:ind w:left="0"/>
              <w:rPr>
                <w:rFonts w:ascii="Times New Roman"/>
                <w:sz w:val="20"/>
              </w:rPr>
            </w:pPr>
          </w:p>
        </w:tc>
        <w:tc>
          <w:tcPr>
            <w:tcW w:w="1748" w:type="dxa"/>
          </w:tcPr>
          <w:p>
            <w:pPr>
              <w:pStyle w:val="TableParagraph"/>
              <w:spacing w:line="208" w:lineRule="exact"/>
              <w:rPr>
                <w:b/>
                <w:sz w:val="21"/>
              </w:rPr>
            </w:pPr>
            <w:r>
              <w:rPr>
                <w:b/>
                <w:sz w:val="21"/>
              </w:rPr>
              <w:t>豁免保险费</w:t>
            </w:r>
          </w:p>
        </w:tc>
        <w:tc>
          <w:tcPr>
            <w:tcW w:w="7504" w:type="dxa"/>
          </w:tcPr>
          <w:p>
            <w:pPr>
              <w:pStyle w:val="TableParagraph"/>
              <w:spacing w:line="208" w:lineRule="exact"/>
              <w:ind w:left="332"/>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w:t>
            </w:r>
            <w:r>
              <w:rPr>
                <w:rFonts w:ascii="黑体" w:eastAsia="黑体" w:hint="eastAsia"/>
                <w:spacing w:val="-27"/>
                <w:sz w:val="21"/>
              </w:rPr>
              <w:t>效</w:t>
            </w:r>
            <w:r>
              <w:rPr>
                <w:rFonts w:ascii="黑体" w:eastAsia="黑体" w:hint="eastAsia"/>
                <w:spacing w:val="-3"/>
                <w:sz w:val="21"/>
              </w:rPr>
              <w:t>（或最后复效</w:t>
            </w:r>
            <w:r>
              <w:rPr>
                <w:rFonts w:ascii="黑体" w:eastAsia="黑体" w:hint="eastAsia"/>
                <w:spacing w:val="-27"/>
                <w:sz w:val="21"/>
              </w:rPr>
              <w:t>）</w:t>
            </w:r>
            <w:r>
              <w:rPr>
                <w:rFonts w:ascii="黑体" w:eastAsia="黑体" w:hint="eastAsia"/>
                <w:spacing w:val="-10"/>
                <w:sz w:val="21"/>
              </w:rPr>
              <w:t>之日起 </w:t>
            </w:r>
            <w:r>
              <w:rPr>
                <w:rFonts w:ascii="黑体" w:eastAsia="黑体" w:hint="eastAsia"/>
                <w:sz w:val="21"/>
              </w:rPr>
              <w:t>180</w:t>
            </w:r>
            <w:r>
              <w:rPr>
                <w:rFonts w:ascii="黑体" w:eastAsia="黑体" w:hint="eastAsia"/>
                <w:spacing w:val="-9"/>
                <w:sz w:val="21"/>
              </w:rPr>
              <w:t> 日以内，因疾病导致初</w:t>
            </w:r>
          </w:p>
          <w:p>
            <w:pPr>
              <w:pStyle w:val="TableParagraph"/>
              <w:spacing w:line="273" w:lineRule="auto" w:before="37"/>
              <w:ind w:left="332" w:right="4"/>
              <w:rPr>
                <w:rFonts w:ascii="黑体" w:eastAsia="黑体" w:hint="eastAsia"/>
                <w:sz w:val="21"/>
              </w:rPr>
            </w:pPr>
            <w:r>
              <w:rPr>
                <w:rFonts w:ascii="黑体" w:eastAsia="黑体" w:hint="eastAsia"/>
                <w:spacing w:val="-3"/>
                <w:w w:val="100"/>
                <w:sz w:val="21"/>
              </w:rPr>
              <w:t>患本附加合同约定的</w:t>
            </w:r>
            <w:r>
              <w:rPr>
                <w:rFonts w:ascii="黑体" w:eastAsia="黑体" w:hint="eastAsia"/>
                <w:b/>
                <w:spacing w:val="-4"/>
                <w:w w:val="100"/>
                <w:sz w:val="21"/>
              </w:rPr>
              <w:t>重大疾病</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9.6</w:t>
            </w:r>
            <w:r>
              <w:rPr>
                <w:rFonts w:ascii="黑体" w:eastAsia="黑体" w:hint="eastAsia"/>
                <w:spacing w:val="-118"/>
                <w:w w:val="100"/>
                <w:sz w:val="21"/>
              </w:rPr>
              <w:t>）</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5"/>
                <w:w w:val="100"/>
                <w:sz w:val="21"/>
              </w:rPr>
              <w:t>，我们不承担保险</w:t>
            </w:r>
            <w:r>
              <w:rPr>
                <w:rFonts w:ascii="黑体" w:eastAsia="黑体" w:hint="eastAsia"/>
                <w:spacing w:val="-10"/>
                <w:sz w:val="21"/>
              </w:rPr>
              <w:t>责任，并无息返还本附加合同</w:t>
            </w:r>
            <w:r>
              <w:rPr>
                <w:rFonts w:ascii="黑体" w:eastAsia="黑体" w:hint="eastAsia"/>
                <w:sz w:val="21"/>
              </w:rPr>
              <w:t>Th</w:t>
            </w:r>
            <w:r>
              <w:rPr>
                <w:rFonts w:ascii="黑体" w:eastAsia="黑体" w:hint="eastAsia"/>
                <w:spacing w:val="-18"/>
                <w:sz w:val="21"/>
              </w:rPr>
              <w:t>效之日起</w:t>
            </w:r>
            <w:r>
              <w:rPr>
                <w:rFonts w:ascii="黑体" w:eastAsia="黑体" w:hint="eastAsia"/>
                <w:spacing w:val="-3"/>
                <w:sz w:val="21"/>
              </w:rPr>
              <w:t>（</w:t>
            </w:r>
            <w:r>
              <w:rPr>
                <w:rFonts w:ascii="黑体" w:eastAsia="黑体" w:hint="eastAsia"/>
                <w:spacing w:val="-10"/>
                <w:sz w:val="21"/>
              </w:rPr>
              <w:t>如果复效的，则从最后复效之日起</w:t>
            </w:r>
            <w:r>
              <w:rPr>
                <w:rFonts w:ascii="黑体" w:eastAsia="黑体" w:hint="eastAsia"/>
                <w:spacing w:val="-3"/>
                <w:sz w:val="21"/>
              </w:rPr>
              <w:t>） 已交纳的保险费总额，本附加合同终止；</w:t>
            </w:r>
          </w:p>
          <w:p>
            <w:pPr>
              <w:pStyle w:val="TableParagraph"/>
              <w:spacing w:line="273" w:lineRule="auto" w:before="163"/>
              <w:ind w:left="332" w:right="-15" w:hanging="1"/>
              <w:rPr>
                <w:sz w:val="21"/>
              </w:rPr>
            </w:pPr>
            <w:r>
              <w:rPr>
                <w:spacing w:val="-5"/>
                <w:sz w:val="21"/>
              </w:rPr>
              <w:t>被保险人于本附加合同生效</w:t>
            </w:r>
            <w:r>
              <w:rPr>
                <w:spacing w:val="-3"/>
                <w:sz w:val="21"/>
              </w:rPr>
              <w:t>（或最后复效</w:t>
            </w:r>
            <w:r>
              <w:rPr>
                <w:spacing w:val="-27"/>
                <w:sz w:val="21"/>
              </w:rPr>
              <w:t>）</w:t>
            </w:r>
            <w:r>
              <w:rPr>
                <w:spacing w:val="-13"/>
                <w:sz w:val="21"/>
              </w:rPr>
              <w:t>之日起 </w:t>
            </w:r>
            <w:r>
              <w:rPr>
                <w:sz w:val="21"/>
              </w:rPr>
              <w:t>180</w:t>
            </w:r>
            <w:r>
              <w:rPr>
                <w:spacing w:val="-10"/>
                <w:sz w:val="21"/>
              </w:rPr>
              <w:t> 日后，因疾病导致初患</w:t>
            </w:r>
            <w:r>
              <w:rPr>
                <w:spacing w:val="-4"/>
                <w:w w:val="100"/>
                <w:sz w:val="21"/>
              </w:rPr>
              <w:t>本附加合同约定的重大疾病</w:t>
            </w:r>
            <w:r>
              <w:rPr>
                <w:spacing w:val="-3"/>
                <w:w w:val="100"/>
                <w:sz w:val="21"/>
              </w:rPr>
              <w:t>（无论一种或多种</w:t>
            </w:r>
            <w:r>
              <w:rPr>
                <w:spacing w:val="-104"/>
                <w:w w:val="100"/>
                <w:sz w:val="21"/>
              </w:rPr>
              <w:t>）</w:t>
            </w:r>
            <w:r>
              <w:rPr>
                <w:spacing w:val="-6"/>
                <w:w w:val="100"/>
                <w:sz w:val="21"/>
              </w:rPr>
              <w:t>，我们自</w:t>
            </w:r>
            <w:r>
              <w:rPr>
                <w:b/>
                <w:spacing w:val="-2"/>
                <w:w w:val="100"/>
                <w:sz w:val="21"/>
              </w:rPr>
              <w:t>约定确诊日</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9）</w:t>
            </w:r>
            <w:r>
              <w:rPr>
                <w:spacing w:val="-3"/>
                <w:sz w:val="21"/>
              </w:rPr>
              <w:t>起免予收取豁免期间内的各期保险费；</w:t>
            </w:r>
          </w:p>
          <w:p>
            <w:pPr>
              <w:pStyle w:val="TableParagraph"/>
              <w:spacing w:line="273" w:lineRule="auto" w:before="163"/>
              <w:ind w:left="332" w:right="103"/>
              <w:jc w:val="both"/>
              <w:rPr>
                <w:sz w:val="21"/>
              </w:rPr>
            </w:pPr>
            <w:r>
              <w:rPr>
                <w:spacing w:val="-2"/>
                <w:sz w:val="21"/>
              </w:rPr>
              <w:t>被保险人于本附加合同生效</w:t>
            </w:r>
            <w:r>
              <w:rPr>
                <w:sz w:val="21"/>
              </w:rPr>
              <w:t>（或最后复效</w:t>
            </w:r>
            <w:r>
              <w:rPr>
                <w:spacing w:val="-3"/>
                <w:sz w:val="21"/>
              </w:rPr>
              <w:t>）</w:t>
            </w:r>
            <w:r>
              <w:rPr>
                <w:spacing w:val="-1"/>
                <w:sz w:val="21"/>
              </w:rPr>
              <w:t>之日起，因</w:t>
            </w:r>
            <w:r>
              <w:rPr>
                <w:b/>
                <w:sz w:val="21"/>
              </w:rPr>
              <w:t>意外伤害</w:t>
            </w:r>
            <w:r>
              <w:rPr>
                <w:sz w:val="21"/>
              </w:rPr>
              <w:t>（</w:t>
            </w:r>
            <w:r>
              <w:rPr>
                <w:spacing w:val="15"/>
                <w:sz w:val="21"/>
              </w:rPr>
              <w:t>见 </w:t>
            </w:r>
            <w:r>
              <w:rPr>
                <w:sz w:val="21"/>
              </w:rPr>
              <w:t>9.10） </w:t>
            </w:r>
            <w:r>
              <w:rPr>
                <w:spacing w:val="-2"/>
                <w:w w:val="100"/>
                <w:sz w:val="21"/>
              </w:rPr>
              <w:t>导致初患本附加合同约定的重大疾病</w:t>
            </w:r>
            <w:r>
              <w:rPr>
                <w:w w:val="100"/>
                <w:sz w:val="21"/>
              </w:rPr>
              <w:t>（</w:t>
            </w:r>
            <w:r>
              <w:rPr>
                <w:spacing w:val="-2"/>
                <w:w w:val="100"/>
                <w:sz w:val="21"/>
              </w:rPr>
              <w:t>无论一种或多种</w:t>
            </w:r>
            <w:r>
              <w:rPr>
                <w:spacing w:val="-104"/>
                <w:w w:val="100"/>
                <w:sz w:val="21"/>
              </w:rPr>
              <w:t>）</w:t>
            </w:r>
            <w:r>
              <w:rPr>
                <w:spacing w:val="-3"/>
                <w:w w:val="100"/>
                <w:sz w:val="21"/>
              </w:rPr>
              <w:t>，我们自约定确诊日</w:t>
            </w:r>
            <w:r>
              <w:rPr>
                <w:spacing w:val="-3"/>
                <w:sz w:val="21"/>
              </w:rPr>
              <w:t>起免予收取豁免期间内的各期保险费。</w:t>
            </w:r>
          </w:p>
          <w:p>
            <w:pPr>
              <w:pStyle w:val="TableParagraph"/>
              <w:spacing w:before="163"/>
              <w:ind w:left="332"/>
              <w:rPr>
                <w:sz w:val="21"/>
              </w:rPr>
            </w:pPr>
            <w:r>
              <w:rPr>
                <w:sz w:val="21"/>
              </w:rPr>
              <w:t>豁免期间至下列任何一种情形发生之日止：</w:t>
            </w:r>
          </w:p>
          <w:p>
            <w:pPr>
              <w:pStyle w:val="TableParagraph"/>
              <w:spacing w:before="36"/>
              <w:ind w:left="332"/>
              <w:rPr>
                <w:sz w:val="21"/>
              </w:rPr>
            </w:pPr>
            <w:r>
              <w:rPr>
                <w:sz w:val="21"/>
              </w:rPr>
              <w:t>（1）主合同被保险人身故；</w:t>
            </w:r>
          </w:p>
          <w:p>
            <w:pPr>
              <w:pStyle w:val="TableParagraph"/>
              <w:spacing w:before="36"/>
              <w:ind w:left="332"/>
              <w:rPr>
                <w:sz w:val="21"/>
              </w:rPr>
            </w:pPr>
            <w:r>
              <w:rPr>
                <w:sz w:val="21"/>
              </w:rPr>
              <w:t>（2）本附加合同保险期间届满。</w:t>
            </w:r>
          </w:p>
          <w:p>
            <w:pPr>
              <w:pStyle w:val="TableParagraph"/>
              <w:spacing w:before="9"/>
              <w:ind w:left="0"/>
              <w:rPr>
                <w:sz w:val="14"/>
              </w:rPr>
            </w:pPr>
          </w:p>
          <w:p>
            <w:pPr>
              <w:pStyle w:val="TableParagraph"/>
              <w:spacing w:line="273" w:lineRule="auto"/>
              <w:ind w:left="333" w:right="100"/>
              <w:jc w:val="both"/>
              <w:rPr>
                <w:rFonts w:ascii="黑体" w:eastAsia="黑体" w:hint="eastAsia"/>
                <w:sz w:val="21"/>
              </w:rPr>
            </w:pPr>
            <w:r>
              <w:rPr>
                <w:rFonts w:ascii="黑体" w:eastAsia="黑体" w:hint="eastAsia"/>
                <w:spacing w:val="-7"/>
                <w:sz w:val="21"/>
              </w:rPr>
              <w:t>本附加合同所豁免保险费的金额将在保险单上载明，所豁免保险费的金额不包</w:t>
            </w:r>
            <w:r>
              <w:rPr>
                <w:rFonts w:ascii="黑体" w:eastAsia="黑体" w:hint="eastAsia"/>
                <w:spacing w:val="-10"/>
                <w:sz w:val="21"/>
              </w:rPr>
              <w:t>含保险期间 </w:t>
            </w:r>
            <w:r>
              <w:rPr>
                <w:rFonts w:ascii="黑体" w:eastAsia="黑体" w:hint="eastAsia"/>
                <w:sz w:val="21"/>
              </w:rPr>
              <w:t>1</w:t>
            </w:r>
            <w:r>
              <w:rPr>
                <w:rFonts w:ascii="黑体" w:eastAsia="黑体" w:hint="eastAsia"/>
                <w:spacing w:val="-13"/>
                <w:sz w:val="21"/>
              </w:rPr>
              <w:t> 年以内的附加险的保险费，以及万能保险或投资连结保险的追加</w:t>
            </w:r>
            <w:r>
              <w:rPr>
                <w:rFonts w:ascii="黑体" w:eastAsia="黑体" w:hint="eastAsia"/>
                <w:spacing w:val="-8"/>
                <w:sz w:val="21"/>
              </w:rPr>
              <w:t>保险费。</w:t>
            </w:r>
          </w:p>
          <w:p>
            <w:pPr>
              <w:pStyle w:val="TableParagraph"/>
              <w:spacing w:line="273" w:lineRule="auto" w:before="163"/>
              <w:ind w:left="332" w:right="100"/>
              <w:rPr>
                <w:sz w:val="21"/>
              </w:rPr>
            </w:pPr>
            <w:r>
              <w:rPr>
                <w:spacing w:val="-11"/>
                <w:sz w:val="21"/>
              </w:rPr>
              <w:t>豁免保险费开始后，对于您增加本附加合同所豁免各合同的保险费或更改交费</w:t>
            </w:r>
            <w:r>
              <w:rPr>
                <w:spacing w:val="-6"/>
                <w:sz w:val="21"/>
              </w:rPr>
              <w:t>方式的申请，须经双方协商一致。</w:t>
            </w:r>
          </w:p>
        </w:tc>
      </w:tr>
      <w:tr>
        <w:trPr>
          <w:trHeight w:val="5946" w:hRule="atLeast"/>
        </w:trPr>
        <w:tc>
          <w:tcPr>
            <w:tcW w:w="708" w:type="dxa"/>
          </w:tcPr>
          <w:p>
            <w:pPr>
              <w:pStyle w:val="TableParagraph"/>
              <w:spacing w:before="139"/>
              <w:ind w:left="107"/>
              <w:rPr>
                <w:b/>
                <w:sz w:val="21"/>
              </w:rPr>
            </w:pPr>
            <w:r>
              <w:rPr>
                <w:b/>
                <w:sz w:val="21"/>
              </w:rPr>
              <w:t>2.3</w:t>
            </w:r>
          </w:p>
        </w:tc>
        <w:tc>
          <w:tcPr>
            <w:tcW w:w="1748" w:type="dxa"/>
          </w:tcPr>
          <w:p>
            <w:pPr>
              <w:pStyle w:val="TableParagraph"/>
              <w:spacing w:before="139"/>
              <w:rPr>
                <w:b/>
                <w:sz w:val="21"/>
              </w:rPr>
            </w:pPr>
            <w:r>
              <w:rPr>
                <w:b/>
                <w:sz w:val="21"/>
              </w:rPr>
              <w:t>责任免除</w:t>
            </w:r>
          </w:p>
        </w:tc>
        <w:tc>
          <w:tcPr>
            <w:tcW w:w="7504" w:type="dxa"/>
          </w:tcPr>
          <w:p>
            <w:pPr>
              <w:pStyle w:val="TableParagraph"/>
              <w:spacing w:line="273" w:lineRule="auto" w:before="139"/>
              <w:ind w:left="333" w:right="107" w:hanging="1"/>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疾病、达到疾病</w:t>
            </w:r>
            <w:r>
              <w:rPr>
                <w:rFonts w:ascii="黑体" w:eastAsia="黑体" w:hint="eastAsia"/>
                <w:spacing w:val="-3"/>
                <w:sz w:val="21"/>
              </w:rPr>
              <w:t>状态或进行手术的，我们不承担保险责任：</w:t>
            </w:r>
          </w:p>
          <w:p>
            <w:pPr>
              <w:pStyle w:val="TableParagraph"/>
              <w:spacing w:before="7"/>
              <w:ind w:left="333"/>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333"/>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33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858" w:right="141"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20"/>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4</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7"/>
              <w:ind w:left="858" w:right="103" w:hanging="526"/>
              <w:rPr>
                <w:rFonts w:ascii="黑体" w:eastAsia="黑体" w:hint="eastAsia"/>
                <w:sz w:val="21"/>
              </w:rPr>
            </w:pPr>
            <w:r>
              <w:rPr>
                <w:rFonts w:ascii="黑体" w:eastAsia="黑体" w:hint="eastAsia"/>
                <w:w w:val="100"/>
                <w:sz w:val="21"/>
              </w:rPr>
              <w:t>（5</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spacing w:val="-3"/>
                <w:w w:val="100"/>
                <w:sz w:val="21"/>
              </w:rPr>
              <w:t>6</w:t>
            </w:r>
            <w:r>
              <w:rPr>
                <w:rFonts w:ascii="黑体" w:eastAsia="黑体" w:hint="eastAsia"/>
                <w:spacing w:val="-118"/>
                <w:w w:val="100"/>
                <w:sz w:val="21"/>
              </w:rPr>
              <w:t>）</w:t>
            </w:r>
            <w:r>
              <w:rPr>
                <w:rFonts w:ascii="黑体" w:eastAsia="黑体" w:hint="eastAsia"/>
                <w:w w:val="100"/>
                <w:sz w:val="21"/>
              </w:rPr>
              <w:t>（</w:t>
            </w:r>
            <w:r>
              <w:rPr>
                <w:rFonts w:ascii="黑体" w:eastAsia="黑体" w:hint="eastAsia"/>
                <w:spacing w:val="-2"/>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53"/>
                <w:sz w:val="21"/>
              </w:rPr>
              <w:t> </w:t>
            </w:r>
            <w:r>
              <w:rPr>
                <w:rFonts w:ascii="黑体" w:eastAsia="黑体" w:hint="eastAsia"/>
                <w:spacing w:val="-2"/>
                <w:w w:val="100"/>
                <w:sz w:val="21"/>
              </w:rPr>
              <w:t>项重大</w:t>
            </w:r>
            <w:r>
              <w:rPr>
                <w:rFonts w:ascii="黑体" w:eastAsia="黑体" w:hint="eastAsia"/>
                <w:spacing w:val="-3"/>
                <w:w w:val="100"/>
                <w:sz w:val="21"/>
              </w:rPr>
              <w:t>疾病除外</w:t>
            </w:r>
            <w:r>
              <w:rPr>
                <w:rFonts w:ascii="黑体" w:eastAsia="黑体" w:hint="eastAsia"/>
                <w:spacing w:val="-106"/>
                <w:w w:val="100"/>
                <w:sz w:val="21"/>
              </w:rPr>
              <w:t>）</w:t>
            </w:r>
            <w:r>
              <w:rPr>
                <w:rFonts w:ascii="黑体" w:eastAsia="黑体" w:hint="eastAsia"/>
                <w:w w:val="100"/>
                <w:sz w:val="21"/>
              </w:rPr>
              <w:t>；</w:t>
            </w:r>
          </w:p>
          <w:p>
            <w:pPr>
              <w:pStyle w:val="TableParagraph"/>
              <w:spacing w:before="7"/>
              <w:ind w:left="332"/>
              <w:rPr>
                <w:rFonts w:ascii="黑体" w:eastAsia="黑体" w:hint="eastAsia"/>
                <w:sz w:val="21"/>
              </w:rPr>
            </w:pPr>
            <w:r>
              <w:rPr>
                <w:rFonts w:ascii="黑体" w:eastAsia="黑体" w:hint="eastAsia"/>
                <w:sz w:val="21"/>
              </w:rPr>
              <w:t>（6）战争、军事冲突、暴乱或武装叛乱；</w:t>
            </w:r>
          </w:p>
          <w:p>
            <w:pPr>
              <w:pStyle w:val="TableParagraph"/>
              <w:spacing w:before="36"/>
              <w:ind w:left="333"/>
              <w:rPr>
                <w:rFonts w:ascii="黑体" w:eastAsia="黑体" w:hint="eastAsia"/>
                <w:sz w:val="21"/>
              </w:rPr>
            </w:pPr>
            <w:r>
              <w:rPr>
                <w:rFonts w:ascii="黑体" w:eastAsia="黑体" w:hint="eastAsia"/>
                <w:sz w:val="21"/>
              </w:rPr>
              <w:t>（7）核爆炸、核辐射或核污染；</w:t>
            </w:r>
          </w:p>
          <w:p>
            <w:pPr>
              <w:pStyle w:val="TableParagraph"/>
              <w:spacing w:line="408" w:lineRule="auto" w:before="37"/>
              <w:ind w:left="332" w:right="10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.18</w:t>
            </w:r>
            <w:r>
              <w:rPr>
                <w:rFonts w:ascii="黑体" w:eastAsia="黑体" w:hint="eastAsia"/>
                <w:spacing w:val="-108"/>
                <w:w w:val="100"/>
                <w:sz w:val="21"/>
              </w:rPr>
              <w:t>）</w:t>
            </w:r>
            <w:r>
              <w:rPr>
                <w:rFonts w:ascii="黑体" w:eastAsia="黑体" w:hint="eastAsia"/>
                <w:w w:val="100"/>
                <w:sz w:val="21"/>
              </w:rPr>
              <w:t>。</w:t>
            </w:r>
            <w:r>
              <w:rPr>
                <w:rFonts w:ascii="黑体" w:eastAsia="黑体" w:hint="eastAsia"/>
                <w:sz w:val="21"/>
              </w:rPr>
              <w:t>发Th</w:t>
            </w:r>
            <w:r>
              <w:rPr>
                <w:rFonts w:ascii="黑体" w:eastAsia="黑体" w:hint="eastAsia"/>
                <w:spacing w:val="-10"/>
                <w:sz w:val="21"/>
              </w:rPr>
              <w:t>上述第 </w:t>
            </w:r>
            <w:r>
              <w:rPr>
                <w:rFonts w:ascii="黑体" w:eastAsia="黑体" w:hint="eastAsia"/>
                <w:sz w:val="21"/>
              </w:rPr>
              <w:t>1</w:t>
            </w:r>
            <w:r>
              <w:rPr>
                <w:rFonts w:ascii="黑体" w:eastAsia="黑体" w:hint="eastAsia"/>
                <w:spacing w:val="-11"/>
                <w:sz w:val="21"/>
              </w:rPr>
              <w:t> 项情形导致被保险人符合本附加合同约定重大疾病</w:t>
            </w:r>
            <w:r>
              <w:rPr>
                <w:rFonts w:ascii="黑体" w:eastAsia="黑体" w:hint="eastAsia"/>
                <w:sz w:val="21"/>
              </w:rPr>
              <w:t>（</w:t>
            </w:r>
            <w:r>
              <w:rPr>
                <w:rFonts w:ascii="黑体" w:eastAsia="黑体" w:hint="eastAsia"/>
                <w:spacing w:val="-3"/>
                <w:sz w:val="21"/>
              </w:rPr>
              <w:t>无论一种或</w:t>
            </w:r>
          </w:p>
          <w:p>
            <w:pPr>
              <w:pStyle w:val="TableParagraph"/>
              <w:spacing w:line="165" w:lineRule="exact"/>
              <w:ind w:left="332"/>
              <w:rPr>
                <w:rFonts w:ascii="黑体" w:eastAsia="黑体" w:hint="eastAsia"/>
                <w:sz w:val="21"/>
              </w:rPr>
            </w:pPr>
            <w:r>
              <w:rPr>
                <w:rFonts w:ascii="黑体" w:eastAsia="黑体" w:hint="eastAsia"/>
                <w:spacing w:val="-2"/>
                <w:sz w:val="21"/>
              </w:rPr>
              <w:t>多种</w:t>
            </w:r>
            <w:r>
              <w:rPr>
                <w:rFonts w:ascii="黑体" w:eastAsia="黑体" w:hint="eastAsia"/>
                <w:spacing w:val="-20"/>
                <w:sz w:val="21"/>
              </w:rPr>
              <w:t>）</w:t>
            </w:r>
            <w:r>
              <w:rPr>
                <w:rFonts w:ascii="黑体" w:eastAsia="黑体" w:hint="eastAsia"/>
                <w:spacing w:val="-10"/>
                <w:sz w:val="21"/>
              </w:rPr>
              <w:t>的，本附加合同终止，您已交足 </w:t>
            </w:r>
            <w:r>
              <w:rPr>
                <w:rFonts w:ascii="黑体" w:eastAsia="黑体" w:hint="eastAsia"/>
                <w:sz w:val="21"/>
              </w:rPr>
              <w:t>2</w:t>
            </w:r>
            <w:r>
              <w:rPr>
                <w:rFonts w:ascii="黑体" w:eastAsia="黑体" w:hint="eastAsia"/>
                <w:spacing w:val="-9"/>
                <w:sz w:val="21"/>
              </w:rPr>
              <w:t> 年以上保险费的，我们向受益人退还</w:t>
            </w:r>
          </w:p>
          <w:p>
            <w:pPr>
              <w:pStyle w:val="TableParagraph"/>
              <w:spacing w:before="37"/>
              <w:ind w:left="332"/>
              <w:rPr>
                <w:rFonts w:ascii="黑体" w:eastAsia="黑体" w:hint="eastAsia"/>
                <w:sz w:val="21"/>
              </w:rPr>
            </w:pPr>
            <w:r>
              <w:rPr>
                <w:rFonts w:ascii="黑体" w:eastAsia="黑体" w:hint="eastAsia"/>
                <w:spacing w:val="-3"/>
                <w:w w:val="100"/>
                <w:sz w:val="21"/>
              </w:rPr>
              <w:t>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9</w:t>
            </w:r>
            <w:r>
              <w:rPr>
                <w:rFonts w:ascii="黑体" w:eastAsia="黑体" w:hint="eastAsia"/>
                <w:spacing w:val="-106"/>
                <w:w w:val="100"/>
                <w:sz w:val="21"/>
              </w:rPr>
              <w:t>）</w:t>
            </w:r>
            <w:r>
              <w:rPr>
                <w:rFonts w:ascii="黑体" w:eastAsia="黑体" w:hint="eastAsia"/>
                <w:w w:val="100"/>
                <w:sz w:val="21"/>
              </w:rPr>
              <w:t>；</w:t>
            </w:r>
          </w:p>
          <w:p>
            <w:pPr>
              <w:pStyle w:val="TableParagraph"/>
              <w:spacing w:before="10"/>
              <w:ind w:left="0"/>
              <w:rPr>
                <w:sz w:val="14"/>
              </w:rPr>
            </w:pPr>
          </w:p>
          <w:p>
            <w:pPr>
              <w:pStyle w:val="TableParagraph"/>
              <w:spacing w:line="273" w:lineRule="auto"/>
              <w:ind w:left="332" w:right="25"/>
              <w:rPr>
                <w:rFonts w:ascii="黑体" w:eastAsia="黑体" w:hint="eastAsia"/>
                <w:sz w:val="21"/>
              </w:rPr>
            </w:pPr>
            <w:r>
              <w:rPr>
                <w:rFonts w:ascii="黑体" w:eastAsia="黑体" w:hint="eastAsia"/>
                <w:sz w:val="21"/>
              </w:rPr>
              <w:t>发Th上述其他情形导致被保险人符合本附加合同约定重大疾病（无论一种或多种）的，本附加合同终止，我们向您退还本附加合同的现金价值。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3"/>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9252" w:type="dxa"/>
            <w:gridSpan w:val="2"/>
            <w:tcBorders>
              <w:bottom w:val="single" w:sz="8" w:space="0" w:color="000000"/>
            </w:tcBorders>
          </w:tcPr>
          <w:p>
            <w:pPr>
              <w:pStyle w:val="TableParagraph"/>
              <w:ind w:left="0"/>
              <w:rPr>
                <w:sz w:val="19"/>
              </w:rPr>
            </w:pPr>
          </w:p>
          <w:p>
            <w:pPr>
              <w:pStyle w:val="TableParagraph"/>
              <w:spacing w:before="1"/>
              <w:rPr>
                <w:b/>
                <w:sz w:val="24"/>
              </w:rPr>
            </w:pPr>
            <w:r>
              <w:rPr>
                <w:b/>
                <w:w w:val="95"/>
                <w:sz w:val="24"/>
              </w:rPr>
              <w:t>豁免保险费的申请</w:t>
            </w:r>
          </w:p>
        </w:tc>
      </w:tr>
      <w:tr>
        <w:trPr>
          <w:trHeight w:val="574" w:hRule="atLeast"/>
        </w:trPr>
        <w:tc>
          <w:tcPr>
            <w:tcW w:w="708" w:type="dxa"/>
            <w:tcBorders>
              <w:top w:val="single" w:sz="8" w:space="0" w:color="000000"/>
            </w:tcBorders>
          </w:tcPr>
          <w:p>
            <w:pPr>
              <w:pStyle w:val="TableParagraph"/>
              <w:spacing w:before="8"/>
              <w:ind w:left="0"/>
              <w:rPr>
                <w:sz w:val="22"/>
              </w:rPr>
            </w:pPr>
          </w:p>
          <w:p>
            <w:pPr>
              <w:pStyle w:val="TableParagraph"/>
              <w:spacing w:line="258" w:lineRule="exact"/>
              <w:ind w:left="107"/>
              <w:rPr>
                <w:b/>
                <w:sz w:val="21"/>
              </w:rPr>
            </w:pPr>
            <w:r>
              <w:rPr>
                <w:b/>
                <w:sz w:val="21"/>
              </w:rPr>
              <w:t>3.1</w:t>
            </w:r>
          </w:p>
        </w:tc>
        <w:tc>
          <w:tcPr>
            <w:tcW w:w="1748" w:type="dxa"/>
            <w:tcBorders>
              <w:top w:val="single" w:sz="8" w:space="0" w:color="000000"/>
            </w:tcBorders>
          </w:tcPr>
          <w:p>
            <w:pPr>
              <w:pStyle w:val="TableParagraph"/>
              <w:spacing w:before="8"/>
              <w:ind w:left="0"/>
              <w:rPr>
                <w:sz w:val="22"/>
              </w:rPr>
            </w:pPr>
          </w:p>
          <w:p>
            <w:pPr>
              <w:pStyle w:val="TableParagraph"/>
              <w:spacing w:line="258" w:lineRule="exact"/>
              <w:rPr>
                <w:b/>
                <w:sz w:val="21"/>
              </w:rPr>
            </w:pPr>
            <w:r>
              <w:rPr>
                <w:b/>
                <w:sz w:val="21"/>
              </w:rPr>
              <w:t>保险事故通知</w:t>
            </w:r>
          </w:p>
        </w:tc>
        <w:tc>
          <w:tcPr>
            <w:tcW w:w="7504" w:type="dxa"/>
            <w:tcBorders>
              <w:top w:val="single" w:sz="8" w:space="0" w:color="000000"/>
            </w:tcBorders>
          </w:tcPr>
          <w:p>
            <w:pPr>
              <w:pStyle w:val="TableParagraph"/>
              <w:spacing w:before="8"/>
              <w:ind w:left="0"/>
              <w:rPr>
                <w:sz w:val="22"/>
              </w:rPr>
            </w:pPr>
          </w:p>
          <w:p>
            <w:pPr>
              <w:pStyle w:val="TableParagraph"/>
              <w:spacing w:line="258" w:lineRule="exact"/>
              <w:ind w:left="332"/>
              <w:rPr>
                <w:sz w:val="21"/>
              </w:rPr>
            </w:pPr>
            <w:r>
              <w:rPr>
                <w:sz w:val="21"/>
              </w:rPr>
              <w:t>请您、被保险人或主合同的受益人在知道保险事故后 10 日以内通知我们。</w:t>
            </w:r>
          </w:p>
        </w:tc>
      </w:tr>
    </w:tbl>
    <w:p>
      <w:pPr>
        <w:spacing w:after="0" w:line="258" w:lineRule="exact"/>
        <w:rPr>
          <w:sz w:val="21"/>
        </w:rPr>
        <w:sectPr>
          <w:pgSz w:w="11910" w:h="16840"/>
          <w:pgMar w:header="0" w:footer="380" w:top="1200" w:bottom="560" w:left="800" w:right="920"/>
        </w:sectPr>
      </w:pPr>
    </w:p>
    <w:p>
      <w:pPr>
        <w:pStyle w:val="BodyText"/>
        <w:spacing w:line="273" w:lineRule="auto" w:before="21"/>
        <w:ind w:left="2900" w:right="116"/>
      </w:pPr>
      <w:r>
        <w:rPr>
          <w:rFonts w:ascii="黑体" w:eastAsia="黑体" w:hint="eastAsia"/>
          <w:spacing w:val="-11"/>
        </w:rPr>
        <w:t>如果您或受益人故意或者因重大过失未及时通知，致使保险事故的性质、原因、</w:t>
      </w:r>
      <w:r>
        <w:rPr>
          <w:rFonts w:ascii="黑体" w:eastAsia="黑体" w:hint="eastAsia"/>
          <w:spacing w:val="-8"/>
        </w:rPr>
        <w:t>损失程度等难以确定的，我们对无法确定的部分，不承担保险责任</w:t>
      </w:r>
      <w:r>
        <w:rPr>
          <w:spacing w:val="-8"/>
        </w:rPr>
        <w:t>，但我们通</w:t>
      </w:r>
      <w:r>
        <w:rPr>
          <w:spacing w:val="-5"/>
        </w:rPr>
        <w:t>过其他途径已经及时知道或者应当及时知道保险事故发生或者虽未及时通知 </w:t>
      </w:r>
      <w:r>
        <w:rPr>
          <w:spacing w:val="-4"/>
        </w:rPr>
        <w:t>但不影响我们确定保险事故的性质、原因、损失程度的除外。</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729" w:hRule="atLeast"/>
        </w:trPr>
        <w:tc>
          <w:tcPr>
            <w:tcW w:w="708" w:type="dxa"/>
          </w:tcPr>
          <w:p>
            <w:pPr>
              <w:pStyle w:val="TableParagraph"/>
              <w:spacing w:line="211" w:lineRule="exact"/>
              <w:ind w:left="107"/>
              <w:rPr>
                <w:b/>
                <w:sz w:val="21"/>
              </w:rPr>
            </w:pPr>
            <w:r>
              <w:rPr>
                <w:b/>
                <w:sz w:val="21"/>
              </w:rPr>
              <w:t>3.2</w:t>
            </w:r>
          </w:p>
        </w:tc>
        <w:tc>
          <w:tcPr>
            <w:tcW w:w="1854" w:type="dxa"/>
          </w:tcPr>
          <w:p>
            <w:pPr>
              <w:pStyle w:val="TableParagraph"/>
              <w:spacing w:line="211" w:lineRule="exact"/>
              <w:rPr>
                <w:b/>
                <w:sz w:val="21"/>
              </w:rPr>
            </w:pPr>
            <w:r>
              <w:rPr>
                <w:b/>
                <w:sz w:val="21"/>
              </w:rPr>
              <w:t>豁免保险费申请</w:t>
            </w:r>
          </w:p>
        </w:tc>
        <w:tc>
          <w:tcPr>
            <w:tcW w:w="7398" w:type="dxa"/>
          </w:tcPr>
          <w:p>
            <w:pPr>
              <w:pStyle w:val="TableParagraph"/>
              <w:spacing w:line="211" w:lineRule="exact"/>
              <w:ind w:left="226"/>
              <w:rPr>
                <w:sz w:val="21"/>
              </w:rPr>
            </w:pPr>
            <w:r>
              <w:rPr>
                <w:sz w:val="21"/>
              </w:rPr>
              <w:t>在申请豁免保险费时，申请人须填写豁免保险费申请书，并提供下列证明和资</w:t>
            </w:r>
          </w:p>
          <w:p>
            <w:pPr>
              <w:pStyle w:val="TableParagraph"/>
              <w:spacing w:before="37"/>
              <w:ind w:left="226"/>
              <w:rPr>
                <w:sz w:val="21"/>
              </w:rPr>
            </w:pPr>
            <w:r>
              <w:rPr>
                <w:sz w:val="21"/>
              </w:rPr>
              <w:t>料：</w:t>
            </w:r>
          </w:p>
        </w:tc>
      </w:tr>
      <w:tr>
        <w:trPr>
          <w:trHeight w:val="2652" w:hRule="atLeast"/>
        </w:trPr>
        <w:tc>
          <w:tcPr>
            <w:tcW w:w="708"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7398" w:type="dxa"/>
          </w:tcPr>
          <w:p>
            <w:pPr>
              <w:pStyle w:val="TableParagraph"/>
              <w:spacing w:before="142"/>
              <w:ind w:left="226"/>
              <w:rPr>
                <w:sz w:val="21"/>
              </w:rPr>
            </w:pPr>
            <w:r>
              <w:rPr>
                <w:sz w:val="21"/>
              </w:rPr>
              <w:t>（1）本附加合同；</w:t>
            </w:r>
          </w:p>
          <w:p>
            <w:pPr>
              <w:pStyle w:val="TableParagraph"/>
              <w:spacing w:before="36"/>
              <w:ind w:left="227"/>
              <w:rPr>
                <w:sz w:val="21"/>
              </w:rPr>
            </w:pPr>
            <w:r>
              <w:rPr>
                <w:sz w:val="21"/>
              </w:rPr>
              <w:t>（2）申请人的有效身份证件；</w:t>
            </w:r>
          </w:p>
          <w:p>
            <w:pPr>
              <w:pStyle w:val="TableParagraph"/>
              <w:spacing w:line="273" w:lineRule="auto" w:before="36"/>
              <w:ind w:left="750" w:right="117" w:hanging="524"/>
              <w:rPr>
                <w:sz w:val="21"/>
              </w:rPr>
            </w:pPr>
            <w:r>
              <w:rPr>
                <w:sz w:val="21"/>
              </w:rPr>
              <w:t>（3）</w:t>
            </w:r>
            <w:r>
              <w:rPr>
                <w:b/>
                <w:sz w:val="21"/>
              </w:rPr>
              <w:t>医院</w:t>
            </w:r>
            <w:r>
              <w:rPr>
                <w:sz w:val="21"/>
              </w:rPr>
              <w:t>（见 9.7）出具的附有病理显微镜检查、血液检验及其他科学方法检验报告的疾病诊断证明书；</w:t>
            </w:r>
          </w:p>
          <w:p>
            <w:pPr>
              <w:pStyle w:val="TableParagraph"/>
              <w:spacing w:before="7"/>
              <w:ind w:left="226"/>
              <w:rPr>
                <w:sz w:val="21"/>
              </w:rPr>
            </w:pPr>
            <w:r>
              <w:rPr>
                <w:sz w:val="21"/>
              </w:rPr>
              <w:t>（4）所能提供的与确认保险事故的性质、原因等有关的其他证明和资料。</w:t>
            </w:r>
          </w:p>
          <w:p>
            <w:pPr>
              <w:pStyle w:val="TableParagraph"/>
              <w:spacing w:before="9"/>
              <w:ind w:left="0"/>
              <w:rPr>
                <w:sz w:val="14"/>
              </w:rPr>
            </w:pPr>
          </w:p>
          <w:p>
            <w:pPr>
              <w:pStyle w:val="TableParagraph"/>
              <w:spacing w:line="273" w:lineRule="auto" w:before="1"/>
              <w:ind w:left="227" w:right="100"/>
              <w:rPr>
                <w:sz w:val="21"/>
              </w:rPr>
            </w:pPr>
            <w:r>
              <w:rPr>
                <w:spacing w:val="-8"/>
                <w:sz w:val="21"/>
              </w:rPr>
              <w:t>以上豁免保险费证明和资料不完整的，我们将及时一次性书面通知申请人补充</w:t>
            </w:r>
            <w:r>
              <w:rPr>
                <w:spacing w:val="-5"/>
                <w:sz w:val="21"/>
              </w:rPr>
              <w:t>提供有关的证明和资料。</w:t>
            </w:r>
          </w:p>
        </w:tc>
      </w:tr>
      <w:tr>
        <w:trPr>
          <w:trHeight w:val="2807" w:hRule="atLeast"/>
        </w:trPr>
        <w:tc>
          <w:tcPr>
            <w:tcW w:w="708" w:type="dxa"/>
          </w:tcPr>
          <w:p>
            <w:pPr>
              <w:pStyle w:val="TableParagraph"/>
              <w:spacing w:before="142"/>
              <w:ind w:left="107"/>
              <w:rPr>
                <w:b/>
                <w:sz w:val="21"/>
              </w:rPr>
            </w:pPr>
            <w:r>
              <w:rPr>
                <w:b/>
                <w:sz w:val="21"/>
              </w:rPr>
              <w:t>3.3</w:t>
            </w:r>
          </w:p>
        </w:tc>
        <w:tc>
          <w:tcPr>
            <w:tcW w:w="1854" w:type="dxa"/>
          </w:tcPr>
          <w:p>
            <w:pPr>
              <w:pStyle w:val="TableParagraph"/>
              <w:spacing w:before="142"/>
              <w:rPr>
                <w:b/>
                <w:sz w:val="21"/>
              </w:rPr>
            </w:pPr>
            <w:r>
              <w:rPr>
                <w:b/>
                <w:sz w:val="21"/>
              </w:rPr>
              <w:t>保险费豁免</w:t>
            </w:r>
          </w:p>
        </w:tc>
        <w:tc>
          <w:tcPr>
            <w:tcW w:w="7398" w:type="dxa"/>
          </w:tcPr>
          <w:p>
            <w:pPr>
              <w:pStyle w:val="TableParagraph"/>
              <w:spacing w:before="142"/>
              <w:ind w:left="226"/>
              <w:rPr>
                <w:sz w:val="21"/>
              </w:rPr>
            </w:pPr>
            <w:r>
              <w:rPr>
                <w:spacing w:val="-7"/>
                <w:sz w:val="21"/>
              </w:rPr>
              <w:t>我们在收到豁免保险费申请书及本附加合同约定的证明和资料后，将在 </w:t>
            </w:r>
            <w:r>
              <w:rPr>
                <w:sz w:val="21"/>
              </w:rPr>
              <w:t>5</w:t>
            </w:r>
            <w:r>
              <w:rPr>
                <w:spacing w:val="-13"/>
                <w:sz w:val="21"/>
              </w:rPr>
              <w:t> 日以</w:t>
            </w:r>
          </w:p>
          <w:p>
            <w:pPr>
              <w:pStyle w:val="TableParagraph"/>
              <w:spacing w:before="36"/>
              <w:ind w:left="226"/>
              <w:rPr>
                <w:sz w:val="21"/>
              </w:rPr>
            </w:pPr>
            <w:r>
              <w:rPr>
                <w:sz w:val="21"/>
              </w:rPr>
              <w:t>内作出核定；情形复杂的，在 30 日以内作出核定。对属于保险责任的，我们</w:t>
            </w:r>
          </w:p>
          <w:p>
            <w:pPr>
              <w:pStyle w:val="TableParagraph"/>
              <w:spacing w:before="36"/>
              <w:ind w:left="226"/>
              <w:rPr>
                <w:sz w:val="21"/>
              </w:rPr>
            </w:pPr>
            <w:r>
              <w:rPr>
                <w:sz w:val="21"/>
              </w:rPr>
              <w:t>在与受益人达成豁免保险费的协议后 10 日以内，履行豁免保险费责任。</w:t>
            </w:r>
          </w:p>
          <w:p>
            <w:pPr>
              <w:pStyle w:val="TableParagraph"/>
              <w:spacing w:before="9"/>
              <w:ind w:left="0"/>
              <w:rPr>
                <w:sz w:val="14"/>
              </w:rPr>
            </w:pPr>
          </w:p>
          <w:p>
            <w:pPr>
              <w:pStyle w:val="TableParagraph"/>
              <w:spacing w:line="273" w:lineRule="auto"/>
              <w:ind w:left="226" w:right="100"/>
              <w:rPr>
                <w:sz w:val="21"/>
              </w:rPr>
            </w:pPr>
            <w:r>
              <w:rPr>
                <w:spacing w:val="-8"/>
                <w:sz w:val="21"/>
              </w:rPr>
              <w:t>我们未及时履行前款规定义务的，除豁免保险费外，还应赔偿受益人因此受到</w:t>
            </w:r>
            <w:r>
              <w:rPr>
                <w:spacing w:val="-6"/>
                <w:sz w:val="21"/>
              </w:rPr>
              <w:t>的损失。</w:t>
            </w:r>
          </w:p>
          <w:p>
            <w:pPr>
              <w:pStyle w:val="TableParagraph"/>
              <w:spacing w:line="273" w:lineRule="auto" w:before="163"/>
              <w:ind w:left="226" w:right="101"/>
              <w:rPr>
                <w:sz w:val="21"/>
              </w:rPr>
            </w:pPr>
            <w:r>
              <w:rPr>
                <w:spacing w:val="-12"/>
                <w:sz w:val="21"/>
              </w:rPr>
              <w:t>对不属于保险责任的，我们自作出核定之日起 </w:t>
            </w:r>
            <w:r>
              <w:rPr>
                <w:sz w:val="21"/>
              </w:rPr>
              <w:t>3</w:t>
            </w:r>
            <w:r>
              <w:rPr>
                <w:spacing w:val="-7"/>
                <w:sz w:val="21"/>
              </w:rPr>
              <w:t> 日以内向受益人发出拒绝豁免</w:t>
            </w:r>
            <w:r>
              <w:rPr>
                <w:spacing w:val="-5"/>
                <w:sz w:val="21"/>
              </w:rPr>
              <w:t>保险费通知书并说明理由。</w:t>
            </w:r>
          </w:p>
        </w:tc>
      </w:tr>
      <w:tr>
        <w:trPr>
          <w:trHeight w:val="954" w:hRule="atLeast"/>
        </w:trPr>
        <w:tc>
          <w:tcPr>
            <w:tcW w:w="708" w:type="dxa"/>
          </w:tcPr>
          <w:p>
            <w:pPr>
              <w:pStyle w:val="TableParagraph"/>
              <w:spacing w:before="142"/>
              <w:ind w:left="107"/>
              <w:rPr>
                <w:b/>
                <w:sz w:val="21"/>
              </w:rPr>
            </w:pPr>
            <w:r>
              <w:rPr>
                <w:b/>
                <w:sz w:val="21"/>
              </w:rPr>
              <w:t>3.4</w:t>
            </w:r>
          </w:p>
        </w:tc>
        <w:tc>
          <w:tcPr>
            <w:tcW w:w="1854" w:type="dxa"/>
          </w:tcPr>
          <w:p>
            <w:pPr>
              <w:pStyle w:val="TableParagraph"/>
              <w:spacing w:before="142"/>
              <w:rPr>
                <w:b/>
                <w:sz w:val="21"/>
              </w:rPr>
            </w:pPr>
            <w:r>
              <w:rPr>
                <w:b/>
                <w:sz w:val="21"/>
              </w:rPr>
              <w:t>诉讼时效</w:t>
            </w:r>
          </w:p>
        </w:tc>
        <w:tc>
          <w:tcPr>
            <w:tcW w:w="7398" w:type="dxa"/>
          </w:tcPr>
          <w:p>
            <w:pPr>
              <w:pStyle w:val="TableParagraph"/>
              <w:spacing w:line="273" w:lineRule="auto" w:before="142"/>
              <w:ind w:left="227" w:right="100" w:hanging="1"/>
              <w:rPr>
                <w:sz w:val="21"/>
              </w:rPr>
            </w:pPr>
            <w:r>
              <w:rPr>
                <w:spacing w:val="-5"/>
                <w:sz w:val="21"/>
              </w:rPr>
              <w:t>受益人向我们请求豁免保险费的诉讼时效期间为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保险费的交纳</w:t>
            </w:r>
          </w:p>
        </w:tc>
        <w:tc>
          <w:tcPr>
            <w:tcW w:w="7398" w:type="dxa"/>
            <w:tcBorders>
              <w:bottom w:val="single" w:sz="8" w:space="0" w:color="000000"/>
            </w:tcBorders>
          </w:tcPr>
          <w:p>
            <w:pPr>
              <w:pStyle w:val="TableParagraph"/>
              <w:ind w:left="0"/>
              <w:rPr>
                <w:rFonts w:ascii="Times New Roman"/>
                <w:sz w:val="20"/>
              </w:rPr>
            </w:pPr>
          </w:p>
        </w:tc>
      </w:tr>
      <w:tr>
        <w:trPr>
          <w:trHeight w:val="156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保险费的交纳</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本附加合同的交费方式由您与我们约定并在保险单上载明。</w:t>
            </w:r>
          </w:p>
          <w:p>
            <w:pPr>
              <w:pStyle w:val="TableParagraph"/>
              <w:spacing w:before="9"/>
              <w:ind w:left="0"/>
              <w:rPr>
                <w:sz w:val="14"/>
              </w:rPr>
            </w:pPr>
          </w:p>
          <w:p>
            <w:pPr>
              <w:pStyle w:val="TableParagraph"/>
              <w:spacing w:line="273" w:lineRule="auto"/>
              <w:ind w:left="227" w:right="102" w:hanging="1"/>
              <w:rPr>
                <w:sz w:val="21"/>
              </w:rPr>
            </w:pPr>
            <w:r>
              <w:rPr>
                <w:spacing w:val="-9"/>
                <w:sz w:val="21"/>
              </w:rPr>
              <w:t>分期交纳保险费的，在交纳首期保险费后，您应当按照约定，在每个保险费约</w:t>
            </w:r>
            <w:r>
              <w:rPr>
                <w:spacing w:val="-5"/>
                <w:sz w:val="21"/>
              </w:rPr>
              <w:t>定交纳日交纳其余各期的保险费。</w:t>
            </w:r>
          </w:p>
        </w:tc>
      </w:tr>
      <w:tr>
        <w:trPr>
          <w:trHeight w:val="2339" w:hRule="atLeast"/>
        </w:trPr>
        <w:tc>
          <w:tcPr>
            <w:tcW w:w="708" w:type="dxa"/>
          </w:tcPr>
          <w:p>
            <w:pPr>
              <w:pStyle w:val="TableParagraph"/>
              <w:spacing w:before="142"/>
              <w:ind w:left="107"/>
              <w:rPr>
                <w:b/>
                <w:sz w:val="21"/>
              </w:rPr>
            </w:pPr>
            <w:r>
              <w:rPr>
                <w:b/>
                <w:sz w:val="21"/>
              </w:rPr>
              <w:t>4.2</w:t>
            </w:r>
          </w:p>
        </w:tc>
        <w:tc>
          <w:tcPr>
            <w:tcW w:w="1854" w:type="dxa"/>
          </w:tcPr>
          <w:p>
            <w:pPr>
              <w:pStyle w:val="TableParagraph"/>
              <w:spacing w:before="142"/>
              <w:rPr>
                <w:b/>
                <w:sz w:val="21"/>
              </w:rPr>
            </w:pPr>
            <w:r>
              <w:rPr>
                <w:b/>
                <w:sz w:val="21"/>
              </w:rPr>
              <w:t>保险费率调整</w:t>
            </w:r>
          </w:p>
        </w:tc>
        <w:tc>
          <w:tcPr>
            <w:tcW w:w="7398" w:type="dxa"/>
          </w:tcPr>
          <w:p>
            <w:pPr>
              <w:pStyle w:val="TableParagraph"/>
              <w:spacing w:before="142"/>
              <w:ind w:left="226"/>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226" w:right="103"/>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3"/>
                <w:sz w:val="21"/>
              </w:rPr>
              <w:t>率与实际情况的</w:t>
            </w:r>
            <w:r>
              <w:rPr>
                <w:rFonts w:ascii="黑体" w:eastAsia="黑体" w:hint="eastAsia"/>
                <w:spacing w:val="-10"/>
                <w:sz w:val="21"/>
              </w:rPr>
              <w:t>偏差程度，决定是否调整保险费率，并向保险监管机构备案。保险费率的调整</w:t>
            </w:r>
            <w:r>
              <w:rPr>
                <w:rFonts w:ascii="黑体" w:eastAsia="黑体" w:hint="eastAsia"/>
                <w:spacing w:val="-9"/>
                <w:sz w:val="21"/>
              </w:rPr>
              <w:t>针对所有被保险人或同一年龄的所有被保险人。本公司进行费率调整后，您须</w:t>
            </w:r>
            <w:r>
              <w:rPr>
                <w:rFonts w:ascii="黑体" w:eastAsia="黑体" w:hint="eastAsia"/>
                <w:spacing w:val="-10"/>
                <w:sz w:val="21"/>
              </w:rPr>
              <w:t>按调整后的保险费率交纳续期保险费，您在保险费率调整前已交纳的保险费不</w:t>
            </w:r>
            <w:r>
              <w:rPr>
                <w:rFonts w:ascii="黑体" w:eastAsia="黑体" w:hint="eastAsia"/>
                <w:spacing w:val="-1"/>
                <w:sz w:val="21"/>
              </w:rPr>
              <w:t>受影响。</w:t>
            </w:r>
          </w:p>
        </w:tc>
      </w:tr>
      <w:tr>
        <w:trPr>
          <w:trHeight w:val="1041" w:hRule="atLeast"/>
        </w:trPr>
        <w:tc>
          <w:tcPr>
            <w:tcW w:w="708" w:type="dxa"/>
          </w:tcPr>
          <w:p>
            <w:pPr>
              <w:pStyle w:val="TableParagraph"/>
              <w:spacing w:before="142"/>
              <w:ind w:left="107"/>
              <w:rPr>
                <w:b/>
                <w:sz w:val="21"/>
              </w:rPr>
            </w:pPr>
            <w:r>
              <w:rPr>
                <w:b/>
                <w:sz w:val="21"/>
              </w:rPr>
              <w:t>4.3</w:t>
            </w:r>
          </w:p>
        </w:tc>
        <w:tc>
          <w:tcPr>
            <w:tcW w:w="1854" w:type="dxa"/>
          </w:tcPr>
          <w:p>
            <w:pPr>
              <w:pStyle w:val="TableParagraph"/>
              <w:spacing w:before="142"/>
              <w:rPr>
                <w:b/>
                <w:sz w:val="21"/>
              </w:rPr>
            </w:pPr>
            <w:r>
              <w:rPr>
                <w:b/>
                <w:sz w:val="21"/>
              </w:rPr>
              <w:t>宽限期</w:t>
            </w:r>
          </w:p>
        </w:tc>
        <w:tc>
          <w:tcPr>
            <w:tcW w:w="7398" w:type="dxa"/>
          </w:tcPr>
          <w:p>
            <w:pPr>
              <w:pStyle w:val="TableParagraph"/>
              <w:spacing w:line="310" w:lineRule="atLeast" w:before="107"/>
              <w:ind w:left="227" w:right="103" w:hanging="1"/>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8"/>
                <w:sz w:val="21"/>
              </w:rPr>
              <w:t> 日为宽限期。宽限</w:t>
            </w:r>
            <w:r>
              <w:rPr>
                <w:spacing w:val="-11"/>
                <w:sz w:val="21"/>
              </w:rPr>
              <w:t>期内发生的保险事故，在您补交本附加合同当期应交保险费后，我们仍会承担</w:t>
            </w:r>
          </w:p>
        </w:tc>
      </w:tr>
    </w:tbl>
    <w:p>
      <w:pPr>
        <w:spacing w:after="0" w:line="310" w:lineRule="atLeast"/>
        <w:jc w:val="both"/>
        <w:rPr>
          <w:sz w:val="21"/>
        </w:rPr>
        <w:sectPr>
          <w:pgSz w:w="11910" w:h="16840"/>
          <w:pgMar w:header="0" w:footer="380" w:top="800" w:bottom="560" w:left="800" w:right="920"/>
        </w:sectPr>
      </w:pPr>
    </w:p>
    <w:p>
      <w:pPr>
        <w:pStyle w:val="BodyText"/>
        <w:spacing w:before="21"/>
        <w:ind w:left="2900"/>
      </w:pPr>
      <w:r>
        <w:rPr/>
        <w:t>保险责任。</w:t>
      </w:r>
    </w:p>
    <w:p>
      <w:pPr>
        <w:pStyle w:val="BodyText"/>
        <w:spacing w:before="8"/>
        <w:rPr>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747"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3" w:type="dxa"/>
          </w:tcPr>
          <w:p>
            <w:pPr>
              <w:pStyle w:val="TableParagraph"/>
              <w:spacing w:line="211" w:lineRule="exact"/>
              <w:ind w:left="120"/>
              <w:rPr>
                <w:rFonts w:ascii="黑体" w:eastAsia="黑体" w:hint="eastAsia"/>
                <w:sz w:val="21"/>
              </w:rPr>
            </w:pPr>
            <w:r>
              <w:rPr>
                <w:rFonts w:ascii="黑体" w:eastAsia="黑体" w:hint="eastAsia"/>
                <w:sz w:val="21"/>
              </w:rPr>
              <w:t>如果您宽限期结束之后仍未交纳保险费，则本附加合同自宽限期满的次日零时</w:t>
            </w:r>
          </w:p>
          <w:p>
            <w:pPr>
              <w:pStyle w:val="TableParagraph"/>
              <w:spacing w:before="37"/>
              <w:ind w:left="120"/>
              <w:rPr>
                <w:sz w:val="21"/>
              </w:rPr>
            </w:pPr>
            <w:r>
              <w:rPr>
                <w:rFonts w:ascii="黑体" w:eastAsia="黑体" w:hint="eastAsia"/>
                <w:sz w:val="21"/>
              </w:rPr>
              <w:t>起效力中止，</w:t>
            </w:r>
            <w:r>
              <w:rPr>
                <w:sz w:val="21"/>
              </w:rPr>
              <w:t>但本附加合同另有约定的除外。</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现金价值权益</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5.1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现金价值</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1" w:right="101" w:hanging="1"/>
              <w:rPr>
                <w:sz w:val="21"/>
              </w:rPr>
            </w:pPr>
            <w:r>
              <w:rPr>
                <w:spacing w:val="-7"/>
                <w:sz w:val="21"/>
              </w:rPr>
              <w:t>本附加合同各保单年度末的现金价值会在保险单上载明。您可以向我们咨询保</w:t>
            </w:r>
            <w:r>
              <w:rPr>
                <w:spacing w:val="-5"/>
                <w:sz w:val="21"/>
              </w:rPr>
              <w:t>单年度内的现金价值。</w:t>
            </w:r>
          </w:p>
        </w:tc>
      </w:tr>
      <w:tr>
        <w:trPr>
          <w:trHeight w:val="3450" w:hRule="atLeast"/>
        </w:trPr>
        <w:tc>
          <w:tcPr>
            <w:tcW w:w="708" w:type="dxa"/>
          </w:tcPr>
          <w:p>
            <w:pPr>
              <w:pStyle w:val="TableParagraph"/>
              <w:spacing w:before="142"/>
              <w:ind w:left="107"/>
              <w:rPr>
                <w:b/>
                <w:sz w:val="21"/>
              </w:rPr>
            </w:pPr>
            <w:r>
              <w:rPr>
                <w:b/>
                <w:sz w:val="21"/>
              </w:rPr>
              <w:t>5.2</w:t>
            </w:r>
          </w:p>
        </w:tc>
        <w:tc>
          <w:tcPr>
            <w:tcW w:w="1960" w:type="dxa"/>
          </w:tcPr>
          <w:p>
            <w:pPr>
              <w:pStyle w:val="TableParagraph"/>
              <w:spacing w:before="142"/>
              <w:rPr>
                <w:b/>
                <w:sz w:val="21"/>
              </w:rPr>
            </w:pPr>
            <w:r>
              <w:rPr>
                <w:b/>
                <w:sz w:val="21"/>
              </w:rPr>
              <w:t>保险费自动垫交</w:t>
            </w:r>
          </w:p>
        </w:tc>
        <w:tc>
          <w:tcPr>
            <w:tcW w:w="7293" w:type="dxa"/>
          </w:tcPr>
          <w:p>
            <w:pPr>
              <w:pStyle w:val="TableParagraph"/>
              <w:spacing w:line="273" w:lineRule="auto" w:before="142"/>
              <w:ind w:left="120" w:right="22"/>
              <w:rPr>
                <w:sz w:val="21"/>
              </w:rPr>
            </w:pPr>
            <w:r>
              <w:rPr>
                <w:spacing w:val="-3"/>
                <w:sz w:val="21"/>
              </w:rPr>
              <w:t>您可以选择保险费自动垫交功能，即如果您在宽限期结束时仍未交纳保险费， 我们将以本附加合同的现金价值扣除您的未还款项之后的余额自动垫交到期 应交纳的保险费，本附加合同继续有效。</w:t>
            </w:r>
          </w:p>
          <w:p>
            <w:pPr>
              <w:pStyle w:val="TableParagraph"/>
              <w:spacing w:before="163"/>
              <w:ind w:left="120"/>
              <w:rPr>
                <w:b/>
                <w:sz w:val="21"/>
              </w:rPr>
            </w:pPr>
            <w:r>
              <w:rPr>
                <w:sz w:val="21"/>
              </w:rPr>
              <w:t>每次垫交的保险费期限最长不超过 6 个月，利率按照本附加合同</w:t>
            </w:r>
            <w:r>
              <w:rPr>
                <w:b/>
                <w:sz w:val="21"/>
              </w:rPr>
              <w:t>约定的利率</w:t>
            </w:r>
          </w:p>
          <w:p>
            <w:pPr>
              <w:pStyle w:val="TableParagraph"/>
              <w:spacing w:line="273" w:lineRule="auto" w:before="37"/>
              <w:ind w:left="121" w:right="122" w:hanging="1"/>
              <w:rPr>
                <w:sz w:val="21"/>
              </w:rPr>
            </w:pPr>
            <w:r>
              <w:rPr>
                <w:sz w:val="21"/>
              </w:rPr>
              <w:t>（见 9.20）执行。若您到期未能偿还或未能足额偿还已垫交的保险费本息， 则已垫交的保险费本金及利息将作为新的本金计息。</w:t>
            </w:r>
          </w:p>
          <w:p>
            <w:pPr>
              <w:pStyle w:val="TableParagraph"/>
              <w:spacing w:line="273" w:lineRule="auto" w:before="164"/>
              <w:ind w:left="120" w:right="101"/>
              <w:jc w:val="both"/>
              <w:rPr>
                <w:rFonts w:ascii="黑体" w:eastAsia="黑体" w:hint="eastAsia"/>
                <w:sz w:val="21"/>
              </w:rPr>
            </w:pPr>
            <w:r>
              <w:rPr>
                <w:spacing w:val="-7"/>
                <w:sz w:val="21"/>
              </w:rPr>
              <w:t>当现金价值扣除各项未还款项后的余额不足以垫交到期应交纳的保险费时，我</w:t>
            </w:r>
            <w:r>
              <w:rPr>
                <w:spacing w:val="-8"/>
                <w:sz w:val="21"/>
              </w:rPr>
              <w:t>们将根据现金价值的余额计算本附加合同可以继续有效的天数，本附加合同在</w:t>
            </w:r>
            <w:r>
              <w:rPr>
                <w:spacing w:val="-3"/>
                <w:sz w:val="21"/>
              </w:rPr>
              <w:t>此期间继续有效。</w:t>
            </w:r>
            <w:r>
              <w:rPr>
                <w:rFonts w:ascii="黑体" w:eastAsia="黑体" w:hint="eastAsia"/>
                <w:spacing w:val="-3"/>
                <w:sz w:val="21"/>
              </w:rPr>
              <w:t>当现金价值余额为零时，本附加合同效力中止。</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4"/>
              <w:ind w:left="0"/>
              <w:rPr>
                <w:sz w:val="19"/>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11"/>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11"/>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5" w:hRule="atLeast"/>
        </w:trPr>
        <w:tc>
          <w:tcPr>
            <w:tcW w:w="708" w:type="dxa"/>
          </w:tcPr>
          <w:p>
            <w:pPr>
              <w:pStyle w:val="TableParagraph"/>
              <w:spacing w:before="142"/>
              <w:ind w:left="107"/>
              <w:rPr>
                <w:b/>
                <w:sz w:val="21"/>
              </w:rPr>
            </w:pPr>
            <w:r>
              <w:rPr>
                <w:b/>
                <w:sz w:val="21"/>
              </w:rPr>
              <w:t>6.2</w:t>
            </w:r>
          </w:p>
        </w:tc>
        <w:tc>
          <w:tcPr>
            <w:tcW w:w="1960" w:type="dxa"/>
          </w:tcPr>
          <w:p>
            <w:pPr>
              <w:pStyle w:val="TableParagraph"/>
              <w:spacing w:before="142"/>
              <w:rPr>
                <w:b/>
                <w:sz w:val="21"/>
              </w:rPr>
            </w:pPr>
            <w:r>
              <w:rPr>
                <w:b/>
                <w:sz w:val="21"/>
              </w:rPr>
              <w:t>效力恢复</w:t>
            </w:r>
          </w:p>
        </w:tc>
        <w:tc>
          <w:tcPr>
            <w:tcW w:w="7293" w:type="dxa"/>
          </w:tcPr>
          <w:p>
            <w:pPr>
              <w:pStyle w:val="TableParagraph"/>
              <w:spacing w:line="273" w:lineRule="auto" w:before="142"/>
              <w:ind w:left="121" w:right="106" w:hanging="1"/>
              <w:jc w:val="both"/>
              <w:rPr>
                <w:sz w:val="21"/>
              </w:rPr>
            </w:pPr>
            <w:r>
              <w:rPr>
                <w:spacing w:val="-6"/>
                <w:sz w:val="21"/>
              </w:rPr>
              <w:t>在本附加合同效力中止后 </w:t>
            </w:r>
            <w:r>
              <w:rPr>
                <w:sz w:val="21"/>
              </w:rPr>
              <w:t>2</w:t>
            </w:r>
            <w:r>
              <w:rPr>
                <w:spacing w:val="-12"/>
                <w:sz w:val="21"/>
              </w:rPr>
              <w:t> 年以内，您可以申请恢复本附加合同效力。经双方协商并达成协议，在您补交保险费和其他未还款项之日起，本附加合同效力恢</w:t>
            </w:r>
            <w:r>
              <w:rPr>
                <w:sz w:val="21"/>
              </w:rPr>
              <w:t>复。</w:t>
            </w:r>
          </w:p>
          <w:p>
            <w:pPr>
              <w:pStyle w:val="TableParagraph"/>
              <w:spacing w:line="273" w:lineRule="auto" w:before="163"/>
              <w:ind w:left="121"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w:t>
            </w:r>
            <w:r>
              <w:rPr>
                <w:rFonts w:ascii="黑体" w:eastAsia="黑体" w:hint="eastAsia"/>
                <w:spacing w:val="-1"/>
                <w:sz w:val="21"/>
              </w:rPr>
              <w:t>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合同解除</w:t>
            </w:r>
          </w:p>
        </w:tc>
        <w:tc>
          <w:tcPr>
            <w:tcW w:w="7293" w:type="dxa"/>
            <w:tcBorders>
              <w:bottom w:val="single" w:sz="8" w:space="0" w:color="000000"/>
            </w:tcBorders>
          </w:tcPr>
          <w:p>
            <w:pPr>
              <w:pStyle w:val="TableParagraph"/>
              <w:ind w:left="0"/>
              <w:rPr>
                <w:rFonts w:ascii="Times New Roman"/>
                <w:sz w:val="20"/>
              </w:rPr>
            </w:pPr>
          </w:p>
        </w:tc>
      </w:tr>
      <w:tr>
        <w:trPr>
          <w:trHeight w:val="2757"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11"/>
              <w:ind w:left="0"/>
              <w:rPr>
                <w:sz w:val="22"/>
              </w:rPr>
            </w:pPr>
          </w:p>
          <w:p>
            <w:pPr>
              <w:pStyle w:val="TableParagraph"/>
              <w:spacing w:line="273" w:lineRule="auto"/>
              <w:ind w:right="119"/>
              <w:rPr>
                <w:b/>
                <w:sz w:val="21"/>
              </w:rPr>
            </w:pPr>
            <w:r>
              <w:rPr>
                <w:b/>
                <w:sz w:val="21"/>
              </w:rPr>
              <w:t>您解除本附加合同的手续及风险</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1"/>
              <w:rPr>
                <w:sz w:val="21"/>
              </w:rPr>
            </w:pPr>
            <w:r>
              <w:rPr>
                <w:spacing w:val="-8"/>
                <w:sz w:val="21"/>
              </w:rPr>
              <w:t>若您在犹豫期后申请解除本附加合同，请填写解除本附加合同的申请书并向我</w:t>
            </w:r>
            <w:r>
              <w:rPr>
                <w:spacing w:val="-5"/>
                <w:sz w:val="21"/>
              </w:rPr>
              <w:t>们提供下列资料：</w:t>
            </w:r>
          </w:p>
          <w:p>
            <w:pPr>
              <w:pStyle w:val="TableParagraph"/>
              <w:spacing w:before="7"/>
              <w:ind w:left="120"/>
              <w:rPr>
                <w:sz w:val="21"/>
              </w:rPr>
            </w:pPr>
            <w:r>
              <w:rPr>
                <w:sz w:val="21"/>
              </w:rPr>
              <w:t>（1）本附加合同；</w:t>
            </w:r>
          </w:p>
          <w:p>
            <w:pPr>
              <w:pStyle w:val="TableParagraph"/>
              <w:spacing w:before="36"/>
              <w:ind w:left="120"/>
              <w:rPr>
                <w:sz w:val="21"/>
              </w:rPr>
            </w:pPr>
            <w:r>
              <w:rPr>
                <w:sz w:val="21"/>
              </w:rPr>
              <w:t>（2）您的有效身份证件。</w:t>
            </w:r>
          </w:p>
          <w:p>
            <w:pPr>
              <w:pStyle w:val="TableParagraph"/>
              <w:spacing w:before="9"/>
              <w:ind w:left="0"/>
              <w:rPr>
                <w:sz w:val="14"/>
              </w:rPr>
            </w:pPr>
          </w:p>
          <w:p>
            <w:pPr>
              <w:pStyle w:val="TableParagraph"/>
              <w:spacing w:line="273" w:lineRule="auto"/>
              <w:ind w:left="120" w:right="108"/>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line="255" w:lineRule="exact" w:before="163"/>
              <w:ind w:left="120"/>
              <w:rPr>
                <w:rFonts w:ascii="黑体" w:eastAsia="黑体" w:hint="eastAsia"/>
                <w:sz w:val="21"/>
              </w:rPr>
            </w:pPr>
            <w:r>
              <w:rPr>
                <w:rFonts w:ascii="黑体" w:eastAsia="黑体" w:hint="eastAsia"/>
                <w:sz w:val="21"/>
              </w:rPr>
              <w:t>您犹豫期后解除本附加合同会遭受一定损失。</w:t>
            </w:r>
          </w:p>
        </w:tc>
      </w:tr>
    </w:tbl>
    <w:p>
      <w:pPr>
        <w:spacing w:after="0" w:line="255" w:lineRule="exact"/>
        <w:rPr>
          <w:rFonts w:ascii="黑体" w:eastAsia="黑体" w:hint="eastAsia"/>
          <w:sz w:val="21"/>
        </w:rPr>
        <w:sectPr>
          <w:pgSz w:w="11910" w:h="16840"/>
          <w:pgMar w:header="0" w:footer="380" w:top="800" w:bottom="64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8" w:space="0" w:color="000000"/>
            </w:tcBorders>
          </w:tcPr>
          <w:p>
            <w:pPr>
              <w:pStyle w:val="TableParagraph"/>
              <w:spacing w:before="28"/>
              <w:rPr>
                <w:b/>
                <w:sz w:val="24"/>
              </w:rPr>
            </w:pPr>
            <w:r>
              <w:rPr>
                <w:b/>
                <w:w w:val="95"/>
                <w:sz w:val="24"/>
              </w:rPr>
              <w:t>其他需要关注的事项</w:t>
            </w:r>
          </w:p>
        </w:tc>
      </w:tr>
      <w:tr>
        <w:trPr>
          <w:trHeight w:val="3588"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8.1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年龄错误</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1"/>
              <w:rPr>
                <w:sz w:val="21"/>
              </w:rPr>
            </w:pPr>
            <w:r>
              <w:rPr>
                <w:spacing w:val="-10"/>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44" w:right="129" w:hanging="524"/>
              <w:jc w:val="both"/>
              <w:rPr>
                <w:sz w:val="21"/>
              </w:rPr>
            </w:pPr>
            <w:r>
              <w:rPr>
                <w:sz w:val="21"/>
              </w:rPr>
              <w:t>（1）</w:t>
            </w:r>
            <w:r>
              <w:rPr>
                <w:rFonts w:ascii="黑体" w:hAnsi="黑体" w:eastAsia="黑体" w:hint="eastAsia"/>
                <w:sz w:val="21"/>
              </w:rPr>
              <w:t>您申报的被保险人年龄不真实，并且其真实年龄不符合本附加合同约定投保年龄限制的，在保险事故发Th之前我们有权解除本附加合同，并向您退还本附加合同的现金价值。</w:t>
            </w:r>
            <w:r>
              <w:rPr>
                <w:sz w:val="21"/>
              </w:rPr>
              <w:t>我们行使合同解除权适用“合同解除权的限制”的规定。</w:t>
            </w:r>
          </w:p>
          <w:p>
            <w:pPr>
              <w:pStyle w:val="TableParagraph"/>
              <w:spacing w:line="273" w:lineRule="auto" w:before="7"/>
              <w:ind w:left="644" w:right="135" w:hanging="524"/>
              <w:jc w:val="both"/>
              <w:rPr>
                <w:rFonts w:ascii="黑体" w:eastAsia="黑体" w:hint="eastAsia"/>
                <w:sz w:val="21"/>
              </w:rPr>
            </w:pPr>
            <w:r>
              <w:rPr>
                <w:sz w:val="21"/>
              </w:rPr>
              <w:t>（2）</w:t>
            </w:r>
            <w:r>
              <w:rPr>
                <w:rFonts w:ascii="黑体" w:eastAsia="黑体" w:hint="eastAsia"/>
                <w:sz w:val="21"/>
              </w:rPr>
              <w:t>您申报的被保险人年龄不真实，致使您实交保险费少于应交保险费的， 我们有权更正并要求您补交保险费。</w:t>
            </w:r>
          </w:p>
          <w:p>
            <w:pPr>
              <w:pStyle w:val="TableParagraph"/>
              <w:spacing w:line="273" w:lineRule="auto" w:before="7"/>
              <w:ind w:left="644" w:right="135" w:hanging="524"/>
              <w:jc w:val="both"/>
              <w:rPr>
                <w:sz w:val="21"/>
              </w:rPr>
            </w:pPr>
            <w:r>
              <w:rPr>
                <w:sz w:val="21"/>
              </w:rPr>
              <w:t>（3）您申报的被保险人年龄不真实，致使您实交保险费多于应交保险费的， 我们会将多收的保险费退还给您。</w:t>
            </w:r>
          </w:p>
        </w:tc>
      </w:tr>
      <w:tr>
        <w:trPr>
          <w:trHeight w:val="936" w:hRule="atLeast"/>
        </w:trPr>
        <w:tc>
          <w:tcPr>
            <w:tcW w:w="708" w:type="dxa"/>
          </w:tcPr>
          <w:p>
            <w:pPr>
              <w:pStyle w:val="TableParagraph"/>
              <w:spacing w:before="143"/>
              <w:ind w:left="107"/>
              <w:rPr>
                <w:b/>
                <w:sz w:val="21"/>
              </w:rPr>
            </w:pPr>
            <w:r>
              <w:rPr>
                <w:b/>
                <w:sz w:val="21"/>
              </w:rPr>
              <w:t>8.2</w:t>
            </w:r>
          </w:p>
        </w:tc>
        <w:tc>
          <w:tcPr>
            <w:tcW w:w="1960" w:type="dxa"/>
          </w:tcPr>
          <w:p>
            <w:pPr>
              <w:pStyle w:val="TableParagraph"/>
              <w:spacing w:before="143"/>
              <w:rPr>
                <w:b/>
                <w:sz w:val="21"/>
              </w:rPr>
            </w:pPr>
            <w:r>
              <w:rPr>
                <w:b/>
                <w:sz w:val="21"/>
              </w:rPr>
              <w:t>未还款项</w:t>
            </w:r>
          </w:p>
        </w:tc>
        <w:tc>
          <w:tcPr>
            <w:tcW w:w="7293" w:type="dxa"/>
          </w:tcPr>
          <w:p>
            <w:pPr>
              <w:pStyle w:val="TableParagraph"/>
              <w:spacing w:line="273" w:lineRule="auto" w:before="143"/>
              <w:ind w:left="120" w:right="104"/>
              <w:rPr>
                <w:sz w:val="21"/>
              </w:rPr>
            </w:pPr>
            <w:r>
              <w:rPr>
                <w:spacing w:val="-8"/>
                <w:sz w:val="21"/>
              </w:rPr>
              <w:t>我们在豁免保险费时，如果您有欠交的保险费、利息或其他未还清的款项，您</w:t>
            </w:r>
            <w:r>
              <w:rPr>
                <w:spacing w:val="-3"/>
                <w:sz w:val="21"/>
              </w:rPr>
              <w:t>应先补交上述欠款、利息及其他未还清的款项。</w:t>
            </w:r>
          </w:p>
        </w:tc>
      </w:tr>
      <w:tr>
        <w:trPr>
          <w:trHeight w:val="2183" w:hRule="atLeast"/>
        </w:trPr>
        <w:tc>
          <w:tcPr>
            <w:tcW w:w="708" w:type="dxa"/>
          </w:tcPr>
          <w:p>
            <w:pPr>
              <w:pStyle w:val="TableParagraph"/>
              <w:spacing w:before="142"/>
              <w:ind w:left="107"/>
              <w:rPr>
                <w:b/>
                <w:sz w:val="21"/>
              </w:rPr>
            </w:pPr>
            <w:r>
              <w:rPr>
                <w:b/>
                <w:sz w:val="21"/>
              </w:rPr>
              <w:t>8.3</w:t>
            </w:r>
          </w:p>
        </w:tc>
        <w:tc>
          <w:tcPr>
            <w:tcW w:w="1960" w:type="dxa"/>
          </w:tcPr>
          <w:p>
            <w:pPr>
              <w:pStyle w:val="TableParagraph"/>
              <w:spacing w:before="142"/>
              <w:rPr>
                <w:b/>
                <w:sz w:val="21"/>
              </w:rPr>
            </w:pPr>
            <w:r>
              <w:rPr>
                <w:b/>
                <w:sz w:val="21"/>
              </w:rPr>
              <w:t>适用主合同条款</w:t>
            </w:r>
          </w:p>
        </w:tc>
        <w:tc>
          <w:tcPr>
            <w:tcW w:w="7293" w:type="dxa"/>
          </w:tcPr>
          <w:p>
            <w:pPr>
              <w:pStyle w:val="TableParagraph"/>
              <w:spacing w:before="142"/>
              <w:ind w:left="120"/>
              <w:rPr>
                <w:sz w:val="21"/>
              </w:rPr>
            </w:pPr>
            <w:r>
              <w:rPr>
                <w:sz w:val="21"/>
              </w:rPr>
              <w:t>以下主合同条款适用于本附加合同：</w:t>
            </w:r>
          </w:p>
          <w:p>
            <w:pPr>
              <w:pStyle w:val="TableParagraph"/>
              <w:spacing w:before="36"/>
              <w:ind w:left="121"/>
              <w:rPr>
                <w:sz w:val="21"/>
              </w:rPr>
            </w:pPr>
            <w:r>
              <w:rPr>
                <w:sz w:val="21"/>
              </w:rPr>
              <w:t>（1）明确说明与如实告知；</w:t>
            </w:r>
          </w:p>
          <w:p>
            <w:pPr>
              <w:pStyle w:val="TableParagraph"/>
              <w:spacing w:before="36"/>
              <w:ind w:left="121"/>
              <w:rPr>
                <w:sz w:val="21"/>
              </w:rPr>
            </w:pPr>
            <w:r>
              <w:rPr>
                <w:sz w:val="21"/>
              </w:rPr>
              <w:t>（2）合同解除权的限制；</w:t>
            </w:r>
          </w:p>
          <w:p>
            <w:pPr>
              <w:pStyle w:val="TableParagraph"/>
              <w:spacing w:before="36"/>
              <w:ind w:left="121"/>
              <w:rPr>
                <w:sz w:val="21"/>
              </w:rPr>
            </w:pPr>
            <w:r>
              <w:rPr>
                <w:sz w:val="21"/>
              </w:rPr>
              <w:t>（3）合同内容变更；</w:t>
            </w:r>
          </w:p>
          <w:p>
            <w:pPr>
              <w:pStyle w:val="TableParagraph"/>
              <w:spacing w:before="36"/>
              <w:ind w:left="121"/>
              <w:rPr>
                <w:sz w:val="21"/>
              </w:rPr>
            </w:pPr>
            <w:r>
              <w:rPr>
                <w:sz w:val="21"/>
              </w:rPr>
              <w:t>（4）联系方式变更；</w:t>
            </w:r>
          </w:p>
          <w:p>
            <w:pPr>
              <w:pStyle w:val="TableParagraph"/>
              <w:spacing w:before="36"/>
              <w:ind w:left="121"/>
              <w:rPr>
                <w:sz w:val="21"/>
              </w:rPr>
            </w:pPr>
            <w:r>
              <w:rPr>
                <w:sz w:val="21"/>
              </w:rPr>
              <w:t>（5）争议处理。</w:t>
            </w:r>
          </w:p>
        </w:tc>
      </w:tr>
      <w:tr>
        <w:trPr>
          <w:trHeight w:val="1248" w:hRule="atLeast"/>
        </w:trPr>
        <w:tc>
          <w:tcPr>
            <w:tcW w:w="708" w:type="dxa"/>
          </w:tcPr>
          <w:p>
            <w:pPr>
              <w:pStyle w:val="TableParagraph"/>
              <w:spacing w:before="142"/>
              <w:ind w:left="107"/>
              <w:rPr>
                <w:b/>
                <w:sz w:val="21"/>
              </w:rPr>
            </w:pPr>
            <w:r>
              <w:rPr>
                <w:b/>
                <w:sz w:val="21"/>
              </w:rPr>
              <w:t>8.4</w:t>
            </w:r>
          </w:p>
        </w:tc>
        <w:tc>
          <w:tcPr>
            <w:tcW w:w="1960" w:type="dxa"/>
          </w:tcPr>
          <w:p>
            <w:pPr>
              <w:pStyle w:val="TableParagraph"/>
              <w:spacing w:before="142"/>
              <w:rPr>
                <w:b/>
                <w:sz w:val="21"/>
              </w:rPr>
            </w:pPr>
            <w:r>
              <w:rPr>
                <w:b/>
                <w:sz w:val="21"/>
              </w:rPr>
              <w:t>附则</w:t>
            </w:r>
          </w:p>
        </w:tc>
        <w:tc>
          <w:tcPr>
            <w:tcW w:w="7293" w:type="dxa"/>
          </w:tcPr>
          <w:p>
            <w:pPr>
              <w:pStyle w:val="TableParagraph"/>
              <w:spacing w:line="273" w:lineRule="auto" w:before="142"/>
              <w:ind w:left="120"/>
              <w:rPr>
                <w:sz w:val="21"/>
              </w:rPr>
            </w:pPr>
            <w:r>
              <w:rPr>
                <w:spacing w:val="-9"/>
                <w:sz w:val="21"/>
              </w:rPr>
              <w:t>本附加合同未约定事项，以主合同为准，若主合同与本附加合同相抵触的，则</w:t>
            </w:r>
            <w:r>
              <w:rPr>
                <w:spacing w:val="-14"/>
                <w:sz w:val="21"/>
              </w:rPr>
              <w:t>以本附加合同的条款为准。主合同无效，本附加合同也无效；主合同效力中止， </w:t>
            </w:r>
            <w:r>
              <w:rPr>
                <w:spacing w:val="-3"/>
                <w:sz w:val="21"/>
              </w:rPr>
              <w:t>本附加合同效力也中止；主合同终止，本附加合同也终止。</w:t>
            </w:r>
          </w:p>
        </w:tc>
      </w:tr>
      <w:tr>
        <w:trPr>
          <w:trHeight w:val="642" w:hRule="atLeast"/>
        </w:trPr>
        <w:tc>
          <w:tcPr>
            <w:tcW w:w="708" w:type="dxa"/>
          </w:tcPr>
          <w:p>
            <w:pPr>
              <w:pStyle w:val="TableParagraph"/>
              <w:spacing w:before="142"/>
              <w:ind w:left="107"/>
              <w:rPr>
                <w:b/>
                <w:sz w:val="21"/>
              </w:rPr>
            </w:pPr>
            <w:r>
              <w:rPr>
                <w:b/>
                <w:sz w:val="21"/>
              </w:rPr>
              <w:t>8.5</w:t>
            </w:r>
          </w:p>
        </w:tc>
        <w:tc>
          <w:tcPr>
            <w:tcW w:w="1960" w:type="dxa"/>
          </w:tcPr>
          <w:p>
            <w:pPr>
              <w:pStyle w:val="TableParagraph"/>
              <w:spacing w:before="142"/>
              <w:rPr>
                <w:b/>
                <w:sz w:val="21"/>
              </w:rPr>
            </w:pPr>
            <w:r>
              <w:rPr>
                <w:b/>
                <w:sz w:val="21"/>
              </w:rPr>
              <w:t>其他</w:t>
            </w:r>
          </w:p>
        </w:tc>
        <w:tc>
          <w:tcPr>
            <w:tcW w:w="7293" w:type="dxa"/>
          </w:tcPr>
          <w:p>
            <w:pPr>
              <w:pStyle w:val="TableParagraph"/>
              <w:spacing w:before="142"/>
              <w:ind w:left="120"/>
              <w:rPr>
                <w:sz w:val="21"/>
              </w:rPr>
            </w:pPr>
            <w:r>
              <w:rPr>
                <w:sz w:val="21"/>
              </w:rPr>
              <w:t>本附加合同所称“以上”、“以内”均包含本数。</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9.1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5"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1" w:right="101" w:hanging="1"/>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5"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30"/>
              <w:rPr>
                <w:sz w:val="21"/>
              </w:rPr>
            </w:pPr>
            <w:r>
              <w:rPr>
                <w:sz w:val="21"/>
              </w:rPr>
              <w:t>本附加合同生效日在每月、每季、每半年或每年（根据交费方式确定）的对应日。如果当月无对应的同一日，则以该月最后一日为对应日。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5"/>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417" w:hRule="atLeast"/>
        </w:trPr>
        <w:tc>
          <w:tcPr>
            <w:tcW w:w="708" w:type="dxa"/>
          </w:tcPr>
          <w:p>
            <w:pPr>
              <w:pStyle w:val="TableParagraph"/>
              <w:spacing w:line="255" w:lineRule="exact" w:before="142"/>
              <w:ind w:left="107"/>
              <w:rPr>
                <w:b/>
                <w:sz w:val="21"/>
              </w:rPr>
            </w:pPr>
            <w:r>
              <w:rPr>
                <w:b/>
                <w:sz w:val="21"/>
              </w:rPr>
              <w:t>9.5</w:t>
            </w:r>
          </w:p>
        </w:tc>
        <w:tc>
          <w:tcPr>
            <w:tcW w:w="1960" w:type="dxa"/>
          </w:tcPr>
          <w:p>
            <w:pPr>
              <w:pStyle w:val="TableParagraph"/>
              <w:spacing w:line="255" w:lineRule="exact" w:before="142"/>
              <w:rPr>
                <w:b/>
                <w:sz w:val="21"/>
              </w:rPr>
            </w:pPr>
            <w:r>
              <w:rPr>
                <w:b/>
                <w:sz w:val="21"/>
              </w:rPr>
              <w:t>有效身份证件</w:t>
            </w:r>
          </w:p>
        </w:tc>
        <w:tc>
          <w:tcPr>
            <w:tcW w:w="7293" w:type="dxa"/>
          </w:tcPr>
          <w:p>
            <w:pPr>
              <w:pStyle w:val="TableParagraph"/>
              <w:spacing w:line="255" w:lineRule="exact" w:before="142"/>
              <w:ind w:left="120"/>
              <w:rPr>
                <w:sz w:val="21"/>
              </w:rPr>
            </w:pPr>
            <w:r>
              <w:rPr>
                <w:sz w:val="21"/>
              </w:rPr>
              <w:t>指由政府主管部门规定的证明其身份的证件，如：居民身份证、营业执照、按</w:t>
            </w:r>
          </w:p>
        </w:tc>
      </w:tr>
    </w:tbl>
    <w:p>
      <w:pPr>
        <w:spacing w:after="0" w:line="255" w:lineRule="exact"/>
        <w:rPr>
          <w:sz w:val="21"/>
        </w:rPr>
        <w:sectPr>
          <w:pgSz w:w="11910" w:h="16840"/>
          <w:pgMar w:header="0" w:footer="380" w:top="920" w:bottom="560" w:left="800" w:right="920"/>
        </w:sectPr>
      </w:pPr>
    </w:p>
    <w:p>
      <w:pPr>
        <w:pStyle w:val="BodyText"/>
        <w:spacing w:before="21"/>
        <w:ind w:left="2980"/>
      </w:pPr>
      <w:r>
        <w:rPr/>
        <w:t>规定可使用的有效护照、军人证件、户口簿等。</w:t>
      </w:r>
    </w:p>
    <w:p>
      <w:pPr>
        <w:pStyle w:val="BodyText"/>
        <w:rPr>
          <w:sz w:val="20"/>
        </w:rPr>
      </w:pPr>
    </w:p>
    <w:p>
      <w:pPr>
        <w:pStyle w:val="BodyText"/>
        <w:spacing w:before="7"/>
        <w:rPr>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88"/>
      </w:tblGrid>
      <w:tr>
        <w:trPr>
          <w:trHeight w:val="1665" w:hRule="atLeast"/>
        </w:trPr>
        <w:tc>
          <w:tcPr>
            <w:tcW w:w="786" w:type="dxa"/>
          </w:tcPr>
          <w:p>
            <w:pPr>
              <w:pStyle w:val="TableParagraph"/>
              <w:spacing w:line="211" w:lineRule="exact"/>
              <w:ind w:left="200"/>
              <w:rPr>
                <w:b/>
                <w:sz w:val="21"/>
              </w:rPr>
            </w:pPr>
            <w:r>
              <w:rPr>
                <w:b/>
                <w:sz w:val="21"/>
              </w:rPr>
              <w:t>9.6</w:t>
            </w:r>
          </w:p>
        </w:tc>
        <w:tc>
          <w:tcPr>
            <w:tcW w:w="1974" w:type="dxa"/>
          </w:tcPr>
          <w:p>
            <w:pPr>
              <w:pStyle w:val="TableParagraph"/>
              <w:spacing w:line="211" w:lineRule="exact"/>
              <w:ind w:left="162"/>
              <w:rPr>
                <w:b/>
                <w:sz w:val="21"/>
              </w:rPr>
            </w:pPr>
            <w:r>
              <w:rPr>
                <w:b/>
                <w:sz w:val="21"/>
              </w:rPr>
              <w:t>重大疾病</w:t>
            </w:r>
          </w:p>
        </w:tc>
        <w:tc>
          <w:tcPr>
            <w:tcW w:w="7488" w:type="dxa"/>
          </w:tcPr>
          <w:p>
            <w:pPr>
              <w:pStyle w:val="TableParagraph"/>
              <w:spacing w:line="211" w:lineRule="exact"/>
              <w:ind w:left="120"/>
              <w:rPr>
                <w:sz w:val="21"/>
              </w:rPr>
            </w:pPr>
            <w:r>
              <w:rPr>
                <w:sz w:val="21"/>
              </w:rPr>
              <w:t>本附加合同所称重大疾病是指由</w:t>
            </w:r>
            <w:r>
              <w:rPr>
                <w:b/>
                <w:sz w:val="21"/>
              </w:rPr>
              <w:t>医院</w:t>
            </w:r>
            <w:r>
              <w:rPr>
                <w:sz w:val="21"/>
              </w:rPr>
              <w:t>（见 9.7）</w:t>
            </w:r>
            <w:r>
              <w:rPr>
                <w:b/>
                <w:sz w:val="21"/>
              </w:rPr>
              <w:t>专科医生</w:t>
            </w:r>
            <w:r>
              <w:rPr>
                <w:sz w:val="21"/>
              </w:rPr>
              <w:t>（见 9.8）明确诊断，</w:t>
            </w:r>
          </w:p>
          <w:p>
            <w:pPr>
              <w:pStyle w:val="TableParagraph"/>
              <w:spacing w:line="273" w:lineRule="auto" w:before="37"/>
              <w:ind w:left="120" w:right="299"/>
              <w:rPr>
                <w:sz w:val="21"/>
              </w:rPr>
            </w:pPr>
            <w:r>
              <w:rPr>
                <w:spacing w:val="-7"/>
                <w:sz w:val="21"/>
              </w:rPr>
              <w:t>被保险人发生的符合本附加合同所附《重大疾病列表及定义》</w:t>
            </w:r>
            <w:r>
              <w:rPr>
                <w:sz w:val="21"/>
              </w:rPr>
              <w:t>（</w:t>
            </w:r>
            <w:r>
              <w:rPr>
                <w:spacing w:val="-2"/>
                <w:sz w:val="21"/>
              </w:rPr>
              <w:t>附表</w:t>
            </w:r>
            <w:r>
              <w:rPr>
                <w:spacing w:val="-3"/>
                <w:sz w:val="21"/>
              </w:rPr>
              <w:t>）</w:t>
            </w:r>
            <w:r>
              <w:rPr>
                <w:spacing w:val="-2"/>
                <w:sz w:val="21"/>
              </w:rPr>
              <w:t>条件的</w:t>
            </w:r>
            <w:r>
              <w:rPr>
                <w:spacing w:val="-7"/>
                <w:sz w:val="21"/>
              </w:rPr>
              <w:t>疾病、疾病状态或手术</w:t>
            </w:r>
            <w:r>
              <w:rPr>
                <w:spacing w:val="-16"/>
                <w:sz w:val="21"/>
              </w:rPr>
              <w:t>。《重大疾病列表及定义》所列第 </w:t>
            </w:r>
            <w:r>
              <w:rPr>
                <w:sz w:val="21"/>
              </w:rPr>
              <w:t>1-25</w:t>
            </w:r>
            <w:r>
              <w:rPr>
                <w:spacing w:val="-7"/>
                <w:sz w:val="21"/>
              </w:rPr>
              <w:t> 项为中国保险行</w:t>
            </w:r>
          </w:p>
          <w:p>
            <w:pPr>
              <w:pStyle w:val="TableParagraph"/>
              <w:spacing w:line="273" w:lineRule="auto" w:before="7"/>
              <w:ind w:left="121" w:right="298" w:hanging="1"/>
              <w:rPr>
                <w:sz w:val="21"/>
              </w:rPr>
            </w:pPr>
            <w:r>
              <w:rPr>
                <w:spacing w:val="-9"/>
                <w:sz w:val="21"/>
              </w:rPr>
              <w:t>业协会与中国医师协会共同制定的疾病定义，第 </w:t>
            </w:r>
            <w:r>
              <w:rPr>
                <w:sz w:val="21"/>
              </w:rPr>
              <w:t>26-33</w:t>
            </w:r>
            <w:r>
              <w:rPr>
                <w:spacing w:val="-8"/>
                <w:sz w:val="21"/>
              </w:rPr>
              <w:t> 项为本公司增加的疾病</w:t>
            </w:r>
            <w:r>
              <w:rPr>
                <w:spacing w:val="-5"/>
                <w:sz w:val="21"/>
              </w:rPr>
              <w:t>种类并自行制定的疾病定义。</w:t>
            </w:r>
          </w:p>
        </w:tc>
      </w:tr>
      <w:tr>
        <w:trPr>
          <w:trHeight w:val="1560" w:hRule="atLeast"/>
        </w:trPr>
        <w:tc>
          <w:tcPr>
            <w:tcW w:w="786" w:type="dxa"/>
          </w:tcPr>
          <w:p>
            <w:pPr>
              <w:pStyle w:val="TableParagraph"/>
              <w:spacing w:before="142"/>
              <w:ind w:left="200"/>
              <w:rPr>
                <w:b/>
                <w:sz w:val="21"/>
              </w:rPr>
            </w:pPr>
            <w:r>
              <w:rPr>
                <w:b/>
                <w:sz w:val="21"/>
              </w:rPr>
              <w:t>9.7</w:t>
            </w:r>
          </w:p>
        </w:tc>
        <w:tc>
          <w:tcPr>
            <w:tcW w:w="1974" w:type="dxa"/>
          </w:tcPr>
          <w:p>
            <w:pPr>
              <w:pStyle w:val="TableParagraph"/>
              <w:spacing w:before="142"/>
              <w:ind w:left="162"/>
              <w:rPr>
                <w:b/>
                <w:sz w:val="21"/>
              </w:rPr>
            </w:pPr>
            <w:r>
              <w:rPr>
                <w:b/>
                <w:sz w:val="21"/>
              </w:rPr>
              <w:t>医院</w:t>
            </w:r>
          </w:p>
        </w:tc>
        <w:tc>
          <w:tcPr>
            <w:tcW w:w="7488" w:type="dxa"/>
          </w:tcPr>
          <w:p>
            <w:pPr>
              <w:pStyle w:val="TableParagraph"/>
              <w:spacing w:line="273" w:lineRule="auto" w:before="142"/>
              <w:ind w:left="120" w:right="296"/>
              <w:rPr>
                <w:sz w:val="21"/>
              </w:rPr>
            </w:pPr>
            <w:r>
              <w:rPr>
                <w:spacing w:val="-3"/>
                <w:sz w:val="21"/>
              </w:rPr>
              <w:t>指经中华人民共和国卫生部门评审确定的二级以上的公立医院</w:t>
            </w:r>
            <w:r>
              <w:rPr>
                <w:rFonts w:ascii="黑体" w:eastAsia="黑体" w:hint="eastAsia"/>
                <w:spacing w:val="-14"/>
                <w:sz w:val="21"/>
              </w:rPr>
              <w:t>，但不包括精神</w:t>
            </w:r>
            <w:r>
              <w:rPr>
                <w:rFonts w:ascii="黑体" w:eastAsia="黑体" w:hint="eastAsia"/>
                <w:spacing w:val="-13"/>
                <w:sz w:val="21"/>
              </w:rPr>
              <w:t>病院及专供康复、休养、戒毒、戒酒、护理、养老等非以直接诊治病人为目的</w:t>
            </w:r>
            <w:r>
              <w:rPr>
                <w:rFonts w:ascii="黑体" w:eastAsia="黑体" w:hint="eastAsia"/>
                <w:spacing w:val="-6"/>
                <w:sz w:val="21"/>
              </w:rPr>
              <w:t>的医疗机构。</w:t>
            </w:r>
            <w:r>
              <w:rPr>
                <w:spacing w:val="-3"/>
                <w:sz w:val="21"/>
              </w:rPr>
              <w:t>该医院必须具有符合国家有关医院管理规则设置标准的医疗设</w:t>
            </w:r>
            <w:r>
              <w:rPr>
                <w:spacing w:val="-9"/>
                <w:sz w:val="21"/>
              </w:rPr>
              <w:t>备，且全天 </w:t>
            </w:r>
            <w:r>
              <w:rPr>
                <w:sz w:val="21"/>
              </w:rPr>
              <w:t>24</w:t>
            </w:r>
            <w:r>
              <w:rPr>
                <w:spacing w:val="-7"/>
                <w:sz w:val="21"/>
              </w:rPr>
              <w:t> 小时有合格医师及护士驻院提供医疗及护理服务。</w:t>
            </w:r>
          </w:p>
        </w:tc>
      </w:tr>
      <w:tr>
        <w:trPr>
          <w:trHeight w:val="2496" w:hRule="atLeast"/>
        </w:trPr>
        <w:tc>
          <w:tcPr>
            <w:tcW w:w="786" w:type="dxa"/>
          </w:tcPr>
          <w:p>
            <w:pPr>
              <w:pStyle w:val="TableParagraph"/>
              <w:spacing w:before="142"/>
              <w:ind w:left="200"/>
              <w:rPr>
                <w:b/>
                <w:sz w:val="21"/>
              </w:rPr>
            </w:pPr>
            <w:r>
              <w:rPr>
                <w:b/>
                <w:sz w:val="21"/>
              </w:rPr>
              <w:t>9.8</w:t>
            </w:r>
          </w:p>
        </w:tc>
        <w:tc>
          <w:tcPr>
            <w:tcW w:w="1974" w:type="dxa"/>
          </w:tcPr>
          <w:p>
            <w:pPr>
              <w:pStyle w:val="TableParagraph"/>
              <w:spacing w:before="142"/>
              <w:ind w:left="162"/>
              <w:rPr>
                <w:b/>
                <w:sz w:val="21"/>
              </w:rPr>
            </w:pPr>
            <w:r>
              <w:rPr>
                <w:b/>
                <w:sz w:val="21"/>
              </w:rPr>
              <w:t>专科医生</w:t>
            </w:r>
          </w:p>
        </w:tc>
        <w:tc>
          <w:tcPr>
            <w:tcW w:w="7488" w:type="dxa"/>
          </w:tcPr>
          <w:p>
            <w:pPr>
              <w:pStyle w:val="TableParagraph"/>
              <w:spacing w:before="142"/>
              <w:ind w:left="120"/>
              <w:rPr>
                <w:sz w:val="21"/>
              </w:rPr>
            </w:pPr>
            <w:r>
              <w:rPr>
                <w:sz w:val="21"/>
              </w:rPr>
              <w:t>专科医生应当同时满足以下四项资格条件：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3" w:right="324" w:hanging="524"/>
              <w:rPr>
                <w:sz w:val="21"/>
              </w:rPr>
            </w:pPr>
            <w:r>
              <w:rPr>
                <w:sz w:val="21"/>
              </w:rPr>
              <w:t>（2）具有有效的中华人民共和国《医师执业证书》，并按期到相关部门登记注册；</w:t>
            </w:r>
          </w:p>
          <w:p>
            <w:pPr>
              <w:pStyle w:val="TableParagraph"/>
              <w:spacing w:line="273" w:lineRule="auto" w:before="7"/>
              <w:ind w:left="643" w:right="324"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5"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约定确诊日</w:t>
            </w:r>
          </w:p>
        </w:tc>
        <w:tc>
          <w:tcPr>
            <w:tcW w:w="7488" w:type="dxa"/>
          </w:tcPr>
          <w:p>
            <w:pPr>
              <w:pStyle w:val="TableParagraph"/>
              <w:spacing w:line="273" w:lineRule="auto" w:before="142"/>
              <w:ind w:left="121" w:right="221" w:hanging="1"/>
              <w:rPr>
                <w:sz w:val="21"/>
              </w:rPr>
            </w:pPr>
            <w:r>
              <w:rPr>
                <w:sz w:val="21"/>
              </w:rPr>
              <w:t>指被保险人经医院专科医生确诊为附表所列重大疾病（无论一种或多种）并满足附表所列重大疾病定义条件之日。</w:t>
            </w:r>
          </w:p>
        </w:tc>
      </w:tr>
      <w:tr>
        <w:trPr>
          <w:trHeight w:val="936"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意外伤害</w:t>
            </w:r>
          </w:p>
        </w:tc>
        <w:tc>
          <w:tcPr>
            <w:tcW w:w="7488" w:type="dxa"/>
          </w:tcPr>
          <w:p>
            <w:pPr>
              <w:pStyle w:val="TableParagraph"/>
              <w:spacing w:line="273" w:lineRule="auto" w:before="142"/>
              <w:ind w:left="120" w:right="298"/>
              <w:rPr>
                <w:sz w:val="21"/>
              </w:rPr>
            </w:pPr>
            <w:r>
              <w:rPr>
                <w:spacing w:val="-11"/>
                <w:sz w:val="21"/>
              </w:rPr>
              <w:t>指遭受外来的、突发的、非本意的、非疾病的客观事件直接致使身体受到的伤害。</w:t>
            </w:r>
          </w:p>
        </w:tc>
      </w:tr>
      <w:tr>
        <w:trPr>
          <w:trHeight w:val="1560"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毒品</w:t>
            </w:r>
          </w:p>
        </w:tc>
        <w:tc>
          <w:tcPr>
            <w:tcW w:w="7488" w:type="dxa"/>
          </w:tcPr>
          <w:p>
            <w:pPr>
              <w:pStyle w:val="TableParagraph"/>
              <w:spacing w:line="273" w:lineRule="auto" w:before="142"/>
              <w:ind w:left="120" w:right="29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before="142"/>
              <w:ind w:left="162"/>
              <w:rPr>
                <w:b/>
                <w:sz w:val="21"/>
              </w:rPr>
            </w:pPr>
            <w:r>
              <w:rPr>
                <w:b/>
                <w:sz w:val="21"/>
              </w:rPr>
              <w:t>酒后驾驶</w:t>
            </w:r>
          </w:p>
        </w:tc>
        <w:tc>
          <w:tcPr>
            <w:tcW w:w="7488" w:type="dxa"/>
          </w:tcPr>
          <w:p>
            <w:pPr>
              <w:pStyle w:val="TableParagraph"/>
              <w:spacing w:line="273" w:lineRule="auto" w:before="142"/>
              <w:ind w:left="120" w:right="296"/>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line="273" w:lineRule="auto" w:before="142"/>
              <w:ind w:left="162" w:right="119"/>
              <w:rPr>
                <w:b/>
                <w:sz w:val="21"/>
              </w:rPr>
            </w:pPr>
            <w:r>
              <w:rPr>
                <w:b/>
                <w:sz w:val="21"/>
              </w:rPr>
              <w:t>无合法有效驾驶证驾驶</w:t>
            </w:r>
          </w:p>
        </w:tc>
        <w:tc>
          <w:tcPr>
            <w:tcW w:w="7488"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324" w:hanging="526"/>
              <w:rPr>
                <w:sz w:val="21"/>
              </w:rPr>
            </w:pPr>
            <w:r>
              <w:rPr>
                <w:sz w:val="21"/>
              </w:rPr>
              <w:t>（4）持学习驾驶证学习驾车时，无教练员随车指导，或不按指定时间、路线学习驾车。</w:t>
            </w:r>
          </w:p>
        </w:tc>
      </w:tr>
      <w:tr>
        <w:trPr>
          <w:trHeight w:val="1041"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before="142"/>
              <w:ind w:left="162"/>
              <w:rPr>
                <w:b/>
                <w:sz w:val="21"/>
              </w:rPr>
            </w:pPr>
            <w:r>
              <w:rPr>
                <w:b/>
                <w:sz w:val="21"/>
              </w:rPr>
              <w:t>无有效行驶证</w:t>
            </w:r>
          </w:p>
        </w:tc>
        <w:tc>
          <w:tcPr>
            <w:tcW w:w="7488"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line="255" w:lineRule="exact" w:before="36"/>
              <w:ind w:left="121"/>
              <w:rPr>
                <w:sz w:val="21"/>
              </w:rPr>
            </w:pPr>
            <w:r>
              <w:rPr>
                <w:sz w:val="21"/>
              </w:rPr>
              <w:t>（2）未依法按时进行或通过机动车安全技术检验。</w:t>
            </w:r>
          </w:p>
        </w:tc>
      </w:tr>
    </w:tbl>
    <w:p>
      <w:pPr>
        <w:spacing w:after="0" w:line="255" w:lineRule="exact"/>
        <w:rPr>
          <w:sz w:val="21"/>
        </w:rPr>
        <w:sectPr>
          <w:pgSz w:w="11910" w:h="16840"/>
          <w:pgMar w:header="0" w:footer="380" w:top="800" w:bottom="56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729" w:hRule="atLeast"/>
        </w:trPr>
        <w:tc>
          <w:tcPr>
            <w:tcW w:w="786" w:type="dxa"/>
          </w:tcPr>
          <w:p>
            <w:pPr>
              <w:pStyle w:val="TableParagraph"/>
              <w:spacing w:line="208" w:lineRule="exact"/>
              <w:ind w:left="0" w:right="161"/>
              <w:jc w:val="right"/>
              <w:rPr>
                <w:b/>
                <w:sz w:val="21"/>
              </w:rPr>
            </w:pPr>
            <w:r>
              <w:rPr>
                <w:b/>
                <w:w w:val="95"/>
                <w:sz w:val="21"/>
              </w:rPr>
              <w:t>9.15</w:t>
            </w:r>
          </w:p>
        </w:tc>
        <w:tc>
          <w:tcPr>
            <w:tcW w:w="1974" w:type="dxa"/>
          </w:tcPr>
          <w:p>
            <w:pPr>
              <w:pStyle w:val="TableParagraph"/>
              <w:spacing w:line="208" w:lineRule="exact"/>
              <w:ind w:left="162"/>
              <w:rPr>
                <w:b/>
                <w:sz w:val="21"/>
              </w:rPr>
            </w:pPr>
            <w:r>
              <w:rPr>
                <w:b/>
                <w:sz w:val="21"/>
              </w:rPr>
              <w:t>机动车</w:t>
            </w:r>
          </w:p>
        </w:tc>
        <w:tc>
          <w:tcPr>
            <w:tcW w:w="7490" w:type="dxa"/>
          </w:tcPr>
          <w:p>
            <w:pPr>
              <w:pStyle w:val="TableParagraph"/>
              <w:spacing w:line="208" w:lineRule="exact"/>
              <w:ind w:left="120"/>
              <w:rPr>
                <w:sz w:val="21"/>
              </w:rPr>
            </w:pPr>
            <w:r>
              <w:rPr>
                <w:sz w:val="21"/>
              </w:rPr>
              <w:t>指以动力装置驱动或者牵引，上道路行驶的供人员乘用或者用于运送物品以及</w:t>
            </w:r>
          </w:p>
          <w:p>
            <w:pPr>
              <w:pStyle w:val="TableParagraph"/>
              <w:spacing w:before="37"/>
              <w:ind w:left="120"/>
              <w:rPr>
                <w:sz w:val="21"/>
              </w:rPr>
            </w:pPr>
            <w:r>
              <w:rPr>
                <w:sz w:val="21"/>
              </w:rPr>
              <w:t>进行工程专项作业的轮式车辆。</w:t>
            </w:r>
          </w:p>
        </w:tc>
      </w:tr>
      <w:tr>
        <w:trPr>
          <w:trHeight w:val="2027" w:hRule="atLeast"/>
        </w:trPr>
        <w:tc>
          <w:tcPr>
            <w:tcW w:w="786" w:type="dxa"/>
          </w:tcPr>
          <w:p>
            <w:pPr>
              <w:pStyle w:val="TableParagraph"/>
              <w:spacing w:before="139"/>
              <w:ind w:left="0" w:right="161"/>
              <w:jc w:val="right"/>
              <w:rPr>
                <w:b/>
                <w:sz w:val="21"/>
              </w:rPr>
            </w:pPr>
            <w:r>
              <w:rPr>
                <w:b/>
                <w:w w:val="95"/>
                <w:sz w:val="21"/>
              </w:rPr>
              <w:t>9.16</w:t>
            </w:r>
          </w:p>
        </w:tc>
        <w:tc>
          <w:tcPr>
            <w:tcW w:w="1974" w:type="dxa"/>
          </w:tcPr>
          <w:p>
            <w:pPr>
              <w:pStyle w:val="TableParagraph"/>
              <w:spacing w:line="273" w:lineRule="auto" w:before="139"/>
              <w:ind w:left="162" w:right="119"/>
              <w:rPr>
                <w:b/>
                <w:sz w:val="21"/>
              </w:rPr>
            </w:pPr>
            <w:r>
              <w:rPr>
                <w:b/>
                <w:sz w:val="21"/>
              </w:rPr>
              <w:t>感染艾滋病病毒或患艾滋病</w:t>
            </w:r>
          </w:p>
        </w:tc>
        <w:tc>
          <w:tcPr>
            <w:tcW w:w="7490" w:type="dxa"/>
          </w:tcPr>
          <w:p>
            <w:pPr>
              <w:pStyle w:val="TableParagraph"/>
              <w:spacing w:line="273" w:lineRule="auto" w:before="139"/>
              <w:ind w:left="120" w:right="298"/>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163"/>
              <w:ind w:left="120" w:right="2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935" w:hRule="atLeast"/>
        </w:trPr>
        <w:tc>
          <w:tcPr>
            <w:tcW w:w="786" w:type="dxa"/>
          </w:tcPr>
          <w:p>
            <w:pPr>
              <w:pStyle w:val="TableParagraph"/>
              <w:spacing w:before="139"/>
              <w:ind w:left="0" w:right="161"/>
              <w:jc w:val="right"/>
              <w:rPr>
                <w:b/>
                <w:sz w:val="21"/>
              </w:rPr>
            </w:pPr>
            <w:r>
              <w:rPr>
                <w:b/>
                <w:w w:val="95"/>
                <w:sz w:val="21"/>
              </w:rPr>
              <w:t>9.17</w:t>
            </w:r>
          </w:p>
        </w:tc>
        <w:tc>
          <w:tcPr>
            <w:tcW w:w="1974" w:type="dxa"/>
          </w:tcPr>
          <w:p>
            <w:pPr>
              <w:pStyle w:val="TableParagraph"/>
              <w:spacing w:before="139"/>
              <w:ind w:left="162"/>
              <w:rPr>
                <w:b/>
                <w:sz w:val="21"/>
              </w:rPr>
            </w:pPr>
            <w:r>
              <w:rPr>
                <w:b/>
                <w:sz w:val="21"/>
              </w:rPr>
              <w:t>遗传性疾病</w:t>
            </w:r>
          </w:p>
        </w:tc>
        <w:tc>
          <w:tcPr>
            <w:tcW w:w="7490" w:type="dxa"/>
          </w:tcPr>
          <w:p>
            <w:pPr>
              <w:pStyle w:val="TableParagraph"/>
              <w:spacing w:line="273" w:lineRule="auto" w:before="139"/>
              <w:ind w:left="120" w:right="22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86" w:type="dxa"/>
          </w:tcPr>
          <w:p>
            <w:pPr>
              <w:pStyle w:val="TableParagraph"/>
              <w:spacing w:before="139"/>
              <w:ind w:left="0" w:right="161"/>
              <w:jc w:val="right"/>
              <w:rPr>
                <w:b/>
                <w:sz w:val="21"/>
              </w:rPr>
            </w:pPr>
            <w:r>
              <w:rPr>
                <w:b/>
                <w:w w:val="95"/>
                <w:sz w:val="21"/>
              </w:rPr>
              <w:t>9.18</w:t>
            </w:r>
          </w:p>
        </w:tc>
        <w:tc>
          <w:tcPr>
            <w:tcW w:w="1974" w:type="dxa"/>
          </w:tcPr>
          <w:p>
            <w:pPr>
              <w:pStyle w:val="TableParagraph"/>
              <w:spacing w:line="273" w:lineRule="auto" w:before="139"/>
              <w:ind w:left="162" w:right="119"/>
              <w:rPr>
                <w:b/>
                <w:sz w:val="21"/>
              </w:rPr>
            </w:pPr>
            <w:r>
              <w:rPr>
                <w:b/>
                <w:sz w:val="21"/>
              </w:rPr>
              <w:t>先天性畸形、变形或染色体异常</w:t>
            </w:r>
          </w:p>
        </w:tc>
        <w:tc>
          <w:tcPr>
            <w:tcW w:w="7490" w:type="dxa"/>
          </w:tcPr>
          <w:p>
            <w:pPr>
              <w:pStyle w:val="TableParagraph"/>
              <w:spacing w:line="273" w:lineRule="auto" w:before="139"/>
              <w:ind w:left="120" w:right="198"/>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39"/>
              <w:ind w:left="0" w:right="161"/>
              <w:jc w:val="right"/>
              <w:rPr>
                <w:b/>
                <w:sz w:val="21"/>
              </w:rPr>
            </w:pPr>
            <w:r>
              <w:rPr>
                <w:b/>
                <w:w w:val="95"/>
                <w:sz w:val="21"/>
              </w:rPr>
              <w:t>9.19</w:t>
            </w:r>
          </w:p>
        </w:tc>
        <w:tc>
          <w:tcPr>
            <w:tcW w:w="1974" w:type="dxa"/>
          </w:tcPr>
          <w:p>
            <w:pPr>
              <w:pStyle w:val="TableParagraph"/>
              <w:spacing w:before="139"/>
              <w:ind w:left="162"/>
              <w:rPr>
                <w:b/>
                <w:sz w:val="21"/>
              </w:rPr>
            </w:pPr>
            <w:r>
              <w:rPr>
                <w:b/>
                <w:sz w:val="21"/>
              </w:rPr>
              <w:t>现金价值</w:t>
            </w:r>
          </w:p>
        </w:tc>
        <w:tc>
          <w:tcPr>
            <w:tcW w:w="7490" w:type="dxa"/>
          </w:tcPr>
          <w:p>
            <w:pPr>
              <w:pStyle w:val="TableParagraph"/>
              <w:spacing w:line="273" w:lineRule="auto" w:before="139"/>
              <w:ind w:left="120" w:right="219"/>
              <w:rPr>
                <w:sz w:val="21"/>
              </w:rPr>
            </w:pPr>
            <w:r>
              <w:rPr>
                <w:sz w:val="21"/>
              </w:rPr>
              <w:t>指保险单所具有的价值，通常体现为解除附加合同时，根据精算原理计算的， 由我们退还的那部分金额。</w:t>
            </w:r>
          </w:p>
        </w:tc>
      </w:tr>
      <w:tr>
        <w:trPr>
          <w:trHeight w:val="729" w:hRule="atLeast"/>
        </w:trPr>
        <w:tc>
          <w:tcPr>
            <w:tcW w:w="786" w:type="dxa"/>
          </w:tcPr>
          <w:p>
            <w:pPr>
              <w:pStyle w:val="TableParagraph"/>
              <w:spacing w:before="139"/>
              <w:ind w:left="0" w:right="161"/>
              <w:jc w:val="right"/>
              <w:rPr>
                <w:b/>
                <w:sz w:val="21"/>
              </w:rPr>
            </w:pPr>
            <w:r>
              <w:rPr>
                <w:b/>
                <w:w w:val="95"/>
                <w:sz w:val="21"/>
              </w:rPr>
              <w:t>9.20</w:t>
            </w:r>
          </w:p>
        </w:tc>
        <w:tc>
          <w:tcPr>
            <w:tcW w:w="1974" w:type="dxa"/>
          </w:tcPr>
          <w:p>
            <w:pPr>
              <w:pStyle w:val="TableParagraph"/>
              <w:spacing w:before="139"/>
              <w:ind w:left="162"/>
              <w:rPr>
                <w:b/>
                <w:sz w:val="21"/>
              </w:rPr>
            </w:pPr>
            <w:r>
              <w:rPr>
                <w:b/>
                <w:sz w:val="21"/>
              </w:rPr>
              <w:t>约定的利率</w:t>
            </w:r>
          </w:p>
        </w:tc>
        <w:tc>
          <w:tcPr>
            <w:tcW w:w="7490" w:type="dxa"/>
          </w:tcPr>
          <w:p>
            <w:pPr>
              <w:pStyle w:val="TableParagraph"/>
              <w:spacing w:line="310" w:lineRule="atLeast" w:before="104"/>
              <w:ind w:left="121" w:right="430" w:hanging="1"/>
              <w:rPr>
                <w:sz w:val="21"/>
              </w:rPr>
            </w:pPr>
            <w:r>
              <w:rPr>
                <w:spacing w:val="-5"/>
                <w:sz w:val="21"/>
              </w:rPr>
              <w:t>按欠款起息日适用的“人民银行每月第一个营业日公布的人民币 </w:t>
            </w:r>
            <w:r>
              <w:rPr>
                <w:sz w:val="21"/>
              </w:rPr>
              <w:t>6</w:t>
            </w:r>
            <w:r>
              <w:rPr>
                <w:spacing w:val="-9"/>
                <w:sz w:val="21"/>
              </w:rPr>
              <w:t> 个月期贷</w:t>
            </w:r>
            <w:r>
              <w:rPr>
                <w:spacing w:val="-11"/>
                <w:sz w:val="21"/>
              </w:rPr>
              <w:t>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1200" w:bottom="560" w:left="720" w:right="720"/>
        </w:sectPr>
      </w:pPr>
    </w:p>
    <w:p>
      <w:pPr>
        <w:spacing w:before="5"/>
        <w:ind w:left="160" w:right="0" w:firstLine="0"/>
        <w:jc w:val="left"/>
        <w:rPr>
          <w:b/>
          <w:sz w:val="24"/>
        </w:rPr>
      </w:pPr>
      <w:r>
        <w:rPr>
          <w:b/>
          <w:w w:val="95"/>
          <w:sz w:val="24"/>
        </w:rPr>
        <w:t>附表：重大疾病列表及定义</w:t>
      </w:r>
    </w:p>
    <w:p>
      <w:pPr>
        <w:pStyle w:val="BodyText"/>
        <w:spacing w:before="10"/>
        <w:rPr>
          <w:b/>
          <w:sz w:val="25"/>
        </w:rPr>
      </w:pPr>
    </w:p>
    <w:p>
      <w:pPr>
        <w:pStyle w:val="BodyText"/>
        <w:spacing w:line="273" w:lineRule="auto" w:after="20"/>
        <w:ind w:left="159" w:right="154"/>
      </w:pPr>
      <w:r>
        <w:rPr>
          <w:spacing w:val="-7"/>
        </w:rPr>
        <w:t>本表所列第 </w:t>
      </w:r>
      <w:r>
        <w:rPr/>
        <w:t>1-25</w:t>
      </w:r>
      <w:r>
        <w:rPr>
          <w:spacing w:val="-7"/>
        </w:rPr>
        <w:t> 项为中国保险行业协会与中国医师协会共同制定的疾病定义，第 </w:t>
      </w:r>
      <w:r>
        <w:rPr/>
        <w:t>26-33</w:t>
      </w:r>
      <w:r>
        <w:rPr>
          <w:spacing w:val="-7"/>
        </w:rPr>
        <w:t> 项为本公司</w:t>
      </w:r>
      <w:r>
        <w:rPr>
          <w:spacing w:val="-5"/>
        </w:rPr>
        <w:t>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937" w:right="897"/>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spacing w:val="-1"/>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7"/>
              <w:rPr>
                <w:sz w:val="21"/>
              </w:rPr>
            </w:pPr>
            <w:r>
              <w:rPr>
                <w:spacing w:val="-24"/>
                <w:sz w:val="21"/>
              </w:rPr>
              <w:t>（3）</w:t>
            </w:r>
            <w:r>
              <w:rPr>
                <w:spacing w:val="-12"/>
                <w:sz w:val="21"/>
              </w:rPr>
              <w:t>自主生活能力完全丧失，无法独立完成六项基本日常生活活动</w:t>
            </w:r>
            <w:r>
              <w:rPr>
                <w:sz w:val="21"/>
              </w:rPr>
              <w:t>（注</w:t>
            </w:r>
          </w:p>
          <w:p>
            <w:pPr>
              <w:pStyle w:val="TableParagraph"/>
              <w:spacing w:before="36"/>
              <w:ind w:left="673"/>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2"/>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273" w:lineRule="auto" w:before="174"/>
              <w:ind w:right="106"/>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3"/>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80" w:top="110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91"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91" w:type="dxa"/>
            <w:tcBorders>
              <w:right w:val="single" w:sz="12" w:space="0" w:color="000000"/>
            </w:tcBorders>
          </w:tcPr>
          <w:p>
            <w:pPr>
              <w:pStyle w:val="TableParagraph"/>
              <w:spacing w:line="258"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91" w:type="dxa"/>
            <w:tcBorders>
              <w:right w:val="single" w:sz="12" w:space="0" w:color="000000"/>
            </w:tcBorders>
          </w:tcPr>
          <w:p>
            <w:pPr>
              <w:pStyle w:val="TableParagraph"/>
              <w:spacing w:before="4"/>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6"/>
              <w:ind w:right="1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91"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5"/>
              <w:rPr>
                <w:sz w:val="21"/>
              </w:rPr>
            </w:pPr>
            <w:r>
              <w:rPr>
                <w:spacing w:val="-12"/>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4"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3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58" w:lineRule="exact"/>
              <w:rPr>
                <w:sz w:val="21"/>
              </w:rPr>
            </w:pPr>
            <w:r>
              <w:rPr>
                <w:sz w:val="21"/>
              </w:rPr>
              <w:t>指不明原因的肺动脉压力持续性增高，进行性发展而导致的慢性疾病，</w:t>
            </w:r>
          </w:p>
          <w:p>
            <w:pPr>
              <w:pStyle w:val="TableParagraph"/>
              <w:spacing w:line="273" w:lineRule="auto" w:before="37"/>
              <w:ind w:right="104"/>
              <w:rPr>
                <w:sz w:val="21"/>
              </w:rPr>
            </w:pP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1"/>
              <w:rPr>
                <w:sz w:val="21"/>
              </w:rPr>
            </w:pPr>
            <w:r>
              <w:rPr>
                <w:spacing w:val="-3"/>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24</w:t>
            </w:r>
          </w:p>
        </w:tc>
        <w:tc>
          <w:tcPr>
            <w:tcW w:w="1709" w:type="dxa"/>
          </w:tcPr>
          <w:p>
            <w:pPr>
              <w:pStyle w:val="TableParagraph"/>
              <w:spacing w:line="256"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6"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4"/>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91"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91"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w:t>
            </w:r>
          </w:p>
          <w:p>
            <w:pPr>
              <w:pStyle w:val="TableParagraph"/>
              <w:spacing w:line="273" w:lineRule="auto" w:before="37"/>
              <w:ind w:right="104"/>
              <w:jc w:val="both"/>
              <w:rPr>
                <w:sz w:val="21"/>
              </w:rPr>
            </w:pPr>
            <w:r>
              <w:rPr>
                <w:spacing w:val="-9"/>
                <w:sz w:val="21"/>
              </w:rPr>
              <w:t>化症必须由医院的神经专科医生确诊。必须伴有典型的脱髓鞘症状和运</w:t>
            </w:r>
            <w:r>
              <w:rPr>
                <w:spacing w:val="-5"/>
                <w:sz w:val="21"/>
              </w:rPr>
              <w:t>动及感觉功能障碍的证据并有核磁共振检查</w:t>
            </w:r>
            <w:r>
              <w:rPr>
                <w:sz w:val="21"/>
              </w:rPr>
              <w:t>（MRI）</w:t>
            </w:r>
            <w:r>
              <w:rPr>
                <w:spacing w:val="-2"/>
                <w:sz w:val="21"/>
              </w:rPr>
              <w:t>和脑脊液检查的典</w:t>
            </w:r>
            <w:r>
              <w:rPr>
                <w:spacing w:val="-12"/>
                <w:sz w:val="21"/>
              </w:rPr>
              <w:t>型改变。多发性硬化症必须造成神经系统永久性功能损害并且已导致被</w:t>
            </w:r>
            <w:r>
              <w:rPr>
                <w:spacing w:val="-13"/>
                <w:sz w:val="21"/>
              </w:rPr>
              <w:t>保险人自主生活能力完全丧失，无法独立完成六项基本日常生活活动中</w:t>
            </w:r>
            <w:r>
              <w:rPr>
                <w:spacing w:val="-7"/>
                <w:sz w:val="21"/>
              </w:rPr>
              <w:t>的三项或三项以上持续达 </w:t>
            </w:r>
            <w:r>
              <w:rPr>
                <w:sz w:val="21"/>
              </w:rPr>
              <w:t>180</w:t>
            </w:r>
            <w:r>
              <w:rPr>
                <w:spacing w:val="-11"/>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91"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w:t>
            </w:r>
          </w:p>
          <w:p>
            <w:pPr>
              <w:pStyle w:val="TableParagraph"/>
              <w:spacing w:line="273" w:lineRule="auto" w:before="37"/>
              <w:ind w:right="104"/>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指达到美国纽约心脏病学会心功能状</w:t>
            </w:r>
            <w:r>
              <w:rPr>
                <w:spacing w:val="-3"/>
                <w:w w:val="100"/>
                <w:sz w:val="21"/>
              </w:rPr>
              <w:t>态分级</w:t>
            </w:r>
            <w:r>
              <w:rPr>
                <w:spacing w:val="-53"/>
                <w:sz w:val="21"/>
              </w:rPr>
              <w:t> </w:t>
            </w:r>
            <w:r>
              <w:rPr>
                <w:w w:val="100"/>
                <w:sz w:val="21"/>
              </w:rPr>
              <w:t>IV</w:t>
            </w:r>
            <w:r>
              <w:rPr>
                <w:spacing w:val="-55"/>
                <w:sz w:val="21"/>
              </w:rPr>
              <w:t> </w:t>
            </w:r>
            <w:r>
              <w:rPr>
                <w:w w:val="100"/>
                <w:sz w:val="21"/>
              </w:rPr>
              <w:t>级</w:t>
            </w:r>
            <w:r>
              <w:rPr>
                <w:spacing w:val="-106"/>
                <w:w w:val="100"/>
                <w:sz w:val="21"/>
              </w:rPr>
              <w:t>）</w:t>
            </w:r>
            <w:r>
              <w:rPr>
                <w:spacing w:val="-3"/>
                <w:w w:val="100"/>
                <w:sz w:val="21"/>
              </w:rPr>
              <w:t>，且有相关住院医疗记录显示</w:t>
            </w:r>
            <w:r>
              <w:rPr>
                <w:spacing w:val="-53"/>
                <w:sz w:val="21"/>
              </w:rPr>
              <w:t> </w:t>
            </w:r>
            <w:r>
              <w:rPr>
                <w:w w:val="100"/>
                <w:sz w:val="21"/>
              </w:rPr>
              <w:t>IV</w:t>
            </w:r>
            <w:r>
              <w:rPr>
                <w:spacing w:val="-53"/>
                <w:sz w:val="21"/>
              </w:rPr>
              <w:t> </w:t>
            </w:r>
            <w:r>
              <w:rPr>
                <w:spacing w:val="-3"/>
                <w:w w:val="100"/>
                <w:sz w:val="21"/>
              </w:rPr>
              <w:t>级心功能衰竭状态持续</w:t>
            </w:r>
            <w:r>
              <w:rPr>
                <w:spacing w:val="-20"/>
                <w:sz w:val="21"/>
              </w:rPr>
              <w:t>至少 </w:t>
            </w:r>
            <w:r>
              <w:rPr>
                <w:sz w:val="21"/>
              </w:rPr>
              <w:t>180</w:t>
            </w:r>
            <w:r>
              <w:rPr>
                <w:spacing w:val="-19"/>
                <w:sz w:val="21"/>
              </w:rPr>
              <w:t> 天。</w:t>
            </w:r>
          </w:p>
          <w:p>
            <w:pPr>
              <w:pStyle w:val="TableParagraph"/>
              <w:spacing w:line="273" w:lineRule="auto" w:before="163"/>
              <w:ind w:right="104"/>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91"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指广泛的慢性渐进性的关节损害，伴有明显的关节畸形，至少累及三个</w:t>
            </w:r>
          </w:p>
          <w:p>
            <w:pPr>
              <w:pStyle w:val="TableParagraph"/>
              <w:spacing w:line="273" w:lineRule="auto" w:before="37"/>
              <w:ind w:right="104"/>
              <w:jc w:val="both"/>
              <w:rPr>
                <w:sz w:val="21"/>
              </w:rPr>
            </w:pPr>
            <w:r>
              <w:rPr>
                <w:spacing w:val="-2"/>
                <w:w w:val="100"/>
                <w:sz w:val="21"/>
              </w:rPr>
              <w:t>或三个以上关节</w:t>
            </w:r>
            <w:r>
              <w:rPr>
                <w:spacing w:val="-3"/>
                <w:w w:val="100"/>
                <w:sz w:val="21"/>
              </w:rPr>
              <w:t>（如：手，腕，肘，髋，膝，踝关节</w:t>
            </w:r>
            <w:r>
              <w:rPr>
                <w:spacing w:val="-106"/>
                <w:w w:val="100"/>
                <w:sz w:val="21"/>
              </w:rPr>
              <w:t>）</w:t>
            </w:r>
            <w:r>
              <w:rPr>
                <w:spacing w:val="-3"/>
                <w:w w:val="100"/>
                <w:sz w:val="21"/>
              </w:rPr>
              <w:t>，并已经导致了</w:t>
            </w:r>
            <w:r>
              <w:rPr>
                <w:spacing w:val="-12"/>
                <w:sz w:val="21"/>
              </w:rPr>
              <w:t>自主生活能力完全丧失，无法独立完成六项基本日常生活活动中的三项</w:t>
            </w:r>
            <w:r>
              <w:rPr>
                <w:spacing w:val="-6"/>
                <w:sz w:val="21"/>
              </w:rPr>
              <w:t>或三项以上的情形。</w:t>
            </w:r>
          </w:p>
          <w:p>
            <w:pPr>
              <w:pStyle w:val="TableParagraph"/>
              <w:spacing w:line="273" w:lineRule="auto" w:before="163"/>
              <w:ind w:right="104"/>
              <w:jc w:val="both"/>
              <w:rPr>
                <w:sz w:val="21"/>
              </w:rPr>
            </w:pPr>
            <w:r>
              <w:rPr>
                <w:spacing w:val="-11"/>
                <w:sz w:val="21"/>
              </w:rPr>
              <w:t>上述疾病需由专科医生确诊，并提供相应医疗记录以证实上述病情已经</w:t>
            </w:r>
            <w:r>
              <w:rPr>
                <w:spacing w:val="-16"/>
                <w:sz w:val="21"/>
              </w:rPr>
              <w:t>存在至少 </w:t>
            </w:r>
            <w:r>
              <w:rPr>
                <w:sz w:val="21"/>
              </w:rPr>
              <w:t>90</w:t>
            </w:r>
            <w:r>
              <w:rPr>
                <w:spacing w:val="-19"/>
                <w:sz w:val="21"/>
              </w:rPr>
              <w:t>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91"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指有腹痛等典型症状的胰腺炎反复发作，导致胰腺进行性破坏，并导致</w:t>
            </w:r>
          </w:p>
          <w:p>
            <w:pPr>
              <w:pStyle w:val="TableParagraph"/>
              <w:spacing w:before="37"/>
              <w:rPr>
                <w:sz w:val="21"/>
              </w:rPr>
            </w:pPr>
            <w:r>
              <w:rPr>
                <w:sz w:val="21"/>
              </w:rPr>
              <w:t>胰腺功能紊乱而导致严重糖尿病以及营养不良、恶液质。须由断层扫描</w:t>
            </w:r>
          </w:p>
          <w:p>
            <w:pPr>
              <w:pStyle w:val="TableParagraph"/>
              <w:spacing w:line="273" w:lineRule="auto" w:before="37"/>
              <w:ind w:right="102"/>
              <w:rPr>
                <w:sz w:val="21"/>
              </w:rPr>
            </w:pPr>
            <w:r>
              <w:rPr>
                <w:spacing w:val="-14"/>
                <w:sz w:val="21"/>
              </w:rPr>
              <w:t>（CT）</w:t>
            </w:r>
            <w:r>
              <w:rPr>
                <w:spacing w:val="-7"/>
                <w:sz w:val="21"/>
              </w:rPr>
              <w:t>检查证实胰腺存在广泛钙化，且必须接受酶替代以及胰岛素替代</w:t>
            </w:r>
            <w:r>
              <w:rPr>
                <w:spacing w:val="-19"/>
                <w:sz w:val="21"/>
              </w:rPr>
              <w:t>治疗 </w:t>
            </w:r>
            <w:r>
              <w:rPr>
                <w:sz w:val="21"/>
              </w:rPr>
              <w:t>180</w:t>
            </w:r>
            <w:r>
              <w:rPr>
                <w:spacing w:val="-8"/>
                <w:sz w:val="21"/>
              </w:rPr>
              <w:t> 天以上。诊断必须由消化科专科医生确诊。</w:t>
            </w:r>
          </w:p>
          <w:p>
            <w:pPr>
              <w:pStyle w:val="TableParagraph"/>
              <w:spacing w:before="164"/>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91"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5" w:hanging="526"/>
              <w:rPr>
                <w:sz w:val="21"/>
              </w:rPr>
            </w:pPr>
            <w:r>
              <w:rPr>
                <w:spacing w:val="-9"/>
                <w:sz w:val="21"/>
              </w:rPr>
              <w:t>（1）</w:t>
            </w:r>
            <w:r>
              <w:rPr>
                <w:spacing w:val="-6"/>
                <w:sz w:val="21"/>
              </w:rPr>
              <w:t>左冠状动脉主干和右冠状动脉，两支血管管腔直径均减少 </w:t>
            </w:r>
            <w:r>
              <w:rPr>
                <w:sz w:val="21"/>
              </w:rPr>
              <w:t>60％以上；</w:t>
            </w:r>
          </w:p>
          <w:p>
            <w:pPr>
              <w:pStyle w:val="TableParagraph"/>
              <w:spacing w:line="273" w:lineRule="auto" w:before="7"/>
              <w:ind w:left="674" w:right="102" w:hanging="526"/>
              <w:jc w:val="both"/>
              <w:rPr>
                <w:sz w:val="21"/>
              </w:rPr>
            </w:pPr>
            <w:r>
              <w:rPr>
                <w:spacing w:val="-6"/>
                <w:sz w:val="21"/>
              </w:rPr>
              <w:t>（2）</w:t>
            </w:r>
            <w:r>
              <w:rPr>
                <w:spacing w:val="-8"/>
                <w:sz w:val="21"/>
              </w:rPr>
              <w:t>前降支、左旋支和右冠状动脉，至少一支血管管腔直径减少 </w:t>
            </w:r>
            <w:r>
              <w:rPr>
                <w:sz w:val="21"/>
              </w:rPr>
              <w:t>75％ </w:t>
            </w:r>
            <w:r>
              <w:rPr>
                <w:spacing w:val="-5"/>
                <w:sz w:val="21"/>
              </w:rPr>
              <w:t>以上和其他两支血管管腔直径减少 </w:t>
            </w:r>
            <w:r>
              <w:rPr>
                <w:sz w:val="21"/>
              </w:rPr>
              <w:t>60</w:t>
            </w:r>
            <w:r>
              <w:rPr>
                <w:spacing w:val="-9"/>
                <w:sz w:val="21"/>
              </w:rPr>
              <w:t>％以上。前降支、左旋支及</w:t>
            </w:r>
            <w:r>
              <w:rPr>
                <w:spacing w:val="-5"/>
                <w:sz w:val="21"/>
              </w:rPr>
              <w:t>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79"/>
              <w:rPr>
                <w:sz w:val="21"/>
              </w:rPr>
            </w:pPr>
            <w:r>
              <w:rPr>
                <w:sz w:val="21"/>
              </w:rPr>
              <w:t>的人类免疫缺陷病毒（HIV）感染</w:t>
            </w:r>
          </w:p>
        </w:tc>
        <w:tc>
          <w:tcPr>
            <w:tcW w:w="6691" w:type="dxa"/>
            <w:tcBorders>
              <w:right w:val="single" w:sz="12" w:space="0" w:color="000000"/>
            </w:tcBorders>
          </w:tcPr>
          <w:p>
            <w:pPr>
              <w:pStyle w:val="TableParagraph"/>
              <w:spacing w:line="256" w:lineRule="exact"/>
              <w:rPr>
                <w:sz w:val="21"/>
              </w:rPr>
            </w:pPr>
            <w:r>
              <w:rPr>
                <w:sz w:val="21"/>
              </w:rPr>
              <w:t>指被保险人在其常规职业工作过程中遭遇外伤，或者因职业需要处理血</w:t>
            </w:r>
          </w:p>
          <w:p>
            <w:pPr>
              <w:pStyle w:val="TableParagraph"/>
              <w:spacing w:line="408" w:lineRule="auto" w:before="37"/>
              <w:ind w:right="1792"/>
              <w:rPr>
                <w:sz w:val="21"/>
              </w:rPr>
            </w:pPr>
            <w:r>
              <w:rPr>
                <w:spacing w:val="-3"/>
                <w:w w:val="100"/>
                <w:sz w:val="21"/>
              </w:rPr>
              <w:t>液或者其他体液时感染上人类免疫缺陷病毒（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3"/>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3" w:right="105" w:hanging="526"/>
              <w:rPr>
                <w:sz w:val="21"/>
              </w:rPr>
            </w:pPr>
            <w:r>
              <w:rPr>
                <w:sz w:val="21"/>
              </w:rPr>
              <w:t>（3）</w:t>
            </w:r>
            <w:r>
              <w:rPr>
                <w:spacing w:val="-5"/>
                <w:sz w:val="21"/>
              </w:rPr>
              <w:t>必须提供被保险人在所报事故发生后的 </w:t>
            </w:r>
            <w:r>
              <w:rPr>
                <w:sz w:val="21"/>
              </w:rPr>
              <w:t>5</w:t>
            </w:r>
            <w:r>
              <w:rPr>
                <w:spacing w:val="-7"/>
                <w:sz w:val="21"/>
              </w:rPr>
              <w:t> 天以内所进行的检查报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4"/>
                <w:sz w:val="21"/>
              </w:rPr>
              <w:t> 抗体阴</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91" w:type="dxa"/>
            <w:tcBorders>
              <w:right w:val="single" w:sz="12" w:space="0" w:color="000000"/>
            </w:tcBorders>
          </w:tcPr>
          <w:p>
            <w:pPr>
              <w:pStyle w:val="TableParagraph"/>
              <w:spacing w:line="256" w:lineRule="exact"/>
              <w:ind w:left="673"/>
              <w:rPr>
                <w:sz w:val="21"/>
              </w:rPr>
            </w:pPr>
            <w:r>
              <w:rPr>
                <w:sz w:val="21"/>
              </w:rPr>
              <w:t>性；</w:t>
            </w:r>
          </w:p>
          <w:p>
            <w:pPr>
              <w:pStyle w:val="TableParagraph"/>
              <w:spacing w:line="273" w:lineRule="auto" w:before="37"/>
              <w:ind w:left="673" w:right="107" w:hanging="526"/>
              <w:rPr>
                <w:sz w:val="21"/>
              </w:rPr>
            </w:pPr>
            <w:r>
              <w:rPr>
                <w:sz w:val="21"/>
              </w:rPr>
              <w:t>（4）</w:t>
            </w:r>
            <w:r>
              <w:rPr>
                <w:spacing w:val="-8"/>
                <w:sz w:val="21"/>
              </w:rPr>
              <w:t>必须在事故发生后的 </w:t>
            </w:r>
            <w:r>
              <w:rPr>
                <w:sz w:val="21"/>
              </w:rPr>
              <w:t>360</w:t>
            </w:r>
            <w:r>
              <w:rPr>
                <w:spacing w:val="-12"/>
                <w:sz w:val="21"/>
              </w:rPr>
              <w:t> 天内证实被保险人体内存在 </w:t>
            </w:r>
            <w:r>
              <w:rPr>
                <w:sz w:val="21"/>
              </w:rPr>
              <w:t>HIV</w:t>
            </w:r>
            <w:r>
              <w:rPr>
                <w:spacing w:val="-15"/>
                <w:sz w:val="21"/>
              </w:rPr>
              <w:t> 病毒或</w:t>
            </w:r>
            <w:r>
              <w:rPr>
                <w:spacing w:val="-25"/>
                <w:sz w:val="21"/>
              </w:rPr>
              <w:t>者 </w:t>
            </w:r>
            <w:r>
              <w:rPr>
                <w:sz w:val="21"/>
              </w:rPr>
              <w:t>HIV</w:t>
            </w:r>
            <w:r>
              <w:rPr>
                <w:spacing w:val="-15"/>
                <w:sz w:val="21"/>
              </w:rPr>
              <w:t> 抗体。</w:t>
            </w:r>
          </w:p>
          <w:p>
            <w:pPr>
              <w:pStyle w:val="TableParagraph"/>
              <w:spacing w:line="273" w:lineRule="auto" w:before="163"/>
              <w:ind w:right="102"/>
              <w:jc w:val="both"/>
              <w:rPr>
                <w:rFonts w:ascii="黑体" w:hAnsi="黑体" w:eastAsia="黑体" w:hint="eastAsia"/>
                <w:sz w:val="21"/>
              </w:rPr>
            </w:pPr>
            <w:r>
              <w:rPr>
                <w:rFonts w:ascii="黑体" w:hAnsi="黑体" w:eastAsia="黑体" w:hint="eastAsia"/>
                <w:spacing w:val="-12"/>
                <w:sz w:val="21"/>
              </w:rPr>
              <w:t>限定职业：①消防队员；②警察、狱警；③在依法设立的医疗机构中工</w:t>
            </w:r>
            <w:r>
              <w:rPr>
                <w:rFonts w:ascii="黑体" w:hAnsi="黑体" w:eastAsia="黑体" w:hint="eastAsia"/>
                <w:spacing w:val="-2"/>
                <w:sz w:val="21"/>
              </w:rPr>
              <w:t>作的医</w:t>
            </w:r>
            <w:r>
              <w:rPr>
                <w:rFonts w:ascii="黑体" w:hAnsi="黑体" w:eastAsia="黑体" w:hint="eastAsia"/>
                <w:sz w:val="21"/>
              </w:rPr>
              <w:t>Th</w:t>
            </w:r>
            <w:r>
              <w:rPr>
                <w:rFonts w:ascii="黑体" w:hAnsi="黑体" w:eastAsia="黑体" w:hint="eastAsia"/>
                <w:spacing w:val="-11"/>
                <w:sz w:val="21"/>
              </w:rPr>
              <w:t>、护士、实验室工作人员、医院护工、医</w:t>
            </w:r>
            <w:r>
              <w:rPr>
                <w:rFonts w:ascii="黑体" w:hAnsi="黑体" w:eastAsia="黑体" w:hint="eastAsia"/>
                <w:sz w:val="21"/>
              </w:rPr>
              <w:t>Th</w:t>
            </w:r>
            <w:r>
              <w:rPr>
                <w:rFonts w:ascii="黑体" w:hAnsi="黑体" w:eastAsia="黑体" w:hint="eastAsia"/>
                <w:spacing w:val="-6"/>
                <w:sz w:val="21"/>
              </w:rPr>
              <w:t>助理、救护车工作</w:t>
            </w:r>
            <w:r>
              <w:rPr>
                <w:rFonts w:ascii="黑体" w:hAnsi="黑体" w:eastAsia="黑体" w:hint="eastAsia"/>
                <w:spacing w:val="-4"/>
                <w:sz w:val="21"/>
              </w:rPr>
              <w:t>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91"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2" w:hanging="1"/>
              <w:jc w:val="both"/>
              <w:rPr>
                <w:sz w:val="21"/>
              </w:rPr>
            </w:pPr>
            <w:r>
              <w:rPr>
                <w:spacing w:val="-8"/>
                <w:sz w:val="21"/>
              </w:rPr>
              <w:t>病，至少导致两个或以上的肢体瘫痪程度达到肌力在 </w:t>
            </w:r>
            <w:r>
              <w:rPr>
                <w:sz w:val="21"/>
              </w:rPr>
              <w:t>0-III</w:t>
            </w:r>
            <w:r>
              <w:rPr>
                <w:spacing w:val="-24"/>
                <w:sz w:val="21"/>
              </w:rPr>
              <w:t> 级，经 </w:t>
            </w:r>
            <w:r>
              <w:rPr>
                <w:sz w:val="21"/>
              </w:rPr>
              <w:t>180 </w:t>
            </w:r>
            <w:r>
              <w:rPr>
                <w:spacing w:val="-6"/>
                <w:sz w:val="21"/>
              </w:rPr>
              <w:t>天治疗后肢体肌力仍然不能恢复到 </w:t>
            </w:r>
            <w:r>
              <w:rPr>
                <w:sz w:val="21"/>
              </w:rPr>
              <w:t>IV</w:t>
            </w:r>
            <w:r>
              <w:rPr>
                <w:spacing w:val="-19"/>
                <w:sz w:val="21"/>
              </w:rPr>
              <w:t> 级</w:t>
            </w:r>
            <w:r>
              <w:rPr>
                <w:spacing w:val="-3"/>
                <w:sz w:val="21"/>
              </w:rPr>
              <w:t>（</w:t>
            </w:r>
            <w:r>
              <w:rPr>
                <w:sz w:val="21"/>
              </w:rPr>
              <w:t>含</w:t>
            </w:r>
            <w:r>
              <w:rPr>
                <w:spacing w:val="-3"/>
                <w:sz w:val="21"/>
              </w:rPr>
              <w:t>）以上。诊断需提供脊髓灰质炎病毒检查的证据（如粪便或脑脊液检查，血液中抗体检查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4"/>
              <w:rPr>
                <w:rFonts w:ascii="黑体" w:eastAsia="黑体" w:hint="eastAsia"/>
                <w:sz w:val="21"/>
              </w:rPr>
            </w:pPr>
            <w:r>
              <w:rPr>
                <w:rFonts w:ascii="黑体" w:eastAsia="黑体" w:hint="eastAsia"/>
                <w:spacing w:val="-3"/>
                <w:sz w:val="21"/>
              </w:rPr>
              <w:t>未导致肢体瘫痪（</w:t>
            </w:r>
            <w:r>
              <w:rPr>
                <w:rFonts w:ascii="黑体" w:eastAsia="黑体" w:hint="eastAsia"/>
                <w:spacing w:val="-8"/>
                <w:sz w:val="21"/>
              </w:rPr>
              <w:t>肢体肌力达 </w:t>
            </w:r>
            <w:r>
              <w:rPr>
                <w:rFonts w:ascii="黑体" w:eastAsia="黑体" w:hint="eastAsia"/>
                <w:sz w:val="21"/>
              </w:rPr>
              <w:t>IV</w:t>
            </w:r>
            <w:r>
              <w:rPr>
                <w:rFonts w:ascii="黑体" w:eastAsia="黑体" w:hint="eastAsia"/>
                <w:spacing w:val="-19"/>
                <w:sz w:val="21"/>
              </w:rPr>
              <w:t> 级</w:t>
            </w:r>
            <w:r>
              <w:rPr>
                <w:rFonts w:ascii="黑体" w:eastAsia="黑体" w:hint="eastAsia"/>
                <w:spacing w:val="-3"/>
                <w:sz w:val="21"/>
              </w:rPr>
              <w:t>（</w:t>
            </w:r>
            <w:r>
              <w:rPr>
                <w:rFonts w:ascii="黑体" w:eastAsia="黑体" w:hint="eastAsia"/>
                <w:sz w:val="21"/>
              </w:rPr>
              <w:t>含</w:t>
            </w:r>
            <w:r>
              <w:rPr>
                <w:rFonts w:ascii="黑体" w:eastAsia="黑体" w:hint="eastAsia"/>
                <w:spacing w:val="-3"/>
                <w:sz w:val="21"/>
              </w:rPr>
              <w:t>）</w:t>
            </w:r>
            <w:r>
              <w:rPr>
                <w:rFonts w:ascii="黑体" w:eastAsia="黑体" w:hint="eastAsia"/>
                <w:spacing w:val="-2"/>
                <w:sz w:val="21"/>
              </w:rPr>
              <w:t>以上</w:t>
            </w:r>
            <w:r>
              <w:rPr>
                <w:rFonts w:ascii="黑体" w:eastAsia="黑体" w:hint="eastAsia"/>
                <w:sz w:val="21"/>
              </w:rPr>
              <w:t>）</w:t>
            </w:r>
            <w:r>
              <w:rPr>
                <w:rFonts w:ascii="黑体" w:eastAsia="黑体" w:hint="eastAsia"/>
                <w:spacing w:val="-3"/>
                <w:sz w:val="21"/>
              </w:rPr>
              <w:t>者及其它原因导致的瘫痪不在该类疾病保障范围内。</w:t>
            </w:r>
          </w:p>
        </w:tc>
      </w:tr>
      <w:tr>
        <w:trPr>
          <w:trHeight w:val="6397"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33</w:t>
            </w:r>
          </w:p>
        </w:tc>
        <w:tc>
          <w:tcPr>
            <w:tcW w:w="1709" w:type="dxa"/>
            <w:tcBorders>
              <w:bottom w:val="single" w:sz="12" w:space="0" w:color="000000"/>
            </w:tcBorders>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指一种自身免疫性结缔组织病，于体内有大量致病性自身抗体和免疫复</w:t>
            </w:r>
          </w:p>
          <w:p>
            <w:pPr>
              <w:pStyle w:val="TableParagraph"/>
              <w:spacing w:line="273" w:lineRule="auto" w:before="37"/>
              <w:ind w:right="104"/>
              <w:rPr>
                <w:sz w:val="21"/>
              </w:rPr>
            </w:pPr>
            <w:r>
              <w:rPr>
                <w:spacing w:val="-11"/>
                <w:sz w:val="21"/>
              </w:rPr>
              <w:t>合物，造成组织损伤。系统性红斑狼疮的诊断必须经医师明确诊断，并</w:t>
            </w:r>
            <w:r>
              <w:rPr>
                <w:spacing w:val="-6"/>
                <w:sz w:val="21"/>
              </w:rPr>
              <w:t>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671"/>
              <w:rPr>
                <w:sz w:val="21"/>
              </w:rPr>
            </w:pPr>
            <w:r>
              <w:rPr>
                <w:sz w:val="21"/>
              </w:rPr>
              <w:t>⑦ 血象异常（白细胞小于 4000/μl 或血小板小于 100000/μl</w:t>
            </w:r>
          </w:p>
          <w:p>
            <w:pPr>
              <w:pStyle w:val="TableParagraph"/>
              <w:spacing w:before="36"/>
              <w:ind w:left="937" w:right="4131"/>
              <w:jc w:val="center"/>
              <w:rPr>
                <w:sz w:val="21"/>
              </w:rPr>
            </w:pPr>
            <w:r>
              <w:rPr>
                <w:spacing w:val="-2"/>
                <w:sz w:val="21"/>
              </w:rPr>
              <w:t>或溶血性贫血</w:t>
            </w:r>
            <w:r>
              <w:rPr>
                <w:spacing w:val="-108"/>
                <w:sz w:val="21"/>
              </w:rPr>
              <w:t>）</w:t>
            </w:r>
            <w:r>
              <w:rPr>
                <w:sz w:val="21"/>
              </w:rPr>
              <w:t>。</w:t>
            </w:r>
          </w:p>
          <w:p>
            <w:pPr>
              <w:pStyle w:val="TableParagraph"/>
              <w:spacing w:before="36"/>
              <w:rPr>
                <w:sz w:val="21"/>
              </w:rPr>
            </w:pPr>
            <w:r>
              <w:rPr>
                <w:sz w:val="21"/>
              </w:rPr>
              <w:t>（2）检测结果至少具备下列条件中的两个：</w:t>
            </w:r>
          </w:p>
          <w:p>
            <w:pPr>
              <w:pStyle w:val="TableParagraph"/>
              <w:spacing w:before="36"/>
              <w:ind w:left="673"/>
              <w:rPr>
                <w:sz w:val="21"/>
              </w:rPr>
            </w:pPr>
            <w:r>
              <w:rPr>
                <w:sz w:val="21"/>
              </w:rPr>
              <w:t>① 抗 dsDNA 抗体阳性；</w:t>
            </w:r>
          </w:p>
          <w:p>
            <w:pPr>
              <w:pStyle w:val="TableParagraph"/>
              <w:spacing w:before="36"/>
              <w:ind w:left="674"/>
              <w:rPr>
                <w:sz w:val="21"/>
              </w:rPr>
            </w:pPr>
            <w:r>
              <w:rPr>
                <w:sz w:val="21"/>
              </w:rPr>
              <w:t>② 抗 Sm 抗体阳性；</w:t>
            </w:r>
          </w:p>
          <w:p>
            <w:pPr>
              <w:pStyle w:val="TableParagraph"/>
              <w:spacing w:before="36"/>
              <w:ind w:left="674"/>
              <w:rPr>
                <w:sz w:val="21"/>
              </w:rPr>
            </w:pPr>
            <w:r>
              <w:rPr>
                <w:sz w:val="21"/>
              </w:rPr>
              <w:t>③ 抗核抗体阳性；</w:t>
            </w:r>
          </w:p>
          <w:p>
            <w:pPr>
              <w:pStyle w:val="TableParagraph"/>
              <w:spacing w:before="36"/>
              <w:ind w:left="674"/>
              <w:rPr>
                <w:sz w:val="21"/>
              </w:rPr>
            </w:pPr>
            <w:r>
              <w:rPr>
                <w:sz w:val="21"/>
              </w:rPr>
              <w:t>④ 皮肤狼疮带试验（非病损部位）或肾活检阳性；</w:t>
            </w:r>
          </w:p>
          <w:p>
            <w:pPr>
              <w:pStyle w:val="TableParagraph"/>
              <w:spacing w:before="36"/>
              <w:ind w:left="674"/>
              <w:rPr>
                <w:sz w:val="21"/>
              </w:rPr>
            </w:pPr>
            <w:r>
              <w:rPr>
                <w:sz w:val="21"/>
              </w:rPr>
              <w:t>⑤ C3 低于正常值。</w:t>
            </w:r>
          </w:p>
          <w:p>
            <w:pPr>
              <w:pStyle w:val="TableParagraph"/>
              <w:spacing w:before="36"/>
              <w:rPr>
                <w:sz w:val="21"/>
              </w:rPr>
            </w:pPr>
            <w:r>
              <w:rPr>
                <w:sz w:val="21"/>
              </w:rPr>
              <w:t>（3）狼疮肾炎致使肾功能减弱，内生肌酐清除率低于每分钟 30ml。</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pStyle w:val="Heading2"/>
        <w:spacing w:before="37"/>
        <w:ind w:left="160"/>
      </w:pPr>
      <w:r>
        <w:rPr/>
        <w:t>注：</w:t>
      </w:r>
    </w:p>
    <w:p>
      <w:pPr>
        <w:pStyle w:val="ListParagraph"/>
        <w:numPr>
          <w:ilvl w:val="0"/>
          <w:numId w:val="6"/>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6"/>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6"/>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BodyText"/>
        <w:spacing w:line="273" w:lineRule="auto" w:before="7"/>
        <w:ind w:left="791" w:right="115" w:hanging="632"/>
      </w:pPr>
      <w:r>
        <w:rPr/>
        <w:t>（4）六项基本日常生活活动是指：① 穿衣：自己能够穿衣及脱衣；② 移动：自己从一个房间到另一个房间；③ 行动：自己上下床或上下轮椅；④ 如厕：自己控制进行大小便；⑤ 进食：自己从已准备好</w:t>
      </w:r>
    </w:p>
    <w:p>
      <w:pPr>
        <w:spacing w:after="0" w:line="273" w:lineRule="auto"/>
        <w:sectPr>
          <w:pgSz w:w="11910" w:h="16840"/>
          <w:pgMar w:header="0" w:footer="380" w:top="840" w:bottom="560" w:left="860" w:right="900"/>
        </w:sectPr>
      </w:pPr>
    </w:p>
    <w:p>
      <w:pPr>
        <w:pStyle w:val="BodyText"/>
        <w:spacing w:before="21"/>
        <w:ind w:left="751"/>
      </w:pPr>
      <w:r>
        <w:rPr/>
        <w:t>的碗或碟中取食物放入口中；⑥ 洗澡：自己进行淋浴或盆浴。</w:t>
      </w:r>
    </w:p>
    <w:p>
      <w:pPr>
        <w:pStyle w:val="BodyText"/>
        <w:spacing w:line="273" w:lineRule="auto" w:before="37"/>
        <w:ind w:left="751" w:right="115" w:hanging="632"/>
      </w:pPr>
      <w:r>
        <w:rPr/>
        <w:t>（5）</w:t>
      </w:r>
      <w:r>
        <w:rPr>
          <w:spacing w:val="-5"/>
        </w:rPr>
        <w:t> 永久不可逆，指自疾病确诊或意外伤害发生之日起，经过积极治疗 </w:t>
      </w:r>
      <w:r>
        <w:rPr/>
        <w:t>180</w:t>
      </w:r>
      <w:r>
        <w:rPr>
          <w:spacing w:val="-8"/>
        </w:rPr>
        <w:t> 天后，仍无法通过现有医疗手</w:t>
      </w:r>
      <w:r>
        <w:rPr>
          <w:spacing w:val="-6"/>
        </w:rPr>
        <w:t>段恢复。</w:t>
      </w:r>
    </w:p>
    <w:p>
      <w:pPr>
        <w:pStyle w:val="BodyText"/>
        <w:spacing w:before="5"/>
        <w:rPr>
          <w:sz w:val="24"/>
        </w:rPr>
      </w:pPr>
    </w:p>
    <w:p>
      <w:pPr>
        <w:pStyle w:val="BodyText"/>
        <w:ind w:left="4720" w:right="4720"/>
        <w:jc w:val="center"/>
      </w:pPr>
      <w:r>
        <w:rPr/>
        <w:t>（完）</w:t>
      </w:r>
    </w:p>
    <w:sectPr>
      <w:pgSz w:w="11910" w:h="16840"/>
      <w:pgMar w:header="0" w:footer="380" w:top="800" w:bottom="6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3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4">
    <w:multiLevelType w:val="hybridMultilevel"/>
    <w:lvl w:ilvl="0">
      <w:start w:val="9"/>
      <w:numFmt w:val="decimal"/>
      <w:lvlText w:val="%1"/>
      <w:lvlJc w:val="left"/>
      <w:pPr>
        <w:ind w:left="1323" w:hanging="528"/>
        <w:jc w:val="left"/>
      </w:pPr>
      <w:rPr>
        <w:rFonts w:hint="default"/>
      </w:rPr>
    </w:lvl>
    <w:lvl w:ilvl="1">
      <w:start w:val="18"/>
      <w:numFmt w:val="decimal"/>
      <w:lvlText w:val="%1.%2"/>
      <w:lvlJc w:val="left"/>
      <w:pPr>
        <w:ind w:left="1323" w:hanging="528"/>
        <w:jc w:val="left"/>
      </w:pPr>
      <w:rPr>
        <w:rFonts w:hint="default" w:ascii="宋体" w:hAnsi="宋体" w:eastAsia="宋体" w:cs="宋体"/>
        <w:w w:val="100"/>
        <w:sz w:val="21"/>
        <w:szCs w:val="21"/>
      </w:rPr>
    </w:lvl>
    <w:lvl w:ilvl="2">
      <w:start w:val="0"/>
      <w:numFmt w:val="bullet"/>
      <w:lvlText w:val="•"/>
      <w:lvlJc w:val="left"/>
      <w:pPr>
        <w:ind w:left="1887" w:hanging="528"/>
      </w:pPr>
      <w:rPr>
        <w:rFonts w:hint="default"/>
      </w:rPr>
    </w:lvl>
    <w:lvl w:ilvl="3">
      <w:start w:val="0"/>
      <w:numFmt w:val="bullet"/>
      <w:lvlText w:val="•"/>
      <w:lvlJc w:val="left"/>
      <w:pPr>
        <w:ind w:left="2171" w:hanging="528"/>
      </w:pPr>
      <w:rPr>
        <w:rFonts w:hint="default"/>
      </w:rPr>
    </w:lvl>
    <w:lvl w:ilvl="4">
      <w:start w:val="0"/>
      <w:numFmt w:val="bullet"/>
      <w:lvlText w:val="•"/>
      <w:lvlJc w:val="left"/>
      <w:pPr>
        <w:ind w:left="2455" w:hanging="528"/>
      </w:pPr>
      <w:rPr>
        <w:rFonts w:hint="default"/>
      </w:rPr>
    </w:lvl>
    <w:lvl w:ilvl="5">
      <w:start w:val="0"/>
      <w:numFmt w:val="bullet"/>
      <w:lvlText w:val="•"/>
      <w:lvlJc w:val="left"/>
      <w:pPr>
        <w:ind w:left="2739" w:hanging="528"/>
      </w:pPr>
      <w:rPr>
        <w:rFonts w:hint="default"/>
      </w:rPr>
    </w:lvl>
    <w:lvl w:ilvl="6">
      <w:start w:val="0"/>
      <w:numFmt w:val="bullet"/>
      <w:lvlText w:val="•"/>
      <w:lvlJc w:val="left"/>
      <w:pPr>
        <w:ind w:left="3023" w:hanging="528"/>
      </w:pPr>
      <w:rPr>
        <w:rFonts w:hint="default"/>
      </w:rPr>
    </w:lvl>
    <w:lvl w:ilvl="7">
      <w:start w:val="0"/>
      <w:numFmt w:val="bullet"/>
      <w:lvlText w:val="•"/>
      <w:lvlJc w:val="left"/>
      <w:pPr>
        <w:ind w:left="3307" w:hanging="528"/>
      </w:pPr>
      <w:rPr>
        <w:rFonts w:hint="default"/>
      </w:rPr>
    </w:lvl>
    <w:lvl w:ilvl="8">
      <w:start w:val="0"/>
      <w:numFmt w:val="bullet"/>
      <w:lvlText w:val="•"/>
      <w:lvlJc w:val="left"/>
      <w:pPr>
        <w:ind w:left="3591" w:hanging="528"/>
      </w:pPr>
      <w:rPr>
        <w:rFonts w:hint="default"/>
      </w:rPr>
    </w:lvl>
  </w:abstractNum>
  <w:abstractNum w:abstractNumId="3">
    <w:multiLevelType w:val="hybridMultilevel"/>
    <w:lvl w:ilvl="0">
      <w:start w:val="9"/>
      <w:numFmt w:val="decimal"/>
      <w:lvlText w:val="%1"/>
      <w:lvlJc w:val="left"/>
      <w:pPr>
        <w:ind w:left="1481" w:hanging="423"/>
        <w:jc w:val="left"/>
      </w:pPr>
      <w:rPr>
        <w:rFonts w:hint="default"/>
      </w:rPr>
    </w:lvl>
    <w:lvl w:ilvl="1">
      <w:start w:val="1"/>
      <w:numFmt w:val="decimal"/>
      <w:lvlText w:val="%1.%2"/>
      <w:lvlJc w:val="left"/>
      <w:pPr>
        <w:ind w:left="1481" w:hanging="423"/>
        <w:jc w:val="left"/>
      </w:pPr>
      <w:rPr>
        <w:rFonts w:hint="default" w:ascii="宋体" w:hAnsi="宋体" w:eastAsia="宋体" w:cs="宋体"/>
        <w:w w:val="100"/>
        <w:sz w:val="21"/>
        <w:szCs w:val="21"/>
      </w:rPr>
    </w:lvl>
    <w:lvl w:ilvl="2">
      <w:start w:val="0"/>
      <w:numFmt w:val="bullet"/>
      <w:lvlText w:val="•"/>
      <w:lvlJc w:val="left"/>
      <w:pPr>
        <w:ind w:left="1816" w:hanging="423"/>
      </w:pPr>
      <w:rPr>
        <w:rFonts w:hint="default"/>
      </w:rPr>
    </w:lvl>
    <w:lvl w:ilvl="3">
      <w:start w:val="0"/>
      <w:numFmt w:val="bullet"/>
      <w:lvlText w:val="•"/>
      <w:lvlJc w:val="left"/>
      <w:pPr>
        <w:ind w:left="1984" w:hanging="423"/>
      </w:pPr>
      <w:rPr>
        <w:rFonts w:hint="default"/>
      </w:rPr>
    </w:lvl>
    <w:lvl w:ilvl="4">
      <w:start w:val="0"/>
      <w:numFmt w:val="bullet"/>
      <w:lvlText w:val="•"/>
      <w:lvlJc w:val="left"/>
      <w:pPr>
        <w:ind w:left="2152" w:hanging="423"/>
      </w:pPr>
      <w:rPr>
        <w:rFonts w:hint="default"/>
      </w:rPr>
    </w:lvl>
    <w:lvl w:ilvl="5">
      <w:start w:val="0"/>
      <w:numFmt w:val="bullet"/>
      <w:lvlText w:val="•"/>
      <w:lvlJc w:val="left"/>
      <w:pPr>
        <w:ind w:left="2320" w:hanging="423"/>
      </w:pPr>
      <w:rPr>
        <w:rFonts w:hint="default"/>
      </w:rPr>
    </w:lvl>
    <w:lvl w:ilvl="6">
      <w:start w:val="0"/>
      <w:numFmt w:val="bullet"/>
      <w:lvlText w:val="•"/>
      <w:lvlJc w:val="left"/>
      <w:pPr>
        <w:ind w:left="2489" w:hanging="423"/>
      </w:pPr>
      <w:rPr>
        <w:rFonts w:hint="default"/>
      </w:rPr>
    </w:lvl>
    <w:lvl w:ilvl="7">
      <w:start w:val="0"/>
      <w:numFmt w:val="bullet"/>
      <w:lvlText w:val="•"/>
      <w:lvlJc w:val="left"/>
      <w:pPr>
        <w:ind w:left="2657" w:hanging="423"/>
      </w:pPr>
      <w:rPr>
        <w:rFonts w:hint="default"/>
      </w:rPr>
    </w:lvl>
    <w:lvl w:ilvl="8">
      <w:start w:val="0"/>
      <w:numFmt w:val="bullet"/>
      <w:lvlText w:val="•"/>
      <w:lvlJc w:val="left"/>
      <w:pPr>
        <w:ind w:left="2825" w:hanging="423"/>
      </w:pPr>
      <w:rPr>
        <w:rFonts w:hint="default"/>
      </w:rPr>
    </w:lvl>
  </w:abstractNum>
  <w:abstractNum w:abstractNumId="2">
    <w:multiLevelType w:val="hybridMultilevel"/>
    <w:lvl w:ilvl="0">
      <w:start w:val="9"/>
      <w:numFmt w:val="decimal"/>
      <w:lvlText w:val="%1"/>
      <w:lvlJc w:val="left"/>
      <w:pPr>
        <w:ind w:left="905" w:hanging="526"/>
        <w:jc w:val="left"/>
      </w:pPr>
      <w:rPr>
        <w:rFonts w:hint="default"/>
      </w:rPr>
    </w:lvl>
    <w:lvl w:ilvl="1">
      <w:start w:val="10"/>
      <w:numFmt w:val="decimal"/>
      <w:lvlText w:val="%1.%2"/>
      <w:lvlJc w:val="left"/>
      <w:pPr>
        <w:ind w:left="905" w:hanging="526"/>
        <w:jc w:val="left"/>
      </w:pPr>
      <w:rPr>
        <w:rFonts w:hint="default" w:ascii="宋体" w:hAnsi="宋体" w:eastAsia="宋体" w:cs="宋体"/>
        <w:w w:val="100"/>
        <w:sz w:val="21"/>
        <w:szCs w:val="21"/>
      </w:rPr>
    </w:lvl>
    <w:lvl w:ilvl="2">
      <w:start w:val="4"/>
      <w:numFmt w:val="decimal"/>
      <w:lvlText w:val="%3."/>
      <w:lvlJc w:val="left"/>
      <w:pPr>
        <w:ind w:left="1164" w:hanging="317"/>
        <w:jc w:val="left"/>
      </w:pPr>
      <w:rPr>
        <w:rFonts w:hint="default" w:ascii="宋体" w:hAnsi="宋体" w:eastAsia="宋体" w:cs="宋体"/>
        <w:b/>
        <w:bCs/>
        <w:w w:val="99"/>
        <w:sz w:val="21"/>
        <w:szCs w:val="21"/>
      </w:rPr>
    </w:lvl>
    <w:lvl w:ilvl="3">
      <w:start w:val="1"/>
      <w:numFmt w:val="decimal"/>
      <w:lvlText w:val="%3.%4"/>
      <w:lvlJc w:val="left"/>
      <w:pPr>
        <w:ind w:left="1479" w:hanging="423"/>
        <w:jc w:val="left"/>
      </w:pPr>
      <w:rPr>
        <w:rFonts w:hint="default" w:ascii="宋体" w:hAnsi="宋体" w:eastAsia="宋体" w:cs="宋体"/>
        <w:w w:val="100"/>
        <w:sz w:val="21"/>
        <w:szCs w:val="21"/>
      </w:rPr>
    </w:lvl>
    <w:lvl w:ilvl="4">
      <w:start w:val="0"/>
      <w:numFmt w:val="bullet"/>
      <w:lvlText w:val="•"/>
      <w:lvlJc w:val="left"/>
      <w:pPr>
        <w:ind w:left="128" w:hanging="423"/>
      </w:pPr>
      <w:rPr>
        <w:rFonts w:hint="default"/>
      </w:rPr>
    </w:lvl>
    <w:lvl w:ilvl="5">
      <w:start w:val="0"/>
      <w:numFmt w:val="bullet"/>
      <w:lvlText w:val="•"/>
      <w:lvlJc w:val="left"/>
      <w:pPr>
        <w:ind w:left="-548" w:hanging="423"/>
      </w:pPr>
      <w:rPr>
        <w:rFonts w:hint="default"/>
      </w:rPr>
    </w:lvl>
    <w:lvl w:ilvl="6">
      <w:start w:val="0"/>
      <w:numFmt w:val="bullet"/>
      <w:lvlText w:val="•"/>
      <w:lvlJc w:val="left"/>
      <w:pPr>
        <w:ind w:left="-1224" w:hanging="423"/>
      </w:pPr>
      <w:rPr>
        <w:rFonts w:hint="default"/>
      </w:rPr>
    </w:lvl>
    <w:lvl w:ilvl="7">
      <w:start w:val="0"/>
      <w:numFmt w:val="bullet"/>
      <w:lvlText w:val="•"/>
      <w:lvlJc w:val="left"/>
      <w:pPr>
        <w:ind w:left="-1900" w:hanging="423"/>
      </w:pPr>
      <w:rPr>
        <w:rFonts w:hint="default"/>
      </w:rPr>
    </w:lvl>
    <w:lvl w:ilvl="8">
      <w:start w:val="0"/>
      <w:numFmt w:val="bullet"/>
      <w:lvlText w:val="•"/>
      <w:lvlJc w:val="left"/>
      <w:pPr>
        <w:ind w:left="-2576" w:hanging="423"/>
      </w:pPr>
      <w:rPr>
        <w:rFonts w:hint="default"/>
      </w:rPr>
    </w:lvl>
  </w:abstractNum>
  <w:abstractNum w:abstractNumId="1">
    <w:multiLevelType w:val="hybridMultilevel"/>
    <w:lvl w:ilvl="0">
      <w:start w:val="2"/>
      <w:numFmt w:val="decimal"/>
      <w:lvlText w:val="%1"/>
      <w:lvlJc w:val="left"/>
      <w:pPr>
        <w:ind w:left="1479" w:hanging="423"/>
        <w:jc w:val="left"/>
      </w:pPr>
      <w:rPr>
        <w:rFonts w:hint="default"/>
      </w:rPr>
    </w:lvl>
    <w:lvl w:ilvl="1">
      <w:start w:val="1"/>
      <w:numFmt w:val="decimal"/>
      <w:lvlText w:val="%1.%2"/>
      <w:lvlJc w:val="left"/>
      <w:pPr>
        <w:ind w:left="1479" w:hanging="423"/>
        <w:jc w:val="left"/>
      </w:pPr>
      <w:rPr>
        <w:rFonts w:hint="default" w:ascii="宋体" w:hAnsi="宋体" w:eastAsia="宋体" w:cs="宋体"/>
        <w:w w:val="100"/>
        <w:sz w:val="21"/>
        <w:szCs w:val="21"/>
      </w:rPr>
    </w:lvl>
    <w:lvl w:ilvl="2">
      <w:start w:val="0"/>
      <w:numFmt w:val="bullet"/>
      <w:lvlText w:val="•"/>
      <w:lvlJc w:val="left"/>
      <w:pPr>
        <w:ind w:left="1754" w:hanging="423"/>
      </w:pPr>
      <w:rPr>
        <w:rFonts w:hint="default"/>
      </w:rPr>
    </w:lvl>
    <w:lvl w:ilvl="3">
      <w:start w:val="0"/>
      <w:numFmt w:val="bullet"/>
      <w:lvlText w:val="•"/>
      <w:lvlJc w:val="left"/>
      <w:pPr>
        <w:ind w:left="1892" w:hanging="423"/>
      </w:pPr>
      <w:rPr>
        <w:rFonts w:hint="default"/>
      </w:rPr>
    </w:lvl>
    <w:lvl w:ilvl="4">
      <w:start w:val="0"/>
      <w:numFmt w:val="bullet"/>
      <w:lvlText w:val="•"/>
      <w:lvlJc w:val="left"/>
      <w:pPr>
        <w:ind w:left="2029"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304" w:hanging="423"/>
      </w:pPr>
      <w:rPr>
        <w:rFonts w:hint="default"/>
      </w:rPr>
    </w:lvl>
    <w:lvl w:ilvl="7">
      <w:start w:val="0"/>
      <w:numFmt w:val="bullet"/>
      <w:lvlText w:val="•"/>
      <w:lvlJc w:val="left"/>
      <w:pPr>
        <w:ind w:left="2442" w:hanging="423"/>
      </w:pPr>
      <w:rPr>
        <w:rFonts w:hint="default"/>
      </w:rPr>
    </w:lvl>
    <w:lvl w:ilvl="8">
      <w:start w:val="0"/>
      <w:numFmt w:val="bullet"/>
      <w:lvlText w:val="•"/>
      <w:lvlJc w:val="left"/>
      <w:pPr>
        <w:ind w:left="2579"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49" w:right="213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848"/>
      <w:outlineLvl w:val="2"/>
    </w:pPr>
    <w:rPr>
      <w:rFonts w:ascii="宋体" w:hAnsi="宋体" w:eastAsia="宋体" w:cs="宋体"/>
      <w:b/>
      <w:bCs/>
      <w:sz w:val="21"/>
      <w:szCs w:val="21"/>
    </w:rPr>
  </w:style>
  <w:style w:styleId="ListParagraph" w:type="paragraph">
    <w:name w:val="List Paragraph"/>
    <w:basedOn w:val="Normal"/>
    <w:uiPriority w:val="1"/>
    <w:qFormat/>
    <w:pPr>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王洪慧(wang.honghui)</dc:creator>
  <dc:title>新光海航附加豁免保险费重大疾病保险条款</dc:title>
  <dcterms:created xsi:type="dcterms:W3CDTF">2018-10-20T08:10:14Z</dcterms:created>
  <dcterms:modified xsi:type="dcterms:W3CDTF">2018-10-20T08:10:14Z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2018-10-20T00:00:00Z</vt:filetime>
  </property>
</Properties>
</file>